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4E42F" w14:textId="228FDD26" w:rsidR="004C558F" w:rsidRDefault="00CE7CFB">
      <w:pPr>
        <w:pStyle w:val="BodyText"/>
        <w:rPr>
          <w:rFonts w:ascii="Times New Roman"/>
          <w:sz w:val="44"/>
        </w:rPr>
      </w:pPr>
      <w:r>
        <w:rPr>
          <w:noProof/>
        </w:rPr>
        <mc:AlternateContent>
          <mc:Choice Requires="wpg">
            <w:drawing>
              <wp:anchor distT="0" distB="0" distL="0" distR="0" simplePos="0" relativeHeight="251614208" behindDoc="1" locked="0" layoutInCell="1" allowOverlap="1" wp14:anchorId="1C34F0A8" wp14:editId="2F1EFD15">
                <wp:simplePos x="0" y="0"/>
                <wp:positionH relativeFrom="page">
                  <wp:posOffset>0</wp:posOffset>
                </wp:positionH>
                <wp:positionV relativeFrom="page">
                  <wp:posOffset>0</wp:posOffset>
                </wp:positionV>
                <wp:extent cx="7772400" cy="10058400"/>
                <wp:effectExtent l="0" t="0" r="0" b="0"/>
                <wp:wrapNone/>
                <wp:docPr id="1" name="Group 1" descr="Massachusetts Health Policy Commis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0" y="0"/>
                            <a:ext cx="7772400" cy="10058400"/>
                          </a:xfrm>
                          <a:custGeom>
                            <a:avLst/>
                            <a:gdLst/>
                            <a:ahLst/>
                            <a:cxnLst/>
                            <a:rect l="l" t="t" r="r" b="b"/>
                            <a:pathLst>
                              <a:path w="7772400" h="10058400">
                                <a:moveTo>
                                  <a:pt x="7772400" y="9294050"/>
                                </a:moveTo>
                                <a:lnTo>
                                  <a:pt x="0" y="9294050"/>
                                </a:lnTo>
                                <a:lnTo>
                                  <a:pt x="0" y="10058400"/>
                                </a:lnTo>
                                <a:lnTo>
                                  <a:pt x="7772400" y="10058400"/>
                                </a:lnTo>
                                <a:lnTo>
                                  <a:pt x="7772400" y="9294050"/>
                                </a:lnTo>
                                <a:close/>
                              </a:path>
                              <a:path w="7772400" h="10058400">
                                <a:moveTo>
                                  <a:pt x="7772400" y="0"/>
                                </a:moveTo>
                                <a:lnTo>
                                  <a:pt x="0" y="0"/>
                                </a:lnTo>
                                <a:lnTo>
                                  <a:pt x="0" y="9239199"/>
                                </a:lnTo>
                                <a:lnTo>
                                  <a:pt x="7772400" y="9239199"/>
                                </a:lnTo>
                                <a:lnTo>
                                  <a:pt x="7772400" y="0"/>
                                </a:lnTo>
                                <a:close/>
                              </a:path>
                            </a:pathLst>
                          </a:custGeom>
                          <a:solidFill>
                            <a:srgbClr val="074975"/>
                          </a:solidFill>
                        </wps:spPr>
                        <wps:bodyPr wrap="square" lIns="0" tIns="0" rIns="0" bIns="0" rtlCol="0">
                          <a:prstTxWarp prst="textNoShape">
                            <a:avLst/>
                          </a:prstTxWarp>
                          <a:noAutofit/>
                        </wps:bodyPr>
                      </wps:wsp>
                      <wps:wsp>
                        <wps:cNvPr id="3" name="Graphic 3"/>
                        <wps:cNvSpPr/>
                        <wps:spPr>
                          <a:xfrm>
                            <a:off x="964971" y="662177"/>
                            <a:ext cx="967105" cy="147320"/>
                          </a:xfrm>
                          <a:custGeom>
                            <a:avLst/>
                            <a:gdLst/>
                            <a:ahLst/>
                            <a:cxnLst/>
                            <a:rect l="l" t="t" r="r" b="b"/>
                            <a:pathLst>
                              <a:path w="967105" h="147320">
                                <a:moveTo>
                                  <a:pt x="147015" y="2438"/>
                                </a:moveTo>
                                <a:lnTo>
                                  <a:pt x="116586" y="2438"/>
                                </a:lnTo>
                                <a:lnTo>
                                  <a:pt x="73596" y="63068"/>
                                </a:lnTo>
                                <a:lnTo>
                                  <a:pt x="30822" y="2438"/>
                                </a:lnTo>
                                <a:lnTo>
                                  <a:pt x="0" y="2438"/>
                                </a:lnTo>
                                <a:lnTo>
                                  <a:pt x="0" y="144386"/>
                                </a:lnTo>
                                <a:lnTo>
                                  <a:pt x="29197" y="144386"/>
                                </a:lnTo>
                                <a:lnTo>
                                  <a:pt x="29197" y="46240"/>
                                </a:lnTo>
                                <a:lnTo>
                                  <a:pt x="73406" y="107480"/>
                                </a:lnTo>
                                <a:lnTo>
                                  <a:pt x="117805" y="46240"/>
                                </a:lnTo>
                                <a:lnTo>
                                  <a:pt x="117805" y="144386"/>
                                </a:lnTo>
                                <a:lnTo>
                                  <a:pt x="147015" y="144386"/>
                                </a:lnTo>
                                <a:lnTo>
                                  <a:pt x="147015" y="2438"/>
                                </a:lnTo>
                                <a:close/>
                              </a:path>
                              <a:path w="967105" h="147320">
                                <a:moveTo>
                                  <a:pt x="301726" y="144386"/>
                                </a:moveTo>
                                <a:lnTo>
                                  <a:pt x="292125" y="117817"/>
                                </a:lnTo>
                                <a:lnTo>
                                  <a:pt x="283552" y="94094"/>
                                </a:lnTo>
                                <a:lnTo>
                                  <a:pt x="262750" y="36499"/>
                                </a:lnTo>
                                <a:lnTo>
                                  <a:pt x="252056" y="6934"/>
                                </a:lnTo>
                                <a:lnTo>
                                  <a:pt x="252056" y="94094"/>
                                </a:lnTo>
                                <a:lnTo>
                                  <a:pt x="213728" y="94094"/>
                                </a:lnTo>
                                <a:lnTo>
                                  <a:pt x="232587" y="36499"/>
                                </a:lnTo>
                                <a:lnTo>
                                  <a:pt x="232994" y="36499"/>
                                </a:lnTo>
                                <a:lnTo>
                                  <a:pt x="252056" y="94094"/>
                                </a:lnTo>
                                <a:lnTo>
                                  <a:pt x="252056" y="6934"/>
                                </a:lnTo>
                                <a:lnTo>
                                  <a:pt x="250431" y="2438"/>
                                </a:lnTo>
                                <a:lnTo>
                                  <a:pt x="215557" y="2438"/>
                                </a:lnTo>
                                <a:lnTo>
                                  <a:pt x="164249" y="144386"/>
                                </a:lnTo>
                                <a:lnTo>
                                  <a:pt x="197307" y="144386"/>
                                </a:lnTo>
                                <a:lnTo>
                                  <a:pt x="206019" y="117817"/>
                                </a:lnTo>
                                <a:lnTo>
                                  <a:pt x="259956" y="117817"/>
                                </a:lnTo>
                                <a:lnTo>
                                  <a:pt x="268884" y="144386"/>
                                </a:lnTo>
                                <a:lnTo>
                                  <a:pt x="301726" y="144386"/>
                                </a:lnTo>
                                <a:close/>
                              </a:path>
                              <a:path w="967105" h="147320">
                                <a:moveTo>
                                  <a:pt x="422605" y="104228"/>
                                </a:moveTo>
                                <a:lnTo>
                                  <a:pt x="410629" y="75057"/>
                                </a:lnTo>
                                <a:lnTo>
                                  <a:pt x="384289" y="62280"/>
                                </a:lnTo>
                                <a:lnTo>
                                  <a:pt x="357936" y="54876"/>
                                </a:lnTo>
                                <a:lnTo>
                                  <a:pt x="345960" y="41783"/>
                                </a:lnTo>
                                <a:lnTo>
                                  <a:pt x="347433" y="35839"/>
                                </a:lnTo>
                                <a:lnTo>
                                  <a:pt x="351713" y="31076"/>
                                </a:lnTo>
                                <a:lnTo>
                                  <a:pt x="358533" y="27914"/>
                                </a:lnTo>
                                <a:lnTo>
                                  <a:pt x="367652" y="26771"/>
                                </a:lnTo>
                                <a:lnTo>
                                  <a:pt x="377177" y="27343"/>
                                </a:lnTo>
                                <a:lnTo>
                                  <a:pt x="386816" y="29070"/>
                                </a:lnTo>
                                <a:lnTo>
                                  <a:pt x="396455" y="31991"/>
                                </a:lnTo>
                                <a:lnTo>
                                  <a:pt x="405980" y="36106"/>
                                </a:lnTo>
                                <a:lnTo>
                                  <a:pt x="417334" y="11963"/>
                                </a:lnTo>
                                <a:lnTo>
                                  <a:pt x="405295" y="6934"/>
                                </a:lnTo>
                                <a:lnTo>
                                  <a:pt x="392849" y="3175"/>
                                </a:lnTo>
                                <a:lnTo>
                                  <a:pt x="379869" y="825"/>
                                </a:lnTo>
                                <a:lnTo>
                                  <a:pt x="366242" y="12"/>
                                </a:lnTo>
                                <a:lnTo>
                                  <a:pt x="344233" y="3327"/>
                                </a:lnTo>
                                <a:lnTo>
                                  <a:pt x="327863" y="12357"/>
                                </a:lnTo>
                                <a:lnTo>
                                  <a:pt x="317639" y="25755"/>
                                </a:lnTo>
                                <a:lnTo>
                                  <a:pt x="314121" y="42176"/>
                                </a:lnTo>
                                <a:lnTo>
                                  <a:pt x="326097" y="70878"/>
                                </a:lnTo>
                                <a:lnTo>
                                  <a:pt x="352450" y="83604"/>
                                </a:lnTo>
                                <a:lnTo>
                                  <a:pt x="378790" y="91224"/>
                                </a:lnTo>
                                <a:lnTo>
                                  <a:pt x="390766" y="104635"/>
                                </a:lnTo>
                                <a:lnTo>
                                  <a:pt x="389293" y="110896"/>
                                </a:lnTo>
                                <a:lnTo>
                                  <a:pt x="384911" y="115760"/>
                                </a:lnTo>
                                <a:lnTo>
                                  <a:pt x="377685" y="118910"/>
                                </a:lnTo>
                                <a:lnTo>
                                  <a:pt x="367652" y="120040"/>
                                </a:lnTo>
                                <a:lnTo>
                                  <a:pt x="356908" y="119100"/>
                                </a:lnTo>
                                <a:lnTo>
                                  <a:pt x="346163" y="116471"/>
                                </a:lnTo>
                                <a:lnTo>
                                  <a:pt x="335711" y="112433"/>
                                </a:lnTo>
                                <a:lnTo>
                                  <a:pt x="325882" y="107276"/>
                                </a:lnTo>
                                <a:lnTo>
                                  <a:pt x="311277" y="131203"/>
                                </a:lnTo>
                                <a:lnTo>
                                  <a:pt x="322859" y="137236"/>
                                </a:lnTo>
                                <a:lnTo>
                                  <a:pt x="336677" y="142201"/>
                                </a:lnTo>
                                <a:lnTo>
                                  <a:pt x="351942" y="145567"/>
                                </a:lnTo>
                                <a:lnTo>
                                  <a:pt x="367855" y="146812"/>
                                </a:lnTo>
                                <a:lnTo>
                                  <a:pt x="391807" y="143522"/>
                                </a:lnTo>
                                <a:lnTo>
                                  <a:pt x="408914" y="134493"/>
                                </a:lnTo>
                                <a:lnTo>
                                  <a:pt x="419188" y="120980"/>
                                </a:lnTo>
                                <a:lnTo>
                                  <a:pt x="422605" y="104228"/>
                                </a:lnTo>
                                <a:close/>
                              </a:path>
                              <a:path w="967105" h="147320">
                                <a:moveTo>
                                  <a:pt x="548741" y="104228"/>
                                </a:moveTo>
                                <a:lnTo>
                                  <a:pt x="536765" y="75057"/>
                                </a:lnTo>
                                <a:lnTo>
                                  <a:pt x="510425" y="62280"/>
                                </a:lnTo>
                                <a:lnTo>
                                  <a:pt x="484073" y="54876"/>
                                </a:lnTo>
                                <a:lnTo>
                                  <a:pt x="472097" y="41783"/>
                                </a:lnTo>
                                <a:lnTo>
                                  <a:pt x="473583" y="35839"/>
                                </a:lnTo>
                                <a:lnTo>
                                  <a:pt x="477850" y="31076"/>
                                </a:lnTo>
                                <a:lnTo>
                                  <a:pt x="484670" y="27914"/>
                                </a:lnTo>
                                <a:lnTo>
                                  <a:pt x="493788" y="26771"/>
                                </a:lnTo>
                                <a:lnTo>
                                  <a:pt x="503313" y="27343"/>
                                </a:lnTo>
                                <a:lnTo>
                                  <a:pt x="512953" y="29070"/>
                                </a:lnTo>
                                <a:lnTo>
                                  <a:pt x="522592" y="31991"/>
                                </a:lnTo>
                                <a:lnTo>
                                  <a:pt x="532117" y="36106"/>
                                </a:lnTo>
                                <a:lnTo>
                                  <a:pt x="543471" y="11963"/>
                                </a:lnTo>
                                <a:lnTo>
                                  <a:pt x="531431" y="6934"/>
                                </a:lnTo>
                                <a:lnTo>
                                  <a:pt x="518985" y="3175"/>
                                </a:lnTo>
                                <a:lnTo>
                                  <a:pt x="506006" y="825"/>
                                </a:lnTo>
                                <a:lnTo>
                                  <a:pt x="492379" y="12"/>
                                </a:lnTo>
                                <a:lnTo>
                                  <a:pt x="470382" y="3327"/>
                                </a:lnTo>
                                <a:lnTo>
                                  <a:pt x="453999" y="12357"/>
                                </a:lnTo>
                                <a:lnTo>
                                  <a:pt x="443788" y="25755"/>
                                </a:lnTo>
                                <a:lnTo>
                                  <a:pt x="440258" y="42176"/>
                                </a:lnTo>
                                <a:lnTo>
                                  <a:pt x="452234" y="70878"/>
                                </a:lnTo>
                                <a:lnTo>
                                  <a:pt x="478586" y="83604"/>
                                </a:lnTo>
                                <a:lnTo>
                                  <a:pt x="504926" y="91224"/>
                                </a:lnTo>
                                <a:lnTo>
                                  <a:pt x="516902" y="104635"/>
                                </a:lnTo>
                                <a:lnTo>
                                  <a:pt x="515429" y="110896"/>
                                </a:lnTo>
                                <a:lnTo>
                                  <a:pt x="511048" y="115760"/>
                                </a:lnTo>
                                <a:lnTo>
                                  <a:pt x="503821" y="118910"/>
                                </a:lnTo>
                                <a:lnTo>
                                  <a:pt x="493788" y="120040"/>
                                </a:lnTo>
                                <a:lnTo>
                                  <a:pt x="483044" y="119100"/>
                                </a:lnTo>
                                <a:lnTo>
                                  <a:pt x="472300" y="116471"/>
                                </a:lnTo>
                                <a:lnTo>
                                  <a:pt x="461860" y="112433"/>
                                </a:lnTo>
                                <a:lnTo>
                                  <a:pt x="452018" y="107276"/>
                                </a:lnTo>
                                <a:lnTo>
                                  <a:pt x="437413" y="131203"/>
                                </a:lnTo>
                                <a:lnTo>
                                  <a:pt x="448995" y="137236"/>
                                </a:lnTo>
                                <a:lnTo>
                                  <a:pt x="462813" y="142201"/>
                                </a:lnTo>
                                <a:lnTo>
                                  <a:pt x="478091" y="145567"/>
                                </a:lnTo>
                                <a:lnTo>
                                  <a:pt x="493991" y="146812"/>
                                </a:lnTo>
                                <a:lnTo>
                                  <a:pt x="517944" y="143522"/>
                                </a:lnTo>
                                <a:lnTo>
                                  <a:pt x="535051" y="134493"/>
                                </a:lnTo>
                                <a:lnTo>
                                  <a:pt x="545325" y="120980"/>
                                </a:lnTo>
                                <a:lnTo>
                                  <a:pt x="548741" y="104228"/>
                                </a:lnTo>
                                <a:close/>
                              </a:path>
                              <a:path w="967105" h="147320">
                                <a:moveTo>
                                  <a:pt x="695756" y="144386"/>
                                </a:moveTo>
                                <a:lnTo>
                                  <a:pt x="686155" y="117817"/>
                                </a:lnTo>
                                <a:lnTo>
                                  <a:pt x="677583" y="94094"/>
                                </a:lnTo>
                                <a:lnTo>
                                  <a:pt x="656767" y="36499"/>
                                </a:lnTo>
                                <a:lnTo>
                                  <a:pt x="646087" y="6946"/>
                                </a:lnTo>
                                <a:lnTo>
                                  <a:pt x="646087" y="94094"/>
                                </a:lnTo>
                                <a:lnTo>
                                  <a:pt x="607758" y="94094"/>
                                </a:lnTo>
                                <a:lnTo>
                                  <a:pt x="626630" y="36499"/>
                                </a:lnTo>
                                <a:lnTo>
                                  <a:pt x="627024" y="36499"/>
                                </a:lnTo>
                                <a:lnTo>
                                  <a:pt x="646087" y="94094"/>
                                </a:lnTo>
                                <a:lnTo>
                                  <a:pt x="646087" y="6946"/>
                                </a:lnTo>
                                <a:lnTo>
                                  <a:pt x="644461" y="2438"/>
                                </a:lnTo>
                                <a:lnTo>
                                  <a:pt x="609587" y="2438"/>
                                </a:lnTo>
                                <a:lnTo>
                                  <a:pt x="558279" y="144386"/>
                                </a:lnTo>
                                <a:lnTo>
                                  <a:pt x="591337" y="144386"/>
                                </a:lnTo>
                                <a:lnTo>
                                  <a:pt x="600049" y="117817"/>
                                </a:lnTo>
                                <a:lnTo>
                                  <a:pt x="653999" y="117817"/>
                                </a:lnTo>
                                <a:lnTo>
                                  <a:pt x="662914" y="144386"/>
                                </a:lnTo>
                                <a:lnTo>
                                  <a:pt x="695756" y="144386"/>
                                </a:lnTo>
                                <a:close/>
                              </a:path>
                              <a:path w="967105" h="147320">
                                <a:moveTo>
                                  <a:pt x="829818" y="125514"/>
                                </a:moveTo>
                                <a:lnTo>
                                  <a:pt x="811568" y="106057"/>
                                </a:lnTo>
                                <a:lnTo>
                                  <a:pt x="804062" y="112306"/>
                                </a:lnTo>
                                <a:lnTo>
                                  <a:pt x="795769" y="116954"/>
                                </a:lnTo>
                                <a:lnTo>
                                  <a:pt x="786612" y="119862"/>
                                </a:lnTo>
                                <a:lnTo>
                                  <a:pt x="776490" y="120853"/>
                                </a:lnTo>
                                <a:lnTo>
                                  <a:pt x="758380" y="117424"/>
                                </a:lnTo>
                                <a:lnTo>
                                  <a:pt x="744651" y="107683"/>
                                </a:lnTo>
                                <a:lnTo>
                                  <a:pt x="735939" y="92468"/>
                                </a:lnTo>
                                <a:lnTo>
                                  <a:pt x="732891" y="72593"/>
                                </a:lnTo>
                                <a:lnTo>
                                  <a:pt x="735990" y="53416"/>
                                </a:lnTo>
                                <a:lnTo>
                                  <a:pt x="744804" y="38709"/>
                                </a:lnTo>
                                <a:lnTo>
                                  <a:pt x="758558" y="29286"/>
                                </a:lnTo>
                                <a:lnTo>
                                  <a:pt x="776490" y="25958"/>
                                </a:lnTo>
                                <a:lnTo>
                                  <a:pt x="786257" y="26911"/>
                                </a:lnTo>
                                <a:lnTo>
                                  <a:pt x="795058" y="29591"/>
                                </a:lnTo>
                                <a:lnTo>
                                  <a:pt x="803148" y="33743"/>
                                </a:lnTo>
                                <a:lnTo>
                                  <a:pt x="810755" y="39128"/>
                                </a:lnTo>
                                <a:lnTo>
                                  <a:pt x="827392" y="18046"/>
                                </a:lnTo>
                                <a:lnTo>
                                  <a:pt x="815860" y="10274"/>
                                </a:lnTo>
                                <a:lnTo>
                                  <a:pt x="803452" y="4622"/>
                                </a:lnTo>
                                <a:lnTo>
                                  <a:pt x="790143" y="1168"/>
                                </a:lnTo>
                                <a:lnTo>
                                  <a:pt x="775881" y="0"/>
                                </a:lnTo>
                                <a:lnTo>
                                  <a:pt x="746010" y="5448"/>
                                </a:lnTo>
                                <a:lnTo>
                                  <a:pt x="722604" y="20561"/>
                                </a:lnTo>
                                <a:lnTo>
                                  <a:pt x="707339" y="43548"/>
                                </a:lnTo>
                                <a:lnTo>
                                  <a:pt x="701878" y="72593"/>
                                </a:lnTo>
                                <a:lnTo>
                                  <a:pt x="707174" y="102412"/>
                                </a:lnTo>
                                <a:lnTo>
                                  <a:pt x="722096" y="125907"/>
                                </a:lnTo>
                                <a:lnTo>
                                  <a:pt x="745147" y="141300"/>
                                </a:lnTo>
                                <a:lnTo>
                                  <a:pt x="774865" y="146812"/>
                                </a:lnTo>
                                <a:lnTo>
                                  <a:pt x="790625" y="145491"/>
                                </a:lnTo>
                                <a:lnTo>
                                  <a:pt x="804926" y="141490"/>
                                </a:lnTo>
                                <a:lnTo>
                                  <a:pt x="817918" y="134835"/>
                                </a:lnTo>
                                <a:lnTo>
                                  <a:pt x="829818" y="125514"/>
                                </a:lnTo>
                                <a:close/>
                              </a:path>
                              <a:path w="967105" h="147320">
                                <a:moveTo>
                                  <a:pt x="967105" y="2438"/>
                                </a:moveTo>
                                <a:lnTo>
                                  <a:pt x="936498" y="2438"/>
                                </a:lnTo>
                                <a:lnTo>
                                  <a:pt x="936498" y="59588"/>
                                </a:lnTo>
                                <a:lnTo>
                                  <a:pt x="881138" y="59588"/>
                                </a:lnTo>
                                <a:lnTo>
                                  <a:pt x="881138" y="2438"/>
                                </a:lnTo>
                                <a:lnTo>
                                  <a:pt x="850315" y="2438"/>
                                </a:lnTo>
                                <a:lnTo>
                                  <a:pt x="850315" y="59588"/>
                                </a:lnTo>
                                <a:lnTo>
                                  <a:pt x="850315" y="84988"/>
                                </a:lnTo>
                                <a:lnTo>
                                  <a:pt x="850315" y="144678"/>
                                </a:lnTo>
                                <a:lnTo>
                                  <a:pt x="881138" y="144678"/>
                                </a:lnTo>
                                <a:lnTo>
                                  <a:pt x="881138" y="84988"/>
                                </a:lnTo>
                                <a:lnTo>
                                  <a:pt x="936498" y="84988"/>
                                </a:lnTo>
                                <a:lnTo>
                                  <a:pt x="936498" y="144678"/>
                                </a:lnTo>
                                <a:lnTo>
                                  <a:pt x="967105" y="144678"/>
                                </a:lnTo>
                                <a:lnTo>
                                  <a:pt x="967105" y="84988"/>
                                </a:lnTo>
                                <a:lnTo>
                                  <a:pt x="967105" y="59588"/>
                                </a:lnTo>
                                <a:lnTo>
                                  <a:pt x="967105" y="2438"/>
                                </a:lnTo>
                                <a:close/>
                              </a:path>
                            </a:pathLst>
                          </a:custGeom>
                          <a:solidFill>
                            <a:srgbClr val="FDFE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1959061" y="664610"/>
                            <a:ext cx="119849" cy="144373"/>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099595" y="662183"/>
                            <a:ext cx="111328" cy="146799"/>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2233640" y="662183"/>
                            <a:ext cx="502297" cy="146799"/>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961388" y="883489"/>
                            <a:ext cx="64858" cy="85026"/>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1046657" y="883485"/>
                            <a:ext cx="365502" cy="85039"/>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1472660" y="882027"/>
                            <a:ext cx="432438" cy="87951"/>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947977" y="882027"/>
                            <a:ext cx="268084" cy="87951"/>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236344" y="883489"/>
                            <a:ext cx="82956" cy="85026"/>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339594" y="882026"/>
                            <a:ext cx="375702" cy="87948"/>
                          </a:xfrm>
                          <a:prstGeom prst="rect">
                            <a:avLst/>
                          </a:prstGeom>
                        </pic:spPr>
                      </pic:pic>
                      <wps:wsp>
                        <wps:cNvPr id="13" name="Graphic 13"/>
                        <wps:cNvSpPr/>
                        <wps:spPr>
                          <a:xfrm>
                            <a:off x="632531" y="360815"/>
                            <a:ext cx="263525" cy="304165"/>
                          </a:xfrm>
                          <a:custGeom>
                            <a:avLst/>
                            <a:gdLst/>
                            <a:ahLst/>
                            <a:cxnLst/>
                            <a:rect l="l" t="t" r="r" b="b"/>
                            <a:pathLst>
                              <a:path w="263525" h="304165">
                                <a:moveTo>
                                  <a:pt x="0" y="0"/>
                                </a:moveTo>
                                <a:lnTo>
                                  <a:pt x="0" y="151879"/>
                                </a:lnTo>
                                <a:lnTo>
                                  <a:pt x="263118" y="303783"/>
                                </a:lnTo>
                                <a:lnTo>
                                  <a:pt x="263118" y="151904"/>
                                </a:lnTo>
                                <a:lnTo>
                                  <a:pt x="0" y="0"/>
                                </a:lnTo>
                                <a:close/>
                              </a:path>
                            </a:pathLst>
                          </a:custGeom>
                          <a:solidFill>
                            <a:srgbClr val="FDFEFF">
                              <a:alpha val="89999"/>
                            </a:srgbClr>
                          </a:solidFill>
                        </wps:spPr>
                        <wps:bodyPr wrap="square" lIns="0" tIns="0" rIns="0" bIns="0" rtlCol="0">
                          <a:prstTxWarp prst="textNoShape">
                            <a:avLst/>
                          </a:prstTxWarp>
                          <a:noAutofit/>
                        </wps:bodyPr>
                      </wps:wsp>
                      <wps:wsp>
                        <wps:cNvPr id="14" name="Graphic 14"/>
                        <wps:cNvSpPr/>
                        <wps:spPr>
                          <a:xfrm>
                            <a:off x="632532" y="588672"/>
                            <a:ext cx="263525" cy="227965"/>
                          </a:xfrm>
                          <a:custGeom>
                            <a:avLst/>
                            <a:gdLst/>
                            <a:ahLst/>
                            <a:cxnLst/>
                            <a:rect l="l" t="t" r="r" b="b"/>
                            <a:pathLst>
                              <a:path w="263525" h="227965">
                                <a:moveTo>
                                  <a:pt x="131597" y="0"/>
                                </a:moveTo>
                                <a:lnTo>
                                  <a:pt x="0" y="75971"/>
                                </a:lnTo>
                                <a:lnTo>
                                  <a:pt x="0" y="227850"/>
                                </a:lnTo>
                                <a:lnTo>
                                  <a:pt x="263118" y="75933"/>
                                </a:lnTo>
                                <a:lnTo>
                                  <a:pt x="131597" y="0"/>
                                </a:lnTo>
                                <a:close/>
                              </a:path>
                            </a:pathLst>
                          </a:custGeom>
                          <a:solidFill>
                            <a:srgbClr val="FDFEFF">
                              <a:alpha val="39999"/>
                            </a:srgbClr>
                          </a:solidFill>
                        </wps:spPr>
                        <wps:bodyPr wrap="square" lIns="0" tIns="0" rIns="0" bIns="0" rtlCol="0">
                          <a:prstTxWarp prst="textNoShape">
                            <a:avLst/>
                          </a:prstTxWarp>
                          <a:noAutofit/>
                        </wps:bodyPr>
                      </wps:wsp>
                      <wps:wsp>
                        <wps:cNvPr id="15" name="Graphic 15"/>
                        <wps:cNvSpPr/>
                        <wps:spPr>
                          <a:xfrm>
                            <a:off x="369416" y="664688"/>
                            <a:ext cx="263525" cy="304165"/>
                          </a:xfrm>
                          <a:custGeom>
                            <a:avLst/>
                            <a:gdLst/>
                            <a:ahLst/>
                            <a:cxnLst/>
                            <a:rect l="l" t="t" r="r" b="b"/>
                            <a:pathLst>
                              <a:path w="263525" h="304165">
                                <a:moveTo>
                                  <a:pt x="0" y="0"/>
                                </a:moveTo>
                                <a:lnTo>
                                  <a:pt x="0" y="151879"/>
                                </a:lnTo>
                                <a:lnTo>
                                  <a:pt x="263118" y="303784"/>
                                </a:lnTo>
                                <a:lnTo>
                                  <a:pt x="263118" y="151904"/>
                                </a:lnTo>
                                <a:lnTo>
                                  <a:pt x="0" y="0"/>
                                </a:lnTo>
                                <a:close/>
                              </a:path>
                            </a:pathLst>
                          </a:custGeom>
                          <a:solidFill>
                            <a:srgbClr val="FDFEFF">
                              <a:alpha val="89999"/>
                            </a:srgbClr>
                          </a:solidFill>
                        </wps:spPr>
                        <wps:bodyPr wrap="square" lIns="0" tIns="0" rIns="0" bIns="0" rtlCol="0">
                          <a:prstTxWarp prst="textNoShape">
                            <a:avLst/>
                          </a:prstTxWarp>
                          <a:noAutofit/>
                        </wps:bodyPr>
                      </wps:wsp>
                      <wps:wsp>
                        <wps:cNvPr id="16" name="Graphic 16"/>
                        <wps:cNvSpPr/>
                        <wps:spPr>
                          <a:xfrm>
                            <a:off x="369413" y="512763"/>
                            <a:ext cx="263525" cy="227965"/>
                          </a:xfrm>
                          <a:custGeom>
                            <a:avLst/>
                            <a:gdLst/>
                            <a:ahLst/>
                            <a:cxnLst/>
                            <a:rect l="l" t="t" r="r" b="b"/>
                            <a:pathLst>
                              <a:path w="263525" h="227965">
                                <a:moveTo>
                                  <a:pt x="263118" y="0"/>
                                </a:moveTo>
                                <a:lnTo>
                                  <a:pt x="0" y="151904"/>
                                </a:lnTo>
                                <a:lnTo>
                                  <a:pt x="131521" y="227863"/>
                                </a:lnTo>
                                <a:lnTo>
                                  <a:pt x="263118" y="151879"/>
                                </a:lnTo>
                                <a:lnTo>
                                  <a:pt x="263118" y="0"/>
                                </a:lnTo>
                                <a:close/>
                              </a:path>
                            </a:pathLst>
                          </a:custGeom>
                          <a:solidFill>
                            <a:srgbClr val="FDFEFF">
                              <a:alpha val="59999"/>
                            </a:srgbClr>
                          </a:solidFill>
                        </wps:spPr>
                        <wps:bodyPr wrap="square" lIns="0" tIns="0" rIns="0" bIns="0" rtlCol="0">
                          <a:prstTxWarp prst="textNoShape">
                            <a:avLst/>
                          </a:prstTxWarp>
                          <a:noAutofit/>
                        </wps:bodyPr>
                      </wps:wsp>
                      <wps:wsp>
                        <wps:cNvPr id="17" name="Graphic 17"/>
                        <wps:cNvSpPr/>
                        <wps:spPr>
                          <a:xfrm>
                            <a:off x="0" y="825372"/>
                            <a:ext cx="7772400" cy="8468995"/>
                          </a:xfrm>
                          <a:custGeom>
                            <a:avLst/>
                            <a:gdLst/>
                            <a:ahLst/>
                            <a:cxnLst/>
                            <a:rect l="l" t="t" r="r" b="b"/>
                            <a:pathLst>
                              <a:path w="7772400" h="8468995">
                                <a:moveTo>
                                  <a:pt x="2695194" y="8413826"/>
                                </a:moveTo>
                                <a:lnTo>
                                  <a:pt x="0" y="8413826"/>
                                </a:lnTo>
                                <a:lnTo>
                                  <a:pt x="0" y="8468677"/>
                                </a:lnTo>
                                <a:lnTo>
                                  <a:pt x="2695194" y="8468677"/>
                                </a:lnTo>
                                <a:lnTo>
                                  <a:pt x="2695194" y="8413826"/>
                                </a:lnTo>
                                <a:close/>
                              </a:path>
                              <a:path w="7772400" h="8468995">
                                <a:moveTo>
                                  <a:pt x="7772400" y="8413826"/>
                                </a:moveTo>
                                <a:lnTo>
                                  <a:pt x="5077206" y="8413826"/>
                                </a:lnTo>
                                <a:lnTo>
                                  <a:pt x="5077206" y="8468677"/>
                                </a:lnTo>
                                <a:lnTo>
                                  <a:pt x="7772400" y="8468677"/>
                                </a:lnTo>
                                <a:lnTo>
                                  <a:pt x="7772400" y="8413826"/>
                                </a:lnTo>
                                <a:close/>
                              </a:path>
                              <a:path w="7772400" h="8468995">
                                <a:moveTo>
                                  <a:pt x="7772400" y="0"/>
                                </a:moveTo>
                                <a:lnTo>
                                  <a:pt x="2896870" y="0"/>
                                </a:lnTo>
                                <a:lnTo>
                                  <a:pt x="2896870" y="54864"/>
                                </a:lnTo>
                                <a:lnTo>
                                  <a:pt x="7772400" y="54864"/>
                                </a:lnTo>
                                <a:lnTo>
                                  <a:pt x="7772400"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695194" y="8915590"/>
                            <a:ext cx="2382520" cy="664845"/>
                          </a:xfrm>
                          <a:custGeom>
                            <a:avLst/>
                            <a:gdLst/>
                            <a:ahLst/>
                            <a:cxnLst/>
                            <a:rect l="l" t="t" r="r" b="b"/>
                            <a:pathLst>
                              <a:path w="2382520" h="664845">
                                <a:moveTo>
                                  <a:pt x="2382011" y="0"/>
                                </a:moveTo>
                                <a:lnTo>
                                  <a:pt x="0" y="0"/>
                                </a:lnTo>
                                <a:lnTo>
                                  <a:pt x="0" y="664464"/>
                                </a:lnTo>
                                <a:lnTo>
                                  <a:pt x="2382011" y="664464"/>
                                </a:lnTo>
                                <a:lnTo>
                                  <a:pt x="2382011" y="0"/>
                                </a:lnTo>
                                <a:close/>
                              </a:path>
                            </a:pathLst>
                          </a:custGeom>
                          <a:solidFill>
                            <a:srgbClr val="074975"/>
                          </a:solidFill>
                        </wps:spPr>
                        <wps:bodyPr wrap="square" lIns="0" tIns="0" rIns="0" bIns="0" rtlCol="0">
                          <a:prstTxWarp prst="textNoShape">
                            <a:avLst/>
                          </a:prstTxWarp>
                          <a:noAutofit/>
                        </wps:bodyPr>
                      </wps:wsp>
                    </wpg:wgp>
                  </a:graphicData>
                </a:graphic>
              </wp:anchor>
            </w:drawing>
          </mc:Choice>
          <mc:Fallback>
            <w:pict>
              <v:group w14:anchorId="531A18AD" id="Group 1" o:spid="_x0000_s1026" alt="Massachusetts Health Policy Commission" style="position:absolute;margin-left:0;margin-top:0;width:612pt;height:11in;z-index:-25170227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">
                <v:shape id="Graphic 2"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" path="m7772400,9294050l,9294050r,764350l7772400,10058400r,-764350xem7772400,l,,,9239199r7772400,l7772400,xe" fillcolor="#074975" stroked="f">
                  <v:path arrowok="t"/>
                </v:shape>
                <v:shape id="Graphic 3" o:spid="_x0000_s1028" style="position:absolute;left:9649;top:6621;width:9671;height:1473;visibility:visible;mso-wrap-style:square;v-text-anchor:top" coordsize="9671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" path="m147015,2438r-30429,l73596,63068,30822,2438,,2438,,144386r29197,l29197,46240r44209,61240l117805,46240r,98146l147015,144386r,-141948xem301726,144386r-9601,-26569l283552,94094,262750,36499,252056,6934r,87160l213728,94094,232587,36499r407,l252056,94094r,-87160l250431,2438r-34874,l164249,144386r33058,l206019,117817r53937,l268884,144386r32842,xem422605,104228l410629,75057,384289,62280,357936,54876,345960,41783r1473,-5944l351713,31076r6820,-3162l367652,26771r9525,572l386816,29070r9639,2921l405980,36106,417334,11963,405295,6934,392849,3175,379869,825,366242,12,344233,3327r-16370,9030l317639,25755r-3518,16421l326097,70878r26353,12726l378790,91224r11976,13411l389293,110896r-4382,4864l377685,118910r-10033,1130l356908,119100r-10745,-2629l335711,112433r-9829,-5157l311277,131203r11582,6033l336677,142201r15265,3366l367855,146812r23952,-3290l408914,134493r10274,-13513l422605,104228xem548741,104228l536765,75057,510425,62280,484073,54876,472097,41783r1486,-5944l477850,31076r6820,-3162l493788,26771r9525,572l512953,29070r9639,2921l532117,36106,543471,11963,531431,6934,518985,3175,506006,825,492379,12,470382,3327r-16383,9030l443788,25755r-3530,16421l452234,70878r26352,12726l504926,91224r11976,13411l515429,110896r-4381,4864l503821,118910r-10033,1130l483044,119100r-10744,-2629l461860,112433r-9842,-5157l437413,131203r11582,6033l462813,142201r15278,3366l493991,146812r23953,-3290l535051,134493r10274,-13513l548741,104228xem695756,144386r-9601,-26569l677583,94094,656767,36499,646087,6946r,87148l607758,94094,626630,36499r394,l646087,94094r,-87148l644461,2438r-34874,l558279,144386r33058,l600049,117817r53950,l662914,144386r32842,xem829818,125514l811568,106057r-7506,6249l795769,116954r-9157,2908l776490,120853r-18110,-3429l744651,107683,735939,92468,732891,72593r3099,-19177l744804,38709r13754,-9423l776490,25958r9767,953l795058,29591r8090,4152l810755,39128,827392,18046,815860,10274,803452,4622,790143,1168,775881,,746010,5448,722604,20561,707339,43548r-5461,29045l707174,102412r14922,23495l745147,141300r29718,5512l790625,145491r14301,-4001l817918,134835r11900,-9321xem967105,2438r-30607,l936498,59588r-55360,l881138,2438r-30823,l850315,59588r,25400l850315,144678r30823,l881138,84988r55360,l936498,144678r30607,l967105,84988r,-25400l967105,2438xe" fillcolor="#fdfe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9590;top:6646;width:1199;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">
                  <v:imagedata r:id="rId17" o:title=""/>
                </v:shape>
                <v:shape id="Image 5" o:spid="_x0000_s1030" type="#_x0000_t75" style="position:absolute;left:20995;top:6621;width:1114;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">
                  <v:imagedata r:id="rId18" o:title=""/>
                </v:shape>
                <v:shape id="Image 6" o:spid="_x0000_s1031" type="#_x0000_t75" style="position:absolute;left:22336;top:6621;width:5023;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">
                  <v:imagedata r:id="rId19" o:title=""/>
                </v:shape>
                <v:shape id="Image 7" o:spid="_x0000_s1032" type="#_x0000_t75" style="position:absolute;left:9613;top:8834;width:649;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">
                  <v:imagedata r:id="rId20" o:title=""/>
                </v:shape>
                <v:shape id="Image 8" o:spid="_x0000_s1033" type="#_x0000_t75" style="position:absolute;left:10466;top:8834;width:365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">
                  <v:imagedata r:id="rId21" o:title=""/>
                </v:shape>
                <v:shape id="Image 9" o:spid="_x0000_s1034" type="#_x0000_t75" style="position:absolute;left:14726;top:8820;width:4324;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">
                  <v:imagedata r:id="rId22" o:title=""/>
                </v:shape>
                <v:shape id="Image 10" o:spid="_x0000_s1035" type="#_x0000_t75" style="position:absolute;left:19479;top:8820;width:2681;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">
                  <v:imagedata r:id="rId23" o:title=""/>
                </v:shape>
                <v:shape id="Image 11" o:spid="_x0000_s1036" type="#_x0000_t75" style="position:absolute;left:22363;top:8834;width:83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">
                  <v:imagedata r:id="rId24" o:title=""/>
                </v:shape>
                <v:shape id="Image 12" o:spid="_x0000_s1037" type="#_x0000_t75" style="position:absolute;left:23395;top:8820;width:3757;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">
                  <v:imagedata r:id="rId25" o:title=""/>
                </v:shape>
                <v:shape id="Graphic 13" o:spid="_x0000_s1038" style="position:absolute;left:6325;top:3608;width:2635;height:3041;visibility:visible;mso-wrap-style:square;v-text-anchor:top" coordsize="2635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" path="m,l,151879,263118,303783r,-151879l,xe" fillcolor="#fdfeff" stroked="f">
                  <v:fill opacity="58853f"/>
                  <v:path arrowok="t"/>
                </v:shape>
                <v:shape id="Graphic 14" o:spid="_x0000_s1039" style="position:absolute;left:6325;top:5886;width:2635;height:2280;visibility:visible;mso-wrap-style:square;v-text-anchor:top" coordsize="2635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" path="m131597,l,75971,,227850,263118,75933,131597,xe" fillcolor="#fdfeff" stroked="f">
                  <v:fill opacity="26214f"/>
                  <v:path arrowok="t"/>
                </v:shape>
                <v:shape id="Graphic 15" o:spid="_x0000_s1040" style="position:absolute;left:3694;top:6646;width:2635;height:3042;visibility:visible;mso-wrap-style:square;v-text-anchor:top" coordsize="2635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" path="m,l,151879,263118,303784r,-151880l,xe" fillcolor="#fdfeff" stroked="f">
                  <v:fill opacity="58853f"/>
                  <v:path arrowok="t"/>
                </v:shape>
                <v:shape id="Graphic 16" o:spid="_x0000_s1041" style="position:absolute;left:3694;top:5127;width:2635;height:2280;visibility:visible;mso-wrap-style:square;v-text-anchor:top" coordsize="2635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" path="m263118,l,151904r131521,75959l263118,151879,263118,xe" fillcolor="#fdfeff" stroked="f">
                  <v:fill opacity="39321f"/>
                  <v:path arrowok="t"/>
                </v:shape>
                <v:shape id="Graphic 17" o:spid="_x0000_s1042" style="position:absolute;top:8253;width:77724;height:84690;visibility:visible;mso-wrap-style:square;v-text-anchor:top" coordsize="7772400,84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" path="m2695194,8413826l,8413826r,54851l2695194,8468677r,-54851xem7772400,8413826r-2695194,l5077206,8468677r2695194,l7772400,8413826xem7772400,l2896870,r,54864l7772400,54864r,-54864xe" stroked="f">
                  <v:path arrowok="t"/>
                </v:shape>
                <v:shape id="Graphic 18" o:spid="_x0000_s1043" style="position:absolute;left:26951;top:89155;width:23826;height:6649;visibility:visible;mso-wrap-style:square;v-text-anchor:top" coordsize="238252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" path="m2382011,l,,,664464r2382011,l2382011,xe" fillcolor="#074975" stroked="f">
                  <v:path arrowok="t"/>
                </v:shape>
                <w10:wrap anchorx="page" anchory="page"/>
              </v:group>
            </w:pict>
          </mc:Fallback>
        </mc:AlternateContent>
      </w:r>
    </w:p>
    <w:p w14:paraId="1C34E430" w14:textId="7E2312A9" w:rsidR="004C558F" w:rsidRDefault="004C558F">
      <w:pPr>
        <w:pStyle w:val="BodyText"/>
        <w:rPr>
          <w:rFonts w:ascii="Times New Roman"/>
          <w:sz w:val="44"/>
        </w:rPr>
      </w:pPr>
    </w:p>
    <w:p w14:paraId="1C34E431" w14:textId="651168F7" w:rsidR="004C558F" w:rsidRDefault="004C558F">
      <w:pPr>
        <w:pStyle w:val="BodyText"/>
        <w:rPr>
          <w:rFonts w:ascii="Times New Roman"/>
          <w:sz w:val="44"/>
        </w:rPr>
      </w:pPr>
    </w:p>
    <w:p w14:paraId="1C34E432" w14:textId="77777777" w:rsidR="004C558F" w:rsidRDefault="004C558F">
      <w:pPr>
        <w:pStyle w:val="BodyText"/>
        <w:rPr>
          <w:rFonts w:ascii="Times New Roman"/>
          <w:sz w:val="44"/>
        </w:rPr>
      </w:pPr>
    </w:p>
    <w:p w14:paraId="1C34E433" w14:textId="77777777" w:rsidR="004C558F" w:rsidRDefault="004C558F">
      <w:pPr>
        <w:pStyle w:val="BodyText"/>
        <w:rPr>
          <w:rFonts w:ascii="Times New Roman"/>
          <w:sz w:val="44"/>
        </w:rPr>
      </w:pPr>
    </w:p>
    <w:p w14:paraId="1C34E434" w14:textId="77777777" w:rsidR="004C558F" w:rsidRDefault="004C558F">
      <w:pPr>
        <w:pStyle w:val="BodyText"/>
        <w:rPr>
          <w:rFonts w:ascii="Times New Roman"/>
          <w:sz w:val="44"/>
        </w:rPr>
      </w:pPr>
    </w:p>
    <w:p w14:paraId="1C34E435" w14:textId="77777777" w:rsidR="004C558F" w:rsidRDefault="004C558F">
      <w:pPr>
        <w:pStyle w:val="BodyText"/>
        <w:spacing w:before="480"/>
        <w:rPr>
          <w:rFonts w:ascii="Times New Roman"/>
          <w:sz w:val="44"/>
        </w:rPr>
      </w:pPr>
    </w:p>
    <w:p w14:paraId="1C34E436" w14:textId="77777777" w:rsidR="004C558F" w:rsidRDefault="00461887">
      <w:pPr>
        <w:pStyle w:val="Title"/>
      </w:pPr>
      <w:bookmarkStart w:id="0" w:name="cover_preliminary_CMIR_Dana-Farber,_BID_"/>
      <w:bookmarkEnd w:id="0"/>
      <w:r w:rsidRPr="001A7B5B">
        <w:t>PRELIMINARY</w:t>
      </w:r>
      <w:r w:rsidRPr="001A7B5B">
        <w:rPr>
          <w:spacing w:val="-20"/>
        </w:rPr>
        <w:t xml:space="preserve"> </w:t>
      </w:r>
      <w:r w:rsidRPr="001A7B5B">
        <w:rPr>
          <w:spacing w:val="-2"/>
        </w:rPr>
        <w:t>REPORT:</w:t>
      </w:r>
    </w:p>
    <w:p w14:paraId="1C34E437" w14:textId="77777777" w:rsidR="004C558F" w:rsidRDefault="00461887">
      <w:pPr>
        <w:spacing w:before="29" w:line="254" w:lineRule="auto"/>
        <w:ind w:left="2411" w:right="2151"/>
        <w:jc w:val="center"/>
        <w:rPr>
          <w:rFonts w:ascii="Franklin Gothic Medium"/>
          <w:sz w:val="44"/>
        </w:rPr>
      </w:pPr>
      <w:r w:rsidRPr="00961C23">
        <w:rPr>
          <w:rFonts w:ascii="Franklin Gothic Medium"/>
          <w:sz w:val="44"/>
        </w:rPr>
        <w:t>Cost</w:t>
      </w:r>
      <w:r w:rsidRPr="00961C23">
        <w:rPr>
          <w:rFonts w:ascii="Franklin Gothic Medium"/>
          <w:spacing w:val="-14"/>
          <w:sz w:val="44"/>
        </w:rPr>
        <w:t xml:space="preserve"> </w:t>
      </w:r>
      <w:r w:rsidRPr="00961C23">
        <w:rPr>
          <w:rFonts w:ascii="Franklin Gothic Medium"/>
          <w:sz w:val="44"/>
        </w:rPr>
        <w:t>and</w:t>
      </w:r>
      <w:r w:rsidRPr="00961C23">
        <w:rPr>
          <w:rFonts w:ascii="Franklin Gothic Medium"/>
          <w:spacing w:val="-13"/>
          <w:sz w:val="44"/>
        </w:rPr>
        <w:t xml:space="preserve"> </w:t>
      </w:r>
      <w:r w:rsidRPr="00961C23">
        <w:rPr>
          <w:rFonts w:ascii="Franklin Gothic Medium"/>
          <w:sz w:val="44"/>
        </w:rPr>
        <w:t>Market</w:t>
      </w:r>
      <w:r w:rsidRPr="00961C23">
        <w:rPr>
          <w:rFonts w:ascii="Franklin Gothic Medium"/>
          <w:spacing w:val="-14"/>
          <w:sz w:val="44"/>
        </w:rPr>
        <w:t xml:space="preserve"> </w:t>
      </w:r>
      <w:r w:rsidRPr="00961C23">
        <w:rPr>
          <w:rFonts w:ascii="Franklin Gothic Medium"/>
          <w:sz w:val="44"/>
        </w:rPr>
        <w:t>Impact</w:t>
      </w:r>
      <w:r w:rsidRPr="00961C23">
        <w:rPr>
          <w:rFonts w:ascii="Franklin Gothic Medium"/>
          <w:spacing w:val="-14"/>
          <w:sz w:val="44"/>
        </w:rPr>
        <w:t xml:space="preserve"> </w:t>
      </w:r>
      <w:r w:rsidRPr="00961C23">
        <w:rPr>
          <w:rFonts w:ascii="Franklin Gothic Medium"/>
          <w:sz w:val="44"/>
        </w:rPr>
        <w:t>Review</w:t>
      </w:r>
      <w:r w:rsidRPr="00961C23">
        <w:rPr>
          <w:rFonts w:ascii="Franklin Gothic Medium"/>
          <w:spacing w:val="-13"/>
          <w:sz w:val="44"/>
        </w:rPr>
        <w:t xml:space="preserve"> </w:t>
      </w:r>
      <w:r w:rsidRPr="00961C23">
        <w:rPr>
          <w:rFonts w:ascii="Franklin Gothic Medium"/>
          <w:sz w:val="44"/>
        </w:rPr>
        <w:t>of Dana-Farber Cancer Institute,</w:t>
      </w:r>
    </w:p>
    <w:p w14:paraId="1C34E438" w14:textId="77777777" w:rsidR="004C558F" w:rsidRDefault="00461887">
      <w:pPr>
        <w:spacing w:line="254" w:lineRule="auto"/>
        <w:ind w:left="1920" w:right="1658"/>
        <w:jc w:val="center"/>
        <w:rPr>
          <w:rFonts w:ascii="Franklin Gothic Medium"/>
          <w:sz w:val="44"/>
        </w:rPr>
      </w:pPr>
      <w:r w:rsidRPr="00961C23">
        <w:rPr>
          <w:rFonts w:ascii="Franklin Gothic Medium"/>
          <w:sz w:val="44"/>
        </w:rPr>
        <w:t>Beth Israel Deaconess Medical Center, and</w:t>
      </w:r>
      <w:r w:rsidRPr="00961C23">
        <w:rPr>
          <w:rFonts w:ascii="Franklin Gothic Medium"/>
          <w:spacing w:val="-13"/>
          <w:sz w:val="44"/>
        </w:rPr>
        <w:t xml:space="preserve"> </w:t>
      </w:r>
      <w:r w:rsidRPr="00961C23">
        <w:rPr>
          <w:rFonts w:ascii="Franklin Gothic Medium"/>
          <w:sz w:val="44"/>
        </w:rPr>
        <w:t>Harvard</w:t>
      </w:r>
      <w:r w:rsidRPr="00961C23">
        <w:rPr>
          <w:rFonts w:ascii="Franklin Gothic Medium"/>
          <w:spacing w:val="-13"/>
          <w:sz w:val="44"/>
        </w:rPr>
        <w:t xml:space="preserve"> </w:t>
      </w:r>
      <w:r w:rsidRPr="00961C23">
        <w:rPr>
          <w:rFonts w:ascii="Franklin Gothic Medium"/>
          <w:sz w:val="44"/>
        </w:rPr>
        <w:t>Medical</w:t>
      </w:r>
      <w:r w:rsidRPr="00961C23">
        <w:rPr>
          <w:rFonts w:ascii="Franklin Gothic Medium"/>
          <w:spacing w:val="-13"/>
          <w:sz w:val="44"/>
        </w:rPr>
        <w:t xml:space="preserve"> </w:t>
      </w:r>
      <w:r w:rsidRPr="00961C23">
        <w:rPr>
          <w:rFonts w:ascii="Franklin Gothic Medium"/>
          <w:sz w:val="44"/>
        </w:rPr>
        <w:t>Faculty</w:t>
      </w:r>
      <w:r w:rsidRPr="00961C23">
        <w:rPr>
          <w:rFonts w:ascii="Franklin Gothic Medium"/>
          <w:spacing w:val="-13"/>
          <w:sz w:val="44"/>
        </w:rPr>
        <w:t xml:space="preserve"> </w:t>
      </w:r>
      <w:r w:rsidRPr="00961C23">
        <w:rPr>
          <w:rFonts w:ascii="Franklin Gothic Medium"/>
          <w:sz w:val="44"/>
        </w:rPr>
        <w:t xml:space="preserve">Physicians </w:t>
      </w:r>
      <w:r w:rsidRPr="00961C23">
        <w:rPr>
          <w:rFonts w:ascii="Franklin Gothic Medium"/>
          <w:spacing w:val="-2"/>
          <w:sz w:val="44"/>
        </w:rPr>
        <w:t>(HPC-CMIR-2024-1)</w:t>
      </w:r>
    </w:p>
    <w:p w14:paraId="1C34E439" w14:textId="77777777" w:rsidR="004C558F" w:rsidRDefault="004C558F">
      <w:pPr>
        <w:pStyle w:val="BodyText"/>
        <w:rPr>
          <w:rFonts w:ascii="Franklin Gothic Medium"/>
          <w:sz w:val="32"/>
        </w:rPr>
      </w:pPr>
    </w:p>
    <w:p w14:paraId="1C34E43A" w14:textId="77777777" w:rsidR="004C558F" w:rsidRDefault="004C558F">
      <w:pPr>
        <w:pStyle w:val="BodyText"/>
        <w:rPr>
          <w:rFonts w:ascii="Franklin Gothic Medium"/>
          <w:sz w:val="32"/>
        </w:rPr>
      </w:pPr>
    </w:p>
    <w:p w14:paraId="1C34E43B" w14:textId="77777777" w:rsidR="004C558F" w:rsidRDefault="004C558F">
      <w:pPr>
        <w:pStyle w:val="BodyText"/>
        <w:rPr>
          <w:rFonts w:ascii="Franklin Gothic Medium"/>
          <w:sz w:val="32"/>
        </w:rPr>
      </w:pPr>
    </w:p>
    <w:p w14:paraId="1C34E43C" w14:textId="77777777" w:rsidR="004C558F" w:rsidRDefault="004C558F">
      <w:pPr>
        <w:pStyle w:val="BodyText"/>
        <w:rPr>
          <w:rFonts w:ascii="Franklin Gothic Medium"/>
          <w:sz w:val="32"/>
        </w:rPr>
      </w:pPr>
    </w:p>
    <w:p w14:paraId="1C34E43D" w14:textId="77777777" w:rsidR="004C558F" w:rsidRDefault="004C558F">
      <w:pPr>
        <w:pStyle w:val="BodyText"/>
        <w:rPr>
          <w:rFonts w:ascii="Franklin Gothic Medium"/>
          <w:sz w:val="32"/>
        </w:rPr>
      </w:pPr>
    </w:p>
    <w:p w14:paraId="1C34E43E" w14:textId="77777777" w:rsidR="004C558F" w:rsidRDefault="004C558F">
      <w:pPr>
        <w:pStyle w:val="BodyText"/>
        <w:rPr>
          <w:rFonts w:ascii="Franklin Gothic Medium"/>
          <w:sz w:val="32"/>
        </w:rPr>
      </w:pPr>
    </w:p>
    <w:p w14:paraId="1C34E43F" w14:textId="77777777" w:rsidR="004C558F" w:rsidRDefault="004C558F">
      <w:pPr>
        <w:pStyle w:val="BodyText"/>
        <w:rPr>
          <w:rFonts w:ascii="Franklin Gothic Medium"/>
          <w:sz w:val="32"/>
        </w:rPr>
      </w:pPr>
    </w:p>
    <w:p w14:paraId="1C34E440" w14:textId="77777777" w:rsidR="004C558F" w:rsidRDefault="004C558F">
      <w:pPr>
        <w:pStyle w:val="BodyText"/>
        <w:rPr>
          <w:rFonts w:ascii="Franklin Gothic Medium"/>
          <w:sz w:val="32"/>
        </w:rPr>
      </w:pPr>
    </w:p>
    <w:p w14:paraId="1C34E441" w14:textId="77777777" w:rsidR="004C558F" w:rsidRDefault="004C558F">
      <w:pPr>
        <w:pStyle w:val="BodyText"/>
        <w:rPr>
          <w:rFonts w:ascii="Franklin Gothic Medium"/>
          <w:sz w:val="32"/>
        </w:rPr>
      </w:pPr>
    </w:p>
    <w:p w14:paraId="1C34E442" w14:textId="77777777" w:rsidR="004C558F" w:rsidRDefault="004C558F">
      <w:pPr>
        <w:pStyle w:val="BodyText"/>
        <w:rPr>
          <w:rFonts w:ascii="Franklin Gothic Medium"/>
          <w:sz w:val="32"/>
        </w:rPr>
      </w:pPr>
    </w:p>
    <w:p w14:paraId="1C34E443" w14:textId="77777777" w:rsidR="004C558F" w:rsidRDefault="004C558F">
      <w:pPr>
        <w:pStyle w:val="BodyText"/>
        <w:rPr>
          <w:rFonts w:ascii="Franklin Gothic Medium"/>
          <w:sz w:val="32"/>
        </w:rPr>
      </w:pPr>
    </w:p>
    <w:p w14:paraId="1C34E444" w14:textId="77777777" w:rsidR="004C558F" w:rsidRDefault="004C558F">
      <w:pPr>
        <w:pStyle w:val="BodyText"/>
        <w:rPr>
          <w:rFonts w:ascii="Franklin Gothic Medium"/>
          <w:sz w:val="32"/>
        </w:rPr>
      </w:pPr>
    </w:p>
    <w:p w14:paraId="1C34E445" w14:textId="77777777" w:rsidR="004C558F" w:rsidRDefault="004C558F">
      <w:pPr>
        <w:pStyle w:val="BodyText"/>
        <w:rPr>
          <w:rFonts w:ascii="Franklin Gothic Medium"/>
          <w:sz w:val="32"/>
        </w:rPr>
      </w:pPr>
    </w:p>
    <w:p w14:paraId="1C34E446" w14:textId="77777777" w:rsidR="004C558F" w:rsidRDefault="004C558F">
      <w:pPr>
        <w:pStyle w:val="BodyText"/>
        <w:spacing w:before="289"/>
        <w:rPr>
          <w:rFonts w:ascii="Franklin Gothic Medium"/>
          <w:sz w:val="32"/>
        </w:rPr>
      </w:pPr>
    </w:p>
    <w:p w14:paraId="1C34E447" w14:textId="77777777" w:rsidR="004C558F" w:rsidRDefault="00461887">
      <w:pPr>
        <w:ind w:left="2411" w:right="2151"/>
        <w:jc w:val="center"/>
        <w:rPr>
          <w:rFonts w:ascii="Franklin Gothic Medium"/>
          <w:sz w:val="32"/>
        </w:rPr>
      </w:pPr>
      <w:r w:rsidRPr="00961C23">
        <w:rPr>
          <w:rFonts w:ascii="Franklin Gothic Medium"/>
          <w:sz w:val="32"/>
        </w:rPr>
        <w:t>FEBRUARY</w:t>
      </w:r>
      <w:r w:rsidRPr="00961C23">
        <w:rPr>
          <w:rFonts w:ascii="Franklin Gothic Medium"/>
          <w:spacing w:val="-13"/>
          <w:sz w:val="32"/>
        </w:rPr>
        <w:t xml:space="preserve"> </w:t>
      </w:r>
      <w:r w:rsidRPr="00961C23">
        <w:rPr>
          <w:rFonts w:ascii="Franklin Gothic Medium"/>
          <w:sz w:val="32"/>
        </w:rPr>
        <w:t>27,</w:t>
      </w:r>
      <w:r w:rsidRPr="00961C23">
        <w:rPr>
          <w:rFonts w:ascii="Franklin Gothic Medium"/>
          <w:spacing w:val="-11"/>
          <w:sz w:val="32"/>
        </w:rPr>
        <w:t xml:space="preserve"> </w:t>
      </w:r>
      <w:r w:rsidRPr="00961C23">
        <w:rPr>
          <w:rFonts w:ascii="Franklin Gothic Medium"/>
          <w:spacing w:val="-4"/>
          <w:sz w:val="32"/>
        </w:rPr>
        <w:t>2025</w:t>
      </w:r>
    </w:p>
    <w:p w14:paraId="1C34E448" w14:textId="77777777" w:rsidR="004C558F" w:rsidRDefault="004C558F">
      <w:pPr>
        <w:jc w:val="center"/>
        <w:rPr>
          <w:rFonts w:ascii="Franklin Gothic Medium"/>
          <w:sz w:val="32"/>
        </w:rPr>
        <w:sectPr w:rsidR="004C558F">
          <w:type w:val="continuous"/>
          <w:pgSz w:w="12240" w:h="15840"/>
          <w:pgMar w:top="1820" w:right="740" w:bottom="280" w:left="480" w:header="720" w:footer="720" w:gutter="0"/>
          <w:cols w:space="720"/>
        </w:sectPr>
      </w:pPr>
    </w:p>
    <w:p w14:paraId="1C34E449" w14:textId="77777777" w:rsidR="004C558F" w:rsidRDefault="004C558F">
      <w:pPr>
        <w:pStyle w:val="BodyText"/>
        <w:rPr>
          <w:rFonts w:ascii="Franklin Gothic Medium"/>
          <w:sz w:val="40"/>
        </w:rPr>
      </w:pPr>
    </w:p>
    <w:p w14:paraId="1C34E44A" w14:textId="77777777" w:rsidR="004C558F" w:rsidRDefault="004C558F">
      <w:pPr>
        <w:pStyle w:val="BodyText"/>
        <w:rPr>
          <w:rFonts w:ascii="Franklin Gothic Medium"/>
          <w:sz w:val="40"/>
        </w:rPr>
      </w:pPr>
    </w:p>
    <w:p w14:paraId="1C34E44B" w14:textId="77777777" w:rsidR="004C558F" w:rsidRDefault="004C558F">
      <w:pPr>
        <w:pStyle w:val="BodyText"/>
        <w:rPr>
          <w:rFonts w:ascii="Franklin Gothic Medium"/>
          <w:sz w:val="40"/>
        </w:rPr>
      </w:pPr>
    </w:p>
    <w:p w14:paraId="1C34E44C" w14:textId="77777777" w:rsidR="004C558F" w:rsidRDefault="004C558F">
      <w:pPr>
        <w:pStyle w:val="BodyText"/>
        <w:rPr>
          <w:rFonts w:ascii="Franklin Gothic Medium"/>
          <w:sz w:val="40"/>
        </w:rPr>
      </w:pPr>
    </w:p>
    <w:p w14:paraId="1C34E44D" w14:textId="77777777" w:rsidR="004C558F" w:rsidRDefault="004C558F">
      <w:pPr>
        <w:pStyle w:val="BodyText"/>
        <w:rPr>
          <w:rFonts w:ascii="Franklin Gothic Medium"/>
          <w:sz w:val="40"/>
        </w:rPr>
      </w:pPr>
    </w:p>
    <w:p w14:paraId="1C34E44E" w14:textId="77777777" w:rsidR="004C558F" w:rsidRDefault="004C558F">
      <w:pPr>
        <w:pStyle w:val="BodyText"/>
        <w:rPr>
          <w:rFonts w:ascii="Franklin Gothic Medium"/>
          <w:sz w:val="40"/>
        </w:rPr>
      </w:pPr>
    </w:p>
    <w:p w14:paraId="1C34E44F" w14:textId="77777777" w:rsidR="004C558F" w:rsidRDefault="004C558F">
      <w:pPr>
        <w:pStyle w:val="BodyText"/>
        <w:rPr>
          <w:rFonts w:ascii="Franklin Gothic Medium"/>
          <w:sz w:val="40"/>
        </w:rPr>
      </w:pPr>
    </w:p>
    <w:p w14:paraId="1C34E450" w14:textId="77777777" w:rsidR="004C558F" w:rsidRDefault="004C558F">
      <w:pPr>
        <w:pStyle w:val="BodyText"/>
        <w:rPr>
          <w:rFonts w:ascii="Franklin Gothic Medium"/>
          <w:sz w:val="40"/>
        </w:rPr>
      </w:pPr>
    </w:p>
    <w:p w14:paraId="1C34E451" w14:textId="77777777" w:rsidR="004C558F" w:rsidRDefault="004C558F">
      <w:pPr>
        <w:pStyle w:val="BodyText"/>
        <w:spacing w:before="286"/>
        <w:rPr>
          <w:rFonts w:ascii="Franklin Gothic Medium"/>
          <w:sz w:val="40"/>
        </w:rPr>
      </w:pPr>
    </w:p>
    <w:p w14:paraId="1C34E452" w14:textId="77777777" w:rsidR="004C558F" w:rsidRDefault="00461887">
      <w:pPr>
        <w:ind w:left="960"/>
        <w:rPr>
          <w:rFonts w:ascii="Franklin Gothic Demi"/>
          <w:b/>
          <w:sz w:val="40"/>
        </w:rPr>
      </w:pPr>
      <w:bookmarkStart w:id="1" w:name="BILH-DFCI_CMIR_clean_final.pdf"/>
      <w:bookmarkEnd w:id="1"/>
      <w:r>
        <w:rPr>
          <w:rFonts w:ascii="Franklin Gothic Demi"/>
          <w:b/>
          <w:color w:val="084875"/>
          <w:spacing w:val="-10"/>
          <w:sz w:val="40"/>
        </w:rPr>
        <w:t>About</w:t>
      </w:r>
      <w:r>
        <w:rPr>
          <w:rFonts w:ascii="Franklin Gothic Demi"/>
          <w:b/>
          <w:color w:val="084875"/>
          <w:spacing w:val="-16"/>
          <w:sz w:val="40"/>
        </w:rPr>
        <w:t xml:space="preserve"> </w:t>
      </w:r>
      <w:r>
        <w:rPr>
          <w:rFonts w:ascii="Franklin Gothic Demi"/>
          <w:b/>
          <w:color w:val="084875"/>
          <w:spacing w:val="-10"/>
          <w:sz w:val="40"/>
        </w:rPr>
        <w:t>the</w:t>
      </w:r>
      <w:r>
        <w:rPr>
          <w:rFonts w:ascii="Franklin Gothic Demi"/>
          <w:b/>
          <w:color w:val="084875"/>
          <w:spacing w:val="-16"/>
          <w:sz w:val="40"/>
        </w:rPr>
        <w:t xml:space="preserve"> </w:t>
      </w:r>
      <w:r>
        <w:rPr>
          <w:rFonts w:ascii="Franklin Gothic Demi"/>
          <w:b/>
          <w:color w:val="084875"/>
          <w:spacing w:val="-10"/>
          <w:sz w:val="40"/>
        </w:rPr>
        <w:t>Health</w:t>
      </w:r>
      <w:r>
        <w:rPr>
          <w:rFonts w:ascii="Franklin Gothic Demi"/>
          <w:b/>
          <w:color w:val="084875"/>
          <w:spacing w:val="-15"/>
          <w:sz w:val="40"/>
        </w:rPr>
        <w:t xml:space="preserve"> </w:t>
      </w:r>
      <w:r>
        <w:rPr>
          <w:rFonts w:ascii="Franklin Gothic Demi"/>
          <w:b/>
          <w:color w:val="084875"/>
          <w:spacing w:val="-10"/>
          <w:sz w:val="40"/>
        </w:rPr>
        <w:t>Policy</w:t>
      </w:r>
      <w:r>
        <w:rPr>
          <w:rFonts w:ascii="Franklin Gothic Demi"/>
          <w:b/>
          <w:color w:val="084875"/>
          <w:spacing w:val="-16"/>
          <w:sz w:val="40"/>
        </w:rPr>
        <w:t xml:space="preserve"> </w:t>
      </w:r>
      <w:r>
        <w:rPr>
          <w:rFonts w:ascii="Franklin Gothic Demi"/>
          <w:b/>
          <w:color w:val="084875"/>
          <w:spacing w:val="-10"/>
          <w:sz w:val="40"/>
        </w:rPr>
        <w:t>Commission</w:t>
      </w:r>
    </w:p>
    <w:p w14:paraId="1C34E453" w14:textId="77777777" w:rsidR="004C558F" w:rsidRDefault="00461887">
      <w:pPr>
        <w:pStyle w:val="BodyText"/>
        <w:spacing w:before="434" w:line="276" w:lineRule="auto"/>
        <w:ind w:left="960" w:right="702"/>
      </w:pPr>
      <w:r>
        <w:t>The Massachusetts Health Policy Commission (HPC), established in 2012, is an independent state agency charged with monitoring health care spending growth in Massachusetts and providing data- driven policy recommendations regarding health care delivery and payment system reform. The HPC is committed to better health and better care – at a lower cost – for all residents of the Commonwealth.</w:t>
      </w:r>
      <w:r>
        <w:rPr>
          <w:spacing w:val="-6"/>
        </w:rPr>
        <w:t xml:space="preserve"> </w:t>
      </w:r>
      <w:r>
        <w:t>Through</w:t>
      </w:r>
      <w:r>
        <w:rPr>
          <w:spacing w:val="-5"/>
        </w:rPr>
        <w:t xml:space="preserve"> </w:t>
      </w:r>
      <w:r>
        <w:t>market</w:t>
      </w:r>
      <w:r>
        <w:rPr>
          <w:spacing w:val="-4"/>
        </w:rPr>
        <w:t xml:space="preserve"> </w:t>
      </w:r>
      <w:r>
        <w:t>oversight,</w:t>
      </w:r>
      <w:r>
        <w:rPr>
          <w:spacing w:val="-6"/>
        </w:rPr>
        <w:t xml:space="preserve"> </w:t>
      </w:r>
      <w:r>
        <w:t>data-driven</w:t>
      </w:r>
      <w:r>
        <w:rPr>
          <w:spacing w:val="-3"/>
        </w:rPr>
        <w:t xml:space="preserve"> </w:t>
      </w:r>
      <w:r>
        <w:t>analysis,</w:t>
      </w:r>
      <w:r>
        <w:rPr>
          <w:spacing w:val="-3"/>
        </w:rPr>
        <w:t xml:space="preserve"> </w:t>
      </w:r>
      <w:r>
        <w:t>and</w:t>
      </w:r>
      <w:r>
        <w:rPr>
          <w:spacing w:val="-2"/>
        </w:rPr>
        <w:t xml:space="preserve"> </w:t>
      </w:r>
      <w:r>
        <w:t>independent</w:t>
      </w:r>
      <w:r>
        <w:rPr>
          <w:spacing w:val="-4"/>
        </w:rPr>
        <w:t xml:space="preserve"> </w:t>
      </w:r>
      <w:r>
        <w:t>policy</w:t>
      </w:r>
      <w:r>
        <w:rPr>
          <w:spacing w:val="-4"/>
        </w:rPr>
        <w:t xml:space="preserve"> </w:t>
      </w:r>
      <w:r>
        <w:t>insights,</w:t>
      </w:r>
      <w:r>
        <w:rPr>
          <w:spacing w:val="-6"/>
        </w:rPr>
        <w:t xml:space="preserve"> </w:t>
      </w:r>
      <w:r>
        <w:t xml:space="preserve">our goal is to make health care more affordable, transparent, and equitable. For more information, visit </w:t>
      </w:r>
      <w:hyperlink r:id="rId26">
        <w:r>
          <w:rPr>
            <w:color w:val="486794"/>
            <w:spacing w:val="-2"/>
            <w:u w:val="single" w:color="486794"/>
          </w:rPr>
          <w:t>https://masshpc.gov</w:t>
        </w:r>
        <w:r>
          <w:rPr>
            <w:spacing w:val="-2"/>
          </w:rPr>
          <w:t>.</w:t>
        </w:r>
      </w:hyperlink>
    </w:p>
    <w:p w14:paraId="1C34E454" w14:textId="77777777" w:rsidR="004C558F" w:rsidRDefault="004C558F">
      <w:pPr>
        <w:spacing w:line="276" w:lineRule="auto"/>
        <w:sectPr w:rsidR="004C558F">
          <w:footerReference w:type="default" r:id="rId27"/>
          <w:pgSz w:w="12240" w:h="15840"/>
          <w:pgMar w:top="1820" w:right="740" w:bottom="720" w:left="480" w:header="0" w:footer="521" w:gutter="0"/>
          <w:pgNumType w:start="1"/>
          <w:cols w:space="720"/>
        </w:sectPr>
      </w:pPr>
    </w:p>
    <w:p w14:paraId="1C34E455" w14:textId="77777777" w:rsidR="004C558F" w:rsidRDefault="00461887">
      <w:pPr>
        <w:spacing w:before="80"/>
        <w:ind w:left="960"/>
        <w:rPr>
          <w:rFonts w:ascii="Franklin Gothic Demi"/>
          <w:b/>
          <w:sz w:val="40"/>
        </w:rPr>
      </w:pPr>
      <w:r>
        <w:rPr>
          <w:rFonts w:ascii="Franklin Gothic Demi"/>
          <w:b/>
          <w:color w:val="084875"/>
          <w:spacing w:val="-12"/>
          <w:sz w:val="40"/>
        </w:rPr>
        <w:lastRenderedPageBreak/>
        <w:t>Table</w:t>
      </w:r>
      <w:r>
        <w:rPr>
          <w:rFonts w:ascii="Franklin Gothic Demi"/>
          <w:b/>
          <w:color w:val="084875"/>
          <w:spacing w:val="-15"/>
          <w:sz w:val="40"/>
        </w:rPr>
        <w:t xml:space="preserve"> </w:t>
      </w:r>
      <w:r>
        <w:rPr>
          <w:rFonts w:ascii="Franklin Gothic Demi"/>
          <w:b/>
          <w:color w:val="084875"/>
          <w:spacing w:val="-12"/>
          <w:sz w:val="40"/>
        </w:rPr>
        <w:t>of</w:t>
      </w:r>
      <w:r>
        <w:rPr>
          <w:rFonts w:ascii="Franklin Gothic Demi"/>
          <w:b/>
          <w:color w:val="084875"/>
          <w:spacing w:val="-17"/>
          <w:sz w:val="40"/>
        </w:rPr>
        <w:t xml:space="preserve"> </w:t>
      </w:r>
      <w:r>
        <w:rPr>
          <w:rFonts w:ascii="Franklin Gothic Demi"/>
          <w:b/>
          <w:color w:val="084875"/>
          <w:spacing w:val="-12"/>
          <w:sz w:val="40"/>
        </w:rPr>
        <w:t>Contents</w:t>
      </w:r>
    </w:p>
    <w:sdt>
      <w:sdtPr>
        <w:id w:val="877194439"/>
        <w:docPartObj>
          <w:docPartGallery w:val="Table of Contents"/>
          <w:docPartUnique/>
        </w:docPartObj>
      </w:sdtPr>
      <w:sdtEndPr/>
      <w:sdtContent>
        <w:p w14:paraId="1C34E456" w14:textId="77777777" w:rsidR="004C558F" w:rsidRDefault="00461887">
          <w:pPr>
            <w:pStyle w:val="TOC1"/>
            <w:tabs>
              <w:tab w:val="right" w:leader="dot" w:pos="10310"/>
            </w:tabs>
            <w:spacing w:before="149"/>
          </w:pPr>
          <w:hyperlink w:anchor="_bookmark0" w:history="1">
            <w:r>
              <w:rPr>
                <w:spacing w:val="-2"/>
              </w:rPr>
              <w:t>Introduction</w:t>
            </w:r>
            <w:r>
              <w:tab/>
            </w:r>
            <w:r>
              <w:rPr>
                <w:spacing w:val="-10"/>
              </w:rPr>
              <w:t>3</w:t>
            </w:r>
          </w:hyperlink>
        </w:p>
        <w:p w14:paraId="1C34E457" w14:textId="77777777" w:rsidR="004C558F" w:rsidRDefault="00461887">
          <w:pPr>
            <w:pStyle w:val="TOC1"/>
            <w:tabs>
              <w:tab w:val="right" w:leader="dot" w:pos="10310"/>
            </w:tabs>
          </w:pPr>
          <w:hyperlink w:anchor="_bookmark3" w:history="1">
            <w:r>
              <w:t>Acronyms</w:t>
            </w:r>
            <w:r>
              <w:rPr>
                <w:spacing w:val="-5"/>
              </w:rPr>
              <w:t xml:space="preserve"> </w:t>
            </w:r>
            <w:r>
              <w:t>and</w:t>
            </w:r>
            <w:r>
              <w:rPr>
                <w:spacing w:val="-2"/>
              </w:rPr>
              <w:t xml:space="preserve"> Abbreviations</w:t>
            </w:r>
            <w:r>
              <w:tab/>
            </w:r>
            <w:r>
              <w:rPr>
                <w:spacing w:val="-10"/>
              </w:rPr>
              <w:t>5</w:t>
            </w:r>
          </w:hyperlink>
        </w:p>
        <w:p w14:paraId="1C34E458" w14:textId="77777777" w:rsidR="004C558F" w:rsidRDefault="00461887">
          <w:pPr>
            <w:pStyle w:val="TOC1"/>
            <w:tabs>
              <w:tab w:val="right" w:leader="dot" w:pos="10310"/>
            </w:tabs>
            <w:spacing w:before="226"/>
          </w:pPr>
          <w:hyperlink w:anchor="_bookmark4" w:history="1">
            <w:r>
              <w:t>Naming</w:t>
            </w:r>
            <w:r>
              <w:rPr>
                <w:spacing w:val="-3"/>
              </w:rPr>
              <w:t xml:space="preserve"> </w:t>
            </w:r>
            <w:r>
              <w:rPr>
                <w:spacing w:val="-2"/>
              </w:rPr>
              <w:t>Conventions</w:t>
            </w:r>
            <w:r>
              <w:tab/>
            </w:r>
            <w:r>
              <w:rPr>
                <w:spacing w:val="-10"/>
              </w:rPr>
              <w:t>6</w:t>
            </w:r>
          </w:hyperlink>
        </w:p>
        <w:p w14:paraId="1C34E459" w14:textId="77777777" w:rsidR="004C558F" w:rsidRDefault="00461887">
          <w:pPr>
            <w:pStyle w:val="TOC1"/>
            <w:tabs>
              <w:tab w:val="right" w:leader="dot" w:pos="10310"/>
            </w:tabs>
          </w:pPr>
          <w:hyperlink w:anchor="_bookmark5" w:history="1">
            <w:r>
              <w:t>Executive</w:t>
            </w:r>
            <w:r>
              <w:rPr>
                <w:spacing w:val="-4"/>
              </w:rPr>
              <w:t xml:space="preserve"> </w:t>
            </w:r>
            <w:r>
              <w:rPr>
                <w:spacing w:val="-2"/>
              </w:rPr>
              <w:t>Summary</w:t>
            </w:r>
            <w:r>
              <w:tab/>
            </w:r>
            <w:r>
              <w:rPr>
                <w:spacing w:val="-10"/>
              </w:rPr>
              <w:t>7</w:t>
            </w:r>
          </w:hyperlink>
        </w:p>
        <w:p w14:paraId="1C34E45A" w14:textId="77777777" w:rsidR="004C558F" w:rsidRDefault="00461887">
          <w:pPr>
            <w:pStyle w:val="TOC1"/>
            <w:numPr>
              <w:ilvl w:val="0"/>
              <w:numId w:val="18"/>
            </w:numPr>
            <w:tabs>
              <w:tab w:val="left" w:pos="1499"/>
              <w:tab w:val="right" w:leader="dot" w:pos="10310"/>
            </w:tabs>
            <w:spacing w:before="226"/>
            <w:ind w:left="1499" w:hanging="539"/>
          </w:pPr>
          <w:hyperlink w:anchor="_bookmark24" w:history="1">
            <w:r>
              <w:t>Analytic</w:t>
            </w:r>
            <w:r>
              <w:rPr>
                <w:spacing w:val="-5"/>
              </w:rPr>
              <w:t xml:space="preserve"> </w:t>
            </w:r>
            <w:r>
              <w:t>Approach</w:t>
            </w:r>
            <w:r>
              <w:rPr>
                <w:spacing w:val="-7"/>
              </w:rPr>
              <w:t xml:space="preserve"> </w:t>
            </w:r>
            <w:r>
              <w:t>and</w:t>
            </w:r>
            <w:r>
              <w:rPr>
                <w:spacing w:val="-4"/>
              </w:rPr>
              <w:t xml:space="preserve"> </w:t>
            </w:r>
            <w:r>
              <w:t>Data</w:t>
            </w:r>
            <w:r>
              <w:rPr>
                <w:spacing w:val="-4"/>
              </w:rPr>
              <w:t xml:space="preserve"> </w:t>
            </w:r>
            <w:r>
              <w:rPr>
                <w:spacing w:val="-2"/>
              </w:rPr>
              <w:t>Sources</w:t>
            </w:r>
            <w:r>
              <w:tab/>
            </w:r>
            <w:r>
              <w:rPr>
                <w:spacing w:val="-5"/>
              </w:rPr>
              <w:t>12</w:t>
            </w:r>
          </w:hyperlink>
        </w:p>
        <w:p w14:paraId="1C34E45B" w14:textId="77777777" w:rsidR="004C558F" w:rsidRDefault="00461887">
          <w:pPr>
            <w:pStyle w:val="TOC1"/>
            <w:numPr>
              <w:ilvl w:val="0"/>
              <w:numId w:val="18"/>
            </w:numPr>
            <w:tabs>
              <w:tab w:val="left" w:pos="1499"/>
              <w:tab w:val="right" w:leader="dot" w:pos="10310"/>
            </w:tabs>
            <w:ind w:left="1499" w:hanging="539"/>
          </w:pPr>
          <w:hyperlink w:anchor="_bookmark42" w:history="1">
            <w:r>
              <w:t>Overview</w:t>
            </w:r>
            <w:r>
              <w:rPr>
                <w:spacing w:val="-4"/>
              </w:rPr>
              <w:t xml:space="preserve"> </w:t>
            </w:r>
            <w:r>
              <w:t>of</w:t>
            </w:r>
            <w:r>
              <w:rPr>
                <w:spacing w:val="-2"/>
              </w:rPr>
              <w:t xml:space="preserve"> </w:t>
            </w:r>
            <w:r>
              <w:t>the</w:t>
            </w:r>
            <w:r>
              <w:rPr>
                <w:spacing w:val="-3"/>
              </w:rPr>
              <w:t xml:space="preserve"> </w:t>
            </w:r>
            <w:r>
              <w:t>Parties</w:t>
            </w:r>
            <w:r>
              <w:rPr>
                <w:spacing w:val="-5"/>
              </w:rPr>
              <w:t xml:space="preserve"> </w:t>
            </w:r>
            <w:r>
              <w:t>and</w:t>
            </w:r>
            <w:r>
              <w:rPr>
                <w:spacing w:val="-2"/>
              </w:rPr>
              <w:t xml:space="preserve"> </w:t>
            </w:r>
            <w:r>
              <w:t>the</w:t>
            </w:r>
            <w:r>
              <w:rPr>
                <w:spacing w:val="-4"/>
              </w:rPr>
              <w:t xml:space="preserve"> </w:t>
            </w:r>
            <w:r>
              <w:rPr>
                <w:spacing w:val="-2"/>
              </w:rPr>
              <w:t>Transaction</w:t>
            </w:r>
            <w:r>
              <w:tab/>
            </w:r>
            <w:r>
              <w:rPr>
                <w:spacing w:val="-5"/>
              </w:rPr>
              <w:t>18</w:t>
            </w:r>
          </w:hyperlink>
        </w:p>
        <w:p w14:paraId="1C34E45C" w14:textId="77777777" w:rsidR="004C558F" w:rsidRDefault="00461887">
          <w:pPr>
            <w:pStyle w:val="TOC1"/>
            <w:numPr>
              <w:ilvl w:val="0"/>
              <w:numId w:val="18"/>
            </w:numPr>
            <w:tabs>
              <w:tab w:val="left" w:pos="1499"/>
              <w:tab w:val="right" w:leader="dot" w:pos="10310"/>
            </w:tabs>
            <w:spacing w:before="226"/>
            <w:ind w:left="1499" w:hanging="539"/>
          </w:pPr>
          <w:hyperlink w:anchor="_bookmark113" w:history="1">
            <w:r>
              <w:t>Analysis</w:t>
            </w:r>
            <w:r>
              <w:rPr>
                <w:spacing w:val="-7"/>
              </w:rPr>
              <w:t xml:space="preserve"> </w:t>
            </w:r>
            <w:r>
              <w:t>of</w:t>
            </w:r>
            <w:r>
              <w:rPr>
                <w:spacing w:val="-7"/>
              </w:rPr>
              <w:t xml:space="preserve"> </w:t>
            </w:r>
            <w:r>
              <w:t>the</w:t>
            </w:r>
            <w:r>
              <w:rPr>
                <w:spacing w:val="-5"/>
              </w:rPr>
              <w:t xml:space="preserve"> </w:t>
            </w:r>
            <w:r>
              <w:t>Parties’</w:t>
            </w:r>
            <w:r>
              <w:rPr>
                <w:spacing w:val="-5"/>
              </w:rPr>
              <w:t xml:space="preserve"> </w:t>
            </w:r>
            <w:r>
              <w:t>Past</w:t>
            </w:r>
            <w:r>
              <w:rPr>
                <w:spacing w:val="-6"/>
              </w:rPr>
              <w:t xml:space="preserve"> </w:t>
            </w:r>
            <w:r>
              <w:t>Performance</w:t>
            </w:r>
            <w:r>
              <w:rPr>
                <w:spacing w:val="-5"/>
              </w:rPr>
              <w:t xml:space="preserve"> </w:t>
            </w:r>
            <w:r>
              <w:t>and</w:t>
            </w:r>
            <w:r>
              <w:rPr>
                <w:spacing w:val="-4"/>
              </w:rPr>
              <w:t xml:space="preserve"> </w:t>
            </w:r>
            <w:r>
              <w:t>Impacts</w:t>
            </w:r>
            <w:r>
              <w:rPr>
                <w:spacing w:val="-5"/>
              </w:rPr>
              <w:t xml:space="preserve"> </w:t>
            </w:r>
            <w:r>
              <w:t>of</w:t>
            </w:r>
            <w:r>
              <w:rPr>
                <w:spacing w:val="-4"/>
              </w:rPr>
              <w:t xml:space="preserve"> </w:t>
            </w:r>
            <w:r>
              <w:t>the</w:t>
            </w:r>
            <w:r>
              <w:rPr>
                <w:spacing w:val="-4"/>
              </w:rPr>
              <w:t xml:space="preserve"> </w:t>
            </w:r>
            <w:r>
              <w:t>Proposed</w:t>
            </w:r>
            <w:r>
              <w:rPr>
                <w:spacing w:val="-4"/>
              </w:rPr>
              <w:t xml:space="preserve"> </w:t>
            </w:r>
            <w:r>
              <w:rPr>
                <w:spacing w:val="-2"/>
              </w:rPr>
              <w:t>Transaction</w:t>
            </w:r>
            <w:r>
              <w:tab/>
            </w:r>
            <w:r>
              <w:rPr>
                <w:spacing w:val="-5"/>
              </w:rPr>
              <w:t>29</w:t>
            </w:r>
          </w:hyperlink>
        </w:p>
        <w:p w14:paraId="1C34E45D" w14:textId="77777777" w:rsidR="004C558F" w:rsidRDefault="00461887">
          <w:pPr>
            <w:pStyle w:val="TOC2"/>
            <w:numPr>
              <w:ilvl w:val="1"/>
              <w:numId w:val="18"/>
            </w:numPr>
            <w:tabs>
              <w:tab w:val="left" w:pos="1679"/>
              <w:tab w:val="right" w:leader="dot" w:pos="10310"/>
            </w:tabs>
            <w:ind w:left="1679" w:hanging="499"/>
          </w:pPr>
          <w:hyperlink w:anchor="_bookmark114" w:history="1">
            <w:r>
              <w:t>Costs</w:t>
            </w:r>
            <w:r>
              <w:rPr>
                <w:spacing w:val="-5"/>
              </w:rPr>
              <w:t xml:space="preserve"> </w:t>
            </w:r>
            <w:r>
              <w:t>and</w:t>
            </w:r>
            <w:r>
              <w:rPr>
                <w:spacing w:val="-3"/>
              </w:rPr>
              <w:t xml:space="preserve"> </w:t>
            </w:r>
            <w:r>
              <w:t>Market</w:t>
            </w:r>
            <w:r>
              <w:rPr>
                <w:spacing w:val="-3"/>
              </w:rPr>
              <w:t xml:space="preserve"> </w:t>
            </w:r>
            <w:r>
              <w:rPr>
                <w:spacing w:val="-2"/>
              </w:rPr>
              <w:t>Functioning</w:t>
            </w:r>
            <w:r>
              <w:tab/>
            </w:r>
            <w:r>
              <w:rPr>
                <w:spacing w:val="-5"/>
              </w:rPr>
              <w:t>29</w:t>
            </w:r>
          </w:hyperlink>
        </w:p>
        <w:p w14:paraId="1C34E45E" w14:textId="77777777" w:rsidR="004C558F" w:rsidRDefault="00461887">
          <w:pPr>
            <w:pStyle w:val="TOC2"/>
            <w:numPr>
              <w:ilvl w:val="1"/>
              <w:numId w:val="18"/>
            </w:numPr>
            <w:tabs>
              <w:tab w:val="left" w:pos="1679"/>
              <w:tab w:val="right" w:leader="dot" w:pos="10310"/>
            </w:tabs>
            <w:spacing w:before="223"/>
            <w:ind w:left="1679" w:hanging="499"/>
          </w:pPr>
          <w:hyperlink w:anchor="_bookmark171" w:history="1">
            <w:r>
              <w:t>Quality</w:t>
            </w:r>
            <w:r>
              <w:rPr>
                <w:spacing w:val="-5"/>
              </w:rPr>
              <w:t xml:space="preserve"> </w:t>
            </w:r>
            <w:r>
              <w:t>and</w:t>
            </w:r>
            <w:r>
              <w:rPr>
                <w:spacing w:val="-3"/>
              </w:rPr>
              <w:t xml:space="preserve"> </w:t>
            </w:r>
            <w:r>
              <w:t>Care</w:t>
            </w:r>
            <w:r>
              <w:rPr>
                <w:spacing w:val="-5"/>
              </w:rPr>
              <w:t xml:space="preserve"> </w:t>
            </w:r>
            <w:r>
              <w:rPr>
                <w:spacing w:val="-2"/>
              </w:rPr>
              <w:t>Delivery</w:t>
            </w:r>
            <w:r>
              <w:tab/>
            </w:r>
            <w:r>
              <w:rPr>
                <w:spacing w:val="-5"/>
              </w:rPr>
              <w:t>52</w:t>
            </w:r>
          </w:hyperlink>
        </w:p>
        <w:p w14:paraId="1C34E45F" w14:textId="77777777" w:rsidR="004C558F" w:rsidRDefault="00461887">
          <w:pPr>
            <w:pStyle w:val="TOC2"/>
            <w:numPr>
              <w:ilvl w:val="1"/>
              <w:numId w:val="18"/>
            </w:numPr>
            <w:tabs>
              <w:tab w:val="left" w:pos="1679"/>
              <w:tab w:val="right" w:leader="dot" w:pos="10310"/>
            </w:tabs>
            <w:ind w:left="1679" w:hanging="499"/>
          </w:pPr>
          <w:hyperlink w:anchor="_bookmark209" w:history="1">
            <w:r>
              <w:t>Access</w:t>
            </w:r>
            <w:r>
              <w:rPr>
                <w:spacing w:val="-3"/>
              </w:rPr>
              <w:t xml:space="preserve"> </w:t>
            </w:r>
            <w:r>
              <w:t>to</w:t>
            </w:r>
            <w:r>
              <w:rPr>
                <w:spacing w:val="-4"/>
              </w:rPr>
              <w:t xml:space="preserve"> </w:t>
            </w:r>
            <w:r>
              <w:t>and</w:t>
            </w:r>
            <w:r>
              <w:rPr>
                <w:spacing w:val="-1"/>
              </w:rPr>
              <w:t xml:space="preserve"> </w:t>
            </w:r>
            <w:r>
              <w:t>Equity</w:t>
            </w:r>
            <w:r>
              <w:rPr>
                <w:spacing w:val="-3"/>
              </w:rPr>
              <w:t xml:space="preserve"> </w:t>
            </w:r>
            <w:r>
              <w:t>of</w:t>
            </w:r>
            <w:r>
              <w:rPr>
                <w:spacing w:val="-1"/>
              </w:rPr>
              <w:t xml:space="preserve"> </w:t>
            </w:r>
            <w:r>
              <w:rPr>
                <w:spacing w:val="-4"/>
              </w:rPr>
              <w:t>Care</w:t>
            </w:r>
            <w:r>
              <w:tab/>
            </w:r>
            <w:r>
              <w:rPr>
                <w:spacing w:val="-5"/>
              </w:rPr>
              <w:t>61</w:t>
            </w:r>
          </w:hyperlink>
        </w:p>
        <w:p w14:paraId="1C34E460" w14:textId="77777777" w:rsidR="004C558F" w:rsidRDefault="00461887">
          <w:pPr>
            <w:pStyle w:val="TOC1"/>
            <w:numPr>
              <w:ilvl w:val="0"/>
              <w:numId w:val="18"/>
            </w:numPr>
            <w:tabs>
              <w:tab w:val="left" w:pos="1499"/>
              <w:tab w:val="right" w:leader="dot" w:pos="10310"/>
            </w:tabs>
            <w:ind w:left="1499" w:hanging="539"/>
          </w:pPr>
          <w:hyperlink w:anchor="_bookmark303" w:history="1">
            <w:r>
              <w:rPr>
                <w:spacing w:val="-2"/>
              </w:rPr>
              <w:t>Conclusion</w:t>
            </w:r>
            <w:r>
              <w:tab/>
            </w:r>
            <w:r>
              <w:rPr>
                <w:spacing w:val="-5"/>
              </w:rPr>
              <w:t>82</w:t>
            </w:r>
          </w:hyperlink>
        </w:p>
        <w:p w14:paraId="1C34E461" w14:textId="77777777" w:rsidR="004C558F" w:rsidRDefault="00461887">
          <w:pPr>
            <w:pStyle w:val="TOC1"/>
            <w:tabs>
              <w:tab w:val="right" w:leader="dot" w:pos="10310"/>
            </w:tabs>
            <w:spacing w:before="226"/>
          </w:pPr>
          <w:hyperlink w:anchor="_bookmark304" w:history="1">
            <w:r>
              <w:t>Data</w:t>
            </w:r>
            <w:r>
              <w:rPr>
                <w:spacing w:val="-2"/>
              </w:rPr>
              <w:t xml:space="preserve"> Appendix</w:t>
            </w:r>
            <w:r>
              <w:tab/>
            </w:r>
            <w:r>
              <w:rPr>
                <w:spacing w:val="-5"/>
              </w:rPr>
              <w:t>85</w:t>
            </w:r>
          </w:hyperlink>
        </w:p>
        <w:p w14:paraId="1C34E462" w14:textId="77777777" w:rsidR="004C558F" w:rsidRDefault="00461887">
          <w:pPr>
            <w:pStyle w:val="TOC1"/>
            <w:tabs>
              <w:tab w:val="right" w:leader="dot" w:pos="10310"/>
            </w:tabs>
          </w:pPr>
          <w:hyperlink w:anchor="_bookmark316" w:history="1">
            <w:r>
              <w:rPr>
                <w:spacing w:val="-2"/>
              </w:rPr>
              <w:t>Acknowledgements</w:t>
            </w:r>
            <w:r>
              <w:tab/>
            </w:r>
            <w:r>
              <w:rPr>
                <w:spacing w:val="-5"/>
              </w:rPr>
              <w:t>99</w:t>
            </w:r>
          </w:hyperlink>
        </w:p>
      </w:sdtContent>
    </w:sdt>
    <w:p w14:paraId="1C34E463" w14:textId="77777777" w:rsidR="004C558F" w:rsidRDefault="004C558F">
      <w:pPr>
        <w:sectPr w:rsidR="004C558F">
          <w:pgSz w:w="12240" w:h="15840"/>
          <w:pgMar w:top="1360" w:right="740" w:bottom="720" w:left="480" w:header="0" w:footer="521" w:gutter="0"/>
          <w:cols w:space="720"/>
        </w:sectPr>
      </w:pPr>
    </w:p>
    <w:p w14:paraId="1C34E464" w14:textId="6A56CAEE" w:rsidR="004C558F" w:rsidRDefault="00461887">
      <w:pPr>
        <w:pStyle w:val="Heading1"/>
      </w:pPr>
      <w:bookmarkStart w:id="2" w:name="Introduction"/>
      <w:bookmarkEnd w:id="2"/>
      <w:r>
        <w:rPr>
          <w:color w:val="084875"/>
          <w:spacing w:val="-2"/>
        </w:rPr>
        <w:lastRenderedPageBreak/>
        <w:t>INTRODUCTION</w:t>
      </w:r>
    </w:p>
    <w:p w14:paraId="1C34E465" w14:textId="3AA767BF" w:rsidR="004C558F" w:rsidRDefault="004C558F">
      <w:pPr>
        <w:pStyle w:val="BodyText"/>
        <w:spacing w:before="60"/>
        <w:rPr>
          <w:rFonts w:ascii="Franklin Gothic Demi"/>
          <w:b/>
          <w:sz w:val="32"/>
        </w:rPr>
      </w:pPr>
    </w:p>
    <w:p w14:paraId="1C34E466" w14:textId="79D2C465" w:rsidR="004C558F" w:rsidRDefault="00461887">
      <w:pPr>
        <w:pStyle w:val="BodyText"/>
        <w:spacing w:line="276" w:lineRule="auto"/>
        <w:ind w:left="959" w:right="702" w:firstLine="720"/>
      </w:pPr>
      <w:bookmarkStart w:id="3" w:name="_bookmark0"/>
      <w:bookmarkEnd w:id="3"/>
      <w:r>
        <w:t>Health care provider market changes, including consolidation and alignments between providers under new care delivery and payment models, can impact health care market functioning and</w:t>
      </w:r>
      <w:r>
        <w:rPr>
          <w:spacing w:val="-4"/>
        </w:rPr>
        <w:t xml:space="preserve"> </w:t>
      </w:r>
      <w:r>
        <w:t>the</w:t>
      </w:r>
      <w:r>
        <w:rPr>
          <w:spacing w:val="-2"/>
        </w:rPr>
        <w:t xml:space="preserve"> </w:t>
      </w:r>
      <w:r>
        <w:t>performance</w:t>
      </w:r>
      <w:r>
        <w:rPr>
          <w:spacing w:val="-2"/>
        </w:rPr>
        <w:t xml:space="preserve"> </w:t>
      </w:r>
      <w:r>
        <w:t>of</w:t>
      </w:r>
      <w:r>
        <w:rPr>
          <w:spacing w:val="-1"/>
        </w:rPr>
        <w:t xml:space="preserve"> </w:t>
      </w:r>
      <w:r>
        <w:t>the</w:t>
      </w:r>
      <w:r>
        <w:rPr>
          <w:spacing w:val="-2"/>
        </w:rPr>
        <w:t xml:space="preserve"> </w:t>
      </w:r>
      <w:r>
        <w:t>health</w:t>
      </w:r>
      <w:r>
        <w:rPr>
          <w:spacing w:val="-2"/>
        </w:rPr>
        <w:t xml:space="preserve"> </w:t>
      </w:r>
      <w:r>
        <w:t>care</w:t>
      </w:r>
      <w:r>
        <w:rPr>
          <w:spacing w:val="-2"/>
        </w:rPr>
        <w:t xml:space="preserve"> </w:t>
      </w:r>
      <w:r>
        <w:t>system</w:t>
      </w:r>
      <w:r>
        <w:rPr>
          <w:spacing w:val="-2"/>
        </w:rPr>
        <w:t xml:space="preserve"> </w:t>
      </w:r>
      <w:r>
        <w:t>in</w:t>
      </w:r>
      <w:r>
        <w:rPr>
          <w:spacing w:val="-2"/>
        </w:rPr>
        <w:t xml:space="preserve"> </w:t>
      </w:r>
      <w:r>
        <w:t>delivering</w:t>
      </w:r>
      <w:r>
        <w:rPr>
          <w:spacing w:val="-3"/>
        </w:rPr>
        <w:t xml:space="preserve"> </w:t>
      </w:r>
      <w:r>
        <w:t>high-quality,</w:t>
      </w:r>
      <w:r>
        <w:rPr>
          <w:spacing w:val="-2"/>
        </w:rPr>
        <w:t xml:space="preserve"> </w:t>
      </w:r>
      <w:r>
        <w:t>cost-effective</w:t>
      </w:r>
      <w:r>
        <w:rPr>
          <w:spacing w:val="-2"/>
        </w:rPr>
        <w:t xml:space="preserve"> </w:t>
      </w:r>
      <w:r>
        <w:t>care.</w:t>
      </w:r>
      <w:r>
        <w:rPr>
          <w:spacing w:val="-5"/>
        </w:rPr>
        <w:t xml:space="preserve"> </w:t>
      </w:r>
      <w:r>
        <w:t>Yet,</w:t>
      </w:r>
      <w:r>
        <w:rPr>
          <w:spacing w:val="-5"/>
        </w:rPr>
        <w:t xml:space="preserve"> </w:t>
      </w:r>
      <w:r>
        <w:t>due to confidential payer-provider contracts and limited information about provider organizations, the mechanisms by which market changes impact the cost, quality, and availability of health care services have not historically been apparent to government, consumers, and businesses which ultimately bear the costs of the health care system. Recognizing the importance and lack of transparency surrounding health care provider market changes, one of the Health Policy Commission’s (HPC) core responsibilities is to monitor and publicly report on the evolving structure and composition of the provider market using the best available evidence.</w:t>
      </w:r>
    </w:p>
    <w:p w14:paraId="1C34E467" w14:textId="77777777" w:rsidR="004C558F" w:rsidRDefault="004C558F">
      <w:pPr>
        <w:pStyle w:val="BodyText"/>
        <w:spacing w:before="34"/>
      </w:pPr>
    </w:p>
    <w:p w14:paraId="1C34E468" w14:textId="5D0B1E22" w:rsidR="004C558F" w:rsidRDefault="00461887">
      <w:pPr>
        <w:pStyle w:val="BodyText"/>
        <w:spacing w:line="276" w:lineRule="auto"/>
        <w:ind w:left="959" w:right="752" w:firstLine="720"/>
      </w:pPr>
      <w:r>
        <w:t>Through</w:t>
      </w:r>
      <w:r>
        <w:rPr>
          <w:spacing w:val="-2"/>
        </w:rPr>
        <w:t xml:space="preserve"> </w:t>
      </w:r>
      <w:r>
        <w:t>the</w:t>
      </w:r>
      <w:r>
        <w:rPr>
          <w:spacing w:val="-2"/>
        </w:rPr>
        <w:t xml:space="preserve"> </w:t>
      </w:r>
      <w:r>
        <w:t>filing</w:t>
      </w:r>
      <w:r>
        <w:rPr>
          <w:spacing w:val="-5"/>
        </w:rPr>
        <w:t xml:space="preserve"> </w:t>
      </w:r>
      <w:r>
        <w:t>of</w:t>
      </w:r>
      <w:r>
        <w:rPr>
          <w:spacing w:val="-4"/>
        </w:rPr>
        <w:t xml:space="preserve"> </w:t>
      </w:r>
      <w:r>
        <w:t>notices</w:t>
      </w:r>
      <w:r>
        <w:rPr>
          <w:spacing w:val="-2"/>
        </w:rPr>
        <w:t xml:space="preserve"> </w:t>
      </w:r>
      <w:r>
        <w:t>of</w:t>
      </w:r>
      <w:r>
        <w:rPr>
          <w:spacing w:val="-1"/>
        </w:rPr>
        <w:t xml:space="preserve"> </w:t>
      </w:r>
      <w:r>
        <w:t>material</w:t>
      </w:r>
      <w:r>
        <w:rPr>
          <w:spacing w:val="-3"/>
        </w:rPr>
        <w:t xml:space="preserve"> </w:t>
      </w:r>
      <w:r>
        <w:t>change</w:t>
      </w:r>
      <w:r>
        <w:rPr>
          <w:spacing w:val="-2"/>
        </w:rPr>
        <w:t xml:space="preserve"> </w:t>
      </w:r>
      <w:r>
        <w:t>by</w:t>
      </w:r>
      <w:r>
        <w:rPr>
          <w:spacing w:val="-3"/>
        </w:rPr>
        <w:t xml:space="preserve"> </w:t>
      </w:r>
      <w:r>
        <w:t>provider</w:t>
      </w:r>
      <w:r>
        <w:rPr>
          <w:spacing w:val="-3"/>
        </w:rPr>
        <w:t xml:space="preserve"> </w:t>
      </w:r>
      <w:r>
        <w:t>organizations,</w:t>
      </w:r>
      <w:r>
        <w:rPr>
          <w:spacing w:val="-2"/>
        </w:rPr>
        <w:t xml:space="preserve"> </w:t>
      </w:r>
      <w:r>
        <w:t>the</w:t>
      </w:r>
      <w:r>
        <w:rPr>
          <w:spacing w:val="-4"/>
        </w:rPr>
        <w:t xml:space="preserve"> </w:t>
      </w:r>
      <w:r>
        <w:t>HPC</w:t>
      </w:r>
      <w:r>
        <w:rPr>
          <w:spacing w:val="-3"/>
        </w:rPr>
        <w:t xml:space="preserve"> </w:t>
      </w:r>
      <w:r>
        <w:t>tracks</w:t>
      </w:r>
      <w:r>
        <w:rPr>
          <w:spacing w:val="-2"/>
        </w:rPr>
        <w:t xml:space="preserve"> </w:t>
      </w:r>
      <w:r>
        <w:t>the frequency, type, and nature of changes in our health care market.</w:t>
      </w:r>
      <w:r>
        <w:rPr>
          <w:spacing w:val="-34"/>
        </w:rPr>
        <w:t xml:space="preserve"> </w:t>
      </w:r>
      <w:r w:rsidR="00BB6909">
        <w:rPr>
          <w:rStyle w:val="FootnoteReference"/>
          <w:spacing w:val="-34"/>
        </w:rPr>
        <w:footnoteReference w:id="1"/>
      </w:r>
      <w:r>
        <w:t xml:space="preserve">The HPC may also engage in a more comprehensive review of </w:t>
      </w:r>
      <w:proofErr w:type="gramStart"/>
      <w:r>
        <w:t>particular transactions</w:t>
      </w:r>
      <w:proofErr w:type="gramEnd"/>
      <w:r>
        <w:t xml:space="preserve"> anticipated to have a significant impact on health care costs or market functioning. The result of such “cost and market impact reviews” (CMIRs) is a public report detailing the HPC’s findings. </w:t>
      </w:r>
      <w:proofErr w:type="gramStart"/>
      <w:r>
        <w:t>In order to</w:t>
      </w:r>
      <w:proofErr w:type="gramEnd"/>
      <w:r>
        <w:t xml:space="preserve"> allow for public assessment of the findings, the transactions may not be finalized until </w:t>
      </w:r>
      <w:proofErr w:type="gramStart"/>
      <w:r>
        <w:t>the HPC</w:t>
      </w:r>
      <w:proofErr w:type="gramEnd"/>
      <w:r>
        <w:t xml:space="preserve"> issues its Final Report. Where appropriate, such reports may identify areas for further review or monitoring or be referred to other state agencies in support of their work on behalf of health care consumers. This first-in-the-nation public reporting process, which has now been replicated in states throughout the country,</w:t>
      </w:r>
      <w:r w:rsidR="00FD31D4">
        <w:rPr>
          <w:rStyle w:val="FootnoteReference"/>
        </w:rPr>
        <w:footnoteReference w:id="2"/>
      </w:r>
      <w:r>
        <w:rPr>
          <w:spacing w:val="30"/>
          <w:position w:val="5"/>
          <w:sz w:val="14"/>
        </w:rPr>
        <w:t xml:space="preserve"> </w:t>
      </w:r>
      <w:r>
        <w:t>is a unique opportunity to enhance the transparency of significant changes to our health care system and can inform and complement the many important efforts of other agencies, such as the Attorney General’s Office, the Department of Public Health,</w:t>
      </w:r>
      <w:r>
        <w:rPr>
          <w:spacing w:val="-13"/>
        </w:rPr>
        <w:t xml:space="preserve"> </w:t>
      </w:r>
      <w:r>
        <w:t>the Center for Health Information and Analysis, and the Division of Insurance, in monitoring and overseeing our health care market.</w:t>
      </w:r>
    </w:p>
    <w:p w14:paraId="1C34E469" w14:textId="77777777" w:rsidR="004C558F" w:rsidRDefault="004C558F">
      <w:pPr>
        <w:pStyle w:val="BodyText"/>
        <w:spacing w:before="40"/>
      </w:pPr>
    </w:p>
    <w:p w14:paraId="1C34E46A" w14:textId="77777777" w:rsidR="004C558F" w:rsidRDefault="00461887">
      <w:pPr>
        <w:pStyle w:val="BodyText"/>
        <w:spacing w:line="276" w:lineRule="auto"/>
        <w:ind w:left="960" w:right="713" w:firstLine="720"/>
      </w:pPr>
      <w:r>
        <w:t>The HPC conducts its work during continued dynamic change among provider organizations in Massachusetts, including recent hospital closures, ongoing consolidation, new contractual and clinical</w:t>
      </w:r>
      <w:r>
        <w:rPr>
          <w:spacing w:val="-5"/>
        </w:rPr>
        <w:t xml:space="preserve"> </w:t>
      </w:r>
      <w:r>
        <w:t>alignments,</w:t>
      </w:r>
      <w:r>
        <w:rPr>
          <w:spacing w:val="-5"/>
        </w:rPr>
        <w:t xml:space="preserve"> </w:t>
      </w:r>
      <w:r>
        <w:t>and</w:t>
      </w:r>
      <w:r>
        <w:rPr>
          <w:spacing w:val="-1"/>
        </w:rPr>
        <w:t xml:space="preserve"> </w:t>
      </w:r>
      <w:r>
        <w:t>greater</w:t>
      </w:r>
      <w:r>
        <w:rPr>
          <w:spacing w:val="-3"/>
        </w:rPr>
        <w:t xml:space="preserve"> </w:t>
      </w:r>
      <w:r>
        <w:t>direct</w:t>
      </w:r>
      <w:r>
        <w:rPr>
          <w:spacing w:val="-3"/>
        </w:rPr>
        <w:t xml:space="preserve"> </w:t>
      </w:r>
      <w:r>
        <w:t>investment</w:t>
      </w:r>
      <w:r>
        <w:rPr>
          <w:spacing w:val="-3"/>
        </w:rPr>
        <w:t xml:space="preserve"> </w:t>
      </w:r>
      <w:r>
        <w:t>by</w:t>
      </w:r>
      <w:r>
        <w:rPr>
          <w:spacing w:val="-5"/>
        </w:rPr>
        <w:t xml:space="preserve"> </w:t>
      </w:r>
      <w:r>
        <w:t>national,</w:t>
      </w:r>
      <w:r>
        <w:rPr>
          <w:spacing w:val="-2"/>
        </w:rPr>
        <w:t xml:space="preserve"> </w:t>
      </w:r>
      <w:r>
        <w:t>international,</w:t>
      </w:r>
      <w:r>
        <w:rPr>
          <w:spacing w:val="-5"/>
        </w:rPr>
        <w:t xml:space="preserve"> </w:t>
      </w:r>
      <w:r>
        <w:t>and</w:t>
      </w:r>
      <w:r>
        <w:rPr>
          <w:spacing w:val="-1"/>
        </w:rPr>
        <w:t xml:space="preserve"> </w:t>
      </w:r>
      <w:r>
        <w:t>private</w:t>
      </w:r>
      <w:r>
        <w:rPr>
          <w:spacing w:val="-2"/>
        </w:rPr>
        <w:t xml:space="preserve"> </w:t>
      </w:r>
      <w:r>
        <w:t>equity</w:t>
      </w:r>
      <w:r>
        <w:rPr>
          <w:spacing w:val="-5"/>
        </w:rPr>
        <w:t xml:space="preserve"> </w:t>
      </w:r>
      <w:r>
        <w:t>actors in the health care market.</w:t>
      </w:r>
      <w:r>
        <w:rPr>
          <w:spacing w:val="-1"/>
        </w:rPr>
        <w:t xml:space="preserve"> </w:t>
      </w:r>
      <w:r>
        <w:t>This market instability is occurring while many providers across the health care continuum are still wrestling with capacity constraints, financial volatility, unnecessary administrative burdens, and workforce recruitment and retention challenges. The economic pressures placed on many health care providers are compounded by persistent wide variation in</w:t>
      </w:r>
    </w:p>
    <w:p w14:paraId="1C34E46B" w14:textId="2FDC0CCE" w:rsidR="004C558F" w:rsidRDefault="004C558F">
      <w:pPr>
        <w:pStyle w:val="BodyText"/>
        <w:spacing w:before="12"/>
        <w:rPr>
          <w:sz w:val="20"/>
        </w:rPr>
      </w:pPr>
    </w:p>
    <w:p w14:paraId="1C34E46F" w14:textId="77777777" w:rsidR="004C558F" w:rsidRDefault="004C558F">
      <w:pPr>
        <w:rPr>
          <w:sz w:val="20"/>
        </w:rPr>
        <w:sectPr w:rsidR="004C558F">
          <w:pgSz w:w="12240" w:h="15840"/>
          <w:pgMar w:top="1720" w:right="740" w:bottom="720" w:left="480" w:header="0" w:footer="521" w:gutter="0"/>
          <w:cols w:space="720"/>
        </w:sectPr>
      </w:pPr>
      <w:bookmarkStart w:id="4" w:name="_bookmark1"/>
      <w:bookmarkStart w:id="5" w:name="_bookmark2"/>
      <w:bookmarkEnd w:id="4"/>
      <w:bookmarkEnd w:id="5"/>
    </w:p>
    <w:p w14:paraId="1C34E470" w14:textId="34AB8D46" w:rsidR="004C558F" w:rsidRDefault="00461887">
      <w:pPr>
        <w:pStyle w:val="BodyText"/>
        <w:spacing w:before="80" w:line="276" w:lineRule="auto"/>
        <w:ind w:left="960" w:right="702" w:hanging="1"/>
      </w:pPr>
      <w:r>
        <w:lastRenderedPageBreak/>
        <w:t>commercial</w:t>
      </w:r>
      <w:r>
        <w:rPr>
          <w:spacing w:val="-5"/>
        </w:rPr>
        <w:t xml:space="preserve"> </w:t>
      </w:r>
      <w:r>
        <w:t>health</w:t>
      </w:r>
      <w:r>
        <w:rPr>
          <w:spacing w:val="-2"/>
        </w:rPr>
        <w:t xml:space="preserve"> </w:t>
      </w:r>
      <w:r>
        <w:t>insurance</w:t>
      </w:r>
      <w:r>
        <w:rPr>
          <w:spacing w:val="-2"/>
        </w:rPr>
        <w:t xml:space="preserve"> </w:t>
      </w:r>
      <w:r>
        <w:t>payments,</w:t>
      </w:r>
      <w:r>
        <w:rPr>
          <w:spacing w:val="-2"/>
        </w:rPr>
        <w:t xml:space="preserve"> </w:t>
      </w:r>
      <w:r>
        <w:t>or</w:t>
      </w:r>
      <w:r>
        <w:rPr>
          <w:spacing w:val="-3"/>
        </w:rPr>
        <w:t xml:space="preserve"> </w:t>
      </w:r>
      <w:r>
        <w:t>prices,</w:t>
      </w:r>
      <w:r>
        <w:rPr>
          <w:spacing w:val="-5"/>
        </w:rPr>
        <w:t xml:space="preserve"> </w:t>
      </w:r>
      <w:r>
        <w:t>for</w:t>
      </w:r>
      <w:r>
        <w:rPr>
          <w:spacing w:val="-3"/>
        </w:rPr>
        <w:t xml:space="preserve"> </w:t>
      </w:r>
      <w:r>
        <w:t>the</w:t>
      </w:r>
      <w:r>
        <w:rPr>
          <w:spacing w:val="-2"/>
        </w:rPr>
        <w:t xml:space="preserve"> </w:t>
      </w:r>
      <w:r>
        <w:t>same</w:t>
      </w:r>
      <w:r>
        <w:rPr>
          <w:spacing w:val="-2"/>
        </w:rPr>
        <w:t xml:space="preserve"> </w:t>
      </w:r>
      <w:r>
        <w:t>types</w:t>
      </w:r>
      <w:r>
        <w:rPr>
          <w:spacing w:val="-4"/>
        </w:rPr>
        <w:t xml:space="preserve"> </w:t>
      </w:r>
      <w:r>
        <w:t>of</w:t>
      </w:r>
      <w:r>
        <w:rPr>
          <w:spacing w:val="-4"/>
        </w:rPr>
        <w:t xml:space="preserve"> </w:t>
      </w:r>
      <w:r>
        <w:t>services,</w:t>
      </w:r>
      <w:r>
        <w:rPr>
          <w:spacing w:val="-2"/>
        </w:rPr>
        <w:t xml:space="preserve"> </w:t>
      </w:r>
      <w:r>
        <w:t>without commensurate differences in value.</w:t>
      </w:r>
    </w:p>
    <w:p w14:paraId="1C34E471" w14:textId="77777777" w:rsidR="004C558F" w:rsidRDefault="004C558F">
      <w:pPr>
        <w:pStyle w:val="BodyText"/>
        <w:spacing w:before="38"/>
      </w:pPr>
    </w:p>
    <w:p w14:paraId="1C34E472" w14:textId="77777777" w:rsidR="004C558F" w:rsidRDefault="00461887">
      <w:pPr>
        <w:pStyle w:val="BodyText"/>
        <w:spacing w:line="276" w:lineRule="auto"/>
        <w:ind w:left="959" w:right="702" w:firstLine="720"/>
      </w:pPr>
      <w:r>
        <w:t>The CMIR process allows</w:t>
      </w:r>
      <w:r>
        <w:rPr>
          <w:spacing w:val="-1"/>
        </w:rPr>
        <w:t xml:space="preserve"> </w:t>
      </w:r>
      <w:r>
        <w:t xml:space="preserve">us to improve our understanding and increase the transparency of these trends, the opportunities and challenges they may pose, and their impact on short- and long- term health care spending, quality, access and equity. In addition, our reviews enable us to identify </w:t>
      </w:r>
      <w:proofErr w:type="gramStart"/>
      <w:r>
        <w:t>particular</w:t>
      </w:r>
      <w:r>
        <w:rPr>
          <w:spacing w:val="-5"/>
        </w:rPr>
        <w:t xml:space="preserve"> </w:t>
      </w:r>
      <w:r>
        <w:t>factors</w:t>
      </w:r>
      <w:proofErr w:type="gramEnd"/>
      <w:r>
        <w:rPr>
          <w:spacing w:val="-2"/>
        </w:rPr>
        <w:t xml:space="preserve"> </w:t>
      </w:r>
      <w:r>
        <w:t>for</w:t>
      </w:r>
      <w:r>
        <w:rPr>
          <w:spacing w:val="-3"/>
        </w:rPr>
        <w:t xml:space="preserve"> </w:t>
      </w:r>
      <w:r>
        <w:t>market</w:t>
      </w:r>
      <w:r>
        <w:rPr>
          <w:spacing w:val="-3"/>
        </w:rPr>
        <w:t xml:space="preserve"> </w:t>
      </w:r>
      <w:r>
        <w:t>participants</w:t>
      </w:r>
      <w:r>
        <w:rPr>
          <w:spacing w:val="-2"/>
        </w:rPr>
        <w:t xml:space="preserve"> </w:t>
      </w:r>
      <w:r>
        <w:t>to</w:t>
      </w:r>
      <w:r>
        <w:rPr>
          <w:spacing w:val="-2"/>
        </w:rPr>
        <w:t xml:space="preserve"> </w:t>
      </w:r>
      <w:r>
        <w:t>consider</w:t>
      </w:r>
      <w:r>
        <w:rPr>
          <w:spacing w:val="-5"/>
        </w:rPr>
        <w:t xml:space="preserve"> </w:t>
      </w:r>
      <w:r>
        <w:t>in</w:t>
      </w:r>
      <w:r>
        <w:rPr>
          <w:spacing w:val="-2"/>
        </w:rPr>
        <w:t xml:space="preserve"> </w:t>
      </w:r>
      <w:r>
        <w:t>proposing</w:t>
      </w:r>
      <w:r>
        <w:rPr>
          <w:spacing w:val="-3"/>
        </w:rPr>
        <w:t xml:space="preserve"> </w:t>
      </w:r>
      <w:r>
        <w:t>and</w:t>
      </w:r>
      <w:r>
        <w:rPr>
          <w:spacing w:val="-1"/>
        </w:rPr>
        <w:t xml:space="preserve"> </w:t>
      </w:r>
      <w:r>
        <w:t>responding</w:t>
      </w:r>
      <w:r>
        <w:rPr>
          <w:spacing w:val="-3"/>
        </w:rPr>
        <w:t xml:space="preserve"> </w:t>
      </w:r>
      <w:r>
        <w:t>to</w:t>
      </w:r>
      <w:r>
        <w:rPr>
          <w:spacing w:val="-2"/>
        </w:rPr>
        <w:t xml:space="preserve"> </w:t>
      </w:r>
      <w:r>
        <w:t>potential</w:t>
      </w:r>
      <w:r>
        <w:rPr>
          <w:spacing w:val="-3"/>
        </w:rPr>
        <w:t xml:space="preserve"> </w:t>
      </w:r>
      <w:r>
        <w:t>future organizational changes. Through this process, we seek to encourage providers and payers alike to evaluate and take steps to minimize negative impacts and enhance positive outcomes of any given material change.</w:t>
      </w:r>
    </w:p>
    <w:p w14:paraId="1C34E473" w14:textId="77777777" w:rsidR="004C558F" w:rsidRDefault="004C558F">
      <w:pPr>
        <w:pStyle w:val="BodyText"/>
        <w:spacing w:before="36"/>
      </w:pPr>
    </w:p>
    <w:p w14:paraId="1C34E474" w14:textId="77777777" w:rsidR="004C558F" w:rsidRDefault="00461887">
      <w:pPr>
        <w:pStyle w:val="BodyText"/>
        <w:spacing w:line="276" w:lineRule="auto"/>
        <w:ind w:left="959" w:right="702" w:firstLine="720"/>
      </w:pPr>
      <w:r>
        <w:t>This document is the Preliminary Report on the HPC’s tenth CMIR, examining the proposed clinical affiliation between Dana-Farber Cancer Institute, Beth Israel Lahey Health, Beth Israel Deaconess Medical Center, and Harvard Medical Faculty Physicians at BIDMC and the related construction of a freestanding, adult inpatient cancer facility. Based on criteria articulated in Massachusetts’ health care cost containment legislation, Chapter 224 of the Acts of 2012, and informed by the facts of the transaction, we analyzed the likely impact of this transaction, relying on the</w:t>
      </w:r>
      <w:r>
        <w:rPr>
          <w:spacing w:val="-2"/>
        </w:rPr>
        <w:t xml:space="preserve"> </w:t>
      </w:r>
      <w:r>
        <w:t>best</w:t>
      </w:r>
      <w:r>
        <w:rPr>
          <w:spacing w:val="-5"/>
        </w:rPr>
        <w:t xml:space="preserve"> </w:t>
      </w:r>
      <w:r>
        <w:t>available</w:t>
      </w:r>
      <w:r>
        <w:rPr>
          <w:spacing w:val="-4"/>
        </w:rPr>
        <w:t xml:space="preserve"> </w:t>
      </w:r>
      <w:r>
        <w:t>data</w:t>
      </w:r>
      <w:r>
        <w:rPr>
          <w:spacing w:val="-1"/>
        </w:rPr>
        <w:t xml:space="preserve"> </w:t>
      </w:r>
      <w:r>
        <w:t>and</w:t>
      </w:r>
      <w:r>
        <w:rPr>
          <w:spacing w:val="-1"/>
        </w:rPr>
        <w:t xml:space="preserve"> </w:t>
      </w:r>
      <w:r>
        <w:t>information.</w:t>
      </w:r>
      <w:r>
        <w:rPr>
          <w:spacing w:val="-2"/>
        </w:rPr>
        <w:t xml:space="preserve"> </w:t>
      </w:r>
      <w:r>
        <w:t>Our</w:t>
      </w:r>
      <w:r>
        <w:rPr>
          <w:spacing w:val="-3"/>
        </w:rPr>
        <w:t xml:space="preserve"> </w:t>
      </w:r>
      <w:r>
        <w:t>work</w:t>
      </w:r>
      <w:r>
        <w:rPr>
          <w:spacing w:val="-3"/>
        </w:rPr>
        <w:t xml:space="preserve"> </w:t>
      </w:r>
      <w:r>
        <w:t>included</w:t>
      </w:r>
      <w:r>
        <w:rPr>
          <w:spacing w:val="-1"/>
        </w:rPr>
        <w:t xml:space="preserve"> </w:t>
      </w:r>
      <w:proofErr w:type="gramStart"/>
      <w:r>
        <w:t>review</w:t>
      </w:r>
      <w:proofErr w:type="gramEnd"/>
      <w:r>
        <w:rPr>
          <w:spacing w:val="-5"/>
        </w:rPr>
        <w:t xml:space="preserve"> </w:t>
      </w:r>
      <w:r>
        <w:t>of</w:t>
      </w:r>
      <w:r>
        <w:rPr>
          <w:spacing w:val="-1"/>
        </w:rPr>
        <w:t xml:space="preserve"> </w:t>
      </w:r>
      <w:r>
        <w:t>the</w:t>
      </w:r>
      <w:r>
        <w:rPr>
          <w:spacing w:val="-2"/>
        </w:rPr>
        <w:t xml:space="preserve"> </w:t>
      </w:r>
      <w:r>
        <w:t>parties’</w:t>
      </w:r>
      <w:r>
        <w:rPr>
          <w:spacing w:val="-2"/>
        </w:rPr>
        <w:t xml:space="preserve"> </w:t>
      </w:r>
      <w:r>
        <w:t>stated</w:t>
      </w:r>
      <w:r>
        <w:rPr>
          <w:spacing w:val="-4"/>
        </w:rPr>
        <w:t xml:space="preserve"> </w:t>
      </w:r>
      <w:r>
        <w:t>goals</w:t>
      </w:r>
      <w:r>
        <w:rPr>
          <w:spacing w:val="-2"/>
        </w:rPr>
        <w:t xml:space="preserve"> </w:t>
      </w:r>
      <w:r>
        <w:t>for</w:t>
      </w:r>
      <w:r>
        <w:rPr>
          <w:spacing w:val="-3"/>
        </w:rPr>
        <w:t xml:space="preserve"> </w:t>
      </w:r>
      <w:r>
        <w:t>the transaction and the information they provided in support of how and when it would result in efficiencies and care delivery improvements.</w:t>
      </w:r>
    </w:p>
    <w:p w14:paraId="1C34E475" w14:textId="77777777" w:rsidR="004C558F" w:rsidRDefault="004C558F">
      <w:pPr>
        <w:pStyle w:val="BodyText"/>
        <w:spacing w:before="36"/>
      </w:pPr>
    </w:p>
    <w:p w14:paraId="1C34E476" w14:textId="77777777" w:rsidR="004C558F" w:rsidRDefault="00461887">
      <w:pPr>
        <w:pStyle w:val="BodyText"/>
        <w:spacing w:line="273" w:lineRule="auto"/>
        <w:ind w:left="959" w:right="799" w:firstLine="720"/>
      </w:pPr>
      <w:r>
        <w:t>Following</w:t>
      </w:r>
      <w:r>
        <w:rPr>
          <w:spacing w:val="-5"/>
        </w:rPr>
        <w:t xml:space="preserve"> </w:t>
      </w:r>
      <w:r>
        <w:t>an</w:t>
      </w:r>
      <w:r>
        <w:rPr>
          <w:spacing w:val="-4"/>
        </w:rPr>
        <w:t xml:space="preserve"> </w:t>
      </w:r>
      <w:r>
        <w:t>opportunity</w:t>
      </w:r>
      <w:r>
        <w:rPr>
          <w:spacing w:val="-5"/>
        </w:rPr>
        <w:t xml:space="preserve"> </w:t>
      </w:r>
      <w:r>
        <w:t>for</w:t>
      </w:r>
      <w:r>
        <w:rPr>
          <w:spacing w:val="-3"/>
        </w:rPr>
        <w:t xml:space="preserve"> </w:t>
      </w:r>
      <w:r>
        <w:t>the</w:t>
      </w:r>
      <w:r>
        <w:rPr>
          <w:spacing w:val="-2"/>
        </w:rPr>
        <w:t xml:space="preserve"> </w:t>
      </w:r>
      <w:r>
        <w:t>parties</w:t>
      </w:r>
      <w:r>
        <w:rPr>
          <w:spacing w:val="-2"/>
        </w:rPr>
        <w:t xml:space="preserve"> </w:t>
      </w:r>
      <w:r>
        <w:t>to</w:t>
      </w:r>
      <w:r>
        <w:rPr>
          <w:spacing w:val="-2"/>
        </w:rPr>
        <w:t xml:space="preserve"> </w:t>
      </w:r>
      <w:r>
        <w:t>respond</w:t>
      </w:r>
      <w:r>
        <w:rPr>
          <w:spacing w:val="-1"/>
        </w:rPr>
        <w:t xml:space="preserve"> </w:t>
      </w:r>
      <w:r>
        <w:t>to</w:t>
      </w:r>
      <w:r>
        <w:rPr>
          <w:spacing w:val="-2"/>
        </w:rPr>
        <w:t xml:space="preserve"> </w:t>
      </w:r>
      <w:r>
        <w:t>these</w:t>
      </w:r>
      <w:r>
        <w:rPr>
          <w:spacing w:val="-2"/>
        </w:rPr>
        <w:t xml:space="preserve"> </w:t>
      </w:r>
      <w:r>
        <w:t>findings</w:t>
      </w:r>
      <w:r>
        <w:rPr>
          <w:spacing w:val="-2"/>
        </w:rPr>
        <w:t xml:space="preserve"> </w:t>
      </w:r>
      <w:r>
        <w:t>in</w:t>
      </w:r>
      <w:r>
        <w:rPr>
          <w:spacing w:val="-4"/>
        </w:rPr>
        <w:t xml:space="preserve"> </w:t>
      </w:r>
      <w:r>
        <w:t>our</w:t>
      </w:r>
      <w:r>
        <w:rPr>
          <w:spacing w:val="-3"/>
        </w:rPr>
        <w:t xml:space="preserve"> </w:t>
      </w:r>
      <w:r>
        <w:t>Preliminary Report, we look forward to publishing our Final Report.</w:t>
      </w:r>
    </w:p>
    <w:p w14:paraId="1C34E477" w14:textId="77777777" w:rsidR="004C558F" w:rsidRDefault="004C558F">
      <w:pPr>
        <w:spacing w:line="273" w:lineRule="auto"/>
        <w:sectPr w:rsidR="004C558F">
          <w:pgSz w:w="12240" w:h="15840"/>
          <w:pgMar w:top="1360" w:right="740" w:bottom="720" w:left="480" w:header="0" w:footer="521" w:gutter="0"/>
          <w:cols w:space="720"/>
        </w:sectPr>
      </w:pPr>
    </w:p>
    <w:p w14:paraId="1C34E478" w14:textId="77777777" w:rsidR="004C558F" w:rsidRDefault="00461887">
      <w:pPr>
        <w:pStyle w:val="Heading1"/>
        <w:spacing w:before="82"/>
      </w:pPr>
      <w:bookmarkStart w:id="6" w:name="Acronyms_and_Abbreviations"/>
      <w:bookmarkStart w:id="7" w:name="_bookmark3"/>
      <w:bookmarkEnd w:id="6"/>
      <w:bookmarkEnd w:id="7"/>
      <w:r>
        <w:rPr>
          <w:color w:val="084875"/>
        </w:rPr>
        <w:lastRenderedPageBreak/>
        <w:t>ACRONYMS</w:t>
      </w:r>
      <w:r>
        <w:rPr>
          <w:color w:val="084875"/>
          <w:spacing w:val="-13"/>
        </w:rPr>
        <w:t xml:space="preserve"> </w:t>
      </w:r>
      <w:r>
        <w:rPr>
          <w:color w:val="084875"/>
        </w:rPr>
        <w:t>AND</w:t>
      </w:r>
      <w:r>
        <w:rPr>
          <w:color w:val="084875"/>
          <w:spacing w:val="-9"/>
        </w:rPr>
        <w:t xml:space="preserve"> </w:t>
      </w:r>
      <w:r>
        <w:rPr>
          <w:color w:val="084875"/>
          <w:spacing w:val="-2"/>
        </w:rPr>
        <w:t>ABBREVIATIONS</w:t>
      </w:r>
    </w:p>
    <w:p w14:paraId="1C34E479" w14:textId="77777777" w:rsidR="004C558F" w:rsidRDefault="004C558F">
      <w:pPr>
        <w:pStyle w:val="BodyText"/>
        <w:spacing w:before="192"/>
        <w:rPr>
          <w:rFonts w:ascii="Franklin Gothic Demi"/>
          <w:b/>
          <w:sz w:val="20"/>
        </w:rPr>
      </w:pPr>
    </w:p>
    <w:tbl>
      <w:tblPr>
        <w:tblW w:w="0" w:type="auto"/>
        <w:tblInd w:w="1975" w:type="dxa"/>
        <w:tblLayout w:type="fixed"/>
        <w:tblCellMar>
          <w:left w:w="0" w:type="dxa"/>
          <w:right w:w="0" w:type="dxa"/>
        </w:tblCellMar>
        <w:tblLook w:val="01E0" w:firstRow="1" w:lastRow="1" w:firstColumn="1" w:lastColumn="1" w:noHBand="0" w:noVBand="0"/>
      </w:tblPr>
      <w:tblGrid>
        <w:gridCol w:w="1003"/>
        <w:gridCol w:w="5554"/>
      </w:tblGrid>
      <w:tr w:rsidR="004C558F" w14:paraId="1C34E47C" w14:textId="77777777" w:rsidTr="00592C50">
        <w:trPr>
          <w:cantSplit/>
          <w:trHeight w:val="269"/>
        </w:trPr>
        <w:tc>
          <w:tcPr>
            <w:tcW w:w="1003" w:type="dxa"/>
          </w:tcPr>
          <w:p w14:paraId="1C34E47A" w14:textId="77777777" w:rsidR="004C558F" w:rsidRDefault="00461887">
            <w:pPr>
              <w:pStyle w:val="TableParagraph"/>
              <w:spacing w:before="0" w:line="248" w:lineRule="exact"/>
              <w:ind w:right="106"/>
            </w:pPr>
            <w:r>
              <w:rPr>
                <w:spacing w:val="-5"/>
              </w:rPr>
              <w:t>ACO</w:t>
            </w:r>
          </w:p>
        </w:tc>
        <w:tc>
          <w:tcPr>
            <w:tcW w:w="5554" w:type="dxa"/>
          </w:tcPr>
          <w:p w14:paraId="1C34E47B" w14:textId="77777777" w:rsidR="004C558F" w:rsidRDefault="00461887">
            <w:pPr>
              <w:pStyle w:val="TableParagraph"/>
              <w:spacing w:before="0" w:line="248" w:lineRule="exact"/>
              <w:ind w:left="105"/>
              <w:jc w:val="left"/>
            </w:pPr>
            <w:r>
              <w:t>Accountable</w:t>
            </w:r>
            <w:r>
              <w:rPr>
                <w:spacing w:val="-5"/>
              </w:rPr>
              <w:t xml:space="preserve"> </w:t>
            </w:r>
            <w:r>
              <w:t>Care</w:t>
            </w:r>
            <w:r>
              <w:rPr>
                <w:spacing w:val="-6"/>
              </w:rPr>
              <w:t xml:space="preserve"> </w:t>
            </w:r>
            <w:r>
              <w:rPr>
                <w:spacing w:val="-2"/>
              </w:rPr>
              <w:t>Organization</w:t>
            </w:r>
          </w:p>
        </w:tc>
      </w:tr>
      <w:tr w:rsidR="004C558F" w14:paraId="1C34E47F" w14:textId="77777777" w:rsidTr="00592C50">
        <w:trPr>
          <w:cantSplit/>
          <w:trHeight w:val="288"/>
        </w:trPr>
        <w:tc>
          <w:tcPr>
            <w:tcW w:w="1003" w:type="dxa"/>
          </w:tcPr>
          <w:p w14:paraId="1C34E47D" w14:textId="77777777" w:rsidR="004C558F" w:rsidRDefault="00461887">
            <w:pPr>
              <w:pStyle w:val="TableParagraph"/>
              <w:spacing w:before="19" w:line="248" w:lineRule="exact"/>
              <w:ind w:right="103"/>
            </w:pPr>
            <w:r>
              <w:rPr>
                <w:spacing w:val="-5"/>
              </w:rPr>
              <w:t>AGO</w:t>
            </w:r>
          </w:p>
        </w:tc>
        <w:tc>
          <w:tcPr>
            <w:tcW w:w="5554" w:type="dxa"/>
          </w:tcPr>
          <w:p w14:paraId="1C34E47E" w14:textId="77777777" w:rsidR="004C558F" w:rsidRDefault="00461887">
            <w:pPr>
              <w:pStyle w:val="TableParagraph"/>
              <w:spacing w:before="19" w:line="248" w:lineRule="exact"/>
              <w:ind w:left="105"/>
              <w:jc w:val="left"/>
            </w:pPr>
            <w:r>
              <w:t>Massachusetts</w:t>
            </w:r>
            <w:r>
              <w:rPr>
                <w:spacing w:val="-7"/>
              </w:rPr>
              <w:t xml:space="preserve"> </w:t>
            </w:r>
            <w:r>
              <w:t>Attorney</w:t>
            </w:r>
            <w:r>
              <w:rPr>
                <w:spacing w:val="-10"/>
              </w:rPr>
              <w:t xml:space="preserve"> </w:t>
            </w:r>
            <w:r>
              <w:t>General's</w:t>
            </w:r>
            <w:r>
              <w:rPr>
                <w:spacing w:val="-6"/>
              </w:rPr>
              <w:t xml:space="preserve"> </w:t>
            </w:r>
            <w:r>
              <w:rPr>
                <w:spacing w:val="-2"/>
              </w:rPr>
              <w:t>Office</w:t>
            </w:r>
          </w:p>
        </w:tc>
      </w:tr>
      <w:tr w:rsidR="004C558F" w14:paraId="1C34E482" w14:textId="77777777" w:rsidTr="00592C50">
        <w:trPr>
          <w:cantSplit/>
          <w:trHeight w:val="287"/>
        </w:trPr>
        <w:tc>
          <w:tcPr>
            <w:tcW w:w="1003" w:type="dxa"/>
          </w:tcPr>
          <w:p w14:paraId="1C34E480" w14:textId="77777777" w:rsidR="004C558F" w:rsidRDefault="00461887">
            <w:pPr>
              <w:pStyle w:val="TableParagraph"/>
              <w:spacing w:before="19" w:line="248" w:lineRule="exact"/>
              <w:ind w:right="103"/>
            </w:pPr>
            <w:r>
              <w:rPr>
                <w:spacing w:val="-5"/>
              </w:rPr>
              <w:t>AMC</w:t>
            </w:r>
          </w:p>
        </w:tc>
        <w:tc>
          <w:tcPr>
            <w:tcW w:w="5554" w:type="dxa"/>
          </w:tcPr>
          <w:p w14:paraId="1C34E481" w14:textId="77777777" w:rsidR="004C558F" w:rsidRDefault="00461887">
            <w:pPr>
              <w:pStyle w:val="TableParagraph"/>
              <w:spacing w:before="19" w:line="248" w:lineRule="exact"/>
              <w:ind w:left="105"/>
              <w:jc w:val="left"/>
            </w:pPr>
            <w:r>
              <w:t>Academic</w:t>
            </w:r>
            <w:r>
              <w:rPr>
                <w:spacing w:val="-7"/>
              </w:rPr>
              <w:t xml:space="preserve"> </w:t>
            </w:r>
            <w:r>
              <w:t>Medical</w:t>
            </w:r>
            <w:r>
              <w:rPr>
                <w:spacing w:val="-5"/>
              </w:rPr>
              <w:t xml:space="preserve"> </w:t>
            </w:r>
            <w:r>
              <w:rPr>
                <w:spacing w:val="-2"/>
              </w:rPr>
              <w:t>Center</w:t>
            </w:r>
          </w:p>
        </w:tc>
      </w:tr>
      <w:tr w:rsidR="004C558F" w14:paraId="1C34E485" w14:textId="77777777" w:rsidTr="00592C50">
        <w:trPr>
          <w:cantSplit/>
          <w:trHeight w:val="288"/>
        </w:trPr>
        <w:tc>
          <w:tcPr>
            <w:tcW w:w="1003" w:type="dxa"/>
          </w:tcPr>
          <w:p w14:paraId="1C34E483" w14:textId="77777777" w:rsidR="004C558F" w:rsidRDefault="00461887">
            <w:pPr>
              <w:pStyle w:val="TableParagraph"/>
              <w:spacing w:before="19" w:line="248" w:lineRule="exact"/>
              <w:ind w:right="109"/>
            </w:pPr>
            <w:r>
              <w:rPr>
                <w:spacing w:val="-4"/>
              </w:rPr>
              <w:t>APCD</w:t>
            </w:r>
          </w:p>
        </w:tc>
        <w:tc>
          <w:tcPr>
            <w:tcW w:w="5554" w:type="dxa"/>
          </w:tcPr>
          <w:p w14:paraId="1C34E484" w14:textId="77777777" w:rsidR="004C558F" w:rsidRDefault="00461887">
            <w:pPr>
              <w:pStyle w:val="TableParagraph"/>
              <w:spacing w:before="19" w:line="248" w:lineRule="exact"/>
              <w:ind w:left="105"/>
              <w:jc w:val="left"/>
            </w:pPr>
            <w:r>
              <w:t>All-Payer</w:t>
            </w:r>
            <w:r>
              <w:rPr>
                <w:spacing w:val="-6"/>
              </w:rPr>
              <w:t xml:space="preserve"> </w:t>
            </w:r>
            <w:r>
              <w:t>Claims</w:t>
            </w:r>
            <w:r>
              <w:rPr>
                <w:spacing w:val="-6"/>
              </w:rPr>
              <w:t xml:space="preserve"> </w:t>
            </w:r>
            <w:r>
              <w:rPr>
                <w:spacing w:val="-2"/>
              </w:rPr>
              <w:t>Database</w:t>
            </w:r>
          </w:p>
        </w:tc>
      </w:tr>
      <w:tr w:rsidR="004C558F" w14:paraId="1C34E488" w14:textId="77777777" w:rsidTr="00592C50">
        <w:trPr>
          <w:cantSplit/>
          <w:trHeight w:val="287"/>
        </w:trPr>
        <w:tc>
          <w:tcPr>
            <w:tcW w:w="1003" w:type="dxa"/>
          </w:tcPr>
          <w:p w14:paraId="1C34E486" w14:textId="77777777" w:rsidR="004C558F" w:rsidRDefault="00461887">
            <w:pPr>
              <w:pStyle w:val="TableParagraph"/>
              <w:spacing w:before="19" w:line="248" w:lineRule="exact"/>
              <w:ind w:right="105"/>
            </w:pPr>
            <w:r>
              <w:rPr>
                <w:spacing w:val="-2"/>
              </w:rPr>
              <w:t>BIPOC</w:t>
            </w:r>
          </w:p>
        </w:tc>
        <w:tc>
          <w:tcPr>
            <w:tcW w:w="5554" w:type="dxa"/>
          </w:tcPr>
          <w:p w14:paraId="1C34E487" w14:textId="77777777" w:rsidR="004C558F" w:rsidRDefault="00461887">
            <w:pPr>
              <w:pStyle w:val="TableParagraph"/>
              <w:spacing w:before="19" w:line="248" w:lineRule="exact"/>
              <w:ind w:left="105"/>
              <w:jc w:val="left"/>
            </w:pPr>
            <w:r>
              <w:t>Black,</w:t>
            </w:r>
            <w:r>
              <w:rPr>
                <w:spacing w:val="-8"/>
              </w:rPr>
              <w:t xml:space="preserve"> </w:t>
            </w:r>
            <w:r>
              <w:t>Indigenous,</w:t>
            </w:r>
            <w:r>
              <w:rPr>
                <w:spacing w:val="-7"/>
              </w:rPr>
              <w:t xml:space="preserve"> </w:t>
            </w:r>
            <w:r>
              <w:t>and</w:t>
            </w:r>
            <w:r>
              <w:rPr>
                <w:spacing w:val="-3"/>
              </w:rPr>
              <w:t xml:space="preserve"> </w:t>
            </w:r>
            <w:r>
              <w:t>People</w:t>
            </w:r>
            <w:r>
              <w:rPr>
                <w:spacing w:val="-4"/>
              </w:rPr>
              <w:t xml:space="preserve"> </w:t>
            </w:r>
            <w:r>
              <w:t>of</w:t>
            </w:r>
            <w:r>
              <w:rPr>
                <w:spacing w:val="-3"/>
              </w:rPr>
              <w:t xml:space="preserve"> </w:t>
            </w:r>
            <w:r>
              <w:rPr>
                <w:spacing w:val="-4"/>
              </w:rPr>
              <w:t>Color</w:t>
            </w:r>
          </w:p>
        </w:tc>
      </w:tr>
      <w:tr w:rsidR="004C558F" w14:paraId="1C34E48B" w14:textId="77777777" w:rsidTr="00592C50">
        <w:trPr>
          <w:cantSplit/>
          <w:trHeight w:val="287"/>
        </w:trPr>
        <w:tc>
          <w:tcPr>
            <w:tcW w:w="1003" w:type="dxa"/>
          </w:tcPr>
          <w:p w14:paraId="1C34E489" w14:textId="77777777" w:rsidR="004C558F" w:rsidRDefault="00461887">
            <w:pPr>
              <w:pStyle w:val="TableParagraph"/>
              <w:spacing w:before="19" w:line="248" w:lineRule="exact"/>
              <w:ind w:right="105"/>
            </w:pPr>
            <w:r>
              <w:rPr>
                <w:spacing w:val="-4"/>
              </w:rPr>
              <w:t>CHIA</w:t>
            </w:r>
          </w:p>
        </w:tc>
        <w:tc>
          <w:tcPr>
            <w:tcW w:w="5554" w:type="dxa"/>
          </w:tcPr>
          <w:p w14:paraId="1C34E48A" w14:textId="77777777" w:rsidR="004C558F" w:rsidRDefault="00461887">
            <w:pPr>
              <w:pStyle w:val="TableParagraph"/>
              <w:spacing w:before="19" w:line="248" w:lineRule="exact"/>
              <w:ind w:left="105"/>
              <w:jc w:val="left"/>
            </w:pPr>
            <w:r>
              <w:t>Massachusetts</w:t>
            </w:r>
            <w:r>
              <w:rPr>
                <w:spacing w:val="-5"/>
              </w:rPr>
              <w:t xml:space="preserve"> </w:t>
            </w:r>
            <w:r>
              <w:t>Center</w:t>
            </w:r>
            <w:r>
              <w:rPr>
                <w:spacing w:val="-7"/>
              </w:rPr>
              <w:t xml:space="preserve"> </w:t>
            </w:r>
            <w:r>
              <w:t>for</w:t>
            </w:r>
            <w:r>
              <w:rPr>
                <w:spacing w:val="-7"/>
              </w:rPr>
              <w:t xml:space="preserve"> </w:t>
            </w:r>
            <w:r>
              <w:t>Health</w:t>
            </w:r>
            <w:r>
              <w:rPr>
                <w:spacing w:val="-5"/>
              </w:rPr>
              <w:t xml:space="preserve"> </w:t>
            </w:r>
            <w:r>
              <w:t>Information</w:t>
            </w:r>
            <w:r>
              <w:rPr>
                <w:spacing w:val="-4"/>
              </w:rPr>
              <w:t xml:space="preserve"> </w:t>
            </w:r>
            <w:r>
              <w:t>and</w:t>
            </w:r>
            <w:r>
              <w:rPr>
                <w:spacing w:val="-3"/>
              </w:rPr>
              <w:t xml:space="preserve"> </w:t>
            </w:r>
            <w:r>
              <w:rPr>
                <w:spacing w:val="-2"/>
              </w:rPr>
              <w:t>Analysis</w:t>
            </w:r>
          </w:p>
        </w:tc>
      </w:tr>
      <w:tr w:rsidR="004C558F" w14:paraId="1C34E48E" w14:textId="77777777" w:rsidTr="00592C50">
        <w:trPr>
          <w:cantSplit/>
          <w:trHeight w:val="288"/>
        </w:trPr>
        <w:tc>
          <w:tcPr>
            <w:tcW w:w="1003" w:type="dxa"/>
          </w:tcPr>
          <w:p w14:paraId="1C34E48C" w14:textId="77777777" w:rsidR="004C558F" w:rsidRDefault="00461887">
            <w:pPr>
              <w:pStyle w:val="TableParagraph"/>
              <w:spacing w:before="19" w:line="248" w:lineRule="exact"/>
              <w:ind w:right="103"/>
            </w:pPr>
            <w:r>
              <w:rPr>
                <w:spacing w:val="-4"/>
              </w:rPr>
              <w:t>CHNA</w:t>
            </w:r>
          </w:p>
        </w:tc>
        <w:tc>
          <w:tcPr>
            <w:tcW w:w="5554" w:type="dxa"/>
          </w:tcPr>
          <w:p w14:paraId="1C34E48D" w14:textId="77777777" w:rsidR="004C558F" w:rsidRDefault="00461887">
            <w:pPr>
              <w:pStyle w:val="TableParagraph"/>
              <w:spacing w:before="19" w:line="248" w:lineRule="exact"/>
              <w:ind w:left="105"/>
              <w:jc w:val="left"/>
            </w:pPr>
            <w:r>
              <w:t>Community</w:t>
            </w:r>
            <w:r>
              <w:rPr>
                <w:spacing w:val="-7"/>
              </w:rPr>
              <w:t xml:space="preserve"> </w:t>
            </w:r>
            <w:r>
              <w:t>Health</w:t>
            </w:r>
            <w:r>
              <w:rPr>
                <w:spacing w:val="-4"/>
              </w:rPr>
              <w:t xml:space="preserve"> </w:t>
            </w:r>
            <w:r>
              <w:t>Needs</w:t>
            </w:r>
            <w:r>
              <w:rPr>
                <w:spacing w:val="-7"/>
              </w:rPr>
              <w:t xml:space="preserve"> </w:t>
            </w:r>
            <w:r>
              <w:rPr>
                <w:spacing w:val="-2"/>
              </w:rPr>
              <w:t>Assessment</w:t>
            </w:r>
          </w:p>
        </w:tc>
      </w:tr>
      <w:tr w:rsidR="004C558F" w14:paraId="1C34E491" w14:textId="77777777" w:rsidTr="00592C50">
        <w:trPr>
          <w:cantSplit/>
          <w:trHeight w:val="287"/>
        </w:trPr>
        <w:tc>
          <w:tcPr>
            <w:tcW w:w="1003" w:type="dxa"/>
          </w:tcPr>
          <w:p w14:paraId="1C34E48F" w14:textId="77777777" w:rsidR="004C558F" w:rsidRDefault="00461887">
            <w:pPr>
              <w:pStyle w:val="TableParagraph"/>
              <w:spacing w:before="19" w:line="248" w:lineRule="exact"/>
              <w:ind w:right="102"/>
            </w:pPr>
            <w:r>
              <w:rPr>
                <w:spacing w:val="-4"/>
              </w:rPr>
              <w:t>CMIR</w:t>
            </w:r>
          </w:p>
        </w:tc>
        <w:tc>
          <w:tcPr>
            <w:tcW w:w="5554" w:type="dxa"/>
          </w:tcPr>
          <w:p w14:paraId="1C34E490" w14:textId="77777777" w:rsidR="004C558F" w:rsidRDefault="00461887">
            <w:pPr>
              <w:pStyle w:val="TableParagraph"/>
              <w:spacing w:before="19" w:line="248" w:lineRule="exact"/>
              <w:ind w:left="105"/>
              <w:jc w:val="left"/>
            </w:pPr>
            <w:r>
              <w:t>Cost</w:t>
            </w:r>
            <w:r>
              <w:rPr>
                <w:spacing w:val="-4"/>
              </w:rPr>
              <w:t xml:space="preserve"> </w:t>
            </w:r>
            <w:r>
              <w:t>and</w:t>
            </w:r>
            <w:r>
              <w:rPr>
                <w:spacing w:val="-4"/>
              </w:rPr>
              <w:t xml:space="preserve"> </w:t>
            </w:r>
            <w:r>
              <w:t>Market</w:t>
            </w:r>
            <w:r>
              <w:rPr>
                <w:spacing w:val="-4"/>
              </w:rPr>
              <w:t xml:space="preserve"> </w:t>
            </w:r>
            <w:r>
              <w:t>Impact</w:t>
            </w:r>
            <w:r>
              <w:rPr>
                <w:spacing w:val="-3"/>
              </w:rPr>
              <w:t xml:space="preserve"> </w:t>
            </w:r>
            <w:r>
              <w:rPr>
                <w:spacing w:val="-2"/>
              </w:rPr>
              <w:t>Review</w:t>
            </w:r>
          </w:p>
        </w:tc>
      </w:tr>
      <w:tr w:rsidR="004C558F" w14:paraId="1C34E494" w14:textId="77777777" w:rsidTr="00592C50">
        <w:trPr>
          <w:cantSplit/>
          <w:trHeight w:val="288"/>
        </w:trPr>
        <w:tc>
          <w:tcPr>
            <w:tcW w:w="1003" w:type="dxa"/>
          </w:tcPr>
          <w:p w14:paraId="1C34E492" w14:textId="77777777" w:rsidR="004C558F" w:rsidRDefault="00461887">
            <w:pPr>
              <w:pStyle w:val="TableParagraph"/>
              <w:spacing w:before="19" w:line="248" w:lineRule="exact"/>
              <w:ind w:right="105"/>
            </w:pPr>
            <w:r>
              <w:rPr>
                <w:spacing w:val="-5"/>
              </w:rPr>
              <w:t>CMS</w:t>
            </w:r>
          </w:p>
        </w:tc>
        <w:tc>
          <w:tcPr>
            <w:tcW w:w="5554" w:type="dxa"/>
          </w:tcPr>
          <w:p w14:paraId="1C34E493" w14:textId="77777777" w:rsidR="004C558F" w:rsidRDefault="00461887">
            <w:pPr>
              <w:pStyle w:val="TableParagraph"/>
              <w:spacing w:before="19" w:line="248" w:lineRule="exact"/>
              <w:ind w:left="105"/>
              <w:jc w:val="left"/>
            </w:pPr>
            <w:r>
              <w:t>Centers</w:t>
            </w:r>
            <w:r>
              <w:rPr>
                <w:spacing w:val="-4"/>
              </w:rPr>
              <w:t xml:space="preserve"> </w:t>
            </w:r>
            <w:r>
              <w:t>for</w:t>
            </w:r>
            <w:r>
              <w:rPr>
                <w:spacing w:val="-5"/>
              </w:rPr>
              <w:t xml:space="preserve"> </w:t>
            </w:r>
            <w:r>
              <w:t>Medicare</w:t>
            </w:r>
            <w:r>
              <w:rPr>
                <w:spacing w:val="-5"/>
              </w:rPr>
              <w:t xml:space="preserve"> </w:t>
            </w:r>
            <w:r>
              <w:t>and</w:t>
            </w:r>
            <w:r>
              <w:rPr>
                <w:spacing w:val="-6"/>
              </w:rPr>
              <w:t xml:space="preserve"> </w:t>
            </w:r>
            <w:r>
              <w:t>Medicaid</w:t>
            </w:r>
            <w:r>
              <w:rPr>
                <w:spacing w:val="-2"/>
              </w:rPr>
              <w:t xml:space="preserve"> Services</w:t>
            </w:r>
          </w:p>
        </w:tc>
      </w:tr>
      <w:tr w:rsidR="004C558F" w14:paraId="1C34E497" w14:textId="77777777" w:rsidTr="00592C50">
        <w:trPr>
          <w:cantSplit/>
          <w:trHeight w:val="287"/>
        </w:trPr>
        <w:tc>
          <w:tcPr>
            <w:tcW w:w="1003" w:type="dxa"/>
          </w:tcPr>
          <w:p w14:paraId="1C34E495" w14:textId="77777777" w:rsidR="004C558F" w:rsidRDefault="00461887">
            <w:pPr>
              <w:pStyle w:val="TableParagraph"/>
              <w:spacing w:before="19" w:line="248" w:lineRule="exact"/>
              <w:ind w:right="108"/>
            </w:pPr>
            <w:r>
              <w:rPr>
                <w:spacing w:val="-5"/>
              </w:rPr>
              <w:t>CPT</w:t>
            </w:r>
          </w:p>
        </w:tc>
        <w:tc>
          <w:tcPr>
            <w:tcW w:w="5554" w:type="dxa"/>
          </w:tcPr>
          <w:p w14:paraId="1C34E496" w14:textId="77777777" w:rsidR="004C558F" w:rsidRDefault="00461887">
            <w:pPr>
              <w:pStyle w:val="TableParagraph"/>
              <w:spacing w:before="19" w:line="248" w:lineRule="exact"/>
              <w:ind w:left="105"/>
              <w:jc w:val="left"/>
            </w:pPr>
            <w:r>
              <w:t>Current</w:t>
            </w:r>
            <w:r>
              <w:rPr>
                <w:spacing w:val="-6"/>
              </w:rPr>
              <w:t xml:space="preserve"> </w:t>
            </w:r>
            <w:r>
              <w:t>Procedural</w:t>
            </w:r>
            <w:r>
              <w:rPr>
                <w:spacing w:val="-7"/>
              </w:rPr>
              <w:t xml:space="preserve"> </w:t>
            </w:r>
            <w:r>
              <w:rPr>
                <w:spacing w:val="-2"/>
              </w:rPr>
              <w:t>Terminology</w:t>
            </w:r>
          </w:p>
        </w:tc>
      </w:tr>
      <w:tr w:rsidR="004C558F" w14:paraId="1C34E49A" w14:textId="77777777" w:rsidTr="00592C50">
        <w:trPr>
          <w:cantSplit/>
          <w:trHeight w:val="287"/>
        </w:trPr>
        <w:tc>
          <w:tcPr>
            <w:tcW w:w="1003" w:type="dxa"/>
          </w:tcPr>
          <w:p w14:paraId="1C34E498" w14:textId="77777777" w:rsidR="004C558F" w:rsidRDefault="00461887">
            <w:pPr>
              <w:pStyle w:val="TableParagraph"/>
              <w:spacing w:before="19" w:line="248" w:lineRule="exact"/>
              <w:ind w:right="114"/>
            </w:pPr>
            <w:r>
              <w:rPr>
                <w:spacing w:val="-5"/>
              </w:rPr>
              <w:t>DOJ</w:t>
            </w:r>
          </w:p>
        </w:tc>
        <w:tc>
          <w:tcPr>
            <w:tcW w:w="5554" w:type="dxa"/>
          </w:tcPr>
          <w:p w14:paraId="1C34E499" w14:textId="77777777" w:rsidR="004C558F" w:rsidRDefault="00461887">
            <w:pPr>
              <w:pStyle w:val="TableParagraph"/>
              <w:spacing w:before="19" w:line="248" w:lineRule="exact"/>
              <w:ind w:left="148"/>
              <w:jc w:val="left"/>
            </w:pPr>
            <w:r>
              <w:t>Department</w:t>
            </w:r>
            <w:r>
              <w:rPr>
                <w:spacing w:val="-4"/>
              </w:rPr>
              <w:t xml:space="preserve"> </w:t>
            </w:r>
            <w:r>
              <w:t>of</w:t>
            </w:r>
            <w:r>
              <w:rPr>
                <w:spacing w:val="-2"/>
              </w:rPr>
              <w:t xml:space="preserve"> Justice</w:t>
            </w:r>
          </w:p>
        </w:tc>
      </w:tr>
      <w:tr w:rsidR="004C558F" w14:paraId="1C34E49D" w14:textId="77777777" w:rsidTr="00592C50">
        <w:trPr>
          <w:cantSplit/>
          <w:trHeight w:val="288"/>
        </w:trPr>
        <w:tc>
          <w:tcPr>
            <w:tcW w:w="1003" w:type="dxa"/>
          </w:tcPr>
          <w:p w14:paraId="1C34E49B" w14:textId="77777777" w:rsidR="004C558F" w:rsidRDefault="00461887">
            <w:pPr>
              <w:pStyle w:val="TableParagraph"/>
              <w:spacing w:before="19" w:line="248" w:lineRule="exact"/>
              <w:ind w:right="119"/>
            </w:pPr>
            <w:proofErr w:type="spellStart"/>
            <w:r>
              <w:rPr>
                <w:spacing w:val="-5"/>
              </w:rPr>
              <w:t>DoN</w:t>
            </w:r>
            <w:proofErr w:type="spellEnd"/>
          </w:p>
        </w:tc>
        <w:tc>
          <w:tcPr>
            <w:tcW w:w="5554" w:type="dxa"/>
          </w:tcPr>
          <w:p w14:paraId="1C34E49C" w14:textId="77777777" w:rsidR="004C558F" w:rsidRDefault="00461887">
            <w:pPr>
              <w:pStyle w:val="TableParagraph"/>
              <w:spacing w:before="19" w:line="248" w:lineRule="exact"/>
              <w:ind w:left="148"/>
              <w:jc w:val="left"/>
            </w:pPr>
            <w:r>
              <w:t>Determination</w:t>
            </w:r>
            <w:r>
              <w:rPr>
                <w:spacing w:val="-6"/>
              </w:rPr>
              <w:t xml:space="preserve"> </w:t>
            </w:r>
            <w:r>
              <w:t>of</w:t>
            </w:r>
            <w:r>
              <w:rPr>
                <w:spacing w:val="-5"/>
              </w:rPr>
              <w:t xml:space="preserve"> </w:t>
            </w:r>
            <w:r>
              <w:rPr>
                <w:spacing w:val="-4"/>
              </w:rPr>
              <w:t>Need</w:t>
            </w:r>
          </w:p>
        </w:tc>
      </w:tr>
      <w:tr w:rsidR="004C558F" w14:paraId="1C34E4A0" w14:textId="77777777" w:rsidTr="00592C50">
        <w:trPr>
          <w:cantSplit/>
          <w:trHeight w:val="287"/>
        </w:trPr>
        <w:tc>
          <w:tcPr>
            <w:tcW w:w="1003" w:type="dxa"/>
          </w:tcPr>
          <w:p w14:paraId="1C34E49E" w14:textId="77777777" w:rsidR="004C558F" w:rsidRDefault="00461887">
            <w:pPr>
              <w:pStyle w:val="TableParagraph"/>
              <w:spacing w:before="19" w:line="248" w:lineRule="exact"/>
              <w:ind w:right="104"/>
            </w:pPr>
            <w:r>
              <w:rPr>
                <w:spacing w:val="-5"/>
              </w:rPr>
              <w:t>DPH</w:t>
            </w:r>
          </w:p>
        </w:tc>
        <w:tc>
          <w:tcPr>
            <w:tcW w:w="5554" w:type="dxa"/>
          </w:tcPr>
          <w:p w14:paraId="1C34E49F" w14:textId="77777777" w:rsidR="004C558F" w:rsidRDefault="00461887">
            <w:pPr>
              <w:pStyle w:val="TableParagraph"/>
              <w:spacing w:before="19" w:line="248" w:lineRule="exact"/>
              <w:ind w:left="105"/>
              <w:jc w:val="left"/>
            </w:pPr>
            <w:r>
              <w:t>Massachusetts</w:t>
            </w:r>
            <w:r>
              <w:rPr>
                <w:spacing w:val="-7"/>
              </w:rPr>
              <w:t xml:space="preserve"> </w:t>
            </w:r>
            <w:r>
              <w:t>Department</w:t>
            </w:r>
            <w:r>
              <w:rPr>
                <w:spacing w:val="-7"/>
              </w:rPr>
              <w:t xml:space="preserve"> </w:t>
            </w:r>
            <w:r>
              <w:t>of</w:t>
            </w:r>
            <w:r>
              <w:rPr>
                <w:spacing w:val="-6"/>
              </w:rPr>
              <w:t xml:space="preserve"> </w:t>
            </w:r>
            <w:r>
              <w:t>Public</w:t>
            </w:r>
            <w:r>
              <w:rPr>
                <w:spacing w:val="-6"/>
              </w:rPr>
              <w:t xml:space="preserve"> </w:t>
            </w:r>
            <w:r>
              <w:rPr>
                <w:spacing w:val="-2"/>
              </w:rPr>
              <w:t>Health</w:t>
            </w:r>
          </w:p>
        </w:tc>
      </w:tr>
      <w:tr w:rsidR="004C558F" w14:paraId="1C34E4A3" w14:textId="77777777" w:rsidTr="00592C50">
        <w:trPr>
          <w:cantSplit/>
          <w:trHeight w:val="288"/>
        </w:trPr>
        <w:tc>
          <w:tcPr>
            <w:tcW w:w="1003" w:type="dxa"/>
          </w:tcPr>
          <w:p w14:paraId="1C34E4A1" w14:textId="77777777" w:rsidR="004C558F" w:rsidRDefault="00461887">
            <w:pPr>
              <w:pStyle w:val="TableParagraph"/>
              <w:spacing w:before="19" w:line="248" w:lineRule="exact"/>
              <w:ind w:right="105"/>
            </w:pPr>
            <w:r>
              <w:rPr>
                <w:spacing w:val="-5"/>
              </w:rPr>
              <w:t>DRG</w:t>
            </w:r>
          </w:p>
        </w:tc>
        <w:tc>
          <w:tcPr>
            <w:tcW w:w="5554" w:type="dxa"/>
          </w:tcPr>
          <w:p w14:paraId="1C34E4A2" w14:textId="77777777" w:rsidR="004C558F" w:rsidRDefault="00461887">
            <w:pPr>
              <w:pStyle w:val="TableParagraph"/>
              <w:spacing w:before="19" w:line="248" w:lineRule="exact"/>
              <w:ind w:left="105"/>
              <w:jc w:val="left"/>
            </w:pPr>
            <w:r>
              <w:t>Diagnosis</w:t>
            </w:r>
            <w:r>
              <w:rPr>
                <w:spacing w:val="-7"/>
              </w:rPr>
              <w:t xml:space="preserve"> </w:t>
            </w:r>
            <w:r>
              <w:t>Related</w:t>
            </w:r>
            <w:r>
              <w:rPr>
                <w:spacing w:val="-8"/>
              </w:rPr>
              <w:t xml:space="preserve"> </w:t>
            </w:r>
            <w:r>
              <w:rPr>
                <w:spacing w:val="-4"/>
              </w:rPr>
              <w:t>Group</w:t>
            </w:r>
          </w:p>
        </w:tc>
      </w:tr>
      <w:tr w:rsidR="004C558F" w14:paraId="1C34E4A6" w14:textId="77777777" w:rsidTr="00592C50">
        <w:trPr>
          <w:cantSplit/>
          <w:trHeight w:val="287"/>
        </w:trPr>
        <w:tc>
          <w:tcPr>
            <w:tcW w:w="1003" w:type="dxa"/>
          </w:tcPr>
          <w:p w14:paraId="1C34E4A4" w14:textId="77777777" w:rsidR="004C558F" w:rsidRDefault="00461887">
            <w:pPr>
              <w:pStyle w:val="TableParagraph"/>
              <w:spacing w:before="19" w:line="248" w:lineRule="exact"/>
              <w:ind w:right="107"/>
            </w:pPr>
            <w:r>
              <w:rPr>
                <w:spacing w:val="-5"/>
              </w:rPr>
              <w:t>ED</w:t>
            </w:r>
          </w:p>
        </w:tc>
        <w:tc>
          <w:tcPr>
            <w:tcW w:w="5554" w:type="dxa"/>
          </w:tcPr>
          <w:p w14:paraId="1C34E4A5" w14:textId="77777777" w:rsidR="004C558F" w:rsidRDefault="00461887">
            <w:pPr>
              <w:pStyle w:val="TableParagraph"/>
              <w:spacing w:before="19" w:line="248" w:lineRule="exact"/>
              <w:ind w:left="105"/>
              <w:jc w:val="left"/>
            </w:pPr>
            <w:r>
              <w:t>Emergency</w:t>
            </w:r>
            <w:r>
              <w:rPr>
                <w:spacing w:val="-6"/>
              </w:rPr>
              <w:t xml:space="preserve"> </w:t>
            </w:r>
            <w:r>
              <w:rPr>
                <w:spacing w:val="-2"/>
              </w:rPr>
              <w:t>Department</w:t>
            </w:r>
          </w:p>
        </w:tc>
      </w:tr>
      <w:tr w:rsidR="004C558F" w14:paraId="1C34E4A9" w14:textId="77777777" w:rsidTr="00592C50">
        <w:trPr>
          <w:cantSplit/>
          <w:trHeight w:val="287"/>
        </w:trPr>
        <w:tc>
          <w:tcPr>
            <w:tcW w:w="1003" w:type="dxa"/>
          </w:tcPr>
          <w:p w14:paraId="1C34E4A7" w14:textId="77777777" w:rsidR="004C558F" w:rsidRDefault="00461887">
            <w:pPr>
              <w:pStyle w:val="TableParagraph"/>
              <w:spacing w:before="19" w:line="248" w:lineRule="exact"/>
              <w:ind w:right="105"/>
            </w:pPr>
            <w:r>
              <w:rPr>
                <w:spacing w:val="-5"/>
              </w:rPr>
              <w:t>EHR</w:t>
            </w:r>
          </w:p>
        </w:tc>
        <w:tc>
          <w:tcPr>
            <w:tcW w:w="5554" w:type="dxa"/>
          </w:tcPr>
          <w:p w14:paraId="1C34E4A8" w14:textId="77777777" w:rsidR="004C558F" w:rsidRDefault="00461887">
            <w:pPr>
              <w:pStyle w:val="TableParagraph"/>
              <w:spacing w:before="19" w:line="248" w:lineRule="exact"/>
              <w:ind w:left="105"/>
              <w:jc w:val="left"/>
            </w:pPr>
            <w:r>
              <w:t>Electronic</w:t>
            </w:r>
            <w:r>
              <w:rPr>
                <w:spacing w:val="-6"/>
              </w:rPr>
              <w:t xml:space="preserve"> </w:t>
            </w:r>
            <w:r>
              <w:t>Health</w:t>
            </w:r>
            <w:r>
              <w:rPr>
                <w:spacing w:val="-5"/>
              </w:rPr>
              <w:t xml:space="preserve"> </w:t>
            </w:r>
            <w:r>
              <w:rPr>
                <w:spacing w:val="-2"/>
              </w:rPr>
              <w:t>Record</w:t>
            </w:r>
          </w:p>
        </w:tc>
      </w:tr>
      <w:tr w:rsidR="004C558F" w14:paraId="1C34E4AC" w14:textId="77777777" w:rsidTr="00592C50">
        <w:trPr>
          <w:cantSplit/>
          <w:trHeight w:val="288"/>
        </w:trPr>
        <w:tc>
          <w:tcPr>
            <w:tcW w:w="1003" w:type="dxa"/>
          </w:tcPr>
          <w:p w14:paraId="1C34E4AA" w14:textId="77777777" w:rsidR="004C558F" w:rsidRDefault="00461887">
            <w:pPr>
              <w:pStyle w:val="TableParagraph"/>
              <w:spacing w:before="19" w:line="248" w:lineRule="exact"/>
              <w:ind w:right="103"/>
            </w:pPr>
            <w:r>
              <w:rPr>
                <w:spacing w:val="-5"/>
              </w:rPr>
              <w:t>FTC</w:t>
            </w:r>
          </w:p>
        </w:tc>
        <w:tc>
          <w:tcPr>
            <w:tcW w:w="5554" w:type="dxa"/>
          </w:tcPr>
          <w:p w14:paraId="1C34E4AB" w14:textId="77777777" w:rsidR="004C558F" w:rsidRDefault="00461887">
            <w:pPr>
              <w:pStyle w:val="TableParagraph"/>
              <w:spacing w:before="19" w:line="248" w:lineRule="exact"/>
              <w:ind w:left="105"/>
              <w:jc w:val="left"/>
            </w:pPr>
            <w:r>
              <w:t>Federal</w:t>
            </w:r>
            <w:r>
              <w:rPr>
                <w:spacing w:val="-6"/>
              </w:rPr>
              <w:t xml:space="preserve"> </w:t>
            </w:r>
            <w:r>
              <w:t>Trade</w:t>
            </w:r>
            <w:r>
              <w:rPr>
                <w:spacing w:val="-4"/>
              </w:rPr>
              <w:t xml:space="preserve"> </w:t>
            </w:r>
            <w:r>
              <w:rPr>
                <w:spacing w:val="-2"/>
              </w:rPr>
              <w:t>Commission</w:t>
            </w:r>
          </w:p>
        </w:tc>
      </w:tr>
      <w:tr w:rsidR="004C558F" w14:paraId="1C34E4AF" w14:textId="77777777" w:rsidTr="00592C50">
        <w:trPr>
          <w:cantSplit/>
          <w:trHeight w:val="287"/>
        </w:trPr>
        <w:tc>
          <w:tcPr>
            <w:tcW w:w="1003" w:type="dxa"/>
          </w:tcPr>
          <w:p w14:paraId="1C34E4AD" w14:textId="77777777" w:rsidR="004C558F" w:rsidRDefault="00461887">
            <w:pPr>
              <w:pStyle w:val="TableParagraph"/>
              <w:spacing w:before="19" w:line="248" w:lineRule="exact"/>
              <w:ind w:right="105"/>
            </w:pPr>
            <w:r>
              <w:rPr>
                <w:spacing w:val="-4"/>
              </w:rPr>
              <w:t>GPSR</w:t>
            </w:r>
          </w:p>
        </w:tc>
        <w:tc>
          <w:tcPr>
            <w:tcW w:w="5554" w:type="dxa"/>
          </w:tcPr>
          <w:p w14:paraId="1C34E4AE" w14:textId="77777777" w:rsidR="004C558F" w:rsidRDefault="00461887">
            <w:pPr>
              <w:pStyle w:val="TableParagraph"/>
              <w:spacing w:before="19" w:line="248" w:lineRule="exact"/>
              <w:ind w:left="105"/>
              <w:jc w:val="left"/>
            </w:pPr>
            <w:r>
              <w:t>Gross</w:t>
            </w:r>
            <w:r>
              <w:rPr>
                <w:spacing w:val="-5"/>
              </w:rPr>
              <w:t xml:space="preserve"> </w:t>
            </w:r>
            <w:r>
              <w:t>Patient</w:t>
            </w:r>
            <w:r>
              <w:rPr>
                <w:spacing w:val="-5"/>
              </w:rPr>
              <w:t xml:space="preserve"> </w:t>
            </w:r>
            <w:r>
              <w:t>Service</w:t>
            </w:r>
            <w:r>
              <w:rPr>
                <w:spacing w:val="-4"/>
              </w:rPr>
              <w:t xml:space="preserve"> </w:t>
            </w:r>
            <w:r>
              <w:rPr>
                <w:spacing w:val="-2"/>
              </w:rPr>
              <w:t>Revenue</w:t>
            </w:r>
          </w:p>
        </w:tc>
      </w:tr>
      <w:tr w:rsidR="004C558F" w14:paraId="1C34E4B2" w14:textId="77777777" w:rsidTr="00592C50">
        <w:trPr>
          <w:cantSplit/>
          <w:trHeight w:val="288"/>
        </w:trPr>
        <w:tc>
          <w:tcPr>
            <w:tcW w:w="1003" w:type="dxa"/>
          </w:tcPr>
          <w:p w14:paraId="1C34E4B0" w14:textId="77777777" w:rsidR="004C558F" w:rsidRDefault="00461887">
            <w:pPr>
              <w:pStyle w:val="TableParagraph"/>
              <w:spacing w:before="19" w:line="248" w:lineRule="exact"/>
              <w:ind w:right="106"/>
            </w:pPr>
            <w:r>
              <w:rPr>
                <w:spacing w:val="-5"/>
              </w:rPr>
              <w:t>HHI</w:t>
            </w:r>
          </w:p>
        </w:tc>
        <w:tc>
          <w:tcPr>
            <w:tcW w:w="5554" w:type="dxa"/>
          </w:tcPr>
          <w:p w14:paraId="1C34E4B1" w14:textId="77777777" w:rsidR="004C558F" w:rsidRDefault="00461887">
            <w:pPr>
              <w:pStyle w:val="TableParagraph"/>
              <w:spacing w:before="19" w:line="248" w:lineRule="exact"/>
              <w:ind w:left="105"/>
              <w:jc w:val="left"/>
            </w:pPr>
            <w:r>
              <w:rPr>
                <w:spacing w:val="-2"/>
              </w:rPr>
              <w:t>Herfindahl-Hirschman</w:t>
            </w:r>
            <w:r>
              <w:rPr>
                <w:spacing w:val="24"/>
              </w:rPr>
              <w:t xml:space="preserve"> </w:t>
            </w:r>
            <w:r>
              <w:rPr>
                <w:spacing w:val="-2"/>
              </w:rPr>
              <w:t>Index</w:t>
            </w:r>
          </w:p>
        </w:tc>
      </w:tr>
      <w:tr w:rsidR="004C558F" w14:paraId="1C34E4B5" w14:textId="77777777" w:rsidTr="00592C50">
        <w:trPr>
          <w:cantSplit/>
          <w:trHeight w:val="287"/>
        </w:trPr>
        <w:tc>
          <w:tcPr>
            <w:tcW w:w="1003" w:type="dxa"/>
          </w:tcPr>
          <w:p w14:paraId="1C34E4B3" w14:textId="77777777" w:rsidR="004C558F" w:rsidRDefault="00461887">
            <w:pPr>
              <w:pStyle w:val="TableParagraph"/>
              <w:spacing w:before="19" w:line="248" w:lineRule="exact"/>
              <w:ind w:right="106"/>
            </w:pPr>
            <w:r>
              <w:rPr>
                <w:spacing w:val="-5"/>
              </w:rPr>
              <w:t>HPC</w:t>
            </w:r>
          </w:p>
        </w:tc>
        <w:tc>
          <w:tcPr>
            <w:tcW w:w="5554" w:type="dxa"/>
          </w:tcPr>
          <w:p w14:paraId="1C34E4B4" w14:textId="77777777" w:rsidR="004C558F" w:rsidRDefault="00461887">
            <w:pPr>
              <w:pStyle w:val="TableParagraph"/>
              <w:spacing w:before="19" w:line="248" w:lineRule="exact"/>
              <w:ind w:left="105"/>
              <w:jc w:val="left"/>
            </w:pPr>
            <w:r>
              <w:t>Health</w:t>
            </w:r>
            <w:r>
              <w:rPr>
                <w:spacing w:val="-4"/>
              </w:rPr>
              <w:t xml:space="preserve"> </w:t>
            </w:r>
            <w:r>
              <w:t>Policy</w:t>
            </w:r>
            <w:r>
              <w:rPr>
                <w:spacing w:val="-6"/>
              </w:rPr>
              <w:t xml:space="preserve"> </w:t>
            </w:r>
            <w:r>
              <w:rPr>
                <w:spacing w:val="-2"/>
              </w:rPr>
              <w:t>Commission</w:t>
            </w:r>
          </w:p>
        </w:tc>
      </w:tr>
      <w:tr w:rsidR="004C558F" w14:paraId="1C34E4B8" w14:textId="77777777" w:rsidTr="00592C50">
        <w:trPr>
          <w:cantSplit/>
          <w:trHeight w:val="287"/>
        </w:trPr>
        <w:tc>
          <w:tcPr>
            <w:tcW w:w="1003" w:type="dxa"/>
          </w:tcPr>
          <w:p w14:paraId="1C34E4B6" w14:textId="77777777" w:rsidR="004C558F" w:rsidRDefault="00461887">
            <w:pPr>
              <w:pStyle w:val="TableParagraph"/>
              <w:spacing w:before="19" w:line="248" w:lineRule="exact"/>
              <w:ind w:right="102"/>
            </w:pPr>
            <w:r>
              <w:t>HSA</w:t>
            </w:r>
            <w:r>
              <w:rPr>
                <w:spacing w:val="-5"/>
              </w:rPr>
              <w:t xml:space="preserve"> TME</w:t>
            </w:r>
          </w:p>
        </w:tc>
        <w:tc>
          <w:tcPr>
            <w:tcW w:w="5554" w:type="dxa"/>
          </w:tcPr>
          <w:p w14:paraId="1C34E4B7" w14:textId="77777777" w:rsidR="004C558F" w:rsidRDefault="00461887">
            <w:pPr>
              <w:pStyle w:val="TableParagraph"/>
              <w:spacing w:before="19" w:line="248" w:lineRule="exact"/>
              <w:ind w:left="105"/>
              <w:jc w:val="left"/>
            </w:pPr>
            <w:r>
              <w:t>Health</w:t>
            </w:r>
            <w:r>
              <w:rPr>
                <w:spacing w:val="-6"/>
              </w:rPr>
              <w:t xml:space="preserve"> </w:t>
            </w:r>
            <w:r>
              <w:t>Status</w:t>
            </w:r>
            <w:r>
              <w:rPr>
                <w:spacing w:val="-5"/>
              </w:rPr>
              <w:t xml:space="preserve"> </w:t>
            </w:r>
            <w:r>
              <w:t>Adjusted</w:t>
            </w:r>
            <w:r>
              <w:rPr>
                <w:spacing w:val="-7"/>
              </w:rPr>
              <w:t xml:space="preserve"> </w:t>
            </w:r>
            <w:r>
              <w:t>Total</w:t>
            </w:r>
            <w:r>
              <w:rPr>
                <w:spacing w:val="-6"/>
              </w:rPr>
              <w:t xml:space="preserve"> </w:t>
            </w:r>
            <w:r>
              <w:t>Medical</w:t>
            </w:r>
            <w:r>
              <w:rPr>
                <w:spacing w:val="-5"/>
              </w:rPr>
              <w:t xml:space="preserve"> </w:t>
            </w:r>
            <w:r>
              <w:rPr>
                <w:spacing w:val="-2"/>
              </w:rPr>
              <w:t>Expenses</w:t>
            </w:r>
          </w:p>
        </w:tc>
      </w:tr>
      <w:tr w:rsidR="004C558F" w14:paraId="1C34E4BB" w14:textId="77777777" w:rsidTr="00592C50">
        <w:trPr>
          <w:cantSplit/>
          <w:trHeight w:val="288"/>
        </w:trPr>
        <w:tc>
          <w:tcPr>
            <w:tcW w:w="1003" w:type="dxa"/>
          </w:tcPr>
          <w:p w14:paraId="1C34E4B9" w14:textId="77777777" w:rsidR="004C558F" w:rsidRDefault="00461887">
            <w:pPr>
              <w:pStyle w:val="TableParagraph"/>
              <w:spacing w:before="19" w:line="248" w:lineRule="exact"/>
              <w:ind w:right="106"/>
            </w:pPr>
            <w:r>
              <w:rPr>
                <w:spacing w:val="-5"/>
              </w:rPr>
              <w:t>IQI</w:t>
            </w:r>
          </w:p>
        </w:tc>
        <w:tc>
          <w:tcPr>
            <w:tcW w:w="5554" w:type="dxa"/>
          </w:tcPr>
          <w:p w14:paraId="1C34E4BA" w14:textId="77777777" w:rsidR="004C558F" w:rsidRDefault="00461887">
            <w:pPr>
              <w:pStyle w:val="TableParagraph"/>
              <w:spacing w:before="19" w:line="248" w:lineRule="exact"/>
              <w:ind w:left="105"/>
              <w:jc w:val="left"/>
            </w:pPr>
            <w:r>
              <w:t>Inpatient</w:t>
            </w:r>
            <w:r>
              <w:rPr>
                <w:spacing w:val="-6"/>
              </w:rPr>
              <w:t xml:space="preserve"> </w:t>
            </w:r>
            <w:r>
              <w:t>Quality</w:t>
            </w:r>
            <w:r>
              <w:rPr>
                <w:spacing w:val="-5"/>
              </w:rPr>
              <w:t xml:space="preserve"> </w:t>
            </w:r>
            <w:r>
              <w:rPr>
                <w:spacing w:val="-2"/>
              </w:rPr>
              <w:t>Indicator</w:t>
            </w:r>
          </w:p>
        </w:tc>
      </w:tr>
      <w:tr w:rsidR="004C558F" w14:paraId="1C34E4BE" w14:textId="77777777" w:rsidTr="00592C50">
        <w:trPr>
          <w:cantSplit/>
          <w:trHeight w:val="287"/>
        </w:trPr>
        <w:tc>
          <w:tcPr>
            <w:tcW w:w="1003" w:type="dxa"/>
          </w:tcPr>
          <w:p w14:paraId="1C34E4BC" w14:textId="77777777" w:rsidR="004C558F" w:rsidRDefault="00461887">
            <w:pPr>
              <w:pStyle w:val="TableParagraph"/>
              <w:spacing w:before="19" w:line="248" w:lineRule="exact"/>
              <w:ind w:right="105"/>
            </w:pPr>
            <w:r>
              <w:rPr>
                <w:spacing w:val="-4"/>
              </w:rPr>
              <w:t>NPSR</w:t>
            </w:r>
          </w:p>
        </w:tc>
        <w:tc>
          <w:tcPr>
            <w:tcW w:w="5554" w:type="dxa"/>
          </w:tcPr>
          <w:p w14:paraId="1C34E4BD" w14:textId="77777777" w:rsidR="004C558F" w:rsidRDefault="00461887">
            <w:pPr>
              <w:pStyle w:val="TableParagraph"/>
              <w:spacing w:before="19" w:line="248" w:lineRule="exact"/>
              <w:ind w:left="105"/>
              <w:jc w:val="left"/>
            </w:pPr>
            <w:r>
              <w:t>Net</w:t>
            </w:r>
            <w:r>
              <w:rPr>
                <w:spacing w:val="-5"/>
              </w:rPr>
              <w:t xml:space="preserve"> </w:t>
            </w:r>
            <w:r>
              <w:t>Patient</w:t>
            </w:r>
            <w:r>
              <w:rPr>
                <w:spacing w:val="-4"/>
              </w:rPr>
              <w:t xml:space="preserve"> </w:t>
            </w:r>
            <w:r>
              <w:t>Service</w:t>
            </w:r>
            <w:r>
              <w:rPr>
                <w:spacing w:val="-3"/>
              </w:rPr>
              <w:t xml:space="preserve"> </w:t>
            </w:r>
            <w:r>
              <w:rPr>
                <w:spacing w:val="-2"/>
              </w:rPr>
              <w:t>Revenue</w:t>
            </w:r>
          </w:p>
        </w:tc>
      </w:tr>
      <w:tr w:rsidR="004C558F" w14:paraId="1C34E4C1" w14:textId="77777777" w:rsidTr="00592C50">
        <w:trPr>
          <w:cantSplit/>
          <w:trHeight w:val="288"/>
        </w:trPr>
        <w:tc>
          <w:tcPr>
            <w:tcW w:w="1003" w:type="dxa"/>
          </w:tcPr>
          <w:p w14:paraId="1C34E4BF" w14:textId="77777777" w:rsidR="004C558F" w:rsidRDefault="00461887">
            <w:pPr>
              <w:pStyle w:val="TableParagraph"/>
              <w:spacing w:before="19" w:line="248" w:lineRule="exact"/>
              <w:ind w:right="107"/>
            </w:pPr>
            <w:r>
              <w:rPr>
                <w:spacing w:val="-5"/>
              </w:rPr>
              <w:t>PCP</w:t>
            </w:r>
          </w:p>
        </w:tc>
        <w:tc>
          <w:tcPr>
            <w:tcW w:w="5554" w:type="dxa"/>
          </w:tcPr>
          <w:p w14:paraId="1C34E4C0" w14:textId="77777777" w:rsidR="004C558F" w:rsidRDefault="00461887">
            <w:pPr>
              <w:pStyle w:val="TableParagraph"/>
              <w:spacing w:before="19" w:line="248" w:lineRule="exact"/>
              <w:ind w:left="105"/>
              <w:jc w:val="left"/>
            </w:pPr>
            <w:r>
              <w:t>Primary</w:t>
            </w:r>
            <w:r>
              <w:rPr>
                <w:spacing w:val="-5"/>
              </w:rPr>
              <w:t xml:space="preserve"> </w:t>
            </w:r>
            <w:r>
              <w:t>Care</w:t>
            </w:r>
            <w:r>
              <w:rPr>
                <w:spacing w:val="-3"/>
              </w:rPr>
              <w:t xml:space="preserve"> </w:t>
            </w:r>
            <w:r>
              <w:rPr>
                <w:spacing w:val="-2"/>
              </w:rPr>
              <w:t>Physician</w:t>
            </w:r>
          </w:p>
        </w:tc>
      </w:tr>
      <w:tr w:rsidR="004C558F" w14:paraId="1C34E4C4" w14:textId="77777777" w:rsidTr="00592C50">
        <w:trPr>
          <w:cantSplit/>
          <w:trHeight w:val="287"/>
        </w:trPr>
        <w:tc>
          <w:tcPr>
            <w:tcW w:w="1003" w:type="dxa"/>
          </w:tcPr>
          <w:p w14:paraId="1C34E4C2" w14:textId="77777777" w:rsidR="004C558F" w:rsidRDefault="00461887">
            <w:pPr>
              <w:pStyle w:val="TableParagraph"/>
              <w:spacing w:before="19" w:line="248" w:lineRule="exact"/>
              <w:ind w:right="107"/>
            </w:pPr>
            <w:r>
              <w:rPr>
                <w:spacing w:val="-5"/>
              </w:rPr>
              <w:t>PPO</w:t>
            </w:r>
          </w:p>
        </w:tc>
        <w:tc>
          <w:tcPr>
            <w:tcW w:w="5554" w:type="dxa"/>
          </w:tcPr>
          <w:p w14:paraId="1C34E4C3" w14:textId="77777777" w:rsidR="004C558F" w:rsidRDefault="00461887">
            <w:pPr>
              <w:pStyle w:val="TableParagraph"/>
              <w:spacing w:before="19" w:line="248" w:lineRule="exact"/>
              <w:ind w:left="105"/>
              <w:jc w:val="left"/>
            </w:pPr>
            <w:r>
              <w:t>Preferred</w:t>
            </w:r>
            <w:r>
              <w:rPr>
                <w:spacing w:val="-5"/>
              </w:rPr>
              <w:t xml:space="preserve"> </w:t>
            </w:r>
            <w:r>
              <w:t>Provider</w:t>
            </w:r>
            <w:r>
              <w:rPr>
                <w:spacing w:val="-6"/>
              </w:rPr>
              <w:t xml:space="preserve"> </w:t>
            </w:r>
            <w:r>
              <w:rPr>
                <w:spacing w:val="-2"/>
              </w:rPr>
              <w:t>Organization</w:t>
            </w:r>
          </w:p>
        </w:tc>
      </w:tr>
      <w:tr w:rsidR="004C558F" w14:paraId="1C34E4C7" w14:textId="77777777" w:rsidTr="00592C50">
        <w:trPr>
          <w:cantSplit/>
          <w:trHeight w:val="287"/>
        </w:trPr>
        <w:tc>
          <w:tcPr>
            <w:tcW w:w="1003" w:type="dxa"/>
          </w:tcPr>
          <w:p w14:paraId="1C34E4C5" w14:textId="77777777" w:rsidR="004C558F" w:rsidRDefault="00461887">
            <w:pPr>
              <w:pStyle w:val="TableParagraph"/>
              <w:spacing w:before="19" w:line="248" w:lineRule="exact"/>
              <w:ind w:right="109"/>
            </w:pPr>
            <w:r>
              <w:rPr>
                <w:spacing w:val="-5"/>
              </w:rPr>
              <w:t>PPS</w:t>
            </w:r>
          </w:p>
        </w:tc>
        <w:tc>
          <w:tcPr>
            <w:tcW w:w="5554" w:type="dxa"/>
          </w:tcPr>
          <w:p w14:paraId="1C34E4C6" w14:textId="77777777" w:rsidR="004C558F" w:rsidRDefault="00461887">
            <w:pPr>
              <w:pStyle w:val="TableParagraph"/>
              <w:spacing w:before="19" w:line="248" w:lineRule="exact"/>
              <w:ind w:left="105"/>
              <w:jc w:val="left"/>
            </w:pPr>
            <w:r>
              <w:t>Prospective</w:t>
            </w:r>
            <w:r>
              <w:rPr>
                <w:spacing w:val="-9"/>
              </w:rPr>
              <w:t xml:space="preserve"> </w:t>
            </w:r>
            <w:r>
              <w:t>Payment</w:t>
            </w:r>
            <w:r>
              <w:rPr>
                <w:spacing w:val="-7"/>
              </w:rPr>
              <w:t xml:space="preserve"> </w:t>
            </w:r>
            <w:r>
              <w:rPr>
                <w:spacing w:val="-2"/>
              </w:rPr>
              <w:t>System</w:t>
            </w:r>
          </w:p>
        </w:tc>
      </w:tr>
      <w:tr w:rsidR="004C558F" w14:paraId="1C34E4CA" w14:textId="77777777" w:rsidTr="00592C50">
        <w:trPr>
          <w:cantSplit/>
          <w:trHeight w:val="288"/>
        </w:trPr>
        <w:tc>
          <w:tcPr>
            <w:tcW w:w="1003" w:type="dxa"/>
          </w:tcPr>
          <w:p w14:paraId="1C34E4C8" w14:textId="77777777" w:rsidR="004C558F" w:rsidRDefault="00461887">
            <w:pPr>
              <w:pStyle w:val="TableParagraph"/>
              <w:spacing w:before="19" w:line="248" w:lineRule="exact"/>
              <w:ind w:right="108"/>
            </w:pPr>
            <w:r>
              <w:rPr>
                <w:spacing w:val="-5"/>
              </w:rPr>
              <w:t>PSA</w:t>
            </w:r>
          </w:p>
        </w:tc>
        <w:tc>
          <w:tcPr>
            <w:tcW w:w="5554" w:type="dxa"/>
          </w:tcPr>
          <w:p w14:paraId="1C34E4C9" w14:textId="77777777" w:rsidR="004C558F" w:rsidRDefault="00461887">
            <w:pPr>
              <w:pStyle w:val="TableParagraph"/>
              <w:spacing w:before="19" w:line="248" w:lineRule="exact"/>
              <w:ind w:left="105"/>
              <w:jc w:val="left"/>
            </w:pPr>
            <w:r>
              <w:t>Primary</w:t>
            </w:r>
            <w:r>
              <w:rPr>
                <w:spacing w:val="-6"/>
              </w:rPr>
              <w:t xml:space="preserve"> </w:t>
            </w:r>
            <w:r>
              <w:t>Service</w:t>
            </w:r>
            <w:r>
              <w:rPr>
                <w:spacing w:val="-5"/>
              </w:rPr>
              <w:t xml:space="preserve"> </w:t>
            </w:r>
            <w:r>
              <w:rPr>
                <w:spacing w:val="-4"/>
              </w:rPr>
              <w:t>Area</w:t>
            </w:r>
          </w:p>
        </w:tc>
      </w:tr>
      <w:tr w:rsidR="004C558F" w14:paraId="1C34E4CD" w14:textId="77777777" w:rsidTr="00592C50">
        <w:trPr>
          <w:cantSplit/>
          <w:trHeight w:val="287"/>
        </w:trPr>
        <w:tc>
          <w:tcPr>
            <w:tcW w:w="1003" w:type="dxa"/>
          </w:tcPr>
          <w:p w14:paraId="1C34E4CB" w14:textId="77777777" w:rsidR="004C558F" w:rsidRDefault="00461887">
            <w:pPr>
              <w:pStyle w:val="TableParagraph"/>
              <w:spacing w:before="19" w:line="248" w:lineRule="exact"/>
              <w:ind w:right="106"/>
            </w:pPr>
            <w:r>
              <w:rPr>
                <w:spacing w:val="-5"/>
              </w:rPr>
              <w:t>PSI</w:t>
            </w:r>
          </w:p>
        </w:tc>
        <w:tc>
          <w:tcPr>
            <w:tcW w:w="5554" w:type="dxa"/>
          </w:tcPr>
          <w:p w14:paraId="1C34E4CC" w14:textId="77777777" w:rsidR="004C558F" w:rsidRDefault="00461887">
            <w:pPr>
              <w:pStyle w:val="TableParagraph"/>
              <w:spacing w:before="19" w:line="248" w:lineRule="exact"/>
              <w:ind w:left="105"/>
              <w:jc w:val="left"/>
            </w:pPr>
            <w:r>
              <w:t>Patient</w:t>
            </w:r>
            <w:r>
              <w:rPr>
                <w:spacing w:val="-5"/>
              </w:rPr>
              <w:t xml:space="preserve"> </w:t>
            </w:r>
            <w:r>
              <w:t>Safety</w:t>
            </w:r>
            <w:r>
              <w:rPr>
                <w:spacing w:val="-5"/>
              </w:rPr>
              <w:t xml:space="preserve"> </w:t>
            </w:r>
            <w:r>
              <w:rPr>
                <w:spacing w:val="-2"/>
              </w:rPr>
              <w:t>Indicator</w:t>
            </w:r>
          </w:p>
        </w:tc>
      </w:tr>
      <w:tr w:rsidR="004C558F" w14:paraId="1C34E4D0" w14:textId="77777777" w:rsidTr="00592C50">
        <w:trPr>
          <w:cantSplit/>
          <w:trHeight w:val="287"/>
        </w:trPr>
        <w:tc>
          <w:tcPr>
            <w:tcW w:w="1003" w:type="dxa"/>
          </w:tcPr>
          <w:p w14:paraId="1C34E4CE" w14:textId="77777777" w:rsidR="004C558F" w:rsidRDefault="00461887">
            <w:pPr>
              <w:pStyle w:val="TableParagraph"/>
              <w:spacing w:before="19" w:line="248" w:lineRule="exact"/>
              <w:ind w:right="107"/>
            </w:pPr>
            <w:r>
              <w:t>MA-</w:t>
            </w:r>
            <w:r>
              <w:rPr>
                <w:spacing w:val="-5"/>
              </w:rPr>
              <w:t>RPO</w:t>
            </w:r>
          </w:p>
        </w:tc>
        <w:tc>
          <w:tcPr>
            <w:tcW w:w="5554" w:type="dxa"/>
          </w:tcPr>
          <w:p w14:paraId="1C34E4CF" w14:textId="77777777" w:rsidR="004C558F" w:rsidRDefault="00461887">
            <w:pPr>
              <w:pStyle w:val="TableParagraph"/>
              <w:spacing w:before="19" w:line="248" w:lineRule="exact"/>
              <w:ind w:left="105"/>
              <w:jc w:val="left"/>
            </w:pPr>
            <w:r>
              <w:t>Massachusetts</w:t>
            </w:r>
            <w:r>
              <w:rPr>
                <w:spacing w:val="-7"/>
              </w:rPr>
              <w:t xml:space="preserve"> </w:t>
            </w:r>
            <w:r>
              <w:t>Registration</w:t>
            </w:r>
            <w:r>
              <w:rPr>
                <w:spacing w:val="-6"/>
              </w:rPr>
              <w:t xml:space="preserve"> </w:t>
            </w:r>
            <w:r>
              <w:t>of</w:t>
            </w:r>
            <w:r>
              <w:rPr>
                <w:spacing w:val="-5"/>
              </w:rPr>
              <w:t xml:space="preserve"> </w:t>
            </w:r>
            <w:r>
              <w:t>Provider</w:t>
            </w:r>
            <w:r>
              <w:rPr>
                <w:spacing w:val="-7"/>
              </w:rPr>
              <w:t xml:space="preserve"> </w:t>
            </w:r>
            <w:r>
              <w:rPr>
                <w:spacing w:val="-2"/>
              </w:rPr>
              <w:t>Organizations</w:t>
            </w:r>
          </w:p>
        </w:tc>
      </w:tr>
      <w:tr w:rsidR="004C558F" w14:paraId="1C34E4D3" w14:textId="77777777" w:rsidTr="00592C50">
        <w:trPr>
          <w:cantSplit/>
          <w:trHeight w:val="269"/>
        </w:trPr>
        <w:tc>
          <w:tcPr>
            <w:tcW w:w="1003" w:type="dxa"/>
          </w:tcPr>
          <w:p w14:paraId="1C34E4D1" w14:textId="77777777" w:rsidR="004C558F" w:rsidRDefault="00461887">
            <w:pPr>
              <w:pStyle w:val="TableParagraph"/>
              <w:spacing w:before="19" w:line="230" w:lineRule="exact"/>
              <w:ind w:right="102"/>
            </w:pPr>
            <w:r>
              <w:rPr>
                <w:spacing w:val="-5"/>
              </w:rPr>
              <w:t>TME</w:t>
            </w:r>
          </w:p>
        </w:tc>
        <w:tc>
          <w:tcPr>
            <w:tcW w:w="5554" w:type="dxa"/>
          </w:tcPr>
          <w:p w14:paraId="1C34E4D2" w14:textId="77777777" w:rsidR="004C558F" w:rsidRDefault="00461887">
            <w:pPr>
              <w:pStyle w:val="TableParagraph"/>
              <w:spacing w:before="19" w:line="230" w:lineRule="exact"/>
              <w:ind w:left="105"/>
              <w:jc w:val="left"/>
            </w:pPr>
            <w:r>
              <w:t>Total</w:t>
            </w:r>
            <w:r>
              <w:rPr>
                <w:spacing w:val="-7"/>
              </w:rPr>
              <w:t xml:space="preserve"> </w:t>
            </w:r>
            <w:r>
              <w:t>Medical</w:t>
            </w:r>
            <w:r>
              <w:rPr>
                <w:spacing w:val="-4"/>
              </w:rPr>
              <w:t xml:space="preserve"> </w:t>
            </w:r>
            <w:r>
              <w:rPr>
                <w:spacing w:val="-2"/>
              </w:rPr>
              <w:t>Expenses</w:t>
            </w:r>
          </w:p>
        </w:tc>
      </w:tr>
    </w:tbl>
    <w:p w14:paraId="1C34E4D4" w14:textId="77777777" w:rsidR="004C558F" w:rsidRDefault="004C558F">
      <w:pPr>
        <w:spacing w:line="230" w:lineRule="exact"/>
        <w:sectPr w:rsidR="004C558F">
          <w:pgSz w:w="12240" w:h="15840"/>
          <w:pgMar w:top="1360" w:right="740" w:bottom="720" w:left="480" w:header="0" w:footer="521" w:gutter="0"/>
          <w:cols w:space="720"/>
        </w:sectPr>
      </w:pPr>
    </w:p>
    <w:p w14:paraId="1C34E4D5" w14:textId="77777777" w:rsidR="004C558F" w:rsidRDefault="00461887">
      <w:pPr>
        <w:pStyle w:val="Heading1"/>
      </w:pPr>
      <w:bookmarkStart w:id="8" w:name="Naming_Conventions"/>
      <w:bookmarkStart w:id="9" w:name="_bookmark4"/>
      <w:bookmarkEnd w:id="8"/>
      <w:bookmarkEnd w:id="9"/>
      <w:r>
        <w:rPr>
          <w:color w:val="084875"/>
        </w:rPr>
        <w:lastRenderedPageBreak/>
        <w:t>NAMING</w:t>
      </w:r>
      <w:r>
        <w:rPr>
          <w:color w:val="084875"/>
          <w:spacing w:val="-12"/>
        </w:rPr>
        <w:t xml:space="preserve"> </w:t>
      </w:r>
      <w:r>
        <w:rPr>
          <w:color w:val="084875"/>
          <w:spacing w:val="-2"/>
        </w:rPr>
        <w:t>CONVENTIONS</w:t>
      </w:r>
    </w:p>
    <w:p w14:paraId="1C34E4D6" w14:textId="77777777" w:rsidR="004C558F" w:rsidRDefault="004C558F">
      <w:pPr>
        <w:pStyle w:val="BodyText"/>
        <w:spacing w:before="64"/>
        <w:rPr>
          <w:rFonts w:ascii="Franklin Gothic Demi"/>
          <w:b/>
          <w:sz w:val="20"/>
        </w:rPr>
      </w:pPr>
    </w:p>
    <w:tbl>
      <w:tblPr>
        <w:tblW w:w="0" w:type="auto"/>
        <w:tblInd w:w="1478" w:type="dxa"/>
        <w:tblLayout w:type="fixed"/>
        <w:tblCellMar>
          <w:left w:w="0" w:type="dxa"/>
          <w:right w:w="0" w:type="dxa"/>
        </w:tblCellMar>
        <w:tblLook w:val="01E0" w:firstRow="1" w:lastRow="1" w:firstColumn="1" w:lastColumn="1" w:noHBand="0" w:noVBand="0"/>
      </w:tblPr>
      <w:tblGrid>
        <w:gridCol w:w="2279"/>
        <w:gridCol w:w="6060"/>
      </w:tblGrid>
      <w:tr w:rsidR="004C558F" w14:paraId="1C34E4D9" w14:textId="77777777" w:rsidTr="00592C50">
        <w:trPr>
          <w:cantSplit/>
          <w:trHeight w:val="288"/>
        </w:trPr>
        <w:tc>
          <w:tcPr>
            <w:tcW w:w="2279" w:type="dxa"/>
            <w:shd w:val="clear" w:color="auto" w:fill="EBF0F4"/>
          </w:tcPr>
          <w:p w14:paraId="1C34E4D7" w14:textId="77777777" w:rsidR="004C558F" w:rsidRDefault="004C558F">
            <w:pPr>
              <w:pStyle w:val="TableParagraph"/>
              <w:spacing w:before="0"/>
              <w:jc w:val="left"/>
              <w:rPr>
                <w:rFonts w:ascii="Times New Roman"/>
                <w:sz w:val="20"/>
              </w:rPr>
            </w:pPr>
          </w:p>
        </w:tc>
        <w:tc>
          <w:tcPr>
            <w:tcW w:w="6060" w:type="dxa"/>
            <w:shd w:val="clear" w:color="auto" w:fill="EBF0F4"/>
          </w:tcPr>
          <w:p w14:paraId="1C34E4D8" w14:textId="77777777" w:rsidR="004C558F" w:rsidRDefault="00461887">
            <w:pPr>
              <w:pStyle w:val="TableParagraph"/>
              <w:spacing w:before="2"/>
              <w:ind w:left="310"/>
              <w:jc w:val="left"/>
            </w:pPr>
            <w:r>
              <w:t>Parties</w:t>
            </w:r>
            <w:r>
              <w:rPr>
                <w:spacing w:val="-5"/>
              </w:rPr>
              <w:t xml:space="preserve"> </w:t>
            </w:r>
            <w:r>
              <w:t>and</w:t>
            </w:r>
            <w:r>
              <w:rPr>
                <w:spacing w:val="-4"/>
              </w:rPr>
              <w:t xml:space="preserve"> </w:t>
            </w:r>
            <w:r>
              <w:t>Related</w:t>
            </w:r>
            <w:r>
              <w:rPr>
                <w:spacing w:val="-3"/>
              </w:rPr>
              <w:t xml:space="preserve"> </w:t>
            </w:r>
            <w:r>
              <w:rPr>
                <w:spacing w:val="-2"/>
              </w:rPr>
              <w:t>Organizations</w:t>
            </w:r>
          </w:p>
        </w:tc>
      </w:tr>
      <w:tr w:rsidR="004C558F" w14:paraId="1C34E4DC" w14:textId="77777777" w:rsidTr="00592C50">
        <w:trPr>
          <w:cantSplit/>
          <w:trHeight w:val="270"/>
        </w:trPr>
        <w:tc>
          <w:tcPr>
            <w:tcW w:w="2279" w:type="dxa"/>
          </w:tcPr>
          <w:p w14:paraId="1C34E4DA" w14:textId="77777777" w:rsidR="004C558F" w:rsidRDefault="00461887">
            <w:pPr>
              <w:pStyle w:val="TableParagraph"/>
              <w:spacing w:before="2" w:line="248" w:lineRule="exact"/>
              <w:ind w:right="105"/>
            </w:pPr>
            <w:r>
              <w:rPr>
                <w:spacing w:val="-4"/>
              </w:rPr>
              <w:t>BIDCO</w:t>
            </w:r>
          </w:p>
        </w:tc>
        <w:tc>
          <w:tcPr>
            <w:tcW w:w="6060" w:type="dxa"/>
          </w:tcPr>
          <w:p w14:paraId="1C34E4DB" w14:textId="77777777" w:rsidR="004C558F" w:rsidRDefault="00461887">
            <w:pPr>
              <w:pStyle w:val="TableParagraph"/>
              <w:spacing w:before="2" w:line="248" w:lineRule="exact"/>
              <w:ind w:left="106"/>
              <w:jc w:val="left"/>
            </w:pPr>
            <w:r>
              <w:t>Beth</w:t>
            </w:r>
            <w:r>
              <w:rPr>
                <w:spacing w:val="-5"/>
              </w:rPr>
              <w:t xml:space="preserve"> </w:t>
            </w:r>
            <w:r>
              <w:t>Israel</w:t>
            </w:r>
            <w:r>
              <w:rPr>
                <w:spacing w:val="-7"/>
              </w:rPr>
              <w:t xml:space="preserve"> </w:t>
            </w:r>
            <w:r>
              <w:t>Deaconess</w:t>
            </w:r>
            <w:r>
              <w:rPr>
                <w:spacing w:val="-4"/>
              </w:rPr>
              <w:t xml:space="preserve"> </w:t>
            </w:r>
            <w:r>
              <w:t>Care</w:t>
            </w:r>
            <w:r>
              <w:rPr>
                <w:spacing w:val="-4"/>
              </w:rPr>
              <w:t xml:space="preserve"> </w:t>
            </w:r>
            <w:r>
              <w:rPr>
                <w:spacing w:val="-2"/>
              </w:rPr>
              <w:t>Organization</w:t>
            </w:r>
          </w:p>
        </w:tc>
      </w:tr>
      <w:tr w:rsidR="004C558F" w14:paraId="1C34E4DF" w14:textId="77777777" w:rsidTr="00592C50">
        <w:trPr>
          <w:cantSplit/>
          <w:trHeight w:val="287"/>
        </w:trPr>
        <w:tc>
          <w:tcPr>
            <w:tcW w:w="2279" w:type="dxa"/>
          </w:tcPr>
          <w:p w14:paraId="1C34E4DD" w14:textId="77777777" w:rsidR="004C558F" w:rsidRDefault="00461887">
            <w:pPr>
              <w:pStyle w:val="TableParagraph"/>
              <w:spacing w:before="19" w:line="248" w:lineRule="exact"/>
              <w:ind w:right="104"/>
            </w:pPr>
            <w:r>
              <w:rPr>
                <w:spacing w:val="-2"/>
              </w:rPr>
              <w:t>BIDMC</w:t>
            </w:r>
          </w:p>
        </w:tc>
        <w:tc>
          <w:tcPr>
            <w:tcW w:w="6060" w:type="dxa"/>
          </w:tcPr>
          <w:p w14:paraId="1C34E4DE" w14:textId="77777777" w:rsidR="004C558F" w:rsidRDefault="00461887">
            <w:pPr>
              <w:pStyle w:val="TableParagraph"/>
              <w:spacing w:before="19" w:line="248" w:lineRule="exact"/>
              <w:ind w:left="106"/>
              <w:jc w:val="left"/>
            </w:pPr>
            <w:r>
              <w:t>Beth</w:t>
            </w:r>
            <w:r>
              <w:rPr>
                <w:spacing w:val="-4"/>
              </w:rPr>
              <w:t xml:space="preserve"> </w:t>
            </w:r>
            <w:r>
              <w:t>Israel</w:t>
            </w:r>
            <w:r>
              <w:rPr>
                <w:spacing w:val="-6"/>
              </w:rPr>
              <w:t xml:space="preserve"> </w:t>
            </w:r>
            <w:r>
              <w:t>Deaconess</w:t>
            </w:r>
            <w:r>
              <w:rPr>
                <w:spacing w:val="-6"/>
              </w:rPr>
              <w:t xml:space="preserve"> </w:t>
            </w:r>
            <w:r>
              <w:t>Medical</w:t>
            </w:r>
            <w:r>
              <w:rPr>
                <w:spacing w:val="-4"/>
              </w:rPr>
              <w:t xml:space="preserve"> </w:t>
            </w:r>
            <w:r>
              <w:rPr>
                <w:spacing w:val="-2"/>
              </w:rPr>
              <w:t>Center</w:t>
            </w:r>
          </w:p>
        </w:tc>
      </w:tr>
      <w:tr w:rsidR="004C558F" w14:paraId="1C34E4E2" w14:textId="77777777" w:rsidTr="00592C50">
        <w:trPr>
          <w:cantSplit/>
          <w:trHeight w:val="288"/>
        </w:trPr>
        <w:tc>
          <w:tcPr>
            <w:tcW w:w="2279" w:type="dxa"/>
          </w:tcPr>
          <w:p w14:paraId="1C34E4E0" w14:textId="77777777" w:rsidR="004C558F" w:rsidRDefault="00461887">
            <w:pPr>
              <w:pStyle w:val="TableParagraph"/>
              <w:spacing w:before="19" w:line="248" w:lineRule="exact"/>
              <w:ind w:right="104"/>
            </w:pPr>
            <w:r>
              <w:rPr>
                <w:spacing w:val="-4"/>
              </w:rPr>
              <w:t>BILH</w:t>
            </w:r>
          </w:p>
        </w:tc>
        <w:tc>
          <w:tcPr>
            <w:tcW w:w="6060" w:type="dxa"/>
          </w:tcPr>
          <w:p w14:paraId="1C34E4E1" w14:textId="77777777" w:rsidR="004C558F" w:rsidRDefault="00461887">
            <w:pPr>
              <w:pStyle w:val="TableParagraph"/>
              <w:spacing w:before="19" w:line="248" w:lineRule="exact"/>
              <w:ind w:left="106"/>
              <w:jc w:val="left"/>
            </w:pPr>
            <w:r>
              <w:t>Beth</w:t>
            </w:r>
            <w:r>
              <w:rPr>
                <w:spacing w:val="-4"/>
              </w:rPr>
              <w:t xml:space="preserve"> </w:t>
            </w:r>
            <w:r>
              <w:t>Israel</w:t>
            </w:r>
            <w:r>
              <w:rPr>
                <w:spacing w:val="-4"/>
              </w:rPr>
              <w:t xml:space="preserve"> </w:t>
            </w:r>
            <w:r>
              <w:t>Lahey</w:t>
            </w:r>
            <w:r>
              <w:rPr>
                <w:spacing w:val="-3"/>
              </w:rPr>
              <w:t xml:space="preserve"> </w:t>
            </w:r>
            <w:r>
              <w:rPr>
                <w:spacing w:val="-2"/>
              </w:rPr>
              <w:t>Health</w:t>
            </w:r>
          </w:p>
        </w:tc>
      </w:tr>
      <w:tr w:rsidR="004C558F" w14:paraId="1C34E4E5" w14:textId="77777777" w:rsidTr="00592C50">
        <w:trPr>
          <w:cantSplit/>
          <w:trHeight w:val="288"/>
        </w:trPr>
        <w:tc>
          <w:tcPr>
            <w:tcW w:w="2279" w:type="dxa"/>
          </w:tcPr>
          <w:p w14:paraId="1C34E4E3" w14:textId="77777777" w:rsidR="004C558F" w:rsidRDefault="00461887">
            <w:pPr>
              <w:pStyle w:val="TableParagraph"/>
              <w:spacing w:before="19" w:line="248" w:lineRule="exact"/>
              <w:ind w:right="107"/>
            </w:pPr>
            <w:r>
              <w:rPr>
                <w:spacing w:val="-2"/>
              </w:rPr>
              <w:t>BILHPN</w:t>
            </w:r>
          </w:p>
        </w:tc>
        <w:tc>
          <w:tcPr>
            <w:tcW w:w="6060" w:type="dxa"/>
          </w:tcPr>
          <w:p w14:paraId="1C34E4E4" w14:textId="77777777" w:rsidR="004C558F" w:rsidRDefault="00461887">
            <w:pPr>
              <w:pStyle w:val="TableParagraph"/>
              <w:spacing w:before="19" w:line="248" w:lineRule="exact"/>
              <w:ind w:left="106"/>
              <w:jc w:val="left"/>
            </w:pPr>
            <w:r>
              <w:t>Beth</w:t>
            </w:r>
            <w:r>
              <w:rPr>
                <w:spacing w:val="-6"/>
              </w:rPr>
              <w:t xml:space="preserve"> </w:t>
            </w:r>
            <w:r>
              <w:t>Israel</w:t>
            </w:r>
            <w:r>
              <w:rPr>
                <w:spacing w:val="-6"/>
              </w:rPr>
              <w:t xml:space="preserve"> </w:t>
            </w:r>
            <w:r>
              <w:t>Lahey</w:t>
            </w:r>
            <w:r>
              <w:rPr>
                <w:spacing w:val="-6"/>
              </w:rPr>
              <w:t xml:space="preserve"> </w:t>
            </w:r>
            <w:r>
              <w:t>Health</w:t>
            </w:r>
            <w:r>
              <w:rPr>
                <w:spacing w:val="-5"/>
              </w:rPr>
              <w:t xml:space="preserve"> </w:t>
            </w:r>
            <w:r>
              <w:t>Performance</w:t>
            </w:r>
            <w:r>
              <w:rPr>
                <w:spacing w:val="-5"/>
              </w:rPr>
              <w:t xml:space="preserve"> </w:t>
            </w:r>
            <w:r>
              <w:rPr>
                <w:spacing w:val="-2"/>
              </w:rPr>
              <w:t>Network</w:t>
            </w:r>
          </w:p>
        </w:tc>
      </w:tr>
      <w:tr w:rsidR="004C558F" w14:paraId="1C34E4E8" w14:textId="77777777" w:rsidTr="00592C50">
        <w:trPr>
          <w:cantSplit/>
          <w:trHeight w:val="287"/>
        </w:trPr>
        <w:tc>
          <w:tcPr>
            <w:tcW w:w="2279" w:type="dxa"/>
          </w:tcPr>
          <w:p w14:paraId="1C34E4E6" w14:textId="77777777" w:rsidR="004C558F" w:rsidRDefault="00461887">
            <w:pPr>
              <w:pStyle w:val="TableParagraph"/>
              <w:spacing w:before="19" w:line="248" w:lineRule="exact"/>
              <w:ind w:right="105"/>
            </w:pPr>
            <w:r>
              <w:rPr>
                <w:spacing w:val="-4"/>
              </w:rPr>
              <w:t>DFCI</w:t>
            </w:r>
          </w:p>
        </w:tc>
        <w:tc>
          <w:tcPr>
            <w:tcW w:w="6060" w:type="dxa"/>
          </w:tcPr>
          <w:p w14:paraId="1C34E4E7" w14:textId="77777777" w:rsidR="004C558F" w:rsidRDefault="00461887">
            <w:pPr>
              <w:pStyle w:val="TableParagraph"/>
              <w:spacing w:before="19" w:line="248" w:lineRule="exact"/>
              <w:ind w:left="106"/>
              <w:jc w:val="left"/>
            </w:pPr>
            <w:r>
              <w:t>Dana-Farber</w:t>
            </w:r>
            <w:r>
              <w:rPr>
                <w:spacing w:val="-6"/>
              </w:rPr>
              <w:t xml:space="preserve"> </w:t>
            </w:r>
            <w:r>
              <w:t>Cancer</w:t>
            </w:r>
            <w:r>
              <w:rPr>
                <w:spacing w:val="-5"/>
              </w:rPr>
              <w:t xml:space="preserve"> </w:t>
            </w:r>
            <w:r>
              <w:rPr>
                <w:spacing w:val="-2"/>
              </w:rPr>
              <w:t>Institute</w:t>
            </w:r>
          </w:p>
        </w:tc>
      </w:tr>
      <w:tr w:rsidR="004C558F" w14:paraId="1C34E4EB" w14:textId="77777777" w:rsidTr="00592C50">
        <w:trPr>
          <w:cantSplit/>
          <w:trHeight w:val="288"/>
        </w:trPr>
        <w:tc>
          <w:tcPr>
            <w:tcW w:w="2279" w:type="dxa"/>
          </w:tcPr>
          <w:p w14:paraId="1C34E4E9" w14:textId="77777777" w:rsidR="004C558F" w:rsidRDefault="00461887">
            <w:pPr>
              <w:pStyle w:val="TableParagraph"/>
              <w:spacing w:before="19" w:line="248" w:lineRule="exact"/>
              <w:ind w:right="103"/>
            </w:pPr>
            <w:r>
              <w:rPr>
                <w:spacing w:val="-4"/>
              </w:rPr>
              <w:t>HMFP</w:t>
            </w:r>
          </w:p>
        </w:tc>
        <w:tc>
          <w:tcPr>
            <w:tcW w:w="6060" w:type="dxa"/>
          </w:tcPr>
          <w:p w14:paraId="1C34E4EA" w14:textId="77777777" w:rsidR="004C558F" w:rsidRDefault="00461887">
            <w:pPr>
              <w:pStyle w:val="TableParagraph"/>
              <w:spacing w:before="19" w:line="248" w:lineRule="exact"/>
              <w:ind w:left="106"/>
              <w:jc w:val="left"/>
            </w:pPr>
            <w:r>
              <w:t>Harvard</w:t>
            </w:r>
            <w:r>
              <w:rPr>
                <w:spacing w:val="-7"/>
              </w:rPr>
              <w:t xml:space="preserve"> </w:t>
            </w:r>
            <w:r>
              <w:t>Medical</w:t>
            </w:r>
            <w:r>
              <w:rPr>
                <w:spacing w:val="-6"/>
              </w:rPr>
              <w:t xml:space="preserve"> </w:t>
            </w:r>
            <w:r>
              <w:t>Faculty</w:t>
            </w:r>
            <w:r>
              <w:rPr>
                <w:spacing w:val="-5"/>
              </w:rPr>
              <w:t xml:space="preserve"> </w:t>
            </w:r>
            <w:r>
              <w:rPr>
                <w:spacing w:val="-2"/>
              </w:rPr>
              <w:t>Physicians</w:t>
            </w:r>
          </w:p>
        </w:tc>
      </w:tr>
      <w:tr w:rsidR="004C558F" w14:paraId="1C34E4EE" w14:textId="77777777" w:rsidTr="00592C50">
        <w:trPr>
          <w:cantSplit/>
          <w:trHeight w:val="592"/>
        </w:trPr>
        <w:tc>
          <w:tcPr>
            <w:tcW w:w="2279" w:type="dxa"/>
          </w:tcPr>
          <w:p w14:paraId="1C34E4EC" w14:textId="77777777" w:rsidR="004C558F" w:rsidRDefault="00461887">
            <w:pPr>
              <w:pStyle w:val="TableParagraph"/>
              <w:spacing w:before="19"/>
              <w:ind w:right="104"/>
            </w:pPr>
            <w:r>
              <w:rPr>
                <w:spacing w:val="-2"/>
              </w:rPr>
              <w:t>Lahey</w:t>
            </w:r>
          </w:p>
        </w:tc>
        <w:tc>
          <w:tcPr>
            <w:tcW w:w="6060" w:type="dxa"/>
          </w:tcPr>
          <w:p w14:paraId="1C34E4ED" w14:textId="77777777" w:rsidR="004C558F" w:rsidRDefault="00461887">
            <w:pPr>
              <w:pStyle w:val="TableParagraph"/>
              <w:spacing w:before="19"/>
              <w:ind w:left="106"/>
              <w:jc w:val="left"/>
            </w:pPr>
            <w:r>
              <w:t>Lahey</w:t>
            </w:r>
            <w:r>
              <w:rPr>
                <w:spacing w:val="-7"/>
              </w:rPr>
              <w:t xml:space="preserve"> </w:t>
            </w:r>
            <w:r>
              <w:t>Hospital</w:t>
            </w:r>
            <w:r>
              <w:rPr>
                <w:spacing w:val="-5"/>
              </w:rPr>
              <w:t xml:space="preserve"> </w:t>
            </w:r>
            <w:r>
              <w:t>and</w:t>
            </w:r>
            <w:r>
              <w:rPr>
                <w:spacing w:val="-6"/>
              </w:rPr>
              <w:t xml:space="preserve"> </w:t>
            </w:r>
            <w:r>
              <w:t>Medical</w:t>
            </w:r>
            <w:r>
              <w:rPr>
                <w:spacing w:val="-4"/>
              </w:rPr>
              <w:t xml:space="preserve"> </w:t>
            </w:r>
            <w:r>
              <w:rPr>
                <w:spacing w:val="-2"/>
              </w:rPr>
              <w:t>Center</w:t>
            </w:r>
          </w:p>
        </w:tc>
      </w:tr>
    </w:tbl>
    <w:p w14:paraId="3F5A9A13" w14:textId="77777777" w:rsidR="00D474B5" w:rsidRDefault="00D474B5"/>
    <w:tbl>
      <w:tblPr>
        <w:tblW w:w="0" w:type="auto"/>
        <w:tblInd w:w="1478" w:type="dxa"/>
        <w:tblLayout w:type="fixed"/>
        <w:tblCellMar>
          <w:left w:w="0" w:type="dxa"/>
          <w:right w:w="0" w:type="dxa"/>
        </w:tblCellMar>
        <w:tblLook w:val="01E0" w:firstRow="1" w:lastRow="1" w:firstColumn="1" w:lastColumn="1" w:noHBand="0" w:noVBand="0"/>
      </w:tblPr>
      <w:tblGrid>
        <w:gridCol w:w="2279"/>
        <w:gridCol w:w="6060"/>
      </w:tblGrid>
      <w:tr w:rsidR="004C558F" w14:paraId="1C34E4F1" w14:textId="77777777" w:rsidTr="00592C50">
        <w:trPr>
          <w:cantSplit/>
          <w:trHeight w:val="286"/>
        </w:trPr>
        <w:tc>
          <w:tcPr>
            <w:tcW w:w="2279" w:type="dxa"/>
            <w:shd w:val="clear" w:color="auto" w:fill="EBF0F4"/>
          </w:tcPr>
          <w:p w14:paraId="1C34E4EF" w14:textId="77777777" w:rsidR="004C558F" w:rsidRDefault="004C558F">
            <w:pPr>
              <w:pStyle w:val="TableParagraph"/>
              <w:spacing w:before="0"/>
              <w:jc w:val="left"/>
              <w:rPr>
                <w:rFonts w:ascii="Times New Roman"/>
                <w:sz w:val="20"/>
              </w:rPr>
            </w:pPr>
          </w:p>
        </w:tc>
        <w:tc>
          <w:tcPr>
            <w:tcW w:w="6060" w:type="dxa"/>
            <w:shd w:val="clear" w:color="auto" w:fill="EBF0F4"/>
          </w:tcPr>
          <w:p w14:paraId="1C34E4F0" w14:textId="77777777" w:rsidR="004C558F" w:rsidRDefault="00461887">
            <w:pPr>
              <w:pStyle w:val="TableParagraph"/>
              <w:spacing w:before="0"/>
              <w:ind w:left="1577"/>
              <w:jc w:val="left"/>
            </w:pPr>
            <w:r>
              <w:rPr>
                <w:spacing w:val="-2"/>
              </w:rPr>
              <w:t>Payers</w:t>
            </w:r>
          </w:p>
        </w:tc>
      </w:tr>
      <w:tr w:rsidR="004C558F" w14:paraId="1C34E4F4" w14:textId="77777777" w:rsidTr="00592C50">
        <w:trPr>
          <w:cantSplit/>
          <w:trHeight w:val="270"/>
        </w:trPr>
        <w:tc>
          <w:tcPr>
            <w:tcW w:w="2279" w:type="dxa"/>
          </w:tcPr>
          <w:p w14:paraId="1C34E4F2" w14:textId="77777777" w:rsidR="004C558F" w:rsidRDefault="00461887">
            <w:pPr>
              <w:pStyle w:val="TableParagraph"/>
              <w:spacing w:before="2" w:line="248" w:lineRule="exact"/>
              <w:ind w:right="104"/>
            </w:pPr>
            <w:r>
              <w:rPr>
                <w:spacing w:val="-4"/>
              </w:rPr>
              <w:t>BCBS</w:t>
            </w:r>
          </w:p>
        </w:tc>
        <w:tc>
          <w:tcPr>
            <w:tcW w:w="6060" w:type="dxa"/>
          </w:tcPr>
          <w:p w14:paraId="1C34E4F3" w14:textId="77777777" w:rsidR="004C558F" w:rsidRDefault="00461887">
            <w:pPr>
              <w:pStyle w:val="TableParagraph"/>
              <w:spacing w:before="2" w:line="248" w:lineRule="exact"/>
              <w:ind w:left="106"/>
              <w:jc w:val="left"/>
            </w:pPr>
            <w:r>
              <w:t>Blue</w:t>
            </w:r>
            <w:r>
              <w:rPr>
                <w:spacing w:val="-3"/>
              </w:rPr>
              <w:t xml:space="preserve"> </w:t>
            </w:r>
            <w:r>
              <w:t>Cross</w:t>
            </w:r>
            <w:r>
              <w:rPr>
                <w:spacing w:val="-5"/>
              </w:rPr>
              <w:t xml:space="preserve"> </w:t>
            </w:r>
            <w:r>
              <w:t>Blue</w:t>
            </w:r>
            <w:r>
              <w:rPr>
                <w:spacing w:val="-4"/>
              </w:rPr>
              <w:t xml:space="preserve"> </w:t>
            </w:r>
            <w:r>
              <w:t>Shield</w:t>
            </w:r>
            <w:r>
              <w:rPr>
                <w:spacing w:val="-2"/>
              </w:rPr>
              <w:t xml:space="preserve"> </w:t>
            </w:r>
            <w:r>
              <w:t>of</w:t>
            </w:r>
            <w:r>
              <w:rPr>
                <w:spacing w:val="-4"/>
              </w:rPr>
              <w:t xml:space="preserve"> </w:t>
            </w:r>
            <w:r>
              <w:rPr>
                <w:spacing w:val="-2"/>
              </w:rPr>
              <w:t>Massachusetts</w:t>
            </w:r>
          </w:p>
        </w:tc>
      </w:tr>
      <w:tr w:rsidR="004C558F" w14:paraId="1C34E4F7" w14:textId="77777777" w:rsidTr="00592C50">
        <w:trPr>
          <w:cantSplit/>
          <w:trHeight w:val="287"/>
        </w:trPr>
        <w:tc>
          <w:tcPr>
            <w:tcW w:w="2279" w:type="dxa"/>
          </w:tcPr>
          <w:p w14:paraId="1C34E4F5" w14:textId="77777777" w:rsidR="004C558F" w:rsidRDefault="00461887">
            <w:pPr>
              <w:pStyle w:val="TableParagraph"/>
              <w:spacing w:before="19" w:line="248" w:lineRule="exact"/>
              <w:ind w:right="104"/>
            </w:pPr>
            <w:r>
              <w:rPr>
                <w:spacing w:val="-5"/>
              </w:rPr>
              <w:t>HNE</w:t>
            </w:r>
          </w:p>
        </w:tc>
        <w:tc>
          <w:tcPr>
            <w:tcW w:w="6060" w:type="dxa"/>
          </w:tcPr>
          <w:p w14:paraId="1C34E4F6" w14:textId="77777777" w:rsidR="004C558F" w:rsidRDefault="00461887">
            <w:pPr>
              <w:pStyle w:val="TableParagraph"/>
              <w:spacing w:before="19" w:line="248" w:lineRule="exact"/>
              <w:ind w:left="106"/>
              <w:jc w:val="left"/>
            </w:pPr>
            <w:r>
              <w:t>Health</w:t>
            </w:r>
            <w:r>
              <w:rPr>
                <w:spacing w:val="-3"/>
              </w:rPr>
              <w:t xml:space="preserve"> </w:t>
            </w:r>
            <w:r>
              <w:t>New</w:t>
            </w:r>
            <w:r>
              <w:rPr>
                <w:spacing w:val="-2"/>
              </w:rPr>
              <w:t xml:space="preserve"> England</w:t>
            </w:r>
          </w:p>
        </w:tc>
      </w:tr>
      <w:tr w:rsidR="004C558F" w14:paraId="1C34E4FA" w14:textId="77777777" w:rsidTr="00592C50">
        <w:trPr>
          <w:cantSplit/>
          <w:trHeight w:val="288"/>
        </w:trPr>
        <w:tc>
          <w:tcPr>
            <w:tcW w:w="2279" w:type="dxa"/>
          </w:tcPr>
          <w:p w14:paraId="1C34E4F8" w14:textId="77777777" w:rsidR="004C558F" w:rsidRDefault="00461887">
            <w:pPr>
              <w:pStyle w:val="TableParagraph"/>
              <w:spacing w:before="19" w:line="248" w:lineRule="exact"/>
              <w:ind w:right="106"/>
            </w:pPr>
            <w:r>
              <w:rPr>
                <w:spacing w:val="-4"/>
              </w:rPr>
              <w:t>HPHC</w:t>
            </w:r>
          </w:p>
        </w:tc>
        <w:tc>
          <w:tcPr>
            <w:tcW w:w="6060" w:type="dxa"/>
          </w:tcPr>
          <w:p w14:paraId="1C34E4F9" w14:textId="77777777" w:rsidR="004C558F" w:rsidRDefault="00461887">
            <w:pPr>
              <w:pStyle w:val="TableParagraph"/>
              <w:spacing w:before="19" w:line="248" w:lineRule="exact"/>
              <w:ind w:left="106"/>
              <w:jc w:val="left"/>
            </w:pPr>
            <w:r>
              <w:t>Harvard</w:t>
            </w:r>
            <w:r>
              <w:rPr>
                <w:spacing w:val="-7"/>
              </w:rPr>
              <w:t xml:space="preserve"> </w:t>
            </w:r>
            <w:r>
              <w:t>Pilgrim</w:t>
            </w:r>
            <w:r>
              <w:rPr>
                <w:spacing w:val="-6"/>
              </w:rPr>
              <w:t xml:space="preserve"> </w:t>
            </w:r>
            <w:r>
              <w:t>Health</w:t>
            </w:r>
            <w:r>
              <w:rPr>
                <w:spacing w:val="-5"/>
              </w:rPr>
              <w:t xml:space="preserve"> </w:t>
            </w:r>
            <w:r>
              <w:rPr>
                <w:spacing w:val="-4"/>
              </w:rPr>
              <w:t>Care</w:t>
            </w:r>
          </w:p>
        </w:tc>
      </w:tr>
      <w:tr w:rsidR="004C558F" w14:paraId="1C34E4FD" w14:textId="77777777" w:rsidTr="00592C50">
        <w:trPr>
          <w:cantSplit/>
          <w:trHeight w:val="287"/>
        </w:trPr>
        <w:tc>
          <w:tcPr>
            <w:tcW w:w="2279" w:type="dxa"/>
          </w:tcPr>
          <w:p w14:paraId="1C34E4FB" w14:textId="77777777" w:rsidR="004C558F" w:rsidRDefault="00461887">
            <w:pPr>
              <w:pStyle w:val="TableParagraph"/>
              <w:spacing w:before="19" w:line="248" w:lineRule="exact"/>
              <w:ind w:right="104"/>
            </w:pPr>
            <w:r>
              <w:rPr>
                <w:spacing w:val="-2"/>
              </w:rPr>
              <w:t>MGBHP</w:t>
            </w:r>
          </w:p>
        </w:tc>
        <w:tc>
          <w:tcPr>
            <w:tcW w:w="6060" w:type="dxa"/>
          </w:tcPr>
          <w:p w14:paraId="1C34E4FC" w14:textId="77777777" w:rsidR="004C558F" w:rsidRDefault="00461887">
            <w:pPr>
              <w:pStyle w:val="TableParagraph"/>
              <w:spacing w:before="19" w:line="248" w:lineRule="exact"/>
              <w:ind w:left="106"/>
              <w:jc w:val="left"/>
            </w:pPr>
            <w:r>
              <w:t>Mass</w:t>
            </w:r>
            <w:r>
              <w:rPr>
                <w:spacing w:val="-6"/>
              </w:rPr>
              <w:t xml:space="preserve"> </w:t>
            </w:r>
            <w:r>
              <w:t>General</w:t>
            </w:r>
            <w:r>
              <w:rPr>
                <w:spacing w:val="-7"/>
              </w:rPr>
              <w:t xml:space="preserve"> </w:t>
            </w:r>
            <w:r>
              <w:t>Brigham</w:t>
            </w:r>
            <w:r>
              <w:rPr>
                <w:spacing w:val="-4"/>
              </w:rPr>
              <w:t xml:space="preserve"> </w:t>
            </w:r>
            <w:r>
              <w:t>Health</w:t>
            </w:r>
            <w:r>
              <w:rPr>
                <w:spacing w:val="-3"/>
              </w:rPr>
              <w:t xml:space="preserve"> </w:t>
            </w:r>
            <w:r>
              <w:rPr>
                <w:spacing w:val="-4"/>
              </w:rPr>
              <w:t>Plan</w:t>
            </w:r>
          </w:p>
        </w:tc>
      </w:tr>
      <w:tr w:rsidR="004C558F" w14:paraId="1C34E500" w14:textId="77777777" w:rsidTr="00592C50">
        <w:trPr>
          <w:cantSplit/>
          <w:trHeight w:val="592"/>
        </w:trPr>
        <w:tc>
          <w:tcPr>
            <w:tcW w:w="2279" w:type="dxa"/>
          </w:tcPr>
          <w:p w14:paraId="1C34E4FE" w14:textId="77777777" w:rsidR="004C558F" w:rsidRDefault="00461887">
            <w:pPr>
              <w:pStyle w:val="TableParagraph"/>
              <w:spacing w:before="19"/>
              <w:ind w:right="106"/>
            </w:pPr>
            <w:r>
              <w:rPr>
                <w:spacing w:val="-5"/>
              </w:rPr>
              <w:t>THP</w:t>
            </w:r>
          </w:p>
        </w:tc>
        <w:tc>
          <w:tcPr>
            <w:tcW w:w="6060" w:type="dxa"/>
          </w:tcPr>
          <w:p w14:paraId="1C34E4FF" w14:textId="77777777" w:rsidR="004C558F" w:rsidRDefault="00461887">
            <w:pPr>
              <w:pStyle w:val="TableParagraph"/>
              <w:spacing w:before="19"/>
              <w:ind w:left="106"/>
              <w:jc w:val="left"/>
            </w:pPr>
            <w:r>
              <w:t>Tufts</w:t>
            </w:r>
            <w:r>
              <w:rPr>
                <w:spacing w:val="-5"/>
              </w:rPr>
              <w:t xml:space="preserve"> </w:t>
            </w:r>
            <w:r>
              <w:t>Health</w:t>
            </w:r>
            <w:r>
              <w:rPr>
                <w:spacing w:val="-4"/>
              </w:rPr>
              <w:t xml:space="preserve"> Plan</w:t>
            </w:r>
          </w:p>
        </w:tc>
      </w:tr>
    </w:tbl>
    <w:p w14:paraId="0F22A683" w14:textId="77777777" w:rsidR="00D474B5" w:rsidRDefault="00D474B5"/>
    <w:tbl>
      <w:tblPr>
        <w:tblW w:w="0" w:type="auto"/>
        <w:tblInd w:w="1478" w:type="dxa"/>
        <w:tblLayout w:type="fixed"/>
        <w:tblCellMar>
          <w:left w:w="0" w:type="dxa"/>
          <w:right w:w="0" w:type="dxa"/>
        </w:tblCellMar>
        <w:tblLook w:val="01E0" w:firstRow="1" w:lastRow="1" w:firstColumn="1" w:lastColumn="1" w:noHBand="0" w:noVBand="0"/>
      </w:tblPr>
      <w:tblGrid>
        <w:gridCol w:w="2279"/>
        <w:gridCol w:w="6060"/>
      </w:tblGrid>
      <w:tr w:rsidR="004C558F" w14:paraId="1C34E503" w14:textId="77777777" w:rsidTr="00592C50">
        <w:trPr>
          <w:cantSplit/>
          <w:trHeight w:val="287"/>
        </w:trPr>
        <w:tc>
          <w:tcPr>
            <w:tcW w:w="2279" w:type="dxa"/>
            <w:shd w:val="clear" w:color="auto" w:fill="EBF0F4"/>
          </w:tcPr>
          <w:p w14:paraId="1C34E501" w14:textId="77777777" w:rsidR="004C558F" w:rsidRDefault="004C558F">
            <w:pPr>
              <w:pStyle w:val="TableParagraph"/>
              <w:spacing w:before="0"/>
              <w:jc w:val="left"/>
              <w:rPr>
                <w:rFonts w:ascii="Times New Roman"/>
                <w:sz w:val="20"/>
              </w:rPr>
            </w:pPr>
          </w:p>
        </w:tc>
        <w:tc>
          <w:tcPr>
            <w:tcW w:w="6060" w:type="dxa"/>
            <w:shd w:val="clear" w:color="auto" w:fill="EBF0F4"/>
          </w:tcPr>
          <w:p w14:paraId="1C34E502" w14:textId="77777777" w:rsidR="004C558F" w:rsidRDefault="00461887">
            <w:pPr>
              <w:pStyle w:val="TableParagraph"/>
              <w:spacing w:before="0"/>
              <w:ind w:left="1169"/>
              <w:jc w:val="left"/>
            </w:pPr>
            <w:r>
              <w:t>Other</w:t>
            </w:r>
            <w:r>
              <w:rPr>
                <w:spacing w:val="-3"/>
              </w:rPr>
              <w:t xml:space="preserve"> </w:t>
            </w:r>
            <w:r>
              <w:rPr>
                <w:spacing w:val="-2"/>
              </w:rPr>
              <w:t>Providers</w:t>
            </w:r>
          </w:p>
        </w:tc>
      </w:tr>
      <w:tr w:rsidR="004C558F" w14:paraId="1C34E506" w14:textId="77777777" w:rsidTr="00592C50">
        <w:trPr>
          <w:cantSplit/>
          <w:trHeight w:val="269"/>
        </w:trPr>
        <w:tc>
          <w:tcPr>
            <w:tcW w:w="2279" w:type="dxa"/>
          </w:tcPr>
          <w:p w14:paraId="1C34E504" w14:textId="77777777" w:rsidR="004C558F" w:rsidRDefault="00461887">
            <w:pPr>
              <w:pStyle w:val="TableParagraph"/>
              <w:spacing w:before="0" w:line="248" w:lineRule="exact"/>
              <w:ind w:right="108"/>
            </w:pPr>
            <w:r>
              <w:rPr>
                <w:spacing w:val="-2"/>
              </w:rPr>
              <w:t>Atrius</w:t>
            </w:r>
          </w:p>
        </w:tc>
        <w:tc>
          <w:tcPr>
            <w:tcW w:w="6060" w:type="dxa"/>
          </w:tcPr>
          <w:p w14:paraId="1C34E505" w14:textId="77777777" w:rsidR="004C558F" w:rsidRDefault="00461887">
            <w:pPr>
              <w:pStyle w:val="TableParagraph"/>
              <w:spacing w:before="0" w:line="248" w:lineRule="exact"/>
              <w:ind w:left="106"/>
              <w:jc w:val="left"/>
            </w:pPr>
            <w:r>
              <w:t>Atrius</w:t>
            </w:r>
            <w:r>
              <w:rPr>
                <w:spacing w:val="-4"/>
              </w:rPr>
              <w:t xml:space="preserve"> </w:t>
            </w:r>
            <w:r>
              <w:rPr>
                <w:spacing w:val="-2"/>
              </w:rPr>
              <w:t>Health</w:t>
            </w:r>
          </w:p>
        </w:tc>
      </w:tr>
      <w:tr w:rsidR="004C558F" w14:paraId="1C34E509" w14:textId="77777777" w:rsidTr="00592C50">
        <w:trPr>
          <w:cantSplit/>
          <w:trHeight w:val="287"/>
        </w:trPr>
        <w:tc>
          <w:tcPr>
            <w:tcW w:w="2279" w:type="dxa"/>
          </w:tcPr>
          <w:p w14:paraId="1C34E507" w14:textId="77777777" w:rsidR="004C558F" w:rsidRDefault="00461887">
            <w:pPr>
              <w:pStyle w:val="TableParagraph"/>
              <w:spacing w:before="19" w:line="248" w:lineRule="exact"/>
              <w:ind w:right="105"/>
            </w:pPr>
            <w:r>
              <w:rPr>
                <w:spacing w:val="-5"/>
              </w:rPr>
              <w:t>BCH</w:t>
            </w:r>
          </w:p>
        </w:tc>
        <w:tc>
          <w:tcPr>
            <w:tcW w:w="6060" w:type="dxa"/>
          </w:tcPr>
          <w:p w14:paraId="1C34E508" w14:textId="77777777" w:rsidR="004C558F" w:rsidRDefault="00461887">
            <w:pPr>
              <w:pStyle w:val="TableParagraph"/>
              <w:spacing w:before="19" w:line="248" w:lineRule="exact"/>
              <w:ind w:left="106"/>
              <w:jc w:val="left"/>
            </w:pPr>
            <w:r>
              <w:t>Boston</w:t>
            </w:r>
            <w:r>
              <w:rPr>
                <w:spacing w:val="-7"/>
              </w:rPr>
              <w:t xml:space="preserve"> </w:t>
            </w:r>
            <w:r>
              <w:t>Children’s</w:t>
            </w:r>
            <w:r>
              <w:rPr>
                <w:spacing w:val="-6"/>
              </w:rPr>
              <w:t xml:space="preserve"> </w:t>
            </w:r>
            <w:r>
              <w:rPr>
                <w:spacing w:val="-2"/>
              </w:rPr>
              <w:t>Hospital</w:t>
            </w:r>
          </w:p>
        </w:tc>
      </w:tr>
      <w:tr w:rsidR="004C558F" w14:paraId="1C34E50C" w14:textId="77777777" w:rsidTr="00592C50">
        <w:trPr>
          <w:cantSplit/>
          <w:trHeight w:val="287"/>
        </w:trPr>
        <w:tc>
          <w:tcPr>
            <w:tcW w:w="2279" w:type="dxa"/>
          </w:tcPr>
          <w:p w14:paraId="1C34E50A" w14:textId="77777777" w:rsidR="004C558F" w:rsidRDefault="00461887">
            <w:pPr>
              <w:pStyle w:val="TableParagraph"/>
              <w:spacing w:before="19" w:line="248" w:lineRule="exact"/>
              <w:ind w:right="104"/>
            </w:pPr>
            <w:r>
              <w:rPr>
                <w:spacing w:val="-5"/>
              </w:rPr>
              <w:t>BMC</w:t>
            </w:r>
          </w:p>
        </w:tc>
        <w:tc>
          <w:tcPr>
            <w:tcW w:w="6060" w:type="dxa"/>
          </w:tcPr>
          <w:p w14:paraId="1C34E50B" w14:textId="77777777" w:rsidR="004C558F" w:rsidRDefault="00461887">
            <w:pPr>
              <w:pStyle w:val="TableParagraph"/>
              <w:spacing w:before="19" w:line="248" w:lineRule="exact"/>
              <w:ind w:left="106"/>
              <w:jc w:val="left"/>
            </w:pPr>
            <w:r>
              <w:t>Boston</w:t>
            </w:r>
            <w:r>
              <w:rPr>
                <w:spacing w:val="-5"/>
              </w:rPr>
              <w:t xml:space="preserve"> </w:t>
            </w:r>
            <w:r>
              <w:t>Medical</w:t>
            </w:r>
            <w:r>
              <w:rPr>
                <w:spacing w:val="-4"/>
              </w:rPr>
              <w:t xml:space="preserve"> </w:t>
            </w:r>
            <w:r>
              <w:rPr>
                <w:spacing w:val="-2"/>
              </w:rPr>
              <w:t>Center</w:t>
            </w:r>
          </w:p>
        </w:tc>
      </w:tr>
      <w:tr w:rsidR="004C558F" w14:paraId="1C34E50F" w14:textId="77777777" w:rsidTr="00592C50">
        <w:trPr>
          <w:cantSplit/>
          <w:trHeight w:val="288"/>
        </w:trPr>
        <w:tc>
          <w:tcPr>
            <w:tcW w:w="2279" w:type="dxa"/>
          </w:tcPr>
          <w:p w14:paraId="1C34E50D" w14:textId="77777777" w:rsidR="004C558F" w:rsidRDefault="00461887">
            <w:pPr>
              <w:pStyle w:val="TableParagraph"/>
              <w:spacing w:before="19" w:line="248" w:lineRule="exact"/>
              <w:ind w:right="104"/>
            </w:pPr>
            <w:r>
              <w:rPr>
                <w:spacing w:val="-5"/>
              </w:rPr>
              <w:t>BWH</w:t>
            </w:r>
          </w:p>
        </w:tc>
        <w:tc>
          <w:tcPr>
            <w:tcW w:w="6060" w:type="dxa"/>
          </w:tcPr>
          <w:p w14:paraId="1C34E50E" w14:textId="77777777" w:rsidR="004C558F" w:rsidRDefault="00461887">
            <w:pPr>
              <w:pStyle w:val="TableParagraph"/>
              <w:spacing w:before="19" w:line="248" w:lineRule="exact"/>
              <w:ind w:left="106"/>
              <w:jc w:val="left"/>
            </w:pPr>
            <w:r>
              <w:t>Brigham</w:t>
            </w:r>
            <w:r>
              <w:rPr>
                <w:spacing w:val="-5"/>
              </w:rPr>
              <w:t xml:space="preserve"> </w:t>
            </w:r>
            <w:r>
              <w:t>and</w:t>
            </w:r>
            <w:r>
              <w:rPr>
                <w:spacing w:val="-3"/>
              </w:rPr>
              <w:t xml:space="preserve"> </w:t>
            </w:r>
            <w:r>
              <w:t>Women’s</w:t>
            </w:r>
            <w:r>
              <w:rPr>
                <w:spacing w:val="-4"/>
              </w:rPr>
              <w:t xml:space="preserve"> </w:t>
            </w:r>
            <w:r>
              <w:rPr>
                <w:spacing w:val="-2"/>
              </w:rPr>
              <w:t>Hospital</w:t>
            </w:r>
          </w:p>
        </w:tc>
      </w:tr>
      <w:tr w:rsidR="004C558F" w14:paraId="1C34E512" w14:textId="77777777" w:rsidTr="00592C50">
        <w:trPr>
          <w:cantSplit/>
          <w:trHeight w:val="287"/>
        </w:trPr>
        <w:tc>
          <w:tcPr>
            <w:tcW w:w="2279" w:type="dxa"/>
          </w:tcPr>
          <w:p w14:paraId="1C34E510" w14:textId="77777777" w:rsidR="004C558F" w:rsidRDefault="00461887">
            <w:pPr>
              <w:pStyle w:val="TableParagraph"/>
              <w:spacing w:before="19" w:line="248" w:lineRule="exact"/>
              <w:ind w:right="107"/>
            </w:pPr>
            <w:r>
              <w:rPr>
                <w:spacing w:val="-5"/>
              </w:rPr>
              <w:t>MGB</w:t>
            </w:r>
          </w:p>
        </w:tc>
        <w:tc>
          <w:tcPr>
            <w:tcW w:w="6060" w:type="dxa"/>
          </w:tcPr>
          <w:p w14:paraId="1C34E511" w14:textId="77777777" w:rsidR="004C558F" w:rsidRDefault="00461887">
            <w:pPr>
              <w:pStyle w:val="TableParagraph"/>
              <w:spacing w:before="19" w:line="248" w:lineRule="exact"/>
              <w:ind w:left="106"/>
              <w:jc w:val="left"/>
            </w:pPr>
            <w:r>
              <w:t>Mass</w:t>
            </w:r>
            <w:r>
              <w:rPr>
                <w:spacing w:val="-5"/>
              </w:rPr>
              <w:t xml:space="preserve"> </w:t>
            </w:r>
            <w:r>
              <w:t>General</w:t>
            </w:r>
            <w:r>
              <w:rPr>
                <w:spacing w:val="-4"/>
              </w:rPr>
              <w:t xml:space="preserve"> </w:t>
            </w:r>
            <w:r>
              <w:rPr>
                <w:spacing w:val="-2"/>
              </w:rPr>
              <w:t>Brigham</w:t>
            </w:r>
          </w:p>
        </w:tc>
      </w:tr>
      <w:tr w:rsidR="004C558F" w14:paraId="1C34E515" w14:textId="77777777" w:rsidTr="00592C50">
        <w:trPr>
          <w:cantSplit/>
          <w:trHeight w:val="288"/>
        </w:trPr>
        <w:tc>
          <w:tcPr>
            <w:tcW w:w="2279" w:type="dxa"/>
          </w:tcPr>
          <w:p w14:paraId="1C34E513" w14:textId="77777777" w:rsidR="004C558F" w:rsidRDefault="00461887">
            <w:pPr>
              <w:pStyle w:val="TableParagraph"/>
              <w:spacing w:before="19" w:line="248" w:lineRule="exact"/>
              <w:ind w:right="105"/>
            </w:pPr>
            <w:r>
              <w:rPr>
                <w:spacing w:val="-5"/>
              </w:rPr>
              <w:t>MGH</w:t>
            </w:r>
          </w:p>
        </w:tc>
        <w:tc>
          <w:tcPr>
            <w:tcW w:w="6060" w:type="dxa"/>
          </w:tcPr>
          <w:p w14:paraId="1C34E514" w14:textId="77777777" w:rsidR="004C558F" w:rsidRDefault="00461887">
            <w:pPr>
              <w:pStyle w:val="TableParagraph"/>
              <w:spacing w:before="19" w:line="248" w:lineRule="exact"/>
              <w:ind w:left="106"/>
              <w:jc w:val="left"/>
            </w:pPr>
            <w:r>
              <w:t>Mass</w:t>
            </w:r>
            <w:r>
              <w:rPr>
                <w:spacing w:val="-4"/>
              </w:rPr>
              <w:t xml:space="preserve"> </w:t>
            </w:r>
            <w:r>
              <w:t>General</w:t>
            </w:r>
            <w:r>
              <w:rPr>
                <w:spacing w:val="-3"/>
              </w:rPr>
              <w:t xml:space="preserve"> </w:t>
            </w:r>
            <w:r>
              <w:rPr>
                <w:spacing w:val="-2"/>
              </w:rPr>
              <w:t>Hospital</w:t>
            </w:r>
          </w:p>
        </w:tc>
      </w:tr>
      <w:tr w:rsidR="004C558F" w14:paraId="1C34E518" w14:textId="77777777" w:rsidTr="00592C50">
        <w:trPr>
          <w:cantSplit/>
          <w:trHeight w:val="269"/>
        </w:trPr>
        <w:tc>
          <w:tcPr>
            <w:tcW w:w="2279" w:type="dxa"/>
          </w:tcPr>
          <w:p w14:paraId="1C34E516" w14:textId="77777777" w:rsidR="004C558F" w:rsidRDefault="00461887">
            <w:pPr>
              <w:pStyle w:val="TableParagraph"/>
              <w:spacing w:before="19" w:line="230" w:lineRule="exact"/>
              <w:ind w:right="105"/>
            </w:pPr>
            <w:r>
              <w:rPr>
                <w:spacing w:val="-2"/>
              </w:rPr>
              <w:t>UMass</w:t>
            </w:r>
          </w:p>
        </w:tc>
        <w:tc>
          <w:tcPr>
            <w:tcW w:w="6060" w:type="dxa"/>
          </w:tcPr>
          <w:p w14:paraId="1C34E517" w14:textId="77777777" w:rsidR="004C558F" w:rsidRDefault="00461887">
            <w:pPr>
              <w:pStyle w:val="TableParagraph"/>
              <w:spacing w:before="19" w:line="230" w:lineRule="exact"/>
              <w:ind w:left="106"/>
              <w:jc w:val="left"/>
            </w:pPr>
            <w:r>
              <w:t>UMass</w:t>
            </w:r>
            <w:r>
              <w:rPr>
                <w:spacing w:val="-6"/>
              </w:rPr>
              <w:t xml:space="preserve"> </w:t>
            </w:r>
            <w:r>
              <w:t>Memorial</w:t>
            </w:r>
            <w:r>
              <w:rPr>
                <w:spacing w:val="-7"/>
              </w:rPr>
              <w:t xml:space="preserve"> </w:t>
            </w:r>
            <w:r>
              <w:t>Health</w:t>
            </w:r>
            <w:r>
              <w:rPr>
                <w:spacing w:val="-5"/>
              </w:rPr>
              <w:t xml:space="preserve"> </w:t>
            </w:r>
            <w:r>
              <w:rPr>
                <w:spacing w:val="-4"/>
              </w:rPr>
              <w:t>Care</w:t>
            </w:r>
          </w:p>
        </w:tc>
      </w:tr>
    </w:tbl>
    <w:p w14:paraId="1C34E519" w14:textId="77777777" w:rsidR="004C558F" w:rsidRDefault="004C558F">
      <w:pPr>
        <w:spacing w:line="230" w:lineRule="exact"/>
        <w:sectPr w:rsidR="004C558F">
          <w:pgSz w:w="12240" w:h="15840"/>
          <w:pgMar w:top="1360" w:right="740" w:bottom="720" w:left="480" w:header="0" w:footer="521" w:gutter="0"/>
          <w:cols w:space="720"/>
        </w:sectPr>
      </w:pPr>
    </w:p>
    <w:p w14:paraId="1C34E51A" w14:textId="77777777" w:rsidR="004C558F" w:rsidRDefault="00461887">
      <w:pPr>
        <w:pStyle w:val="Heading1"/>
        <w:spacing w:before="81"/>
      </w:pPr>
      <w:bookmarkStart w:id="10" w:name="Executive_Summary"/>
      <w:bookmarkStart w:id="11" w:name="_bookmark5"/>
      <w:bookmarkEnd w:id="10"/>
      <w:bookmarkEnd w:id="11"/>
      <w:r>
        <w:rPr>
          <w:color w:val="084875"/>
        </w:rPr>
        <w:lastRenderedPageBreak/>
        <w:t>EXECUTIVE</w:t>
      </w:r>
      <w:r>
        <w:rPr>
          <w:color w:val="084875"/>
          <w:spacing w:val="-17"/>
        </w:rPr>
        <w:t xml:space="preserve"> </w:t>
      </w:r>
      <w:r>
        <w:rPr>
          <w:color w:val="084875"/>
          <w:spacing w:val="-2"/>
        </w:rPr>
        <w:t>SUMMARY</w:t>
      </w:r>
    </w:p>
    <w:p w14:paraId="1C34E51B" w14:textId="77777777" w:rsidR="004C558F" w:rsidRDefault="004C558F">
      <w:pPr>
        <w:pStyle w:val="BodyText"/>
        <w:spacing w:before="57"/>
        <w:rPr>
          <w:rFonts w:ascii="Franklin Gothic Demi"/>
          <w:b/>
          <w:sz w:val="32"/>
        </w:rPr>
      </w:pPr>
    </w:p>
    <w:p w14:paraId="1C34E51C" w14:textId="70F26A62" w:rsidR="004C558F" w:rsidRDefault="00461887">
      <w:pPr>
        <w:pStyle w:val="BodyText"/>
        <w:spacing w:line="276" w:lineRule="auto"/>
        <w:ind w:left="960" w:right="702" w:firstLine="720"/>
      </w:pPr>
      <w:r>
        <w:t>On October 24, 2023, Dana-Farber Cancer Institute (DFCI), Beth Israel Deaconess Medical Center (BIDMC), and Harvard Medical Faculty Physicians at Beth Israel Deaconess Medical Center (HMFP) filed Notices of Material Change (MCNs) with the Massachusetts Health Policy Commission (HPC) regarding</w:t>
      </w:r>
      <w:r>
        <w:rPr>
          <w:spacing w:val="-1"/>
        </w:rPr>
        <w:t xml:space="preserve"> </w:t>
      </w:r>
      <w:r>
        <w:t>a new clinical affiliation</w:t>
      </w:r>
      <w:bookmarkStart w:id="12" w:name="_bookmark6"/>
      <w:bookmarkEnd w:id="12"/>
      <w:r>
        <w:t>.</w:t>
      </w:r>
      <w:r w:rsidR="00412F1F">
        <w:rPr>
          <w:rStyle w:val="FootnoteReference"/>
        </w:rPr>
        <w:footnoteReference w:id="3"/>
      </w:r>
      <w:r>
        <w:rPr>
          <w:spacing w:val="22"/>
          <w:position w:val="5"/>
          <w:sz w:val="14"/>
        </w:rPr>
        <w:t xml:space="preserve"> </w:t>
      </w:r>
      <w:r>
        <w:t>Under the proposed affiliation, the parties plan to provide coordinated and integrated cancer care for adults in the Longwood Medical and Academic Area in Boston and coordinate on the construction of a new freestanding cancer hospital. The 300-bed cancer</w:t>
      </w:r>
      <w:r>
        <w:rPr>
          <w:spacing w:val="-3"/>
        </w:rPr>
        <w:t xml:space="preserve"> </w:t>
      </w:r>
      <w:r>
        <w:t>hospital</w:t>
      </w:r>
      <w:r>
        <w:rPr>
          <w:spacing w:val="-3"/>
        </w:rPr>
        <w:t xml:space="preserve"> </w:t>
      </w:r>
      <w:r>
        <w:t>would</w:t>
      </w:r>
      <w:r>
        <w:rPr>
          <w:spacing w:val="-1"/>
        </w:rPr>
        <w:t xml:space="preserve"> </w:t>
      </w:r>
      <w:r>
        <w:t>be</w:t>
      </w:r>
      <w:r>
        <w:rPr>
          <w:spacing w:val="-4"/>
        </w:rPr>
        <w:t xml:space="preserve"> </w:t>
      </w:r>
      <w:r>
        <w:t>constructed</w:t>
      </w:r>
      <w:r>
        <w:rPr>
          <w:spacing w:val="-1"/>
        </w:rPr>
        <w:t xml:space="preserve"> </w:t>
      </w:r>
      <w:r>
        <w:t>by</w:t>
      </w:r>
      <w:r>
        <w:rPr>
          <w:spacing w:val="-5"/>
        </w:rPr>
        <w:t xml:space="preserve"> </w:t>
      </w:r>
      <w:r>
        <w:t>DFCI</w:t>
      </w:r>
      <w:r>
        <w:rPr>
          <w:spacing w:val="-5"/>
        </w:rPr>
        <w:t xml:space="preserve"> </w:t>
      </w:r>
      <w:r>
        <w:t>and</w:t>
      </w:r>
      <w:r>
        <w:rPr>
          <w:spacing w:val="-4"/>
        </w:rPr>
        <w:t xml:space="preserve"> </w:t>
      </w:r>
      <w:r>
        <w:t>would</w:t>
      </w:r>
      <w:r>
        <w:rPr>
          <w:spacing w:val="-1"/>
        </w:rPr>
        <w:t xml:space="preserve"> </w:t>
      </w:r>
      <w:r>
        <w:t>be</w:t>
      </w:r>
      <w:r>
        <w:rPr>
          <w:spacing w:val="-2"/>
        </w:rPr>
        <w:t xml:space="preserve"> </w:t>
      </w:r>
      <w:r>
        <w:t>adjacent</w:t>
      </w:r>
      <w:r>
        <w:rPr>
          <w:spacing w:val="-3"/>
        </w:rPr>
        <w:t xml:space="preserve"> </w:t>
      </w:r>
      <w:r>
        <w:t>to</w:t>
      </w:r>
      <w:r>
        <w:rPr>
          <w:spacing w:val="-4"/>
        </w:rPr>
        <w:t xml:space="preserve"> </w:t>
      </w:r>
      <w:r>
        <w:t>and</w:t>
      </w:r>
      <w:r>
        <w:rPr>
          <w:spacing w:val="-4"/>
        </w:rPr>
        <w:t xml:space="preserve"> </w:t>
      </w:r>
      <w:r>
        <w:t>connected</w:t>
      </w:r>
      <w:r>
        <w:rPr>
          <w:spacing w:val="-1"/>
        </w:rPr>
        <w:t xml:space="preserve"> </w:t>
      </w:r>
      <w:r>
        <w:t>with</w:t>
      </w:r>
      <w:r>
        <w:rPr>
          <w:spacing w:val="-4"/>
        </w:rPr>
        <w:t xml:space="preserve"> </w:t>
      </w:r>
      <w:r>
        <w:t>BIDMC.</w:t>
      </w:r>
    </w:p>
    <w:p w14:paraId="1C34E51D" w14:textId="77777777" w:rsidR="004C558F" w:rsidRDefault="004C558F">
      <w:pPr>
        <w:pStyle w:val="BodyText"/>
        <w:spacing w:before="36"/>
      </w:pPr>
    </w:p>
    <w:p w14:paraId="1C34E51E" w14:textId="3BC8EB88" w:rsidR="004C558F" w:rsidRDefault="00461887">
      <w:pPr>
        <w:pStyle w:val="BodyText"/>
        <w:spacing w:before="1" w:line="276" w:lineRule="auto"/>
        <w:ind w:left="959" w:right="731" w:firstLine="720"/>
      </w:pPr>
      <w:r>
        <w:t>Under the proposed affiliation, DFCI would employ HMFP medical oncologists practicing in Longwood</w:t>
      </w:r>
      <w:r>
        <w:rPr>
          <w:spacing w:val="-4"/>
        </w:rPr>
        <w:t xml:space="preserve"> </w:t>
      </w:r>
      <w:r>
        <w:t>and</w:t>
      </w:r>
      <w:r>
        <w:rPr>
          <w:spacing w:val="-2"/>
        </w:rPr>
        <w:t xml:space="preserve"> </w:t>
      </w:r>
      <w:r>
        <w:t>BIDMC</w:t>
      </w:r>
      <w:r>
        <w:rPr>
          <w:spacing w:val="-4"/>
        </w:rPr>
        <w:t xml:space="preserve"> </w:t>
      </w:r>
      <w:r>
        <w:t>would</w:t>
      </w:r>
      <w:r>
        <w:rPr>
          <w:spacing w:val="-4"/>
        </w:rPr>
        <w:t xml:space="preserve"> </w:t>
      </w:r>
      <w:r>
        <w:t>discontinue</w:t>
      </w:r>
      <w:r>
        <w:rPr>
          <w:spacing w:val="-3"/>
        </w:rPr>
        <w:t xml:space="preserve"> </w:t>
      </w:r>
      <w:r>
        <w:t>independently</w:t>
      </w:r>
      <w:r>
        <w:rPr>
          <w:spacing w:val="-4"/>
        </w:rPr>
        <w:t xml:space="preserve"> </w:t>
      </w:r>
      <w:r>
        <w:t>providing</w:t>
      </w:r>
      <w:r>
        <w:rPr>
          <w:spacing w:val="-5"/>
        </w:rPr>
        <w:t xml:space="preserve"> </w:t>
      </w:r>
      <w:r>
        <w:t>medical</w:t>
      </w:r>
      <w:r>
        <w:rPr>
          <w:spacing w:val="-5"/>
        </w:rPr>
        <w:t xml:space="preserve"> </w:t>
      </w:r>
      <w:r>
        <w:t>oncology</w:t>
      </w:r>
      <w:r>
        <w:rPr>
          <w:spacing w:val="-4"/>
        </w:rPr>
        <w:t xml:space="preserve"> </w:t>
      </w:r>
      <w:r>
        <w:t>services,</w:t>
      </w:r>
      <w:r>
        <w:rPr>
          <w:spacing w:val="-3"/>
        </w:rPr>
        <w:t xml:space="preserve"> </w:t>
      </w:r>
      <w:r>
        <w:t>instead using DFCI as its preferred medical oncology and infusion provider.</w:t>
      </w:r>
      <w:r>
        <w:rPr>
          <w:spacing w:val="-33"/>
        </w:rPr>
        <w:t xml:space="preserve"> </w:t>
      </w:r>
      <w:r w:rsidR="009A7080">
        <w:rPr>
          <w:rStyle w:val="FootnoteReference"/>
          <w:spacing w:val="-33"/>
        </w:rPr>
        <w:footnoteReference w:id="4"/>
      </w:r>
      <w:r>
        <w:t>BIDMC and HMFP would become DFCI’s preferred providers of surgical oncology services, and HMFP would provide clinical cancer pathology and certain other physician services to DFCI.</w:t>
      </w:r>
      <w:r w:rsidR="009A7080">
        <w:rPr>
          <w:rStyle w:val="FootnoteReference"/>
        </w:rPr>
        <w:footnoteReference w:id="5"/>
      </w:r>
      <w:r>
        <w:rPr>
          <w:spacing w:val="31"/>
          <w:position w:val="5"/>
          <w:sz w:val="14"/>
        </w:rPr>
        <w:t xml:space="preserve"> </w:t>
      </w:r>
      <w:r>
        <w:t>DFCI and BIDMC would each continue to provide diagnostic radiology and laboratory and pathology services. DFCI and BIDMC would form a joint venture to coordinate technical radiation therapy services, and DFCI, BIDMC, and HMFP would jointly form a physician organization for the purpose of providing professional radiation oncology services.</w:t>
      </w:r>
      <w:r w:rsidR="009A7080">
        <w:rPr>
          <w:rStyle w:val="FootnoteReference"/>
        </w:rPr>
        <w:footnoteReference w:id="6"/>
      </w:r>
      <w:r>
        <w:rPr>
          <w:spacing w:val="34"/>
          <w:position w:val="5"/>
          <w:sz w:val="14"/>
        </w:rPr>
        <w:t xml:space="preserve"> </w:t>
      </w:r>
      <w:r>
        <w:t>The proposed affiliation represents a significant realignment among major Massachusetts</w:t>
      </w:r>
      <w:r>
        <w:rPr>
          <w:spacing w:val="-2"/>
        </w:rPr>
        <w:t xml:space="preserve"> </w:t>
      </w:r>
      <w:r>
        <w:t>health</w:t>
      </w:r>
      <w:r>
        <w:rPr>
          <w:spacing w:val="-4"/>
        </w:rPr>
        <w:t xml:space="preserve"> </w:t>
      </w:r>
      <w:r>
        <w:t>care</w:t>
      </w:r>
      <w:r>
        <w:rPr>
          <w:spacing w:val="-2"/>
        </w:rPr>
        <w:t xml:space="preserve"> </w:t>
      </w:r>
      <w:r>
        <w:t>providers,</w:t>
      </w:r>
      <w:r>
        <w:rPr>
          <w:spacing w:val="-5"/>
        </w:rPr>
        <w:t xml:space="preserve"> </w:t>
      </w:r>
      <w:r>
        <w:t>replacing</w:t>
      </w:r>
      <w:r>
        <w:rPr>
          <w:spacing w:val="-3"/>
        </w:rPr>
        <w:t xml:space="preserve"> </w:t>
      </w:r>
      <w:r>
        <w:t>a</w:t>
      </w:r>
      <w:r>
        <w:rPr>
          <w:spacing w:val="-4"/>
        </w:rPr>
        <w:t xml:space="preserve"> </w:t>
      </w:r>
      <w:r>
        <w:t>nearly</w:t>
      </w:r>
      <w:r>
        <w:rPr>
          <w:spacing w:val="-3"/>
        </w:rPr>
        <w:t xml:space="preserve"> </w:t>
      </w:r>
      <w:r>
        <w:t>30-year</w:t>
      </w:r>
      <w:r>
        <w:rPr>
          <w:spacing w:val="-3"/>
        </w:rPr>
        <w:t xml:space="preserve"> </w:t>
      </w:r>
      <w:r>
        <w:t>clinical</w:t>
      </w:r>
      <w:r>
        <w:rPr>
          <w:spacing w:val="-3"/>
        </w:rPr>
        <w:t xml:space="preserve"> </w:t>
      </w:r>
      <w:r>
        <w:t>affiliation</w:t>
      </w:r>
      <w:r>
        <w:rPr>
          <w:spacing w:val="-2"/>
        </w:rPr>
        <w:t xml:space="preserve"> </w:t>
      </w:r>
      <w:r>
        <w:t>between</w:t>
      </w:r>
      <w:r>
        <w:rPr>
          <w:spacing w:val="-2"/>
        </w:rPr>
        <w:t xml:space="preserve"> </w:t>
      </w:r>
      <w:r>
        <w:t>DFCI</w:t>
      </w:r>
      <w:r>
        <w:rPr>
          <w:spacing w:val="-2"/>
        </w:rPr>
        <w:t xml:space="preserve"> </w:t>
      </w:r>
      <w:r>
        <w:t>and Brigham and Women’s Hospital (BWH) through which DFCI currently provides inpatient oncology services in beds it leases from BWH as well as to BWH patients in BWH beds.</w:t>
      </w:r>
    </w:p>
    <w:p w14:paraId="1C34E51F" w14:textId="77777777" w:rsidR="004C558F" w:rsidRDefault="004C558F">
      <w:pPr>
        <w:pStyle w:val="BodyText"/>
        <w:spacing w:before="37"/>
      </w:pPr>
    </w:p>
    <w:p w14:paraId="1C34E520" w14:textId="13A7D9D5" w:rsidR="004C558F" w:rsidRDefault="00461887">
      <w:pPr>
        <w:pStyle w:val="BodyText"/>
        <w:spacing w:before="1" w:line="276" w:lineRule="auto"/>
        <w:ind w:left="960" w:right="799" w:firstLine="720"/>
      </w:pPr>
      <w:r>
        <w:t>The parties state the clinical affiliation would increase access to high-quality tertiary and quaternary</w:t>
      </w:r>
      <w:r>
        <w:rPr>
          <w:spacing w:val="-5"/>
        </w:rPr>
        <w:t xml:space="preserve"> </w:t>
      </w:r>
      <w:r>
        <w:t>adult</w:t>
      </w:r>
      <w:r>
        <w:rPr>
          <w:spacing w:val="-3"/>
        </w:rPr>
        <w:t xml:space="preserve"> </w:t>
      </w:r>
      <w:r>
        <w:t>oncology</w:t>
      </w:r>
      <w:r>
        <w:rPr>
          <w:spacing w:val="-5"/>
        </w:rPr>
        <w:t xml:space="preserve"> </w:t>
      </w:r>
      <w:r>
        <w:t>services</w:t>
      </w:r>
      <w:r>
        <w:rPr>
          <w:spacing w:val="-4"/>
        </w:rPr>
        <w:t xml:space="preserve"> </w:t>
      </w:r>
      <w:r>
        <w:t>for</w:t>
      </w:r>
      <w:r>
        <w:rPr>
          <w:spacing w:val="-3"/>
        </w:rPr>
        <w:t xml:space="preserve"> </w:t>
      </w:r>
      <w:r>
        <w:t>the</w:t>
      </w:r>
      <w:r>
        <w:rPr>
          <w:spacing w:val="-2"/>
        </w:rPr>
        <w:t xml:space="preserve"> </w:t>
      </w:r>
      <w:r>
        <w:t>highest</w:t>
      </w:r>
      <w:r>
        <w:rPr>
          <w:spacing w:val="-3"/>
        </w:rPr>
        <w:t xml:space="preserve"> </w:t>
      </w:r>
      <w:r>
        <w:t>acuity</w:t>
      </w:r>
      <w:r>
        <w:rPr>
          <w:spacing w:val="-3"/>
        </w:rPr>
        <w:t xml:space="preserve"> </w:t>
      </w:r>
      <w:r>
        <w:t>patients</w:t>
      </w:r>
      <w:r>
        <w:rPr>
          <w:spacing w:val="-2"/>
        </w:rPr>
        <w:t xml:space="preserve"> </w:t>
      </w:r>
      <w:r>
        <w:t>with</w:t>
      </w:r>
      <w:r>
        <w:rPr>
          <w:spacing w:val="-2"/>
        </w:rPr>
        <w:t xml:space="preserve"> </w:t>
      </w:r>
      <w:r>
        <w:t>the</w:t>
      </w:r>
      <w:r>
        <w:rPr>
          <w:spacing w:val="-2"/>
        </w:rPr>
        <w:t xml:space="preserve"> </w:t>
      </w:r>
      <w:r>
        <w:t>most</w:t>
      </w:r>
      <w:r>
        <w:rPr>
          <w:spacing w:val="-3"/>
        </w:rPr>
        <w:t xml:space="preserve"> </w:t>
      </w:r>
      <w:r>
        <w:t>complex</w:t>
      </w:r>
      <w:r>
        <w:rPr>
          <w:spacing w:val="-2"/>
        </w:rPr>
        <w:t xml:space="preserve"> </w:t>
      </w:r>
      <w:r>
        <w:t>diagnoses in the new DFCI facility.</w:t>
      </w:r>
      <w:r w:rsidR="009A7080">
        <w:rPr>
          <w:rStyle w:val="FootnoteReference"/>
        </w:rPr>
        <w:footnoteReference w:id="7"/>
      </w:r>
      <w:r>
        <w:rPr>
          <w:spacing w:val="29"/>
          <w:position w:val="5"/>
          <w:sz w:val="14"/>
        </w:rPr>
        <w:t xml:space="preserve"> </w:t>
      </w:r>
      <w:r>
        <w:t>DFCI states that “need cannot be met by other hospitals within the Commonwealth because of the highly specialized nature of inpatient oncology care required by [DFCI’s] patient panel and the growing demand for such care,</w:t>
      </w:r>
      <w:bookmarkStart w:id="13" w:name="_bookmark7"/>
      <w:bookmarkEnd w:id="13"/>
      <w:r>
        <w:t>”</w:t>
      </w:r>
      <w:r w:rsidR="00B04CEB">
        <w:rPr>
          <w:rStyle w:val="FootnoteReference"/>
        </w:rPr>
        <w:footnoteReference w:id="8"/>
      </w:r>
      <w:r>
        <w:rPr>
          <w:spacing w:val="29"/>
          <w:position w:val="5"/>
          <w:sz w:val="14"/>
        </w:rPr>
        <w:t xml:space="preserve"> </w:t>
      </w:r>
      <w:r>
        <w:t>and that this level of care is most</w:t>
      </w:r>
    </w:p>
    <w:p w14:paraId="1C34E521" w14:textId="3180BF38" w:rsidR="004C558F" w:rsidRDefault="004C558F">
      <w:pPr>
        <w:pStyle w:val="BodyText"/>
        <w:spacing w:before="57"/>
        <w:rPr>
          <w:sz w:val="20"/>
        </w:rPr>
      </w:pPr>
    </w:p>
    <w:p w14:paraId="1C34E52C" w14:textId="330E46A3" w:rsidR="004C558F" w:rsidRDefault="00461887">
      <w:pPr>
        <w:pStyle w:val="BodyText"/>
        <w:spacing w:before="80" w:line="276" w:lineRule="auto"/>
        <w:ind w:left="960" w:right="702" w:hanging="1"/>
        <w:rPr>
          <w:sz w:val="14"/>
        </w:rPr>
      </w:pPr>
      <w:bookmarkStart w:id="15" w:name="_bookmark8"/>
      <w:bookmarkStart w:id="16" w:name="_bookmark9"/>
      <w:bookmarkStart w:id="17" w:name="_bookmark12"/>
      <w:bookmarkStart w:id="18" w:name="_bookmark13"/>
      <w:bookmarkEnd w:id="15"/>
      <w:bookmarkEnd w:id="16"/>
      <w:bookmarkEnd w:id="17"/>
      <w:bookmarkEnd w:id="18"/>
      <w:r>
        <w:lastRenderedPageBreak/>
        <w:t>appropriately provided through “dedicated inpatient cancer beds in a specialty hospital setting.”</w:t>
      </w:r>
      <w:r>
        <w:rPr>
          <w:spacing w:val="-33"/>
        </w:rPr>
        <w:t xml:space="preserve"> </w:t>
      </w:r>
      <w:r w:rsidR="008F2958">
        <w:rPr>
          <w:rStyle w:val="FootnoteReference"/>
          <w:spacing w:val="-33"/>
        </w:rPr>
        <w:footnoteReference w:id="9"/>
      </w:r>
      <w:r>
        <w:t>DFCI additionally states that these beds would increase access to innovative and complex cancer treatments</w:t>
      </w:r>
      <w:r>
        <w:rPr>
          <w:spacing w:val="-6"/>
        </w:rPr>
        <w:t xml:space="preserve"> </w:t>
      </w:r>
      <w:r>
        <w:t>that</w:t>
      </w:r>
      <w:r>
        <w:rPr>
          <w:spacing w:val="-4"/>
        </w:rPr>
        <w:t xml:space="preserve"> </w:t>
      </w:r>
      <w:r>
        <w:t>require</w:t>
      </w:r>
      <w:r>
        <w:rPr>
          <w:spacing w:val="-3"/>
        </w:rPr>
        <w:t xml:space="preserve"> </w:t>
      </w:r>
      <w:r>
        <w:t>hospitalization.</w:t>
      </w:r>
      <w:r>
        <w:rPr>
          <w:spacing w:val="-36"/>
        </w:rPr>
        <w:t xml:space="preserve"> </w:t>
      </w:r>
      <w:r w:rsidR="00E451DF">
        <w:rPr>
          <w:rStyle w:val="FootnoteReference"/>
          <w:spacing w:val="-36"/>
        </w:rPr>
        <w:footnoteReference w:id="10"/>
      </w:r>
      <w:r>
        <w:t>The</w:t>
      </w:r>
      <w:r>
        <w:rPr>
          <w:spacing w:val="-3"/>
        </w:rPr>
        <w:t xml:space="preserve"> </w:t>
      </w:r>
      <w:r>
        <w:t>project,</w:t>
      </w:r>
      <w:r>
        <w:rPr>
          <w:spacing w:val="-6"/>
        </w:rPr>
        <w:t xml:space="preserve"> </w:t>
      </w:r>
      <w:r>
        <w:t>according</w:t>
      </w:r>
      <w:r>
        <w:rPr>
          <w:spacing w:val="-4"/>
        </w:rPr>
        <w:t xml:space="preserve"> </w:t>
      </w:r>
      <w:r>
        <w:t>to</w:t>
      </w:r>
      <w:r>
        <w:rPr>
          <w:spacing w:val="-5"/>
        </w:rPr>
        <w:t xml:space="preserve"> </w:t>
      </w:r>
      <w:r>
        <w:t>DFCI,</w:t>
      </w:r>
      <w:r>
        <w:rPr>
          <w:spacing w:val="-3"/>
        </w:rPr>
        <w:t xml:space="preserve"> </w:t>
      </w:r>
      <w:r>
        <w:t>“will</w:t>
      </w:r>
      <w:r>
        <w:rPr>
          <w:spacing w:val="-4"/>
        </w:rPr>
        <w:t xml:space="preserve"> </w:t>
      </w:r>
      <w:r>
        <w:t>provide</w:t>
      </w:r>
      <w:r>
        <w:rPr>
          <w:spacing w:val="-3"/>
        </w:rPr>
        <w:t xml:space="preserve"> </w:t>
      </w:r>
      <w:r>
        <w:t>patients</w:t>
      </w:r>
      <w:r>
        <w:rPr>
          <w:spacing w:val="-3"/>
        </w:rPr>
        <w:t xml:space="preserve"> </w:t>
      </w:r>
      <w:r>
        <w:t>with improved health outcomes, quality of life and access to cancer care services.”</w:t>
      </w:r>
      <w:r w:rsidR="00E451DF">
        <w:rPr>
          <w:rStyle w:val="FootnoteReference"/>
        </w:rPr>
        <w:footnoteReference w:id="11"/>
      </w:r>
      <w:r w:rsidR="00E451DF">
        <w:rPr>
          <w:sz w:val="14"/>
        </w:rPr>
        <w:t xml:space="preserve"> </w:t>
      </w:r>
    </w:p>
    <w:p w14:paraId="1C34E52D" w14:textId="77777777" w:rsidR="004C558F" w:rsidRDefault="004C558F">
      <w:pPr>
        <w:pStyle w:val="BodyText"/>
        <w:spacing w:before="38"/>
      </w:pPr>
    </w:p>
    <w:p w14:paraId="1C34E52E" w14:textId="4691FE26" w:rsidR="004C558F" w:rsidRDefault="00461887">
      <w:pPr>
        <w:pStyle w:val="BodyText"/>
        <w:spacing w:line="276" w:lineRule="auto"/>
        <w:ind w:left="959" w:right="729" w:firstLine="720"/>
        <w:rPr>
          <w:sz w:val="14"/>
        </w:rPr>
      </w:pPr>
      <w:r>
        <w:t>After a 30-day initial review, the HPC determined that the proposed transaction was likely to have a significant impact on costs and market functioning in Massachusetts and warranted further review.</w:t>
      </w:r>
      <w:r>
        <w:rPr>
          <w:spacing w:val="-36"/>
        </w:rPr>
        <w:t xml:space="preserve"> </w:t>
      </w:r>
      <w:r w:rsidR="00395C6B">
        <w:rPr>
          <w:rStyle w:val="FootnoteReference"/>
          <w:spacing w:val="-36"/>
        </w:rPr>
        <w:footnoteReference w:id="12"/>
      </w:r>
      <w:r>
        <w:t>The</w:t>
      </w:r>
      <w:r>
        <w:rPr>
          <w:spacing w:val="-2"/>
        </w:rPr>
        <w:t xml:space="preserve"> </w:t>
      </w:r>
      <w:r>
        <w:t>proposed</w:t>
      </w:r>
      <w:r>
        <w:rPr>
          <w:spacing w:val="-4"/>
        </w:rPr>
        <w:t xml:space="preserve"> </w:t>
      </w:r>
      <w:r>
        <w:t>construction</w:t>
      </w:r>
      <w:r>
        <w:rPr>
          <w:spacing w:val="-4"/>
        </w:rPr>
        <w:t xml:space="preserve"> </w:t>
      </w:r>
      <w:r>
        <w:t>of</w:t>
      </w:r>
      <w:r>
        <w:rPr>
          <w:spacing w:val="-1"/>
        </w:rPr>
        <w:t xml:space="preserve"> </w:t>
      </w:r>
      <w:r>
        <w:t>the</w:t>
      </w:r>
      <w:r>
        <w:rPr>
          <w:spacing w:val="-2"/>
        </w:rPr>
        <w:t xml:space="preserve"> </w:t>
      </w:r>
      <w:r>
        <w:t>new</w:t>
      </w:r>
      <w:r>
        <w:rPr>
          <w:spacing w:val="-3"/>
        </w:rPr>
        <w:t xml:space="preserve"> </w:t>
      </w:r>
      <w:r>
        <w:t>DFCI</w:t>
      </w:r>
      <w:r>
        <w:rPr>
          <w:spacing w:val="-5"/>
        </w:rPr>
        <w:t xml:space="preserve"> </w:t>
      </w:r>
      <w:r>
        <w:t>hospital</w:t>
      </w:r>
      <w:r>
        <w:rPr>
          <w:spacing w:val="-3"/>
        </w:rPr>
        <w:t xml:space="preserve"> </w:t>
      </w:r>
      <w:r>
        <w:t>in</w:t>
      </w:r>
      <w:r>
        <w:rPr>
          <w:spacing w:val="-2"/>
        </w:rPr>
        <w:t xml:space="preserve"> </w:t>
      </w:r>
      <w:r>
        <w:t>connection</w:t>
      </w:r>
      <w:r>
        <w:rPr>
          <w:spacing w:val="-4"/>
        </w:rPr>
        <w:t xml:space="preserve"> </w:t>
      </w:r>
      <w:r>
        <w:t>with</w:t>
      </w:r>
      <w:r>
        <w:rPr>
          <w:spacing w:val="-2"/>
        </w:rPr>
        <w:t xml:space="preserve"> </w:t>
      </w:r>
      <w:r>
        <w:t>this</w:t>
      </w:r>
      <w:r>
        <w:rPr>
          <w:spacing w:val="-2"/>
        </w:rPr>
        <w:t xml:space="preserve"> </w:t>
      </w:r>
      <w:r>
        <w:t>transaction</w:t>
      </w:r>
      <w:r>
        <w:rPr>
          <w:spacing w:val="-2"/>
        </w:rPr>
        <w:t xml:space="preserve"> </w:t>
      </w:r>
      <w:r>
        <w:t>also requires a Determination of Need (</w:t>
      </w:r>
      <w:proofErr w:type="spellStart"/>
      <w:r>
        <w:t>DoN</w:t>
      </w:r>
      <w:proofErr w:type="spellEnd"/>
      <w:r>
        <w:t xml:space="preserve">), and DFCI filed a </w:t>
      </w:r>
      <w:proofErr w:type="spellStart"/>
      <w:r>
        <w:t>DoN</w:t>
      </w:r>
      <w:proofErr w:type="spellEnd"/>
      <w:r>
        <w:t xml:space="preserve"> application with the Department of Public Health (DPH) concurrently with the filing of its MCN.</w:t>
      </w:r>
      <w:r w:rsidR="007A7AE9">
        <w:rPr>
          <w:rStyle w:val="FootnoteReference"/>
        </w:rPr>
        <w:footnoteReference w:id="13"/>
      </w:r>
      <w:r>
        <w:rPr>
          <w:spacing w:val="30"/>
          <w:position w:val="5"/>
          <w:sz w:val="14"/>
        </w:rPr>
        <w:t xml:space="preserve"> </w:t>
      </w:r>
      <w:r>
        <w:t>DPH’s review included requiring an Independent Cost Analysis of the projec</w:t>
      </w:r>
      <w:bookmarkStart w:id="19" w:name="_bookmark14"/>
      <w:bookmarkEnd w:id="19"/>
      <w:r>
        <w:t>t,</w:t>
      </w:r>
      <w:r w:rsidR="00260786">
        <w:rPr>
          <w:rStyle w:val="FootnoteReference"/>
        </w:rPr>
        <w:footnoteReference w:id="14"/>
      </w:r>
      <w:r>
        <w:rPr>
          <w:spacing w:val="27"/>
          <w:position w:val="5"/>
          <w:sz w:val="14"/>
        </w:rPr>
        <w:t xml:space="preserve"> </w:t>
      </w:r>
      <w:r>
        <w:t xml:space="preserve">and </w:t>
      </w:r>
      <w:proofErr w:type="spellStart"/>
      <w:r>
        <w:t>DoN</w:t>
      </w:r>
      <w:proofErr w:type="spellEnd"/>
      <w:r>
        <w:t xml:space="preserve"> program staff issued a staff report on February 18, 2025, recommending approval of the DFCI project with conditions</w:t>
      </w:r>
      <w:bookmarkStart w:id="20" w:name="_bookmark15"/>
      <w:bookmarkEnd w:id="20"/>
      <w:r>
        <w:t>.</w:t>
      </w:r>
      <w:r w:rsidR="008461FD">
        <w:rPr>
          <w:rStyle w:val="FootnoteReference"/>
        </w:rPr>
        <w:footnoteReference w:id="15"/>
      </w:r>
      <w:r>
        <w:rPr>
          <w:spacing w:val="30"/>
          <w:position w:val="5"/>
          <w:sz w:val="14"/>
        </w:rPr>
        <w:t xml:space="preserve"> </w:t>
      </w:r>
      <w:r>
        <w:t xml:space="preserve">A Notice of </w:t>
      </w:r>
      <w:proofErr w:type="spellStart"/>
      <w:r>
        <w:t>DoN</w:t>
      </w:r>
      <w:proofErr w:type="spellEnd"/>
      <w:r>
        <w:t xml:space="preserve"> does not</w:t>
      </w:r>
      <w:r>
        <w:rPr>
          <w:spacing w:val="80"/>
        </w:rPr>
        <w:t xml:space="preserve"> </w:t>
      </w:r>
      <w:r>
        <w:t xml:space="preserve">go into effect until 30 days after the CMIR final report and DPH may rescind or amend an approved Notice of </w:t>
      </w:r>
      <w:proofErr w:type="spellStart"/>
      <w:r>
        <w:t>DoN</w:t>
      </w:r>
      <w:proofErr w:type="spellEnd"/>
      <w:r>
        <w:t xml:space="preserve"> on the basis of findings in a CMIR.</w:t>
      </w:r>
      <w:r w:rsidR="008461FD">
        <w:rPr>
          <w:rStyle w:val="FootnoteReference"/>
        </w:rPr>
        <w:footnoteReference w:id="16"/>
      </w:r>
      <w:r w:rsidR="008461FD">
        <w:rPr>
          <w:sz w:val="14"/>
        </w:rPr>
        <w:t xml:space="preserve"> </w:t>
      </w:r>
    </w:p>
    <w:p w14:paraId="1C34E52F" w14:textId="77777777" w:rsidR="004C558F" w:rsidRDefault="004C558F">
      <w:pPr>
        <w:pStyle w:val="BodyText"/>
        <w:spacing w:before="37"/>
      </w:pPr>
    </w:p>
    <w:p w14:paraId="1C34E530" w14:textId="77777777" w:rsidR="004C558F" w:rsidRDefault="00461887">
      <w:pPr>
        <w:pStyle w:val="BodyText"/>
        <w:spacing w:line="276" w:lineRule="auto"/>
        <w:ind w:left="959" w:right="702" w:firstLine="720"/>
      </w:pPr>
      <w:r>
        <w:t>This</w:t>
      </w:r>
      <w:r>
        <w:rPr>
          <w:spacing w:val="-4"/>
        </w:rPr>
        <w:t xml:space="preserve"> </w:t>
      </w:r>
      <w:r>
        <w:t>report</w:t>
      </w:r>
      <w:r>
        <w:rPr>
          <w:spacing w:val="-3"/>
        </w:rPr>
        <w:t xml:space="preserve"> </w:t>
      </w:r>
      <w:r>
        <w:t>is</w:t>
      </w:r>
      <w:r>
        <w:rPr>
          <w:spacing w:val="-4"/>
        </w:rPr>
        <w:t xml:space="preserve"> </w:t>
      </w:r>
      <w:r>
        <w:t>organized</w:t>
      </w:r>
      <w:r>
        <w:rPr>
          <w:spacing w:val="-1"/>
        </w:rPr>
        <w:t xml:space="preserve"> </w:t>
      </w:r>
      <w:r>
        <w:t>into</w:t>
      </w:r>
      <w:r>
        <w:rPr>
          <w:spacing w:val="-2"/>
        </w:rPr>
        <w:t xml:space="preserve"> </w:t>
      </w:r>
      <w:r>
        <w:t>four</w:t>
      </w:r>
      <w:r>
        <w:rPr>
          <w:spacing w:val="-3"/>
        </w:rPr>
        <w:t xml:space="preserve"> </w:t>
      </w:r>
      <w:r>
        <w:t>parts.</w:t>
      </w:r>
      <w:r>
        <w:rPr>
          <w:spacing w:val="-2"/>
        </w:rPr>
        <w:t xml:space="preserve"> </w:t>
      </w:r>
      <w:r>
        <w:t>Part</w:t>
      </w:r>
      <w:r>
        <w:rPr>
          <w:spacing w:val="-3"/>
        </w:rPr>
        <w:t xml:space="preserve"> </w:t>
      </w:r>
      <w:r>
        <w:t>I</w:t>
      </w:r>
      <w:r>
        <w:rPr>
          <w:spacing w:val="-2"/>
        </w:rPr>
        <w:t xml:space="preserve"> </w:t>
      </w:r>
      <w:r>
        <w:t>outlines</w:t>
      </w:r>
      <w:r>
        <w:rPr>
          <w:spacing w:val="-2"/>
        </w:rPr>
        <w:t xml:space="preserve"> </w:t>
      </w:r>
      <w:r>
        <w:t>our</w:t>
      </w:r>
      <w:r>
        <w:rPr>
          <w:spacing w:val="-5"/>
        </w:rPr>
        <w:t xml:space="preserve"> </w:t>
      </w:r>
      <w:r>
        <w:t>analytic</w:t>
      </w:r>
      <w:r>
        <w:rPr>
          <w:spacing w:val="-2"/>
        </w:rPr>
        <w:t xml:space="preserve"> </w:t>
      </w:r>
      <w:r>
        <w:t>approach</w:t>
      </w:r>
      <w:r>
        <w:rPr>
          <w:spacing w:val="-2"/>
        </w:rPr>
        <w:t xml:space="preserve"> </w:t>
      </w:r>
      <w:r>
        <w:t>and</w:t>
      </w:r>
      <w:r>
        <w:rPr>
          <w:spacing w:val="-1"/>
        </w:rPr>
        <w:t xml:space="preserve"> </w:t>
      </w:r>
      <w:r>
        <w:t>the</w:t>
      </w:r>
      <w:r>
        <w:rPr>
          <w:spacing w:val="-4"/>
        </w:rPr>
        <w:t xml:space="preserve"> </w:t>
      </w:r>
      <w:r>
        <w:t>data</w:t>
      </w:r>
      <w:r>
        <w:rPr>
          <w:spacing w:val="-1"/>
        </w:rPr>
        <w:t xml:space="preserve"> </w:t>
      </w:r>
      <w:r>
        <w:t xml:space="preserve">we </w:t>
      </w:r>
      <w:proofErr w:type="gramStart"/>
      <w:r>
        <w:t>utilized</w:t>
      </w:r>
      <w:proofErr w:type="gramEnd"/>
      <w:r>
        <w:t>. Part II describes the parties to this CMIR and their goals and plans for undertaking the transaction. Part III then presents our findings. We conclude in Part IV. Below is a summary of the findings presented in Part III:</w:t>
      </w:r>
    </w:p>
    <w:p w14:paraId="1C34E531" w14:textId="77777777" w:rsidR="004C558F" w:rsidRDefault="004C558F">
      <w:pPr>
        <w:pStyle w:val="BodyText"/>
        <w:spacing w:before="36"/>
      </w:pPr>
    </w:p>
    <w:p w14:paraId="1C34E532" w14:textId="77777777" w:rsidR="004C558F" w:rsidRDefault="00461887">
      <w:pPr>
        <w:pStyle w:val="ListParagraph"/>
        <w:numPr>
          <w:ilvl w:val="0"/>
          <w:numId w:val="17"/>
        </w:numPr>
        <w:tabs>
          <w:tab w:val="left" w:pos="1679"/>
        </w:tabs>
        <w:spacing w:line="276" w:lineRule="auto"/>
        <w:ind w:right="805"/>
      </w:pPr>
      <w:r>
        <w:t>Cost and Market: DFCI and BIDMC both serve patients primarily from eastern Massachusetts,</w:t>
      </w:r>
      <w:r>
        <w:rPr>
          <w:spacing w:val="-2"/>
        </w:rPr>
        <w:t xml:space="preserve"> </w:t>
      </w:r>
      <w:r>
        <w:t>and</w:t>
      </w:r>
      <w:r>
        <w:rPr>
          <w:spacing w:val="-4"/>
        </w:rPr>
        <w:t xml:space="preserve"> </w:t>
      </w:r>
      <w:r>
        <w:t>Mass</w:t>
      </w:r>
      <w:r>
        <w:rPr>
          <w:spacing w:val="-4"/>
        </w:rPr>
        <w:t xml:space="preserve"> </w:t>
      </w:r>
      <w:r>
        <w:t>General</w:t>
      </w:r>
      <w:r>
        <w:rPr>
          <w:spacing w:val="-5"/>
        </w:rPr>
        <w:t xml:space="preserve"> </w:t>
      </w:r>
      <w:r>
        <w:t>Brigham</w:t>
      </w:r>
      <w:r>
        <w:rPr>
          <w:spacing w:val="-2"/>
        </w:rPr>
        <w:t xml:space="preserve"> </w:t>
      </w:r>
      <w:r>
        <w:t>(in</w:t>
      </w:r>
      <w:r>
        <w:rPr>
          <w:spacing w:val="-2"/>
        </w:rPr>
        <w:t xml:space="preserve"> </w:t>
      </w:r>
      <w:r>
        <w:t>conjunction</w:t>
      </w:r>
      <w:r>
        <w:rPr>
          <w:spacing w:val="-4"/>
        </w:rPr>
        <w:t xml:space="preserve"> </w:t>
      </w:r>
      <w:r>
        <w:t>with</w:t>
      </w:r>
      <w:r>
        <w:rPr>
          <w:spacing w:val="-4"/>
        </w:rPr>
        <w:t xml:space="preserve"> </w:t>
      </w:r>
      <w:r>
        <w:t>DFCI)</w:t>
      </w:r>
      <w:r>
        <w:rPr>
          <w:spacing w:val="-5"/>
        </w:rPr>
        <w:t xml:space="preserve"> </w:t>
      </w:r>
      <w:r>
        <w:t>and</w:t>
      </w:r>
      <w:r>
        <w:rPr>
          <w:spacing w:val="-1"/>
        </w:rPr>
        <w:t xml:space="preserve"> </w:t>
      </w:r>
      <w:r>
        <w:t>Beth</w:t>
      </w:r>
      <w:r>
        <w:rPr>
          <w:spacing w:val="-2"/>
        </w:rPr>
        <w:t xml:space="preserve"> </w:t>
      </w:r>
      <w:r>
        <w:t>Israel</w:t>
      </w:r>
      <w:r>
        <w:rPr>
          <w:spacing w:val="-3"/>
        </w:rPr>
        <w:t xml:space="preserve"> </w:t>
      </w:r>
      <w:r>
        <w:t>Lahey</w:t>
      </w:r>
    </w:p>
    <w:p w14:paraId="1C34E53F" w14:textId="77777777" w:rsidR="004C558F" w:rsidRDefault="004C558F">
      <w:pPr>
        <w:rPr>
          <w:sz w:val="20"/>
        </w:rPr>
        <w:sectPr w:rsidR="004C558F">
          <w:pgSz w:w="12240" w:h="15840"/>
          <w:pgMar w:top="1360" w:right="740" w:bottom="720" w:left="480" w:header="0" w:footer="521" w:gutter="0"/>
          <w:cols w:space="720"/>
        </w:sectPr>
      </w:pPr>
      <w:bookmarkStart w:id="21" w:name="_bookmark21"/>
      <w:bookmarkStart w:id="22" w:name="_bookmark22"/>
      <w:bookmarkEnd w:id="21"/>
      <w:bookmarkEnd w:id="22"/>
    </w:p>
    <w:p w14:paraId="1C34E540" w14:textId="77777777" w:rsidR="004C558F" w:rsidRDefault="00461887">
      <w:pPr>
        <w:pStyle w:val="BodyText"/>
        <w:spacing w:before="80" w:line="276" w:lineRule="auto"/>
        <w:ind w:left="1680" w:right="713"/>
      </w:pPr>
      <w:r>
        <w:lastRenderedPageBreak/>
        <w:t xml:space="preserve">Health (BILH) are the two largest providers of oncology services in their service areas and in the Commonwealth generally. DFCI and BIDMC commercial prices for </w:t>
      </w:r>
      <w:r>
        <w:rPr>
          <w:i/>
        </w:rPr>
        <w:t xml:space="preserve">inpatient </w:t>
      </w:r>
      <w:r>
        <w:t>medical and surgical</w:t>
      </w:r>
      <w:r>
        <w:rPr>
          <w:spacing w:val="-5"/>
        </w:rPr>
        <w:t xml:space="preserve"> </w:t>
      </w:r>
      <w:r>
        <w:t>oncology</w:t>
      </w:r>
      <w:r>
        <w:rPr>
          <w:spacing w:val="-3"/>
        </w:rPr>
        <w:t xml:space="preserve"> </w:t>
      </w:r>
      <w:r>
        <w:t>services,</w:t>
      </w:r>
      <w:r>
        <w:rPr>
          <w:spacing w:val="-2"/>
        </w:rPr>
        <w:t xml:space="preserve"> </w:t>
      </w:r>
      <w:r>
        <w:t>respectively,</w:t>
      </w:r>
      <w:r>
        <w:rPr>
          <w:spacing w:val="-5"/>
        </w:rPr>
        <w:t xml:space="preserve"> </w:t>
      </w:r>
      <w:r>
        <w:t>are</w:t>
      </w:r>
      <w:r>
        <w:rPr>
          <w:spacing w:val="-2"/>
        </w:rPr>
        <w:t xml:space="preserve"> </w:t>
      </w:r>
      <w:r>
        <w:t>generally</w:t>
      </w:r>
      <w:r>
        <w:rPr>
          <w:spacing w:val="-3"/>
        </w:rPr>
        <w:t xml:space="preserve"> </w:t>
      </w:r>
      <w:r>
        <w:t>lower</w:t>
      </w:r>
      <w:r>
        <w:rPr>
          <w:spacing w:val="-3"/>
        </w:rPr>
        <w:t xml:space="preserve"> </w:t>
      </w:r>
      <w:r>
        <w:t>than</w:t>
      </w:r>
      <w:r>
        <w:rPr>
          <w:spacing w:val="-2"/>
        </w:rPr>
        <w:t xml:space="preserve"> </w:t>
      </w:r>
      <w:r>
        <w:t>prices</w:t>
      </w:r>
      <w:r>
        <w:rPr>
          <w:spacing w:val="-2"/>
        </w:rPr>
        <w:t xml:space="preserve"> </w:t>
      </w:r>
      <w:r>
        <w:t>for</w:t>
      </w:r>
      <w:r>
        <w:rPr>
          <w:spacing w:val="-3"/>
        </w:rPr>
        <w:t xml:space="preserve"> </w:t>
      </w:r>
      <w:r>
        <w:t>the</w:t>
      </w:r>
      <w:r>
        <w:rPr>
          <w:spacing w:val="-4"/>
        </w:rPr>
        <w:t xml:space="preserve"> </w:t>
      </w:r>
      <w:r>
        <w:t>same</w:t>
      </w:r>
      <w:r>
        <w:rPr>
          <w:spacing w:val="-2"/>
        </w:rPr>
        <w:t xml:space="preserve"> </w:t>
      </w:r>
      <w:r>
        <w:t xml:space="preserve">services at BWH, but higher than those of some other hospitals. DFCI commercial </w:t>
      </w:r>
      <w:r>
        <w:rPr>
          <w:i/>
        </w:rPr>
        <w:t xml:space="preserve">outpatient </w:t>
      </w:r>
      <w:r>
        <w:t>prices are generally higher than outpatient oncology prices of other Massachusetts hospitals, while BIDMC’s are generally moderate.</w:t>
      </w:r>
    </w:p>
    <w:p w14:paraId="1C34E541" w14:textId="77777777" w:rsidR="004C558F" w:rsidRDefault="004C558F">
      <w:pPr>
        <w:pStyle w:val="BodyText"/>
        <w:spacing w:before="37"/>
      </w:pPr>
    </w:p>
    <w:p w14:paraId="1C34E542" w14:textId="77777777" w:rsidR="004C558F" w:rsidRDefault="00461887">
      <w:pPr>
        <w:pStyle w:val="BodyText"/>
        <w:spacing w:line="276" w:lineRule="auto"/>
        <w:ind w:left="1680" w:right="702"/>
      </w:pPr>
      <w:r>
        <w:t>The proposed transaction and the construction of the new DFCI facility would likely shift a large volume of oncology care from BIDMC, BWH, and other oncology providers to DFCI. BIDMC would also likely gain surgical oncology volume. BIDMC and BWH are also likely to backfill</w:t>
      </w:r>
      <w:r>
        <w:rPr>
          <w:spacing w:val="-5"/>
        </w:rPr>
        <w:t xml:space="preserve"> </w:t>
      </w:r>
      <w:r>
        <w:t>any</w:t>
      </w:r>
      <w:r>
        <w:rPr>
          <w:spacing w:val="-3"/>
        </w:rPr>
        <w:t xml:space="preserve"> </w:t>
      </w:r>
      <w:r>
        <w:t>volume</w:t>
      </w:r>
      <w:r>
        <w:rPr>
          <w:spacing w:val="-2"/>
        </w:rPr>
        <w:t xml:space="preserve"> </w:t>
      </w:r>
      <w:r>
        <w:t>that</w:t>
      </w:r>
      <w:r>
        <w:rPr>
          <w:spacing w:val="-3"/>
        </w:rPr>
        <w:t xml:space="preserve"> </w:t>
      </w:r>
      <w:r>
        <w:t>shifts</w:t>
      </w:r>
      <w:r>
        <w:rPr>
          <w:spacing w:val="-2"/>
        </w:rPr>
        <w:t xml:space="preserve"> </w:t>
      </w:r>
      <w:r>
        <w:t>to</w:t>
      </w:r>
      <w:r>
        <w:rPr>
          <w:spacing w:val="-4"/>
        </w:rPr>
        <w:t xml:space="preserve"> </w:t>
      </w:r>
      <w:r>
        <w:t>DFCI.</w:t>
      </w:r>
      <w:r>
        <w:rPr>
          <w:spacing w:val="-2"/>
        </w:rPr>
        <w:t xml:space="preserve"> </w:t>
      </w:r>
      <w:r>
        <w:t>Each</w:t>
      </w:r>
      <w:r>
        <w:rPr>
          <w:spacing w:val="-2"/>
        </w:rPr>
        <w:t xml:space="preserve"> </w:t>
      </w:r>
      <w:r>
        <w:t>of</w:t>
      </w:r>
      <w:r>
        <w:rPr>
          <w:spacing w:val="-1"/>
        </w:rPr>
        <w:t xml:space="preserve"> </w:t>
      </w:r>
      <w:r>
        <w:t>these</w:t>
      </w:r>
      <w:r>
        <w:rPr>
          <w:spacing w:val="-2"/>
        </w:rPr>
        <w:t xml:space="preserve"> </w:t>
      </w:r>
      <w:r>
        <w:t>volume</w:t>
      </w:r>
      <w:r>
        <w:rPr>
          <w:spacing w:val="-4"/>
        </w:rPr>
        <w:t xml:space="preserve"> </w:t>
      </w:r>
      <w:r>
        <w:t>shifts</w:t>
      </w:r>
      <w:r>
        <w:rPr>
          <w:spacing w:val="-2"/>
        </w:rPr>
        <w:t xml:space="preserve"> </w:t>
      </w:r>
      <w:r>
        <w:t>would</w:t>
      </w:r>
      <w:r>
        <w:rPr>
          <w:spacing w:val="-1"/>
        </w:rPr>
        <w:t xml:space="preserve"> </w:t>
      </w:r>
      <w:r>
        <w:t>impact</w:t>
      </w:r>
      <w:r>
        <w:rPr>
          <w:spacing w:val="-3"/>
        </w:rPr>
        <w:t xml:space="preserve"> </w:t>
      </w:r>
      <w:r>
        <w:t>health</w:t>
      </w:r>
      <w:r>
        <w:rPr>
          <w:spacing w:val="-4"/>
        </w:rPr>
        <w:t xml:space="preserve"> </w:t>
      </w:r>
      <w:r>
        <w:t xml:space="preserve">care </w:t>
      </w:r>
      <w:r>
        <w:rPr>
          <w:spacing w:val="-2"/>
        </w:rPr>
        <w:t>spending.</w:t>
      </w:r>
    </w:p>
    <w:p w14:paraId="1C34E543" w14:textId="77777777" w:rsidR="004C558F" w:rsidRDefault="004C558F">
      <w:pPr>
        <w:pStyle w:val="BodyText"/>
        <w:spacing w:before="37"/>
      </w:pPr>
    </w:p>
    <w:p w14:paraId="1C34E544" w14:textId="77777777" w:rsidR="004C558F" w:rsidRDefault="00461887">
      <w:pPr>
        <w:pStyle w:val="BodyText"/>
        <w:spacing w:line="276" w:lineRule="auto"/>
        <w:ind w:left="1679" w:right="725"/>
      </w:pPr>
      <w:r>
        <w:t>For</w:t>
      </w:r>
      <w:r>
        <w:rPr>
          <w:spacing w:val="-3"/>
        </w:rPr>
        <w:t xml:space="preserve"> </w:t>
      </w:r>
      <w:r>
        <w:t>commercial</w:t>
      </w:r>
      <w:r>
        <w:rPr>
          <w:spacing w:val="-3"/>
        </w:rPr>
        <w:t xml:space="preserve"> </w:t>
      </w:r>
      <w:r>
        <w:t>insurers,</w:t>
      </w:r>
      <w:r>
        <w:rPr>
          <w:spacing w:val="-5"/>
        </w:rPr>
        <w:t xml:space="preserve"> </w:t>
      </w:r>
      <w:r>
        <w:t>shifts</w:t>
      </w:r>
      <w:r>
        <w:rPr>
          <w:spacing w:val="-2"/>
        </w:rPr>
        <w:t xml:space="preserve"> </w:t>
      </w:r>
      <w:r>
        <w:t>in</w:t>
      </w:r>
      <w:r>
        <w:rPr>
          <w:spacing w:val="-2"/>
        </w:rPr>
        <w:t xml:space="preserve"> </w:t>
      </w:r>
      <w:r>
        <w:t>inpatient</w:t>
      </w:r>
      <w:r>
        <w:rPr>
          <w:spacing w:val="-3"/>
        </w:rPr>
        <w:t xml:space="preserve"> </w:t>
      </w:r>
      <w:r>
        <w:t>care</w:t>
      </w:r>
      <w:r>
        <w:rPr>
          <w:spacing w:val="-2"/>
        </w:rPr>
        <w:t xml:space="preserve"> </w:t>
      </w:r>
      <w:r>
        <w:t>are</w:t>
      </w:r>
      <w:r>
        <w:rPr>
          <w:spacing w:val="-2"/>
        </w:rPr>
        <w:t xml:space="preserve"> </w:t>
      </w:r>
      <w:r>
        <w:t>likely</w:t>
      </w:r>
      <w:r>
        <w:rPr>
          <w:spacing w:val="-3"/>
        </w:rPr>
        <w:t xml:space="preserve"> </w:t>
      </w:r>
      <w:r>
        <w:t>to</w:t>
      </w:r>
      <w:r>
        <w:rPr>
          <w:spacing w:val="-2"/>
        </w:rPr>
        <w:t xml:space="preserve"> </w:t>
      </w:r>
      <w:r>
        <w:t>reduce</w:t>
      </w:r>
      <w:r>
        <w:rPr>
          <w:spacing w:val="-4"/>
        </w:rPr>
        <w:t xml:space="preserve"> </w:t>
      </w:r>
      <w:r>
        <w:t>spending</w:t>
      </w:r>
      <w:r>
        <w:rPr>
          <w:spacing w:val="-5"/>
        </w:rPr>
        <w:t xml:space="preserve"> </w:t>
      </w:r>
      <w:r>
        <w:t>at</w:t>
      </w:r>
      <w:r>
        <w:rPr>
          <w:spacing w:val="-3"/>
        </w:rPr>
        <w:t xml:space="preserve"> </w:t>
      </w:r>
      <w:r>
        <w:t>current</w:t>
      </w:r>
      <w:r>
        <w:rPr>
          <w:spacing w:val="-3"/>
        </w:rPr>
        <w:t xml:space="preserve"> </w:t>
      </w:r>
      <w:r>
        <w:t>price levels. Specifically, shifts in inpatient oncology care from BIDMC, BWH, and other oncology providers to DFCI would likely reduce annual commercial spending by approximately $18.5 million to $23 million at current prices. Backfill of newly available inpatient capacity at</w:t>
      </w:r>
      <w:r>
        <w:rPr>
          <w:spacing w:val="40"/>
        </w:rPr>
        <w:t xml:space="preserve"> </w:t>
      </w:r>
      <w:r>
        <w:t>BIDMC would likely additionally reduce annual commercial spending by $3.5 million to $5.3 million at current prices, while backfill of capacity at BWH would likely increase annual commercial spending by $4.2 million to $15.9 million at current prices.</w:t>
      </w:r>
    </w:p>
    <w:p w14:paraId="1C34E545" w14:textId="77777777" w:rsidR="004C558F" w:rsidRDefault="004C558F">
      <w:pPr>
        <w:pStyle w:val="BodyText"/>
        <w:spacing w:before="36"/>
      </w:pPr>
    </w:p>
    <w:p w14:paraId="1C34E546" w14:textId="77777777" w:rsidR="004C558F" w:rsidRDefault="00461887">
      <w:pPr>
        <w:pStyle w:val="BodyText"/>
        <w:spacing w:line="276" w:lineRule="auto"/>
        <w:ind w:left="1680" w:right="741"/>
      </w:pPr>
      <w:r>
        <w:t xml:space="preserve">Most shifts in hospital outpatient care </w:t>
      </w:r>
      <w:proofErr w:type="gramStart"/>
      <w:r>
        <w:t>as a result of</w:t>
      </w:r>
      <w:proofErr w:type="gramEnd"/>
      <w:r>
        <w:t xml:space="preserve"> the transaction would likely increase commercial spending due to DFCI’s high commercial outpatient prices, especially for hospital-administered</w:t>
      </w:r>
      <w:r>
        <w:rPr>
          <w:spacing w:val="-2"/>
        </w:rPr>
        <w:t xml:space="preserve"> </w:t>
      </w:r>
      <w:r>
        <w:t>oncologic</w:t>
      </w:r>
      <w:r>
        <w:rPr>
          <w:spacing w:val="-5"/>
        </w:rPr>
        <w:t xml:space="preserve"> </w:t>
      </w:r>
      <w:r>
        <w:t>drugs.</w:t>
      </w:r>
      <w:r>
        <w:rPr>
          <w:spacing w:val="-3"/>
        </w:rPr>
        <w:t xml:space="preserve"> </w:t>
      </w:r>
      <w:r>
        <w:t>In</w:t>
      </w:r>
      <w:r>
        <w:rPr>
          <w:spacing w:val="-3"/>
        </w:rPr>
        <w:t xml:space="preserve"> </w:t>
      </w:r>
      <w:r>
        <w:t>total,</w:t>
      </w:r>
      <w:r>
        <w:rPr>
          <w:spacing w:val="-6"/>
        </w:rPr>
        <w:t xml:space="preserve"> </w:t>
      </w:r>
      <w:r>
        <w:t>shifts</w:t>
      </w:r>
      <w:r>
        <w:rPr>
          <w:spacing w:val="-3"/>
        </w:rPr>
        <w:t xml:space="preserve"> </w:t>
      </w:r>
      <w:r>
        <w:t>in</w:t>
      </w:r>
      <w:r>
        <w:rPr>
          <w:spacing w:val="-3"/>
        </w:rPr>
        <w:t xml:space="preserve"> </w:t>
      </w:r>
      <w:r>
        <w:t>outpatient</w:t>
      </w:r>
      <w:r>
        <w:rPr>
          <w:spacing w:val="-7"/>
        </w:rPr>
        <w:t xml:space="preserve"> </w:t>
      </w:r>
      <w:r>
        <w:t>oncology</w:t>
      </w:r>
      <w:r>
        <w:rPr>
          <w:spacing w:val="-4"/>
        </w:rPr>
        <w:t xml:space="preserve"> </w:t>
      </w:r>
      <w:r>
        <w:t>services</w:t>
      </w:r>
      <w:r>
        <w:rPr>
          <w:spacing w:val="-3"/>
        </w:rPr>
        <w:t xml:space="preserve"> </w:t>
      </w:r>
      <w:r>
        <w:t>that</w:t>
      </w:r>
      <w:r>
        <w:rPr>
          <w:spacing w:val="-4"/>
        </w:rPr>
        <w:t xml:space="preserve"> </w:t>
      </w:r>
      <w:r>
        <w:t>the HPC could quantify would likely increase annual commercial spending by approximately $39 million;</w:t>
      </w:r>
      <w:r>
        <w:rPr>
          <w:spacing w:val="-1"/>
        </w:rPr>
        <w:t xml:space="preserve"> </w:t>
      </w:r>
      <w:r>
        <w:t>$26.5</w:t>
      </w:r>
      <w:r>
        <w:rPr>
          <w:spacing w:val="-1"/>
        </w:rPr>
        <w:t xml:space="preserve"> </w:t>
      </w:r>
      <w:r>
        <w:t>million</w:t>
      </w:r>
      <w:r>
        <w:rPr>
          <w:spacing w:val="-1"/>
        </w:rPr>
        <w:t xml:space="preserve"> </w:t>
      </w:r>
      <w:r>
        <w:t>of this</w:t>
      </w:r>
      <w:r>
        <w:rPr>
          <w:spacing w:val="-1"/>
        </w:rPr>
        <w:t xml:space="preserve"> </w:t>
      </w:r>
      <w:r>
        <w:t>spending</w:t>
      </w:r>
      <w:r>
        <w:rPr>
          <w:spacing w:val="-2"/>
        </w:rPr>
        <w:t xml:space="preserve"> </w:t>
      </w:r>
      <w:r>
        <w:t>increase</w:t>
      </w:r>
      <w:r>
        <w:rPr>
          <w:spacing w:val="-3"/>
        </w:rPr>
        <w:t xml:space="preserve"> </w:t>
      </w:r>
      <w:r>
        <w:t>would be</w:t>
      </w:r>
      <w:r>
        <w:rPr>
          <w:spacing w:val="-1"/>
        </w:rPr>
        <w:t xml:space="preserve"> </w:t>
      </w:r>
      <w:r>
        <w:t>due</w:t>
      </w:r>
      <w:r>
        <w:rPr>
          <w:spacing w:val="-1"/>
        </w:rPr>
        <w:t xml:space="preserve"> </w:t>
      </w:r>
      <w:r>
        <w:t>to</w:t>
      </w:r>
      <w:r>
        <w:rPr>
          <w:spacing w:val="-3"/>
        </w:rPr>
        <w:t xml:space="preserve"> </w:t>
      </w:r>
      <w:r>
        <w:t>higher</w:t>
      </w:r>
      <w:r>
        <w:rPr>
          <w:spacing w:val="-2"/>
        </w:rPr>
        <w:t xml:space="preserve"> </w:t>
      </w:r>
      <w:r>
        <w:t>commercial</w:t>
      </w:r>
      <w:r>
        <w:rPr>
          <w:spacing w:val="-2"/>
        </w:rPr>
        <w:t xml:space="preserve"> </w:t>
      </w:r>
      <w:r>
        <w:t>prices</w:t>
      </w:r>
      <w:r>
        <w:rPr>
          <w:spacing w:val="-3"/>
        </w:rPr>
        <w:t xml:space="preserve"> </w:t>
      </w:r>
      <w:r>
        <w:t>for oncologic drugs at DFCI.</w:t>
      </w:r>
    </w:p>
    <w:p w14:paraId="1C34E547" w14:textId="77777777" w:rsidR="004C558F" w:rsidRDefault="004C558F">
      <w:pPr>
        <w:pStyle w:val="BodyText"/>
        <w:spacing w:before="38"/>
      </w:pPr>
    </w:p>
    <w:p w14:paraId="1C34E548" w14:textId="77777777" w:rsidR="004C558F" w:rsidRDefault="00461887">
      <w:pPr>
        <w:pStyle w:val="BodyText"/>
        <w:spacing w:line="273" w:lineRule="auto"/>
        <w:ind w:left="1680"/>
      </w:pPr>
      <w:r>
        <w:t>Medicare</w:t>
      </w:r>
      <w:r>
        <w:rPr>
          <w:spacing w:val="-4"/>
        </w:rPr>
        <w:t xml:space="preserve"> </w:t>
      </w:r>
      <w:r>
        <w:t>spending</w:t>
      </w:r>
      <w:r>
        <w:rPr>
          <w:spacing w:val="-3"/>
        </w:rPr>
        <w:t xml:space="preserve"> </w:t>
      </w:r>
      <w:r>
        <w:t>may</w:t>
      </w:r>
      <w:r>
        <w:rPr>
          <w:spacing w:val="-3"/>
        </w:rPr>
        <w:t xml:space="preserve"> </w:t>
      </w:r>
      <w:r>
        <w:t>also</w:t>
      </w:r>
      <w:r>
        <w:rPr>
          <w:spacing w:val="-2"/>
        </w:rPr>
        <w:t xml:space="preserve"> </w:t>
      </w:r>
      <w:r>
        <w:t>increase</w:t>
      </w:r>
      <w:r>
        <w:rPr>
          <w:spacing w:val="-2"/>
        </w:rPr>
        <w:t xml:space="preserve"> </w:t>
      </w:r>
      <w:proofErr w:type="gramStart"/>
      <w:r>
        <w:t>as</w:t>
      </w:r>
      <w:r>
        <w:rPr>
          <w:spacing w:val="-4"/>
        </w:rPr>
        <w:t xml:space="preserve"> </w:t>
      </w:r>
      <w:r>
        <w:t>a</w:t>
      </w:r>
      <w:r>
        <w:rPr>
          <w:spacing w:val="-1"/>
        </w:rPr>
        <w:t xml:space="preserve"> </w:t>
      </w:r>
      <w:r>
        <w:t>result</w:t>
      </w:r>
      <w:r>
        <w:rPr>
          <w:spacing w:val="-3"/>
        </w:rPr>
        <w:t xml:space="preserve"> </w:t>
      </w:r>
      <w:r>
        <w:t>of</w:t>
      </w:r>
      <w:proofErr w:type="gramEnd"/>
      <w:r>
        <w:rPr>
          <w:spacing w:val="-1"/>
        </w:rPr>
        <w:t xml:space="preserve"> </w:t>
      </w:r>
      <w:r>
        <w:t>the</w:t>
      </w:r>
      <w:r>
        <w:rPr>
          <w:spacing w:val="-2"/>
        </w:rPr>
        <w:t xml:space="preserve"> </w:t>
      </w:r>
      <w:r>
        <w:t>transaction.</w:t>
      </w:r>
      <w:r>
        <w:rPr>
          <w:spacing w:val="-2"/>
        </w:rPr>
        <w:t xml:space="preserve"> </w:t>
      </w:r>
      <w:r>
        <w:t>At</w:t>
      </w:r>
      <w:r>
        <w:rPr>
          <w:spacing w:val="-3"/>
        </w:rPr>
        <w:t xml:space="preserve"> </w:t>
      </w:r>
      <w:r>
        <w:t>current</w:t>
      </w:r>
      <w:r>
        <w:rPr>
          <w:spacing w:val="-5"/>
        </w:rPr>
        <w:t xml:space="preserve"> </w:t>
      </w:r>
      <w:r>
        <w:t>rates,</w:t>
      </w:r>
      <w:r>
        <w:rPr>
          <w:spacing w:val="-5"/>
        </w:rPr>
        <w:t xml:space="preserve"> </w:t>
      </w:r>
      <w:r>
        <w:t>shifts</w:t>
      </w:r>
      <w:r>
        <w:rPr>
          <w:spacing w:val="-2"/>
        </w:rPr>
        <w:t xml:space="preserve"> </w:t>
      </w:r>
      <w:r>
        <w:t>of inpatient care to DFCI would reduce Medicare spending by approximately $5.7 million to</w:t>
      </w:r>
    </w:p>
    <w:p w14:paraId="1C34E549" w14:textId="77777777" w:rsidR="004C558F" w:rsidRDefault="00461887">
      <w:pPr>
        <w:pStyle w:val="BodyText"/>
        <w:spacing w:before="5" w:line="276" w:lineRule="auto"/>
        <w:ind w:left="1679" w:right="752"/>
      </w:pPr>
      <w:r>
        <w:t>$9.1</w:t>
      </w:r>
      <w:r>
        <w:rPr>
          <w:spacing w:val="-3"/>
        </w:rPr>
        <w:t xml:space="preserve"> </w:t>
      </w:r>
      <w:r>
        <w:t>million.</w:t>
      </w:r>
      <w:r>
        <w:rPr>
          <w:spacing w:val="-3"/>
        </w:rPr>
        <w:t xml:space="preserve"> </w:t>
      </w:r>
      <w:r>
        <w:t>However,</w:t>
      </w:r>
      <w:r>
        <w:rPr>
          <w:spacing w:val="-3"/>
        </w:rPr>
        <w:t xml:space="preserve"> </w:t>
      </w:r>
      <w:r>
        <w:t>DFCI’s</w:t>
      </w:r>
      <w:r>
        <w:rPr>
          <w:spacing w:val="-3"/>
        </w:rPr>
        <w:t xml:space="preserve"> </w:t>
      </w:r>
      <w:r>
        <w:t>inpatient</w:t>
      </w:r>
      <w:r>
        <w:rPr>
          <w:spacing w:val="-4"/>
        </w:rPr>
        <w:t xml:space="preserve"> </w:t>
      </w:r>
      <w:r>
        <w:t>reimbursement</w:t>
      </w:r>
      <w:r>
        <w:rPr>
          <w:spacing w:val="-4"/>
        </w:rPr>
        <w:t xml:space="preserve"> </w:t>
      </w:r>
      <w:r>
        <w:t>from</w:t>
      </w:r>
      <w:r>
        <w:rPr>
          <w:spacing w:val="-3"/>
        </w:rPr>
        <w:t xml:space="preserve"> </w:t>
      </w:r>
      <w:r>
        <w:t>Medicare</w:t>
      </w:r>
      <w:r>
        <w:rPr>
          <w:spacing w:val="-3"/>
        </w:rPr>
        <w:t xml:space="preserve"> </w:t>
      </w:r>
      <w:r>
        <w:t>is</w:t>
      </w:r>
      <w:r>
        <w:rPr>
          <w:spacing w:val="-3"/>
        </w:rPr>
        <w:t xml:space="preserve"> </w:t>
      </w:r>
      <w:r>
        <w:t>based</w:t>
      </w:r>
      <w:r>
        <w:rPr>
          <w:spacing w:val="-2"/>
        </w:rPr>
        <w:t xml:space="preserve"> </w:t>
      </w:r>
      <w:r>
        <w:t>on</w:t>
      </w:r>
      <w:r>
        <w:rPr>
          <w:spacing w:val="-3"/>
        </w:rPr>
        <w:t xml:space="preserve"> </w:t>
      </w:r>
      <w:r>
        <w:t>its</w:t>
      </w:r>
      <w:r>
        <w:rPr>
          <w:spacing w:val="-3"/>
        </w:rPr>
        <w:t xml:space="preserve"> </w:t>
      </w:r>
      <w:r>
        <w:t xml:space="preserve">costs per patient, meaning that, to the extent its costs per patient increase in the newly constructed hospital, its Medicare reimbursement rate would also increase, reducing any savings or potentially increasing spending. Shifts of outpatient Medicare volume to DFCI would increase annual Medicare spending, likely </w:t>
      </w:r>
      <w:proofErr w:type="gramStart"/>
      <w:r>
        <w:t>in excess of</w:t>
      </w:r>
      <w:proofErr w:type="gramEnd"/>
      <w:r>
        <w:t xml:space="preserve"> $10 million annually.</w:t>
      </w:r>
    </w:p>
    <w:p w14:paraId="1C34E54A" w14:textId="77777777" w:rsidR="004C558F" w:rsidRDefault="004C558F">
      <w:pPr>
        <w:pStyle w:val="BodyText"/>
        <w:spacing w:before="36"/>
      </w:pPr>
    </w:p>
    <w:p w14:paraId="1C34E54B" w14:textId="77777777" w:rsidR="004C558F" w:rsidRDefault="00461887">
      <w:pPr>
        <w:pStyle w:val="BodyText"/>
        <w:spacing w:line="276" w:lineRule="auto"/>
        <w:ind w:left="1679" w:right="702"/>
      </w:pPr>
      <w:r>
        <w:t>Any</w:t>
      </w:r>
      <w:r>
        <w:rPr>
          <w:spacing w:val="-3"/>
        </w:rPr>
        <w:t xml:space="preserve"> </w:t>
      </w:r>
      <w:r>
        <w:t>increases</w:t>
      </w:r>
      <w:r>
        <w:rPr>
          <w:spacing w:val="-3"/>
        </w:rPr>
        <w:t xml:space="preserve"> </w:t>
      </w:r>
      <w:r>
        <w:t>in</w:t>
      </w:r>
      <w:r>
        <w:rPr>
          <w:spacing w:val="-3"/>
        </w:rPr>
        <w:t xml:space="preserve"> </w:t>
      </w:r>
      <w:r>
        <w:t>the</w:t>
      </w:r>
      <w:r>
        <w:rPr>
          <w:spacing w:val="-3"/>
        </w:rPr>
        <w:t xml:space="preserve"> </w:t>
      </w:r>
      <w:r>
        <w:t>parties’</w:t>
      </w:r>
      <w:r>
        <w:rPr>
          <w:spacing w:val="-3"/>
        </w:rPr>
        <w:t xml:space="preserve"> </w:t>
      </w:r>
      <w:r>
        <w:t>prices</w:t>
      </w:r>
      <w:r>
        <w:rPr>
          <w:spacing w:val="-4"/>
        </w:rPr>
        <w:t xml:space="preserve"> </w:t>
      </w:r>
      <w:proofErr w:type="gramStart"/>
      <w:r>
        <w:t>as</w:t>
      </w:r>
      <w:r>
        <w:rPr>
          <w:spacing w:val="-3"/>
        </w:rPr>
        <w:t xml:space="preserve"> </w:t>
      </w:r>
      <w:r>
        <w:t>a</w:t>
      </w:r>
      <w:r>
        <w:rPr>
          <w:spacing w:val="-2"/>
        </w:rPr>
        <w:t xml:space="preserve"> </w:t>
      </w:r>
      <w:r>
        <w:t>result</w:t>
      </w:r>
      <w:r>
        <w:rPr>
          <w:spacing w:val="-3"/>
        </w:rPr>
        <w:t xml:space="preserve"> </w:t>
      </w:r>
      <w:r>
        <w:t>of</w:t>
      </w:r>
      <w:proofErr w:type="gramEnd"/>
      <w:r>
        <w:rPr>
          <w:spacing w:val="-2"/>
        </w:rPr>
        <w:t xml:space="preserve"> </w:t>
      </w:r>
      <w:r>
        <w:t>the</w:t>
      </w:r>
      <w:r>
        <w:rPr>
          <w:spacing w:val="-7"/>
        </w:rPr>
        <w:t xml:space="preserve"> </w:t>
      </w:r>
      <w:r>
        <w:t>proposed</w:t>
      </w:r>
      <w:r>
        <w:rPr>
          <w:spacing w:val="-2"/>
        </w:rPr>
        <w:t xml:space="preserve"> </w:t>
      </w:r>
      <w:r>
        <w:t>transaction</w:t>
      </w:r>
      <w:r>
        <w:rPr>
          <w:spacing w:val="-3"/>
        </w:rPr>
        <w:t xml:space="preserve"> </w:t>
      </w:r>
      <w:r>
        <w:t>would</w:t>
      </w:r>
      <w:r>
        <w:rPr>
          <w:spacing w:val="-2"/>
        </w:rPr>
        <w:t xml:space="preserve"> </w:t>
      </w:r>
      <w:r>
        <w:t>reduce savings</w:t>
      </w:r>
      <w:r>
        <w:rPr>
          <w:spacing w:val="-1"/>
        </w:rPr>
        <w:t xml:space="preserve"> </w:t>
      </w:r>
      <w:r>
        <w:t>or increase spending. Commitments</w:t>
      </w:r>
      <w:r>
        <w:rPr>
          <w:spacing w:val="-1"/>
        </w:rPr>
        <w:t xml:space="preserve"> </w:t>
      </w:r>
      <w:r>
        <w:t>to limit</w:t>
      </w:r>
      <w:r>
        <w:rPr>
          <w:spacing w:val="-2"/>
        </w:rPr>
        <w:t xml:space="preserve"> </w:t>
      </w:r>
      <w:r>
        <w:t>future inpatient</w:t>
      </w:r>
      <w:r>
        <w:rPr>
          <w:spacing w:val="-2"/>
        </w:rPr>
        <w:t xml:space="preserve"> </w:t>
      </w:r>
      <w:r>
        <w:t xml:space="preserve">and outpatient rate increases and address DFCI’s already high outpatient prices may help to mitigate these </w:t>
      </w:r>
      <w:r>
        <w:rPr>
          <w:spacing w:val="-2"/>
        </w:rPr>
        <w:t>concerns.</w:t>
      </w:r>
    </w:p>
    <w:p w14:paraId="1C34E54C" w14:textId="77777777" w:rsidR="004C558F" w:rsidRDefault="004C558F">
      <w:pPr>
        <w:pStyle w:val="BodyText"/>
        <w:spacing w:before="39"/>
      </w:pPr>
    </w:p>
    <w:p w14:paraId="1C34E54D" w14:textId="77777777" w:rsidR="004C558F" w:rsidRDefault="00461887">
      <w:pPr>
        <w:pStyle w:val="ListParagraph"/>
        <w:numPr>
          <w:ilvl w:val="0"/>
          <w:numId w:val="17"/>
        </w:numPr>
        <w:tabs>
          <w:tab w:val="left" w:pos="1677"/>
          <w:tab w:val="left" w:pos="1679"/>
        </w:tabs>
        <w:spacing w:line="276" w:lineRule="auto"/>
        <w:ind w:right="911"/>
      </w:pPr>
      <w:r>
        <w:t>Quality</w:t>
      </w:r>
      <w:r>
        <w:rPr>
          <w:spacing w:val="-3"/>
        </w:rPr>
        <w:t xml:space="preserve"> </w:t>
      </w:r>
      <w:r>
        <w:t>and</w:t>
      </w:r>
      <w:r>
        <w:rPr>
          <w:spacing w:val="-1"/>
        </w:rPr>
        <w:t xml:space="preserve"> </w:t>
      </w:r>
      <w:r>
        <w:t>Care</w:t>
      </w:r>
      <w:r>
        <w:rPr>
          <w:spacing w:val="-4"/>
        </w:rPr>
        <w:t xml:space="preserve"> </w:t>
      </w:r>
      <w:r>
        <w:t>Delivery:</w:t>
      </w:r>
      <w:r>
        <w:rPr>
          <w:spacing w:val="-2"/>
        </w:rPr>
        <w:t xml:space="preserve"> </w:t>
      </w:r>
      <w:r>
        <w:t>DFCI</w:t>
      </w:r>
      <w:r>
        <w:rPr>
          <w:spacing w:val="-5"/>
        </w:rPr>
        <w:t xml:space="preserve"> </w:t>
      </w:r>
      <w:r>
        <w:t>and</w:t>
      </w:r>
      <w:r>
        <w:rPr>
          <w:spacing w:val="-1"/>
        </w:rPr>
        <w:t xml:space="preserve"> </w:t>
      </w:r>
      <w:r>
        <w:t>BIDMC</w:t>
      </w:r>
      <w:r>
        <w:rPr>
          <w:spacing w:val="-3"/>
        </w:rPr>
        <w:t xml:space="preserve"> </w:t>
      </w:r>
      <w:r>
        <w:t>are</w:t>
      </w:r>
      <w:r>
        <w:rPr>
          <w:spacing w:val="-4"/>
        </w:rPr>
        <w:t xml:space="preserve"> </w:t>
      </w:r>
      <w:r>
        <w:t>internationally</w:t>
      </w:r>
      <w:r>
        <w:rPr>
          <w:spacing w:val="-3"/>
        </w:rPr>
        <w:t xml:space="preserve"> </w:t>
      </w:r>
      <w:r>
        <w:t>recognized</w:t>
      </w:r>
      <w:r>
        <w:rPr>
          <w:spacing w:val="-1"/>
        </w:rPr>
        <w:t xml:space="preserve"> </w:t>
      </w:r>
      <w:r>
        <w:t>for</w:t>
      </w:r>
      <w:r>
        <w:rPr>
          <w:spacing w:val="-3"/>
        </w:rPr>
        <w:t xml:space="preserve"> </w:t>
      </w:r>
      <w:r>
        <w:t>their</w:t>
      </w:r>
      <w:r>
        <w:rPr>
          <w:spacing w:val="-3"/>
        </w:rPr>
        <w:t xml:space="preserve"> </w:t>
      </w:r>
      <w:r>
        <w:t>oncology care and have historically generally performed comparably to statewide averages on available oncology care quality metrics. Research literature suggests hospitals with specialized oncology care offerings achieve superior outcomes for their patients, although</w:t>
      </w:r>
    </w:p>
    <w:p w14:paraId="1C34E54E" w14:textId="77777777" w:rsidR="004C558F" w:rsidRDefault="004C558F">
      <w:pPr>
        <w:spacing w:line="276" w:lineRule="auto"/>
        <w:sectPr w:rsidR="004C558F">
          <w:pgSz w:w="12240" w:h="15840"/>
          <w:pgMar w:top="1360" w:right="740" w:bottom="720" w:left="480" w:header="0" w:footer="521" w:gutter="0"/>
          <w:cols w:space="720"/>
        </w:sectPr>
      </w:pPr>
    </w:p>
    <w:p w14:paraId="1C34E54F" w14:textId="77777777" w:rsidR="004C558F" w:rsidRDefault="00461887">
      <w:pPr>
        <w:pStyle w:val="BodyText"/>
        <w:spacing w:before="80" w:line="276" w:lineRule="auto"/>
        <w:ind w:left="1680" w:right="799"/>
      </w:pPr>
      <w:proofErr w:type="gramStart"/>
      <w:r>
        <w:lastRenderedPageBreak/>
        <w:t>these</w:t>
      </w:r>
      <w:proofErr w:type="gramEnd"/>
      <w:r>
        <w:t xml:space="preserve"> studies did not directly compare DFCI to other Commonwealth hospitals with specialized oncology care programs. The parties have emphasized several aspects of their plans designed to improve care quality, including their stated intention to integrate and expand</w:t>
      </w:r>
      <w:r>
        <w:rPr>
          <w:spacing w:val="-1"/>
        </w:rPr>
        <w:t xml:space="preserve"> </w:t>
      </w:r>
      <w:r>
        <w:t>existing</w:t>
      </w:r>
      <w:r>
        <w:rPr>
          <w:spacing w:val="-3"/>
        </w:rPr>
        <w:t xml:space="preserve"> </w:t>
      </w:r>
      <w:r>
        <w:t>care</w:t>
      </w:r>
      <w:r>
        <w:rPr>
          <w:spacing w:val="-4"/>
        </w:rPr>
        <w:t xml:space="preserve"> </w:t>
      </w:r>
      <w:r>
        <w:t>delivery</w:t>
      </w:r>
      <w:r>
        <w:rPr>
          <w:spacing w:val="-3"/>
        </w:rPr>
        <w:t xml:space="preserve"> </w:t>
      </w:r>
      <w:r>
        <w:t>initiatives,</w:t>
      </w:r>
      <w:r>
        <w:rPr>
          <w:spacing w:val="-5"/>
        </w:rPr>
        <w:t xml:space="preserve"> </w:t>
      </w:r>
      <w:r>
        <w:t>as</w:t>
      </w:r>
      <w:r>
        <w:rPr>
          <w:spacing w:val="-2"/>
        </w:rPr>
        <w:t xml:space="preserve"> </w:t>
      </w:r>
      <w:r>
        <w:t>well</w:t>
      </w:r>
      <w:r>
        <w:rPr>
          <w:spacing w:val="-3"/>
        </w:rPr>
        <w:t xml:space="preserve"> </w:t>
      </w:r>
      <w:r>
        <w:t>as</w:t>
      </w:r>
      <w:r>
        <w:rPr>
          <w:spacing w:val="-4"/>
        </w:rPr>
        <w:t xml:space="preserve"> </w:t>
      </w:r>
      <w:r>
        <w:t>quality</w:t>
      </w:r>
      <w:r>
        <w:rPr>
          <w:spacing w:val="-3"/>
        </w:rPr>
        <w:t xml:space="preserve"> </w:t>
      </w:r>
      <w:r>
        <w:t>benefits</w:t>
      </w:r>
      <w:r>
        <w:rPr>
          <w:spacing w:val="-4"/>
        </w:rPr>
        <w:t xml:space="preserve"> </w:t>
      </w:r>
      <w:r>
        <w:t>DFCI</w:t>
      </w:r>
      <w:r>
        <w:rPr>
          <w:spacing w:val="-5"/>
        </w:rPr>
        <w:t xml:space="preserve"> </w:t>
      </w:r>
      <w:r>
        <w:t>expects</w:t>
      </w:r>
      <w:r>
        <w:rPr>
          <w:spacing w:val="-2"/>
        </w:rPr>
        <w:t xml:space="preserve"> </w:t>
      </w:r>
      <w:r>
        <w:t>to</w:t>
      </w:r>
      <w:r>
        <w:rPr>
          <w:spacing w:val="-2"/>
        </w:rPr>
        <w:t xml:space="preserve"> </w:t>
      </w:r>
      <w:r>
        <w:t>realize</w:t>
      </w:r>
      <w:r>
        <w:rPr>
          <w:spacing w:val="-2"/>
        </w:rPr>
        <w:t xml:space="preserve"> </w:t>
      </w:r>
      <w:r>
        <w:t>by building its new facility. These plans have the potential to improve clinical quality over time but are not sufficiently developed for the HPC to be able to assess the likelihood of any specific impacts. In the short-term, it will be critical for the parties and other oncology providers to develop robust plans for care coordination and management to avoid disruptions in continuity of care as long-standing provider relationships shift.</w:t>
      </w:r>
    </w:p>
    <w:p w14:paraId="1C34E550" w14:textId="77777777" w:rsidR="004C558F" w:rsidRDefault="004C558F">
      <w:pPr>
        <w:pStyle w:val="BodyText"/>
        <w:spacing w:before="36"/>
      </w:pPr>
    </w:p>
    <w:p w14:paraId="1C34E551" w14:textId="77777777" w:rsidR="004C558F" w:rsidRDefault="00461887">
      <w:pPr>
        <w:pStyle w:val="ListParagraph"/>
        <w:numPr>
          <w:ilvl w:val="0"/>
          <w:numId w:val="17"/>
        </w:numPr>
        <w:tabs>
          <w:tab w:val="left" w:pos="1678"/>
          <w:tab w:val="left" w:pos="1680"/>
        </w:tabs>
        <w:spacing w:before="1" w:line="276" w:lineRule="auto"/>
        <w:ind w:left="1680" w:right="702" w:hanging="361"/>
      </w:pPr>
      <w:r>
        <w:t>Access to and Equity of Care: In assessing the potential impacts of the proposed new cancer hospital on access to oncology care in the future, the HPC examined oncology utilization trends, demographic trends, technological changes, and other factors that could impact future need for additional inpatient oncology capacity. While Massachusetts’ aging</w:t>
      </w:r>
      <w:r>
        <w:rPr>
          <w:spacing w:val="40"/>
        </w:rPr>
        <w:t xml:space="preserve"> </w:t>
      </w:r>
      <w:r>
        <w:t>population is likely to result in higher cancer rates in Massachusetts in the future, modeling based on demographic trends and current utilization rates is likely to overstate future need for inpatient oncology care. Ultimately, it is unclear to what extent the proposed transaction</w:t>
      </w:r>
      <w:r>
        <w:rPr>
          <w:spacing w:val="40"/>
        </w:rPr>
        <w:t xml:space="preserve"> </w:t>
      </w:r>
      <w:r>
        <w:t>is either</w:t>
      </w:r>
      <w:r>
        <w:rPr>
          <w:spacing w:val="-1"/>
        </w:rPr>
        <w:t xml:space="preserve"> </w:t>
      </w:r>
      <w:r>
        <w:t xml:space="preserve">necessary or sufficient to ensure future access to oncology care. This assessment is based on </w:t>
      </w:r>
      <w:proofErr w:type="gramStart"/>
      <w:r>
        <w:t>a number of</w:t>
      </w:r>
      <w:proofErr w:type="gramEnd"/>
      <w:r>
        <w:t xml:space="preserve"> factors, including rapid advancements in cancer treatment and other factors</w:t>
      </w:r>
      <w:r>
        <w:rPr>
          <w:spacing w:val="-2"/>
        </w:rPr>
        <w:t xml:space="preserve"> </w:t>
      </w:r>
      <w:r>
        <w:t>that</w:t>
      </w:r>
      <w:r>
        <w:rPr>
          <w:spacing w:val="-3"/>
        </w:rPr>
        <w:t xml:space="preserve"> </w:t>
      </w:r>
      <w:r>
        <w:t>may</w:t>
      </w:r>
      <w:r>
        <w:rPr>
          <w:spacing w:val="-3"/>
        </w:rPr>
        <w:t xml:space="preserve"> </w:t>
      </w:r>
      <w:r>
        <w:t>impact</w:t>
      </w:r>
      <w:r>
        <w:rPr>
          <w:spacing w:val="-3"/>
        </w:rPr>
        <w:t xml:space="preserve"> </w:t>
      </w:r>
      <w:r>
        <w:t>future</w:t>
      </w:r>
      <w:r>
        <w:rPr>
          <w:spacing w:val="-2"/>
        </w:rPr>
        <w:t xml:space="preserve"> </w:t>
      </w:r>
      <w:r>
        <w:t>inpatient</w:t>
      </w:r>
      <w:r>
        <w:rPr>
          <w:spacing w:val="-5"/>
        </w:rPr>
        <w:t xml:space="preserve"> </w:t>
      </w:r>
      <w:r>
        <w:t>oncology</w:t>
      </w:r>
      <w:r>
        <w:rPr>
          <w:spacing w:val="-3"/>
        </w:rPr>
        <w:t xml:space="preserve"> </w:t>
      </w:r>
      <w:r>
        <w:t>utilization,</w:t>
      </w:r>
      <w:r>
        <w:rPr>
          <w:spacing w:val="-2"/>
        </w:rPr>
        <w:t xml:space="preserve"> </w:t>
      </w:r>
      <w:r>
        <w:t>the</w:t>
      </w:r>
      <w:r>
        <w:rPr>
          <w:spacing w:val="-2"/>
        </w:rPr>
        <w:t xml:space="preserve"> </w:t>
      </w:r>
      <w:r>
        <w:t>limits</w:t>
      </w:r>
      <w:r>
        <w:rPr>
          <w:spacing w:val="-4"/>
        </w:rPr>
        <w:t xml:space="preserve"> </w:t>
      </w:r>
      <w:r>
        <w:t>of</w:t>
      </w:r>
      <w:r>
        <w:rPr>
          <w:spacing w:val="-4"/>
        </w:rPr>
        <w:t xml:space="preserve"> </w:t>
      </w:r>
      <w:r>
        <w:t>statistical</w:t>
      </w:r>
      <w:r>
        <w:rPr>
          <w:spacing w:val="-3"/>
        </w:rPr>
        <w:t xml:space="preserve"> </w:t>
      </w:r>
      <w:r>
        <w:t>modeling, and the inability to fully assess other inpatient oncology capacity with existing data</w:t>
      </w:r>
      <w:r>
        <w:rPr>
          <w:spacing w:val="80"/>
        </w:rPr>
        <w:t xml:space="preserve"> </w:t>
      </w:r>
      <w:r>
        <w:rPr>
          <w:spacing w:val="-2"/>
        </w:rPr>
        <w:t>resources.</w:t>
      </w:r>
    </w:p>
    <w:p w14:paraId="1C34E552" w14:textId="77777777" w:rsidR="004C558F" w:rsidRDefault="004C558F">
      <w:pPr>
        <w:pStyle w:val="BodyText"/>
        <w:spacing w:before="37"/>
      </w:pPr>
    </w:p>
    <w:p w14:paraId="1C34E553" w14:textId="77777777" w:rsidR="004C558F" w:rsidRDefault="00461887">
      <w:pPr>
        <w:pStyle w:val="BodyText"/>
        <w:spacing w:before="1" w:line="276" w:lineRule="auto"/>
        <w:ind w:left="1679" w:right="711" w:firstLine="720"/>
      </w:pPr>
      <w:r>
        <w:t>Regarding</w:t>
      </w:r>
      <w:r>
        <w:rPr>
          <w:spacing w:val="-5"/>
        </w:rPr>
        <w:t xml:space="preserve"> </w:t>
      </w:r>
      <w:r>
        <w:t>the</w:t>
      </w:r>
      <w:r>
        <w:rPr>
          <w:spacing w:val="-4"/>
        </w:rPr>
        <w:t xml:space="preserve"> </w:t>
      </w:r>
      <w:r>
        <w:t>parties’</w:t>
      </w:r>
      <w:r>
        <w:rPr>
          <w:spacing w:val="-4"/>
        </w:rPr>
        <w:t xml:space="preserve"> </w:t>
      </w:r>
      <w:r>
        <w:t>role</w:t>
      </w:r>
      <w:r>
        <w:rPr>
          <w:spacing w:val="-4"/>
        </w:rPr>
        <w:t xml:space="preserve"> </w:t>
      </w:r>
      <w:r>
        <w:t>in</w:t>
      </w:r>
      <w:r>
        <w:rPr>
          <w:spacing w:val="-4"/>
        </w:rPr>
        <w:t xml:space="preserve"> </w:t>
      </w:r>
      <w:r>
        <w:t>serving</w:t>
      </w:r>
      <w:r>
        <w:rPr>
          <w:spacing w:val="-5"/>
        </w:rPr>
        <w:t xml:space="preserve"> </w:t>
      </w:r>
      <w:r>
        <w:t>traditionally</w:t>
      </w:r>
      <w:r>
        <w:rPr>
          <w:spacing w:val="-5"/>
        </w:rPr>
        <w:t xml:space="preserve"> </w:t>
      </w:r>
      <w:r>
        <w:t>underserved</w:t>
      </w:r>
      <w:r>
        <w:rPr>
          <w:spacing w:val="-6"/>
        </w:rPr>
        <w:t xml:space="preserve"> </w:t>
      </w:r>
      <w:r>
        <w:t>and</w:t>
      </w:r>
      <w:r>
        <w:rPr>
          <w:spacing w:val="-3"/>
        </w:rPr>
        <w:t xml:space="preserve"> </w:t>
      </w:r>
      <w:r>
        <w:t>government-payer populations, DFCI and BIDMC have relatively large proportions of commercially insured and Medicaid-insured</w:t>
      </w:r>
      <w:r>
        <w:rPr>
          <w:spacing w:val="-1"/>
        </w:rPr>
        <w:t xml:space="preserve"> </w:t>
      </w:r>
      <w:r>
        <w:t>oncology</w:t>
      </w:r>
      <w:r>
        <w:rPr>
          <w:spacing w:val="-3"/>
        </w:rPr>
        <w:t xml:space="preserve"> </w:t>
      </w:r>
      <w:r>
        <w:t>patients,</w:t>
      </w:r>
      <w:r>
        <w:rPr>
          <w:spacing w:val="-5"/>
        </w:rPr>
        <w:t xml:space="preserve"> </w:t>
      </w:r>
      <w:r>
        <w:t>BIDMC’s</w:t>
      </w:r>
      <w:r>
        <w:rPr>
          <w:spacing w:val="-2"/>
        </w:rPr>
        <w:t xml:space="preserve"> </w:t>
      </w:r>
      <w:r>
        <w:t>oncology</w:t>
      </w:r>
      <w:r>
        <w:rPr>
          <w:spacing w:val="-3"/>
        </w:rPr>
        <w:t xml:space="preserve"> </w:t>
      </w:r>
      <w:r>
        <w:t>patients</w:t>
      </w:r>
      <w:r>
        <w:rPr>
          <w:spacing w:val="-2"/>
        </w:rPr>
        <w:t xml:space="preserve"> </w:t>
      </w:r>
      <w:r>
        <w:t>reside</w:t>
      </w:r>
      <w:r>
        <w:rPr>
          <w:spacing w:val="-2"/>
        </w:rPr>
        <w:t xml:space="preserve"> </w:t>
      </w:r>
      <w:r>
        <w:t>in</w:t>
      </w:r>
      <w:r>
        <w:rPr>
          <w:spacing w:val="-4"/>
        </w:rPr>
        <w:t xml:space="preserve"> </w:t>
      </w:r>
      <w:r>
        <w:t>areas</w:t>
      </w:r>
      <w:r>
        <w:rPr>
          <w:spacing w:val="-2"/>
        </w:rPr>
        <w:t xml:space="preserve"> </w:t>
      </w:r>
      <w:r>
        <w:t>with</w:t>
      </w:r>
      <w:r>
        <w:rPr>
          <w:spacing w:val="-2"/>
        </w:rPr>
        <w:t xml:space="preserve"> </w:t>
      </w:r>
      <w:r>
        <w:t>relatively high indicia of social need, DFCI and BIDMC serve a greater proportion of BIPOC (Black, Indigenous, and people of color) and Hispanic oncology inpatients than the statewide average, and DFCI has the largest share of oncology discharges from rural areas compared</w:t>
      </w:r>
      <w:r>
        <w:rPr>
          <w:spacing w:val="40"/>
        </w:rPr>
        <w:t xml:space="preserve"> </w:t>
      </w:r>
      <w:r>
        <w:t xml:space="preserve">to other major cancer providers in Boston. The parties </w:t>
      </w:r>
      <w:proofErr w:type="gramStart"/>
      <w:r>
        <w:t>are also</w:t>
      </w:r>
      <w:proofErr w:type="gramEnd"/>
      <w:r>
        <w:t xml:space="preserve"> currently engaged in</w:t>
      </w:r>
      <w:r>
        <w:rPr>
          <w:spacing w:val="40"/>
        </w:rPr>
        <w:t xml:space="preserve"> </w:t>
      </w:r>
      <w:r>
        <w:t>programs designed to improve access and equitable care for their oncology patients and have</w:t>
      </w:r>
      <w:r>
        <w:rPr>
          <w:spacing w:val="-3"/>
        </w:rPr>
        <w:t xml:space="preserve"> </w:t>
      </w:r>
      <w:r>
        <w:t>developed plans</w:t>
      </w:r>
      <w:r>
        <w:rPr>
          <w:spacing w:val="-1"/>
        </w:rPr>
        <w:t xml:space="preserve"> </w:t>
      </w:r>
      <w:r>
        <w:t>to</w:t>
      </w:r>
      <w:r>
        <w:rPr>
          <w:spacing w:val="-1"/>
        </w:rPr>
        <w:t xml:space="preserve"> </w:t>
      </w:r>
      <w:r>
        <w:t>collaborate</w:t>
      </w:r>
      <w:r>
        <w:rPr>
          <w:spacing w:val="-3"/>
        </w:rPr>
        <w:t xml:space="preserve"> </w:t>
      </w:r>
      <w:r>
        <w:t>on</w:t>
      </w:r>
      <w:r>
        <w:rPr>
          <w:spacing w:val="-1"/>
        </w:rPr>
        <w:t xml:space="preserve"> </w:t>
      </w:r>
      <w:r>
        <w:t>expanding</w:t>
      </w:r>
      <w:r>
        <w:rPr>
          <w:spacing w:val="-4"/>
        </w:rPr>
        <w:t xml:space="preserve"> </w:t>
      </w:r>
      <w:r>
        <w:t>access</w:t>
      </w:r>
      <w:r>
        <w:rPr>
          <w:spacing w:val="-1"/>
        </w:rPr>
        <w:t xml:space="preserve"> </w:t>
      </w:r>
      <w:r>
        <w:t>and improving</w:t>
      </w:r>
      <w:r>
        <w:rPr>
          <w:spacing w:val="-4"/>
        </w:rPr>
        <w:t xml:space="preserve"> </w:t>
      </w:r>
      <w:r>
        <w:t>affordability</w:t>
      </w:r>
      <w:r>
        <w:rPr>
          <w:spacing w:val="-2"/>
        </w:rPr>
        <w:t xml:space="preserve"> </w:t>
      </w:r>
      <w:r>
        <w:t>for</w:t>
      </w:r>
      <w:r>
        <w:rPr>
          <w:spacing w:val="-2"/>
        </w:rPr>
        <w:t xml:space="preserve"> </w:t>
      </w:r>
      <w:r>
        <w:t>low- income patients following the transaction. However, their plans are preliminary and do not</w:t>
      </w:r>
      <w:r>
        <w:rPr>
          <w:spacing w:val="40"/>
        </w:rPr>
        <w:t xml:space="preserve"> </w:t>
      </w:r>
      <w:r>
        <w:t xml:space="preserve">yet include details necessary to assess the likelihood of specific potential access </w:t>
      </w:r>
      <w:r>
        <w:rPr>
          <w:spacing w:val="-2"/>
        </w:rPr>
        <w:t>improvements.</w:t>
      </w:r>
    </w:p>
    <w:p w14:paraId="1C34E554" w14:textId="77777777" w:rsidR="004C558F" w:rsidRDefault="004C558F">
      <w:pPr>
        <w:pStyle w:val="BodyText"/>
        <w:spacing w:before="36"/>
      </w:pPr>
    </w:p>
    <w:p w14:paraId="1C34E555" w14:textId="77777777" w:rsidR="004C558F" w:rsidRDefault="00461887">
      <w:pPr>
        <w:pStyle w:val="BodyText"/>
        <w:spacing w:line="276" w:lineRule="auto"/>
        <w:ind w:left="1679" w:right="730" w:firstLine="719"/>
      </w:pPr>
      <w:r>
        <w:t>DFCI’s new facility would significantly expand inpatient medical oncology services in downtown Boston. While concentration of care at urban specialty hospitals may create economies of scale and promote beneficial specialization, it also may challenge access to care, particularly for patients for whom travel presents a greater burden. If DFCI opens its new hospital as planned, large and well-resourced providers like MGB would likely be better positioned to respond competitively, with smaller and more financially vulnerable providers including community hospitals potentially facing both a loss of oncology patients and</w:t>
      </w:r>
      <w:r>
        <w:rPr>
          <w:spacing w:val="40"/>
        </w:rPr>
        <w:t xml:space="preserve"> </w:t>
      </w:r>
      <w:r>
        <w:t>revenue</w:t>
      </w:r>
      <w:r>
        <w:rPr>
          <w:spacing w:val="-4"/>
        </w:rPr>
        <w:t xml:space="preserve"> </w:t>
      </w:r>
      <w:r>
        <w:t>and</w:t>
      </w:r>
      <w:r>
        <w:rPr>
          <w:spacing w:val="-1"/>
        </w:rPr>
        <w:t xml:space="preserve"> </w:t>
      </w:r>
      <w:r>
        <w:t>upward</w:t>
      </w:r>
      <w:r>
        <w:rPr>
          <w:spacing w:val="-1"/>
        </w:rPr>
        <w:t xml:space="preserve"> </w:t>
      </w:r>
      <w:r>
        <w:t>pressure</w:t>
      </w:r>
      <w:r>
        <w:rPr>
          <w:spacing w:val="-2"/>
        </w:rPr>
        <w:t xml:space="preserve"> </w:t>
      </w:r>
      <w:r>
        <w:t>on</w:t>
      </w:r>
      <w:r>
        <w:rPr>
          <w:spacing w:val="-2"/>
        </w:rPr>
        <w:t xml:space="preserve"> </w:t>
      </w:r>
      <w:r>
        <w:t>labor</w:t>
      </w:r>
      <w:r>
        <w:rPr>
          <w:spacing w:val="-3"/>
        </w:rPr>
        <w:t xml:space="preserve"> </w:t>
      </w:r>
      <w:r>
        <w:t>costs</w:t>
      </w:r>
      <w:r>
        <w:rPr>
          <w:spacing w:val="-2"/>
        </w:rPr>
        <w:t xml:space="preserve"> </w:t>
      </w:r>
      <w:r>
        <w:t>as</w:t>
      </w:r>
      <w:r>
        <w:rPr>
          <w:spacing w:val="-2"/>
        </w:rPr>
        <w:t xml:space="preserve"> </w:t>
      </w:r>
      <w:r>
        <w:t>DFCI</w:t>
      </w:r>
      <w:r>
        <w:rPr>
          <w:spacing w:val="-2"/>
        </w:rPr>
        <w:t xml:space="preserve"> </w:t>
      </w:r>
      <w:r>
        <w:t>staffs</w:t>
      </w:r>
      <w:r>
        <w:rPr>
          <w:spacing w:val="-2"/>
        </w:rPr>
        <w:t xml:space="preserve"> </w:t>
      </w:r>
      <w:r>
        <w:t>its</w:t>
      </w:r>
      <w:r>
        <w:rPr>
          <w:spacing w:val="-2"/>
        </w:rPr>
        <w:t xml:space="preserve"> </w:t>
      </w:r>
      <w:r>
        <w:t>new</w:t>
      </w:r>
      <w:r>
        <w:rPr>
          <w:spacing w:val="-5"/>
        </w:rPr>
        <w:t xml:space="preserve"> </w:t>
      </w:r>
      <w:r>
        <w:t>facility.</w:t>
      </w:r>
      <w:r>
        <w:rPr>
          <w:spacing w:val="-2"/>
        </w:rPr>
        <w:t xml:space="preserve"> </w:t>
      </w:r>
      <w:r>
        <w:t>If</w:t>
      </w:r>
      <w:r>
        <w:rPr>
          <w:spacing w:val="-4"/>
        </w:rPr>
        <w:t xml:space="preserve"> </w:t>
      </w:r>
      <w:r>
        <w:t>these</w:t>
      </w:r>
      <w:r>
        <w:rPr>
          <w:spacing w:val="-2"/>
        </w:rPr>
        <w:t xml:space="preserve"> </w:t>
      </w:r>
      <w:r>
        <w:t>pressures destabilize</w:t>
      </w:r>
      <w:r>
        <w:rPr>
          <w:spacing w:val="-6"/>
        </w:rPr>
        <w:t xml:space="preserve"> </w:t>
      </w:r>
      <w:r>
        <w:t>or</w:t>
      </w:r>
      <w:r>
        <w:rPr>
          <w:spacing w:val="-7"/>
        </w:rPr>
        <w:t xml:space="preserve"> </w:t>
      </w:r>
      <w:r>
        <w:t>diminish</w:t>
      </w:r>
      <w:r>
        <w:rPr>
          <w:spacing w:val="-3"/>
        </w:rPr>
        <w:t xml:space="preserve"> </w:t>
      </w:r>
      <w:r>
        <w:t>the</w:t>
      </w:r>
      <w:r>
        <w:rPr>
          <w:spacing w:val="-5"/>
        </w:rPr>
        <w:t xml:space="preserve"> </w:t>
      </w:r>
      <w:r>
        <w:t>ability</w:t>
      </w:r>
      <w:r>
        <w:rPr>
          <w:spacing w:val="-5"/>
        </w:rPr>
        <w:t xml:space="preserve"> </w:t>
      </w:r>
      <w:r>
        <w:t>of</w:t>
      </w:r>
      <w:r>
        <w:rPr>
          <w:spacing w:val="-2"/>
        </w:rPr>
        <w:t xml:space="preserve"> </w:t>
      </w:r>
      <w:r>
        <w:t>other</w:t>
      </w:r>
      <w:r>
        <w:rPr>
          <w:spacing w:val="-4"/>
        </w:rPr>
        <w:t xml:space="preserve"> </w:t>
      </w:r>
      <w:r>
        <w:t>oncology</w:t>
      </w:r>
      <w:r>
        <w:rPr>
          <w:spacing w:val="-5"/>
        </w:rPr>
        <w:t xml:space="preserve"> </w:t>
      </w:r>
      <w:r>
        <w:t>providers</w:t>
      </w:r>
      <w:r>
        <w:rPr>
          <w:spacing w:val="-3"/>
        </w:rPr>
        <w:t xml:space="preserve"> </w:t>
      </w:r>
      <w:r>
        <w:t>to</w:t>
      </w:r>
      <w:r>
        <w:rPr>
          <w:spacing w:val="-3"/>
        </w:rPr>
        <w:t xml:space="preserve"> </w:t>
      </w:r>
      <w:r>
        <w:t>invest</w:t>
      </w:r>
      <w:r>
        <w:rPr>
          <w:spacing w:val="-5"/>
        </w:rPr>
        <w:t xml:space="preserve"> </w:t>
      </w:r>
      <w:r>
        <w:t>in</w:t>
      </w:r>
      <w:r>
        <w:rPr>
          <w:spacing w:val="-5"/>
        </w:rPr>
        <w:t xml:space="preserve"> </w:t>
      </w:r>
      <w:r>
        <w:t>or</w:t>
      </w:r>
      <w:r>
        <w:rPr>
          <w:spacing w:val="-4"/>
        </w:rPr>
        <w:t xml:space="preserve"> </w:t>
      </w:r>
      <w:r>
        <w:t>maintain</w:t>
      </w:r>
      <w:r>
        <w:rPr>
          <w:spacing w:val="-3"/>
        </w:rPr>
        <w:t xml:space="preserve"> </w:t>
      </w:r>
      <w:r>
        <w:rPr>
          <w:spacing w:val="-2"/>
        </w:rPr>
        <w:t>facilities</w:t>
      </w:r>
    </w:p>
    <w:p w14:paraId="1C34E556" w14:textId="77777777" w:rsidR="004C558F" w:rsidRDefault="004C558F">
      <w:pPr>
        <w:spacing w:line="276" w:lineRule="auto"/>
        <w:sectPr w:rsidR="004C558F">
          <w:pgSz w:w="12240" w:h="15840"/>
          <w:pgMar w:top="1360" w:right="740" w:bottom="720" w:left="480" w:header="0" w:footer="521" w:gutter="0"/>
          <w:cols w:space="720"/>
        </w:sectPr>
      </w:pPr>
    </w:p>
    <w:p w14:paraId="1C34E557" w14:textId="77777777" w:rsidR="004C558F" w:rsidRDefault="00461887">
      <w:pPr>
        <w:pStyle w:val="BodyText"/>
        <w:spacing w:before="80" w:line="276" w:lineRule="auto"/>
        <w:ind w:left="1680" w:right="702"/>
      </w:pPr>
      <w:bookmarkStart w:id="23" w:name="_bookmark24"/>
      <w:bookmarkEnd w:id="23"/>
      <w:r>
        <w:lastRenderedPageBreak/>
        <w:t>and</w:t>
      </w:r>
      <w:r>
        <w:rPr>
          <w:spacing w:val="-4"/>
        </w:rPr>
        <w:t xml:space="preserve"> </w:t>
      </w:r>
      <w:r>
        <w:t>staff,</w:t>
      </w:r>
      <w:r>
        <w:rPr>
          <w:spacing w:val="-4"/>
        </w:rPr>
        <w:t xml:space="preserve"> </w:t>
      </w:r>
      <w:r>
        <w:t>it</w:t>
      </w:r>
      <w:r>
        <w:rPr>
          <w:spacing w:val="-3"/>
        </w:rPr>
        <w:t xml:space="preserve"> </w:t>
      </w:r>
      <w:r>
        <w:t>is</w:t>
      </w:r>
      <w:r>
        <w:rPr>
          <w:spacing w:val="-2"/>
        </w:rPr>
        <w:t xml:space="preserve"> </w:t>
      </w:r>
      <w:r>
        <w:t>likely</w:t>
      </w:r>
      <w:r>
        <w:rPr>
          <w:spacing w:val="-3"/>
        </w:rPr>
        <w:t xml:space="preserve"> </w:t>
      </w:r>
      <w:r>
        <w:t>to</w:t>
      </w:r>
      <w:r>
        <w:rPr>
          <w:spacing w:val="-2"/>
        </w:rPr>
        <w:t xml:space="preserve"> </w:t>
      </w:r>
      <w:r>
        <w:t>impact</w:t>
      </w:r>
      <w:r>
        <w:rPr>
          <w:spacing w:val="-3"/>
        </w:rPr>
        <w:t xml:space="preserve"> </w:t>
      </w:r>
      <w:r>
        <w:t>health</w:t>
      </w:r>
      <w:r>
        <w:rPr>
          <w:spacing w:val="-4"/>
        </w:rPr>
        <w:t xml:space="preserve"> </w:t>
      </w:r>
      <w:r>
        <w:t>care</w:t>
      </w:r>
      <w:r>
        <w:rPr>
          <w:spacing w:val="-4"/>
        </w:rPr>
        <w:t xml:space="preserve"> </w:t>
      </w:r>
      <w:r>
        <w:t>equity</w:t>
      </w:r>
      <w:r>
        <w:rPr>
          <w:spacing w:val="-3"/>
        </w:rPr>
        <w:t xml:space="preserve"> </w:t>
      </w:r>
      <w:r>
        <w:t>and</w:t>
      </w:r>
      <w:r>
        <w:rPr>
          <w:spacing w:val="-4"/>
        </w:rPr>
        <w:t xml:space="preserve"> </w:t>
      </w:r>
      <w:r>
        <w:t>access</w:t>
      </w:r>
      <w:r>
        <w:rPr>
          <w:spacing w:val="-4"/>
        </w:rPr>
        <w:t xml:space="preserve"> </w:t>
      </w:r>
      <w:r>
        <w:t>as</w:t>
      </w:r>
      <w:r>
        <w:rPr>
          <w:spacing w:val="-2"/>
        </w:rPr>
        <w:t xml:space="preserve"> </w:t>
      </w:r>
      <w:r>
        <w:t>well</w:t>
      </w:r>
      <w:r>
        <w:rPr>
          <w:spacing w:val="-3"/>
        </w:rPr>
        <w:t xml:space="preserve"> </w:t>
      </w:r>
      <w:r>
        <w:t>as</w:t>
      </w:r>
      <w:r>
        <w:rPr>
          <w:spacing w:val="-2"/>
        </w:rPr>
        <w:t xml:space="preserve"> </w:t>
      </w:r>
      <w:r>
        <w:t>potentially</w:t>
      </w:r>
      <w:r>
        <w:rPr>
          <w:spacing w:val="-3"/>
        </w:rPr>
        <w:t xml:space="preserve"> </w:t>
      </w:r>
      <w:r>
        <w:t>increase health care spending.</w:t>
      </w:r>
    </w:p>
    <w:p w14:paraId="1C34E558" w14:textId="77777777" w:rsidR="004C558F" w:rsidRDefault="004C558F">
      <w:pPr>
        <w:pStyle w:val="BodyText"/>
        <w:spacing w:before="38"/>
      </w:pPr>
    </w:p>
    <w:p w14:paraId="1C34E559" w14:textId="77777777" w:rsidR="004C558F" w:rsidRDefault="00461887">
      <w:pPr>
        <w:pStyle w:val="BodyText"/>
        <w:spacing w:line="276" w:lineRule="auto"/>
        <w:ind w:left="959" w:right="701" w:firstLine="720"/>
      </w:pPr>
      <w:r>
        <w:t>Should the proposed affiliation proceed, commitments by the parties and public monitoring could help</w:t>
      </w:r>
      <w:r>
        <w:rPr>
          <w:spacing w:val="-1"/>
        </w:rPr>
        <w:t xml:space="preserve"> </w:t>
      </w:r>
      <w:r>
        <w:t>to</w:t>
      </w:r>
      <w:r>
        <w:rPr>
          <w:spacing w:val="-1"/>
        </w:rPr>
        <w:t xml:space="preserve"> </w:t>
      </w:r>
      <w:r>
        <w:t>address the</w:t>
      </w:r>
      <w:r>
        <w:rPr>
          <w:spacing w:val="-3"/>
        </w:rPr>
        <w:t xml:space="preserve"> </w:t>
      </w:r>
      <w:r>
        <w:t>cost</w:t>
      </w:r>
      <w:r>
        <w:rPr>
          <w:spacing w:val="-3"/>
        </w:rPr>
        <w:t xml:space="preserve"> </w:t>
      </w:r>
      <w:r>
        <w:t>and</w:t>
      </w:r>
      <w:r>
        <w:rPr>
          <w:spacing w:val="-3"/>
        </w:rPr>
        <w:t xml:space="preserve"> </w:t>
      </w:r>
      <w:r>
        <w:t>access concerns</w:t>
      </w:r>
      <w:r>
        <w:rPr>
          <w:spacing w:val="-3"/>
        </w:rPr>
        <w:t xml:space="preserve"> </w:t>
      </w:r>
      <w:r>
        <w:t>raised in this report.</w:t>
      </w:r>
      <w:r>
        <w:rPr>
          <w:spacing w:val="-3"/>
        </w:rPr>
        <w:t xml:space="preserve"> </w:t>
      </w:r>
      <w:r>
        <w:t>The</w:t>
      </w:r>
      <w:r>
        <w:rPr>
          <w:spacing w:val="-3"/>
        </w:rPr>
        <w:t xml:space="preserve"> </w:t>
      </w:r>
      <w:r>
        <w:t>parties should</w:t>
      </w:r>
      <w:r>
        <w:rPr>
          <w:spacing w:val="-2"/>
        </w:rPr>
        <w:t xml:space="preserve"> </w:t>
      </w:r>
      <w:r>
        <w:t>consider commitments regarding spending impacts, including DFCI’s high prices for outpatient services including oncologic drugs and future changes in DFCI’s commercial and Medicare reimbursement rates. In addition, the parties should consider commitments such as reporting on the development and implementation of plans to coordinate care among oncology providers and transition planning</w:t>
      </w:r>
      <w:r>
        <w:rPr>
          <w:spacing w:val="40"/>
        </w:rPr>
        <w:t xml:space="preserve"> </w:t>
      </w:r>
      <w:r>
        <w:t>for current patients during and after the transition of DFCI’s affiliation from BWH to BIDMC, and the implementation and results of the parties’ proposed access and equity initiatives, including on the parties’ mix of</w:t>
      </w:r>
      <w:r>
        <w:rPr>
          <w:spacing w:val="-2"/>
        </w:rPr>
        <w:t xml:space="preserve"> </w:t>
      </w:r>
      <w:r>
        <w:t>publicly</w:t>
      </w:r>
      <w:r>
        <w:rPr>
          <w:spacing w:val="-1"/>
        </w:rPr>
        <w:t xml:space="preserve"> </w:t>
      </w:r>
      <w:r>
        <w:t>insured patients.</w:t>
      </w:r>
      <w:r>
        <w:rPr>
          <w:spacing w:val="-3"/>
        </w:rPr>
        <w:t xml:space="preserve"> </w:t>
      </w:r>
      <w:r>
        <w:t>Given</w:t>
      </w:r>
      <w:r>
        <w:rPr>
          <w:spacing w:val="-2"/>
        </w:rPr>
        <w:t xml:space="preserve"> </w:t>
      </w:r>
      <w:r>
        <w:t>the implications of continued</w:t>
      </w:r>
      <w:r>
        <w:rPr>
          <w:spacing w:val="-2"/>
        </w:rPr>
        <w:t xml:space="preserve"> </w:t>
      </w:r>
      <w:r>
        <w:t>significant</w:t>
      </w:r>
      <w:r>
        <w:rPr>
          <w:spacing w:val="-1"/>
        </w:rPr>
        <w:t xml:space="preserve"> </w:t>
      </w:r>
      <w:r>
        <w:t>investment</w:t>
      </w:r>
      <w:r>
        <w:rPr>
          <w:spacing w:val="-1"/>
        </w:rPr>
        <w:t xml:space="preserve"> </w:t>
      </w:r>
      <w:r>
        <w:t>in specialty</w:t>
      </w:r>
      <w:r>
        <w:rPr>
          <w:spacing w:val="-2"/>
        </w:rPr>
        <w:t xml:space="preserve"> </w:t>
      </w:r>
      <w:r>
        <w:t>care</w:t>
      </w:r>
      <w:r>
        <w:rPr>
          <w:spacing w:val="-3"/>
        </w:rPr>
        <w:t xml:space="preserve"> </w:t>
      </w:r>
      <w:r>
        <w:t>capacity</w:t>
      </w:r>
      <w:r>
        <w:rPr>
          <w:spacing w:val="-2"/>
        </w:rPr>
        <w:t xml:space="preserve"> </w:t>
      </w:r>
      <w:r>
        <w:t>in</w:t>
      </w:r>
      <w:r>
        <w:rPr>
          <w:spacing w:val="-3"/>
        </w:rPr>
        <w:t xml:space="preserve"> </w:t>
      </w:r>
      <w:r>
        <w:t>Boston</w:t>
      </w:r>
      <w:r>
        <w:rPr>
          <w:spacing w:val="-3"/>
        </w:rPr>
        <w:t xml:space="preserve"> </w:t>
      </w:r>
      <w:r>
        <w:t>for</w:t>
      </w:r>
      <w:r>
        <w:rPr>
          <w:spacing w:val="-2"/>
        </w:rPr>
        <w:t xml:space="preserve"> </w:t>
      </w:r>
      <w:r>
        <w:t>the</w:t>
      </w:r>
      <w:r>
        <w:rPr>
          <w:spacing w:val="-3"/>
        </w:rPr>
        <w:t xml:space="preserve"> </w:t>
      </w:r>
      <w:r>
        <w:t>accessibility</w:t>
      </w:r>
      <w:r>
        <w:rPr>
          <w:spacing w:val="-2"/>
        </w:rPr>
        <w:t xml:space="preserve"> </w:t>
      </w:r>
      <w:r>
        <w:t>of these</w:t>
      </w:r>
      <w:r>
        <w:rPr>
          <w:spacing w:val="-3"/>
        </w:rPr>
        <w:t xml:space="preserve"> </w:t>
      </w:r>
      <w:r>
        <w:t>services at</w:t>
      </w:r>
      <w:r>
        <w:rPr>
          <w:spacing w:val="-4"/>
        </w:rPr>
        <w:t xml:space="preserve"> </w:t>
      </w:r>
      <w:r>
        <w:t>other</w:t>
      </w:r>
      <w:r>
        <w:rPr>
          <w:spacing w:val="-2"/>
        </w:rPr>
        <w:t xml:space="preserve"> </w:t>
      </w:r>
      <w:r>
        <w:t>providers</w:t>
      </w:r>
      <w:r>
        <w:rPr>
          <w:spacing w:val="-3"/>
        </w:rPr>
        <w:t xml:space="preserve"> </w:t>
      </w:r>
      <w:r>
        <w:t>and</w:t>
      </w:r>
      <w:r>
        <w:rPr>
          <w:spacing w:val="-3"/>
        </w:rPr>
        <w:t xml:space="preserve"> </w:t>
      </w:r>
      <w:r>
        <w:t>in</w:t>
      </w:r>
      <w:r>
        <w:rPr>
          <w:spacing w:val="-1"/>
        </w:rPr>
        <w:t xml:space="preserve"> </w:t>
      </w:r>
      <w:r>
        <w:t>other parts of the state, the parties should commit to expanding coordination with community providers.</w:t>
      </w:r>
    </w:p>
    <w:p w14:paraId="1C34E55A" w14:textId="77777777" w:rsidR="004C558F" w:rsidRDefault="004C558F">
      <w:pPr>
        <w:pStyle w:val="BodyText"/>
        <w:spacing w:before="35"/>
      </w:pPr>
    </w:p>
    <w:p w14:paraId="1C34E55B" w14:textId="77777777" w:rsidR="004C558F" w:rsidRDefault="00461887">
      <w:pPr>
        <w:pStyle w:val="BodyText"/>
        <w:spacing w:before="1" w:line="276" w:lineRule="auto"/>
        <w:ind w:left="959" w:right="799" w:firstLine="720"/>
      </w:pPr>
      <w:r>
        <w:t>We</w:t>
      </w:r>
      <w:r>
        <w:rPr>
          <w:spacing w:val="-3"/>
        </w:rPr>
        <w:t xml:space="preserve"> </w:t>
      </w:r>
      <w:r>
        <w:t>invite</w:t>
      </w:r>
      <w:r>
        <w:rPr>
          <w:spacing w:val="-3"/>
        </w:rPr>
        <w:t xml:space="preserve"> </w:t>
      </w:r>
      <w:r>
        <w:t>the</w:t>
      </w:r>
      <w:r>
        <w:rPr>
          <w:spacing w:val="-3"/>
        </w:rPr>
        <w:t xml:space="preserve"> </w:t>
      </w:r>
      <w:r>
        <w:t>parties</w:t>
      </w:r>
      <w:r>
        <w:rPr>
          <w:spacing w:val="-3"/>
        </w:rPr>
        <w:t xml:space="preserve"> </w:t>
      </w:r>
      <w:r>
        <w:t>to</w:t>
      </w:r>
      <w:r>
        <w:rPr>
          <w:spacing w:val="-5"/>
        </w:rPr>
        <w:t xml:space="preserve"> </w:t>
      </w:r>
      <w:r>
        <w:t>address</w:t>
      </w:r>
      <w:r>
        <w:rPr>
          <w:spacing w:val="-3"/>
        </w:rPr>
        <w:t xml:space="preserve"> </w:t>
      </w:r>
      <w:proofErr w:type="gramStart"/>
      <w:r>
        <w:t>these</w:t>
      </w:r>
      <w:proofErr w:type="gramEnd"/>
      <w:r>
        <w:rPr>
          <w:spacing w:val="-5"/>
        </w:rPr>
        <w:t xml:space="preserve"> </w:t>
      </w:r>
      <w:r>
        <w:t>and</w:t>
      </w:r>
      <w:r>
        <w:rPr>
          <w:spacing w:val="-2"/>
        </w:rPr>
        <w:t xml:space="preserve"> </w:t>
      </w:r>
      <w:r>
        <w:t>other</w:t>
      </w:r>
      <w:r>
        <w:rPr>
          <w:spacing w:val="-4"/>
        </w:rPr>
        <w:t xml:space="preserve"> </w:t>
      </w:r>
      <w:r>
        <w:t>concerns</w:t>
      </w:r>
      <w:r>
        <w:rPr>
          <w:spacing w:val="-5"/>
        </w:rPr>
        <w:t xml:space="preserve"> </w:t>
      </w:r>
      <w:r>
        <w:t>documented</w:t>
      </w:r>
      <w:r>
        <w:rPr>
          <w:spacing w:val="-2"/>
        </w:rPr>
        <w:t xml:space="preserve"> </w:t>
      </w:r>
      <w:r>
        <w:t>throughout</w:t>
      </w:r>
      <w:r>
        <w:rPr>
          <w:spacing w:val="-4"/>
        </w:rPr>
        <w:t xml:space="preserve"> </w:t>
      </w:r>
      <w:r>
        <w:t>this report in their written response, including any commitments. Following the period for written response, we look forward to publishing our Final Report, including any referrals or recommendations to other state agencies.</w:t>
      </w:r>
    </w:p>
    <w:p w14:paraId="1C34E55C" w14:textId="77777777" w:rsidR="004C558F" w:rsidRDefault="004C558F">
      <w:pPr>
        <w:spacing w:line="276" w:lineRule="auto"/>
        <w:sectPr w:rsidR="004C558F">
          <w:pgSz w:w="12240" w:h="15840"/>
          <w:pgMar w:top="1360" w:right="740" w:bottom="720" w:left="480" w:header="0" w:footer="521" w:gutter="0"/>
          <w:cols w:space="720"/>
        </w:sectPr>
      </w:pPr>
    </w:p>
    <w:p w14:paraId="1C34E55D" w14:textId="77777777" w:rsidR="004C558F" w:rsidRDefault="00461887">
      <w:pPr>
        <w:pStyle w:val="Heading1"/>
        <w:numPr>
          <w:ilvl w:val="0"/>
          <w:numId w:val="16"/>
        </w:numPr>
        <w:tabs>
          <w:tab w:val="left" w:pos="960"/>
        </w:tabs>
        <w:spacing w:before="82"/>
        <w:jc w:val="left"/>
      </w:pPr>
      <w:bookmarkStart w:id="24" w:name="I._Analytic_Approach_and_Data_Sources"/>
      <w:bookmarkEnd w:id="24"/>
      <w:r>
        <w:rPr>
          <w:color w:val="084875"/>
        </w:rPr>
        <w:lastRenderedPageBreak/>
        <w:t>ANALYTIC</w:t>
      </w:r>
      <w:r>
        <w:rPr>
          <w:color w:val="084875"/>
          <w:spacing w:val="-14"/>
        </w:rPr>
        <w:t xml:space="preserve"> </w:t>
      </w:r>
      <w:r>
        <w:rPr>
          <w:color w:val="084875"/>
        </w:rPr>
        <w:t>APPROACH</w:t>
      </w:r>
      <w:r>
        <w:rPr>
          <w:color w:val="084875"/>
          <w:spacing w:val="-10"/>
        </w:rPr>
        <w:t xml:space="preserve"> </w:t>
      </w:r>
      <w:r>
        <w:rPr>
          <w:color w:val="084875"/>
        </w:rPr>
        <w:t>AND</w:t>
      </w:r>
      <w:r>
        <w:rPr>
          <w:color w:val="084875"/>
          <w:spacing w:val="-10"/>
        </w:rPr>
        <w:t xml:space="preserve"> </w:t>
      </w:r>
      <w:r>
        <w:rPr>
          <w:color w:val="084875"/>
        </w:rPr>
        <w:t>DATA</w:t>
      </w:r>
      <w:r>
        <w:rPr>
          <w:color w:val="084875"/>
          <w:spacing w:val="-10"/>
        </w:rPr>
        <w:t xml:space="preserve"> </w:t>
      </w:r>
      <w:r>
        <w:rPr>
          <w:color w:val="084875"/>
          <w:spacing w:val="-2"/>
        </w:rPr>
        <w:t>SOURCES</w:t>
      </w:r>
    </w:p>
    <w:p w14:paraId="1C34E55E" w14:textId="77777777" w:rsidR="004C558F" w:rsidRDefault="004C558F">
      <w:pPr>
        <w:pStyle w:val="BodyText"/>
        <w:spacing w:before="218"/>
        <w:rPr>
          <w:rFonts w:ascii="Franklin Gothic Demi"/>
          <w:b/>
          <w:sz w:val="32"/>
        </w:rPr>
      </w:pPr>
    </w:p>
    <w:p w14:paraId="1C34E55F" w14:textId="77777777" w:rsidR="004C558F" w:rsidRDefault="00461887">
      <w:pPr>
        <w:pStyle w:val="ListParagraph"/>
        <w:numPr>
          <w:ilvl w:val="1"/>
          <w:numId w:val="16"/>
        </w:numPr>
        <w:tabs>
          <w:tab w:val="left" w:pos="958"/>
        </w:tabs>
        <w:ind w:left="958" w:hanging="358"/>
        <w:rPr>
          <w:rFonts w:ascii="Franklin Gothic Medium"/>
          <w:color w:val="063656"/>
          <w:sz w:val="28"/>
        </w:rPr>
      </w:pPr>
      <w:bookmarkStart w:id="25" w:name="A._Analytic_Approach"/>
      <w:bookmarkEnd w:id="25"/>
      <w:r>
        <w:rPr>
          <w:rFonts w:ascii="Franklin Gothic Medium"/>
          <w:color w:val="063656"/>
          <w:sz w:val="28"/>
        </w:rPr>
        <w:t>Analytic</w:t>
      </w:r>
      <w:r>
        <w:rPr>
          <w:rFonts w:ascii="Franklin Gothic Medium"/>
          <w:color w:val="063656"/>
          <w:spacing w:val="-5"/>
          <w:sz w:val="28"/>
        </w:rPr>
        <w:t xml:space="preserve"> </w:t>
      </w:r>
      <w:r>
        <w:rPr>
          <w:rFonts w:ascii="Franklin Gothic Medium"/>
          <w:color w:val="063656"/>
          <w:spacing w:val="-2"/>
          <w:sz w:val="28"/>
        </w:rPr>
        <w:t>Approach</w:t>
      </w:r>
    </w:p>
    <w:p w14:paraId="1C34E560" w14:textId="77777777" w:rsidR="004C558F" w:rsidRDefault="004C558F">
      <w:pPr>
        <w:pStyle w:val="BodyText"/>
        <w:spacing w:before="94"/>
        <w:rPr>
          <w:rFonts w:ascii="Franklin Gothic Medium"/>
          <w:sz w:val="28"/>
        </w:rPr>
      </w:pPr>
    </w:p>
    <w:p w14:paraId="1C34E561" w14:textId="3D5681FF" w:rsidR="004C558F" w:rsidRDefault="00461887">
      <w:pPr>
        <w:pStyle w:val="BodyText"/>
        <w:spacing w:line="276" w:lineRule="auto"/>
        <w:ind w:left="959" w:right="702" w:firstLine="720"/>
        <w:rPr>
          <w:sz w:val="14"/>
        </w:rPr>
      </w:pPr>
      <w:r>
        <w:t>The</w:t>
      </w:r>
      <w:r>
        <w:rPr>
          <w:spacing w:val="-3"/>
        </w:rPr>
        <w:t xml:space="preserve"> </w:t>
      </w:r>
      <w:r>
        <w:t>Health</w:t>
      </w:r>
      <w:r>
        <w:rPr>
          <w:spacing w:val="-5"/>
        </w:rPr>
        <w:t xml:space="preserve"> </w:t>
      </w:r>
      <w:r>
        <w:t>Policy</w:t>
      </w:r>
      <w:r>
        <w:rPr>
          <w:spacing w:val="-4"/>
        </w:rPr>
        <w:t xml:space="preserve"> </w:t>
      </w:r>
      <w:r>
        <w:t>Commission</w:t>
      </w:r>
      <w:r>
        <w:rPr>
          <w:spacing w:val="-3"/>
        </w:rPr>
        <w:t xml:space="preserve"> </w:t>
      </w:r>
      <w:r>
        <w:t>(HPC)</w:t>
      </w:r>
      <w:r>
        <w:rPr>
          <w:spacing w:val="-3"/>
        </w:rPr>
        <w:t xml:space="preserve"> </w:t>
      </w:r>
      <w:r>
        <w:t>is</w:t>
      </w:r>
      <w:r>
        <w:rPr>
          <w:spacing w:val="-3"/>
        </w:rPr>
        <w:t xml:space="preserve"> </w:t>
      </w:r>
      <w:r>
        <w:t>tasked</w:t>
      </w:r>
      <w:r>
        <w:rPr>
          <w:spacing w:val="-2"/>
        </w:rPr>
        <w:t xml:space="preserve"> </w:t>
      </w:r>
      <w:r>
        <w:t>with</w:t>
      </w:r>
      <w:r>
        <w:rPr>
          <w:spacing w:val="-5"/>
        </w:rPr>
        <w:t xml:space="preserve"> </w:t>
      </w:r>
      <w:r>
        <w:t>examining</w:t>
      </w:r>
      <w:r>
        <w:rPr>
          <w:spacing w:val="-4"/>
        </w:rPr>
        <w:t xml:space="preserve"> </w:t>
      </w:r>
      <w:r>
        <w:t>impact</w:t>
      </w:r>
      <w:r>
        <w:rPr>
          <w:spacing w:val="-4"/>
        </w:rPr>
        <w:t xml:space="preserve"> </w:t>
      </w:r>
      <w:r>
        <w:t>in</w:t>
      </w:r>
      <w:r>
        <w:rPr>
          <w:spacing w:val="-3"/>
        </w:rPr>
        <w:t xml:space="preserve"> </w:t>
      </w:r>
      <w:r>
        <w:t>three</w:t>
      </w:r>
      <w:r>
        <w:rPr>
          <w:spacing w:val="-5"/>
        </w:rPr>
        <w:t xml:space="preserve"> </w:t>
      </w:r>
      <w:r>
        <w:t>interrelated areas in a cost and market impact review (CMIR):</w:t>
      </w:r>
      <w:r w:rsidR="00BC108A">
        <w:rPr>
          <w:rStyle w:val="FootnoteReference"/>
        </w:rPr>
        <w:footnoteReference w:id="17"/>
      </w:r>
      <w:r w:rsidR="00BC108A">
        <w:rPr>
          <w:sz w:val="14"/>
        </w:rPr>
        <w:t xml:space="preserve"> </w:t>
      </w:r>
    </w:p>
    <w:p w14:paraId="1C34E562" w14:textId="77777777" w:rsidR="004C558F" w:rsidRDefault="004C558F">
      <w:pPr>
        <w:pStyle w:val="BodyText"/>
        <w:spacing w:before="39"/>
      </w:pPr>
    </w:p>
    <w:p w14:paraId="1C34E563" w14:textId="77777777" w:rsidR="004C558F" w:rsidRDefault="00461887">
      <w:pPr>
        <w:pStyle w:val="ListParagraph"/>
        <w:numPr>
          <w:ilvl w:val="2"/>
          <w:numId w:val="16"/>
        </w:numPr>
        <w:tabs>
          <w:tab w:val="left" w:pos="1679"/>
        </w:tabs>
        <w:spacing w:line="276" w:lineRule="auto"/>
        <w:ind w:left="1679" w:right="979"/>
      </w:pPr>
      <w:r>
        <w:t>Costs</w:t>
      </w:r>
      <w:r>
        <w:rPr>
          <w:spacing w:val="-1"/>
        </w:rPr>
        <w:t xml:space="preserve"> </w:t>
      </w:r>
      <w:r>
        <w:t>and</w:t>
      </w:r>
      <w:r>
        <w:rPr>
          <w:spacing w:val="-3"/>
        </w:rPr>
        <w:t xml:space="preserve"> </w:t>
      </w:r>
      <w:r>
        <w:t>Market</w:t>
      </w:r>
      <w:r>
        <w:rPr>
          <w:spacing w:val="-5"/>
        </w:rPr>
        <w:t xml:space="preserve"> </w:t>
      </w:r>
      <w:r>
        <w:t>Functioning.</w:t>
      </w:r>
      <w:r>
        <w:rPr>
          <w:spacing w:val="-4"/>
        </w:rPr>
        <w:t xml:space="preserve"> </w:t>
      </w:r>
      <w:r>
        <w:t>The</w:t>
      </w:r>
      <w:r>
        <w:rPr>
          <w:spacing w:val="-1"/>
        </w:rPr>
        <w:t xml:space="preserve"> </w:t>
      </w:r>
      <w:r>
        <w:t>HPC</w:t>
      </w:r>
      <w:r>
        <w:rPr>
          <w:spacing w:val="-2"/>
        </w:rPr>
        <w:t xml:space="preserve"> </w:t>
      </w:r>
      <w:r>
        <w:t>may</w:t>
      </w:r>
      <w:r>
        <w:rPr>
          <w:spacing w:val="-2"/>
        </w:rPr>
        <w:t xml:space="preserve"> </w:t>
      </w:r>
      <w:r>
        <w:t>examine</w:t>
      </w:r>
      <w:r>
        <w:rPr>
          <w:spacing w:val="-1"/>
        </w:rPr>
        <w:t xml:space="preserve"> </w:t>
      </w:r>
      <w:r>
        <w:t>factors</w:t>
      </w:r>
      <w:r>
        <w:rPr>
          <w:spacing w:val="-3"/>
        </w:rPr>
        <w:t xml:space="preserve"> </w:t>
      </w:r>
      <w:r>
        <w:t>such</w:t>
      </w:r>
      <w:r>
        <w:rPr>
          <w:spacing w:val="-3"/>
        </w:rPr>
        <w:t xml:space="preserve"> </w:t>
      </w:r>
      <w:r>
        <w:t>as</w:t>
      </w:r>
      <w:r>
        <w:rPr>
          <w:spacing w:val="-1"/>
        </w:rPr>
        <w:t xml:space="preserve"> </w:t>
      </w:r>
      <w:r>
        <w:t>prices,</w:t>
      </w:r>
      <w:r>
        <w:rPr>
          <w:spacing w:val="-4"/>
        </w:rPr>
        <w:t xml:space="preserve"> </w:t>
      </w:r>
      <w:r>
        <w:t>total</w:t>
      </w:r>
      <w:r>
        <w:rPr>
          <w:spacing w:val="-2"/>
        </w:rPr>
        <w:t xml:space="preserve"> </w:t>
      </w:r>
      <w:r>
        <w:t>medical expenses, provider costs, and other measures of health care spending as well as market share, the provider’s methods</w:t>
      </w:r>
      <w:r>
        <w:rPr>
          <w:spacing w:val="-2"/>
        </w:rPr>
        <w:t xml:space="preserve"> </w:t>
      </w:r>
      <w:r>
        <w:t>for</w:t>
      </w:r>
      <w:r>
        <w:rPr>
          <w:spacing w:val="-3"/>
        </w:rPr>
        <w:t xml:space="preserve"> </w:t>
      </w:r>
      <w:r>
        <w:t>attracting</w:t>
      </w:r>
      <w:r>
        <w:rPr>
          <w:spacing w:val="-1"/>
        </w:rPr>
        <w:t xml:space="preserve"> </w:t>
      </w:r>
      <w:r>
        <w:t>patient</w:t>
      </w:r>
      <w:r>
        <w:rPr>
          <w:spacing w:val="-1"/>
        </w:rPr>
        <w:t xml:space="preserve"> </w:t>
      </w:r>
      <w:r>
        <w:t>volume</w:t>
      </w:r>
      <w:r>
        <w:rPr>
          <w:spacing w:val="-2"/>
        </w:rPr>
        <w:t xml:space="preserve"> </w:t>
      </w:r>
      <w:r>
        <w:t>and health</w:t>
      </w:r>
      <w:r>
        <w:rPr>
          <w:spacing w:val="-2"/>
        </w:rPr>
        <w:t xml:space="preserve"> </w:t>
      </w:r>
      <w:r>
        <w:t>care</w:t>
      </w:r>
      <w:r>
        <w:rPr>
          <w:spacing w:val="-2"/>
        </w:rPr>
        <w:t xml:space="preserve"> </w:t>
      </w:r>
      <w:r>
        <w:t>professionals, and the provider’s impact on competing options for care delivery.</w:t>
      </w:r>
    </w:p>
    <w:p w14:paraId="1C34E564" w14:textId="77777777" w:rsidR="004C558F" w:rsidRDefault="004C558F">
      <w:pPr>
        <w:pStyle w:val="BodyText"/>
        <w:spacing w:before="38"/>
      </w:pPr>
    </w:p>
    <w:p w14:paraId="1C34E565" w14:textId="77777777" w:rsidR="004C558F" w:rsidRDefault="00461887">
      <w:pPr>
        <w:pStyle w:val="ListParagraph"/>
        <w:numPr>
          <w:ilvl w:val="2"/>
          <w:numId w:val="16"/>
        </w:numPr>
        <w:tabs>
          <w:tab w:val="left" w:pos="1679"/>
        </w:tabs>
        <w:spacing w:line="273" w:lineRule="auto"/>
        <w:ind w:left="1679" w:right="1116"/>
      </w:pPr>
      <w:r>
        <w:t>Quality</w:t>
      </w:r>
      <w:r>
        <w:rPr>
          <w:spacing w:val="-3"/>
        </w:rPr>
        <w:t xml:space="preserve"> </w:t>
      </w:r>
      <w:r>
        <w:t>and</w:t>
      </w:r>
      <w:r>
        <w:rPr>
          <w:spacing w:val="-1"/>
        </w:rPr>
        <w:t xml:space="preserve"> </w:t>
      </w:r>
      <w:r>
        <w:t>Care</w:t>
      </w:r>
      <w:r>
        <w:rPr>
          <w:spacing w:val="-4"/>
        </w:rPr>
        <w:t xml:space="preserve"> </w:t>
      </w:r>
      <w:r>
        <w:t>Delivery.</w:t>
      </w:r>
      <w:r>
        <w:rPr>
          <w:spacing w:val="-7"/>
        </w:rPr>
        <w:t xml:space="preserve"> </w:t>
      </w:r>
      <w:proofErr w:type="gramStart"/>
      <w:r>
        <w:t>The</w:t>
      </w:r>
      <w:r>
        <w:rPr>
          <w:spacing w:val="-2"/>
        </w:rPr>
        <w:t xml:space="preserve"> </w:t>
      </w:r>
      <w:r>
        <w:t>HPC</w:t>
      </w:r>
      <w:proofErr w:type="gramEnd"/>
      <w:r>
        <w:rPr>
          <w:spacing w:val="-5"/>
        </w:rPr>
        <w:t xml:space="preserve"> </w:t>
      </w:r>
      <w:r>
        <w:t>may</w:t>
      </w:r>
      <w:r>
        <w:rPr>
          <w:spacing w:val="-3"/>
        </w:rPr>
        <w:t xml:space="preserve"> </w:t>
      </w:r>
      <w:r>
        <w:t>examine</w:t>
      </w:r>
      <w:r>
        <w:rPr>
          <w:spacing w:val="-4"/>
        </w:rPr>
        <w:t xml:space="preserve"> </w:t>
      </w:r>
      <w:r>
        <w:t>factors</w:t>
      </w:r>
      <w:r>
        <w:rPr>
          <w:spacing w:val="-2"/>
        </w:rPr>
        <w:t xml:space="preserve"> </w:t>
      </w:r>
      <w:r>
        <w:t>related</w:t>
      </w:r>
      <w:r>
        <w:rPr>
          <w:spacing w:val="-1"/>
        </w:rPr>
        <w:t xml:space="preserve"> </w:t>
      </w:r>
      <w:r>
        <w:t>to</w:t>
      </w:r>
      <w:r>
        <w:rPr>
          <w:spacing w:val="-2"/>
        </w:rPr>
        <w:t xml:space="preserve"> </w:t>
      </w:r>
      <w:r>
        <w:t>the</w:t>
      </w:r>
      <w:r>
        <w:rPr>
          <w:spacing w:val="-2"/>
        </w:rPr>
        <w:t xml:space="preserve"> </w:t>
      </w:r>
      <w:r>
        <w:t>quality</w:t>
      </w:r>
      <w:r>
        <w:rPr>
          <w:spacing w:val="-5"/>
        </w:rPr>
        <w:t xml:space="preserve"> </w:t>
      </w:r>
      <w:r>
        <w:t>of</w:t>
      </w:r>
      <w:r>
        <w:rPr>
          <w:spacing w:val="-1"/>
        </w:rPr>
        <w:t xml:space="preserve"> </w:t>
      </w:r>
      <w:r>
        <w:t>services provided, including patient experience.</w:t>
      </w:r>
    </w:p>
    <w:p w14:paraId="1C34E566" w14:textId="77777777" w:rsidR="004C558F" w:rsidRDefault="004C558F">
      <w:pPr>
        <w:pStyle w:val="BodyText"/>
        <w:spacing w:before="41"/>
      </w:pPr>
    </w:p>
    <w:p w14:paraId="1C34E567" w14:textId="77777777" w:rsidR="004C558F" w:rsidRDefault="00461887">
      <w:pPr>
        <w:pStyle w:val="ListParagraph"/>
        <w:numPr>
          <w:ilvl w:val="2"/>
          <w:numId w:val="16"/>
        </w:numPr>
        <w:tabs>
          <w:tab w:val="left" w:pos="1679"/>
        </w:tabs>
        <w:spacing w:line="276" w:lineRule="auto"/>
        <w:ind w:left="1679" w:right="1009"/>
      </w:pPr>
      <w:r>
        <w:t>Access</w:t>
      </w:r>
      <w:r>
        <w:rPr>
          <w:spacing w:val="-2"/>
        </w:rPr>
        <w:t xml:space="preserve"> </w:t>
      </w:r>
      <w:r>
        <w:t>to</w:t>
      </w:r>
      <w:r>
        <w:rPr>
          <w:spacing w:val="-2"/>
        </w:rPr>
        <w:t xml:space="preserve"> </w:t>
      </w:r>
      <w:r>
        <w:t>and</w:t>
      </w:r>
      <w:r>
        <w:rPr>
          <w:spacing w:val="-1"/>
        </w:rPr>
        <w:t xml:space="preserve"> </w:t>
      </w:r>
      <w:r>
        <w:t>Equity</w:t>
      </w:r>
      <w:r>
        <w:rPr>
          <w:spacing w:val="-3"/>
        </w:rPr>
        <w:t xml:space="preserve"> </w:t>
      </w:r>
      <w:r>
        <w:t>of</w:t>
      </w:r>
      <w:r>
        <w:rPr>
          <w:spacing w:val="-1"/>
        </w:rPr>
        <w:t xml:space="preserve"> </w:t>
      </w:r>
      <w:r>
        <w:t>Care.</w:t>
      </w:r>
      <w:r>
        <w:rPr>
          <w:spacing w:val="-5"/>
        </w:rPr>
        <w:t xml:space="preserve"> </w:t>
      </w:r>
      <w:r>
        <w:t>The</w:t>
      </w:r>
      <w:r>
        <w:rPr>
          <w:spacing w:val="-4"/>
        </w:rPr>
        <w:t xml:space="preserve"> </w:t>
      </w:r>
      <w:r>
        <w:t>HPC</w:t>
      </w:r>
      <w:r>
        <w:rPr>
          <w:spacing w:val="-3"/>
        </w:rPr>
        <w:t xml:space="preserve"> </w:t>
      </w:r>
      <w:r>
        <w:t>may</w:t>
      </w:r>
      <w:r>
        <w:rPr>
          <w:spacing w:val="-5"/>
        </w:rPr>
        <w:t xml:space="preserve"> </w:t>
      </w:r>
      <w:r>
        <w:t>also</w:t>
      </w:r>
      <w:r>
        <w:rPr>
          <w:spacing w:val="-2"/>
        </w:rPr>
        <w:t xml:space="preserve"> </w:t>
      </w:r>
      <w:r>
        <w:t>examine</w:t>
      </w:r>
      <w:r>
        <w:rPr>
          <w:spacing w:val="-4"/>
        </w:rPr>
        <w:t xml:space="preserve"> </w:t>
      </w:r>
      <w:r>
        <w:t>factors</w:t>
      </w:r>
      <w:r>
        <w:rPr>
          <w:spacing w:val="-2"/>
        </w:rPr>
        <w:t xml:space="preserve"> </w:t>
      </w:r>
      <w:r>
        <w:t>relating</w:t>
      </w:r>
      <w:r>
        <w:rPr>
          <w:spacing w:val="-5"/>
        </w:rPr>
        <w:t xml:space="preserve"> </w:t>
      </w:r>
      <w:r>
        <w:t>to</w:t>
      </w:r>
      <w:r>
        <w:rPr>
          <w:spacing w:val="-2"/>
        </w:rPr>
        <w:t xml:space="preserve"> </w:t>
      </w:r>
      <w:r>
        <w:t>the</w:t>
      </w:r>
      <w:r>
        <w:rPr>
          <w:spacing w:val="-2"/>
        </w:rPr>
        <w:t xml:space="preserve"> </w:t>
      </w:r>
      <w:r>
        <w:t>availability and accessibility of services provided and health equity, such as unmet need and the provider’s role in serving at-risk, underserved,</w:t>
      </w:r>
      <w:r>
        <w:rPr>
          <w:spacing w:val="-1"/>
        </w:rPr>
        <w:t xml:space="preserve"> </w:t>
      </w:r>
      <w:r>
        <w:t>and government-payer patient populations.</w:t>
      </w:r>
    </w:p>
    <w:p w14:paraId="1C34E568" w14:textId="77777777" w:rsidR="004C558F" w:rsidRDefault="004C558F">
      <w:pPr>
        <w:pStyle w:val="BodyText"/>
        <w:spacing w:before="37"/>
      </w:pPr>
    </w:p>
    <w:p w14:paraId="1C34E569" w14:textId="2EFF88FE" w:rsidR="004C558F" w:rsidRDefault="00461887">
      <w:pPr>
        <w:pStyle w:val="BodyText"/>
        <w:spacing w:line="276" w:lineRule="auto"/>
        <w:ind w:left="960" w:right="702"/>
        <w:rPr>
          <w:sz w:val="14"/>
        </w:rPr>
      </w:pPr>
      <w:r>
        <w:t>Additionally,</w:t>
      </w:r>
      <w:r>
        <w:rPr>
          <w:spacing w:val="-2"/>
        </w:rPr>
        <w:t xml:space="preserve"> </w:t>
      </w:r>
      <w:proofErr w:type="gramStart"/>
      <w:r>
        <w:t>the</w:t>
      </w:r>
      <w:r>
        <w:rPr>
          <w:spacing w:val="-2"/>
        </w:rPr>
        <w:t xml:space="preserve"> </w:t>
      </w:r>
      <w:r>
        <w:t>HPC</w:t>
      </w:r>
      <w:proofErr w:type="gramEnd"/>
      <w:r>
        <w:rPr>
          <w:spacing w:val="-3"/>
        </w:rPr>
        <w:t xml:space="preserve"> </w:t>
      </w:r>
      <w:r>
        <w:t>may</w:t>
      </w:r>
      <w:r>
        <w:rPr>
          <w:spacing w:val="-5"/>
        </w:rPr>
        <w:t xml:space="preserve"> </w:t>
      </w:r>
      <w:r>
        <w:t>consider</w:t>
      </w:r>
      <w:r>
        <w:rPr>
          <w:spacing w:val="-5"/>
        </w:rPr>
        <w:t xml:space="preserve"> </w:t>
      </w:r>
      <w:r>
        <w:t>any</w:t>
      </w:r>
      <w:r>
        <w:rPr>
          <w:spacing w:val="-3"/>
        </w:rPr>
        <w:t xml:space="preserve"> </w:t>
      </w:r>
      <w:r>
        <w:t>other</w:t>
      </w:r>
      <w:r>
        <w:rPr>
          <w:spacing w:val="-3"/>
        </w:rPr>
        <w:t xml:space="preserve"> </w:t>
      </w:r>
      <w:r>
        <w:t>factors</w:t>
      </w:r>
      <w:r>
        <w:rPr>
          <w:spacing w:val="-4"/>
        </w:rPr>
        <w:t xml:space="preserve"> </w:t>
      </w:r>
      <w:r>
        <w:t>it</w:t>
      </w:r>
      <w:r>
        <w:rPr>
          <w:spacing w:val="-3"/>
        </w:rPr>
        <w:t xml:space="preserve"> </w:t>
      </w:r>
      <w:r>
        <w:t>deems</w:t>
      </w:r>
      <w:r>
        <w:rPr>
          <w:spacing w:val="-2"/>
        </w:rPr>
        <w:t xml:space="preserve"> </w:t>
      </w:r>
      <w:r>
        <w:t>to</w:t>
      </w:r>
      <w:r>
        <w:rPr>
          <w:spacing w:val="-2"/>
        </w:rPr>
        <w:t xml:space="preserve"> </w:t>
      </w:r>
      <w:r>
        <w:t>be</w:t>
      </w:r>
      <w:r>
        <w:rPr>
          <w:spacing w:val="-2"/>
        </w:rPr>
        <w:t xml:space="preserve"> </w:t>
      </w:r>
      <w:r>
        <w:t>in</w:t>
      </w:r>
      <w:r>
        <w:rPr>
          <w:spacing w:val="-2"/>
        </w:rPr>
        <w:t xml:space="preserve"> </w:t>
      </w:r>
      <w:r>
        <w:t>the</w:t>
      </w:r>
      <w:r>
        <w:rPr>
          <w:spacing w:val="-2"/>
        </w:rPr>
        <w:t xml:space="preserve"> </w:t>
      </w:r>
      <w:r>
        <w:t>public</w:t>
      </w:r>
      <w:r>
        <w:rPr>
          <w:spacing w:val="-2"/>
        </w:rPr>
        <w:t xml:space="preserve"> </w:t>
      </w:r>
      <w:r>
        <w:t>interest,</w:t>
      </w:r>
      <w:r>
        <w:rPr>
          <w:spacing w:val="-2"/>
        </w:rPr>
        <w:t xml:space="preserve"> </w:t>
      </w:r>
      <w:r>
        <w:t>including consumer concerns.</w:t>
      </w:r>
      <w:r>
        <w:rPr>
          <w:spacing w:val="-28"/>
        </w:rPr>
        <w:t xml:space="preserve"> </w:t>
      </w:r>
      <w:r w:rsidR="008B679E">
        <w:rPr>
          <w:rStyle w:val="FootnoteReference"/>
          <w:spacing w:val="-28"/>
        </w:rPr>
        <w:footnoteReference w:id="18"/>
      </w:r>
    </w:p>
    <w:p w14:paraId="1C34E56A" w14:textId="77777777" w:rsidR="004C558F" w:rsidRDefault="004C558F">
      <w:pPr>
        <w:pStyle w:val="BodyText"/>
        <w:spacing w:before="39"/>
      </w:pPr>
    </w:p>
    <w:p w14:paraId="1C34E56B" w14:textId="77777777" w:rsidR="004C558F" w:rsidRDefault="00461887">
      <w:pPr>
        <w:pStyle w:val="BodyText"/>
        <w:spacing w:line="271" w:lineRule="auto"/>
        <w:ind w:left="959" w:right="702" w:firstLine="720"/>
      </w:pPr>
      <w:r>
        <w:t>Within this statutory and regulatory framework, the HPC determines those factors most relevant</w:t>
      </w:r>
      <w:r>
        <w:rPr>
          <w:spacing w:val="-4"/>
        </w:rPr>
        <w:t xml:space="preserve"> </w:t>
      </w:r>
      <w:r>
        <w:t>to</w:t>
      </w:r>
      <w:r>
        <w:rPr>
          <w:spacing w:val="-3"/>
        </w:rPr>
        <w:t xml:space="preserve"> </w:t>
      </w:r>
      <w:r>
        <w:t>a</w:t>
      </w:r>
      <w:r>
        <w:rPr>
          <w:spacing w:val="-5"/>
        </w:rPr>
        <w:t xml:space="preserve"> </w:t>
      </w:r>
      <w:r>
        <w:t>given</w:t>
      </w:r>
      <w:r>
        <w:rPr>
          <w:spacing w:val="-3"/>
        </w:rPr>
        <w:t xml:space="preserve"> </w:t>
      </w:r>
      <w:r>
        <w:t>transaction</w:t>
      </w:r>
      <w:r>
        <w:rPr>
          <w:spacing w:val="-3"/>
        </w:rPr>
        <w:t xml:space="preserve"> </w:t>
      </w:r>
      <w:r>
        <w:t>and</w:t>
      </w:r>
      <w:r>
        <w:rPr>
          <w:spacing w:val="-2"/>
        </w:rPr>
        <w:t xml:space="preserve"> </w:t>
      </w:r>
      <w:r>
        <w:t>then</w:t>
      </w:r>
      <w:r>
        <w:rPr>
          <w:spacing w:val="-3"/>
        </w:rPr>
        <w:t xml:space="preserve"> </w:t>
      </w:r>
      <w:r>
        <w:t>gathers</w:t>
      </w:r>
      <w:r>
        <w:rPr>
          <w:spacing w:val="-3"/>
        </w:rPr>
        <w:t xml:space="preserve"> </w:t>
      </w:r>
      <w:r>
        <w:t>detailed</w:t>
      </w:r>
      <w:r>
        <w:rPr>
          <w:spacing w:val="-2"/>
        </w:rPr>
        <w:t xml:space="preserve"> </w:t>
      </w:r>
      <w:r>
        <w:t>information</w:t>
      </w:r>
      <w:r>
        <w:rPr>
          <w:spacing w:val="-3"/>
        </w:rPr>
        <w:t xml:space="preserve"> </w:t>
      </w:r>
      <w:r>
        <w:t>relevant</w:t>
      </w:r>
      <w:r>
        <w:rPr>
          <w:spacing w:val="-4"/>
        </w:rPr>
        <w:t xml:space="preserve"> </w:t>
      </w:r>
      <w:r>
        <w:t>to</w:t>
      </w:r>
      <w:r>
        <w:rPr>
          <w:spacing w:val="-3"/>
        </w:rPr>
        <w:t xml:space="preserve"> </w:t>
      </w:r>
      <w:r>
        <w:t>those</w:t>
      </w:r>
      <w:r>
        <w:rPr>
          <w:spacing w:val="-3"/>
        </w:rPr>
        <w:t xml:space="preserve"> </w:t>
      </w:r>
      <w:r>
        <w:t>factors</w:t>
      </w:r>
      <w:r>
        <w:rPr>
          <w:spacing w:val="-3"/>
        </w:rPr>
        <w:t xml:space="preserve"> </w:t>
      </w:r>
      <w:r>
        <w:t xml:space="preserve">from the sources discussed below. The HPC examines recent data to establish the parties’ </w:t>
      </w:r>
      <w:r>
        <w:rPr>
          <w:i/>
          <w:sz w:val="23"/>
        </w:rPr>
        <w:t>baseline performance</w:t>
      </w:r>
      <w:r>
        <w:rPr>
          <w:i/>
          <w:spacing w:val="-5"/>
          <w:sz w:val="23"/>
        </w:rPr>
        <w:t xml:space="preserve"> </w:t>
      </w:r>
      <w:r>
        <w:rPr>
          <w:i/>
          <w:sz w:val="23"/>
        </w:rPr>
        <w:t>and</w:t>
      </w:r>
      <w:r>
        <w:rPr>
          <w:i/>
          <w:spacing w:val="-4"/>
          <w:sz w:val="23"/>
        </w:rPr>
        <w:t xml:space="preserve"> </w:t>
      </w:r>
      <w:r>
        <w:rPr>
          <w:i/>
          <w:sz w:val="23"/>
        </w:rPr>
        <w:t>current</w:t>
      </w:r>
      <w:r>
        <w:rPr>
          <w:i/>
          <w:spacing w:val="-6"/>
          <w:sz w:val="23"/>
        </w:rPr>
        <w:t xml:space="preserve"> </w:t>
      </w:r>
      <w:r>
        <w:rPr>
          <w:i/>
          <w:sz w:val="23"/>
        </w:rPr>
        <w:t>trends</w:t>
      </w:r>
      <w:r>
        <w:rPr>
          <w:i/>
          <w:spacing w:val="-2"/>
          <w:sz w:val="23"/>
        </w:rPr>
        <w:t xml:space="preserve"> </w:t>
      </w:r>
      <w:r>
        <w:t>in</w:t>
      </w:r>
      <w:r>
        <w:rPr>
          <w:spacing w:val="-2"/>
        </w:rPr>
        <w:t xml:space="preserve"> </w:t>
      </w:r>
      <w:r>
        <w:t>each</w:t>
      </w:r>
      <w:r>
        <w:rPr>
          <w:spacing w:val="-2"/>
        </w:rPr>
        <w:t xml:space="preserve"> </w:t>
      </w:r>
      <w:r>
        <w:t>of these</w:t>
      </w:r>
      <w:r>
        <w:rPr>
          <w:spacing w:val="-2"/>
        </w:rPr>
        <w:t xml:space="preserve"> </w:t>
      </w:r>
      <w:r>
        <w:t>areas prior</w:t>
      </w:r>
      <w:r>
        <w:rPr>
          <w:spacing w:val="-1"/>
        </w:rPr>
        <w:t xml:space="preserve"> </w:t>
      </w:r>
      <w:r>
        <w:t>to the transaction. The HPC</w:t>
      </w:r>
      <w:r>
        <w:rPr>
          <w:spacing w:val="-1"/>
        </w:rPr>
        <w:t xml:space="preserve"> </w:t>
      </w:r>
      <w:r>
        <w:t>then combines the parties’ baseline performance with known details of the transaction, as well as the parties’</w:t>
      </w:r>
      <w:r>
        <w:rPr>
          <w:spacing w:val="-5"/>
        </w:rPr>
        <w:t xml:space="preserve"> </w:t>
      </w:r>
      <w:r>
        <w:t>goals</w:t>
      </w:r>
      <w:r>
        <w:rPr>
          <w:spacing w:val="-7"/>
        </w:rPr>
        <w:t xml:space="preserve"> </w:t>
      </w:r>
      <w:r>
        <w:t>and</w:t>
      </w:r>
      <w:r>
        <w:rPr>
          <w:spacing w:val="-4"/>
        </w:rPr>
        <w:t xml:space="preserve"> </w:t>
      </w:r>
      <w:r>
        <w:t>plans,</w:t>
      </w:r>
      <w:r>
        <w:rPr>
          <w:spacing w:val="-5"/>
        </w:rPr>
        <w:t xml:space="preserve"> </w:t>
      </w:r>
      <w:r>
        <w:t>to</w:t>
      </w:r>
      <w:r>
        <w:rPr>
          <w:spacing w:val="-5"/>
        </w:rPr>
        <w:t xml:space="preserve"> </w:t>
      </w:r>
      <w:r>
        <w:t>project</w:t>
      </w:r>
      <w:r>
        <w:rPr>
          <w:spacing w:val="-6"/>
        </w:rPr>
        <w:t xml:space="preserve"> </w:t>
      </w:r>
      <w:r>
        <w:t>the</w:t>
      </w:r>
      <w:r>
        <w:rPr>
          <w:spacing w:val="-7"/>
        </w:rPr>
        <w:t xml:space="preserve"> </w:t>
      </w:r>
      <w:r>
        <w:rPr>
          <w:i/>
          <w:sz w:val="23"/>
        </w:rPr>
        <w:t>impact</w:t>
      </w:r>
      <w:r>
        <w:rPr>
          <w:i/>
          <w:spacing w:val="-9"/>
          <w:sz w:val="23"/>
        </w:rPr>
        <w:t xml:space="preserve"> </w:t>
      </w:r>
      <w:r>
        <w:rPr>
          <w:i/>
          <w:sz w:val="23"/>
        </w:rPr>
        <w:t>of</w:t>
      </w:r>
      <w:r>
        <w:rPr>
          <w:i/>
          <w:spacing w:val="-7"/>
          <w:sz w:val="23"/>
        </w:rPr>
        <w:t xml:space="preserve"> </w:t>
      </w:r>
      <w:r>
        <w:rPr>
          <w:i/>
          <w:sz w:val="23"/>
        </w:rPr>
        <w:t>the</w:t>
      </w:r>
      <w:r>
        <w:rPr>
          <w:i/>
          <w:spacing w:val="-10"/>
          <w:sz w:val="23"/>
        </w:rPr>
        <w:t xml:space="preserve"> </w:t>
      </w:r>
      <w:r>
        <w:rPr>
          <w:i/>
          <w:sz w:val="23"/>
        </w:rPr>
        <w:t>transaction</w:t>
      </w:r>
      <w:r>
        <w:rPr>
          <w:i/>
          <w:spacing w:val="-7"/>
          <w:sz w:val="23"/>
        </w:rPr>
        <w:t xml:space="preserve"> </w:t>
      </w:r>
      <w:r>
        <w:rPr>
          <w:i/>
          <w:sz w:val="23"/>
        </w:rPr>
        <w:t>on</w:t>
      </w:r>
      <w:r>
        <w:rPr>
          <w:i/>
          <w:spacing w:val="-7"/>
          <w:sz w:val="23"/>
        </w:rPr>
        <w:t xml:space="preserve"> </w:t>
      </w:r>
      <w:r>
        <w:rPr>
          <w:i/>
          <w:sz w:val="23"/>
        </w:rPr>
        <w:t>baseline</w:t>
      </w:r>
      <w:r>
        <w:rPr>
          <w:i/>
          <w:spacing w:val="-8"/>
          <w:sz w:val="23"/>
        </w:rPr>
        <w:t xml:space="preserve"> </w:t>
      </w:r>
      <w:r>
        <w:rPr>
          <w:i/>
          <w:sz w:val="23"/>
        </w:rPr>
        <w:t>performance</w:t>
      </w:r>
      <w:r>
        <w:t>.</w:t>
      </w:r>
      <w:r>
        <w:rPr>
          <w:spacing w:val="-8"/>
        </w:rPr>
        <w:t xml:space="preserve"> </w:t>
      </w:r>
      <w:r>
        <w:t>The analytic section of this report is divided into three parts, each addressing the parties’ baseline performance and the likely impact of the transaction: Section III.A addresses costs and market functioning, Section III.B</w:t>
      </w:r>
      <w:r>
        <w:rPr>
          <w:spacing w:val="-1"/>
        </w:rPr>
        <w:t xml:space="preserve"> </w:t>
      </w:r>
      <w:r>
        <w:t>addresses quality and care</w:t>
      </w:r>
      <w:r>
        <w:rPr>
          <w:spacing w:val="-1"/>
        </w:rPr>
        <w:t xml:space="preserve"> </w:t>
      </w:r>
      <w:r>
        <w:t>delivery, and Section III.C</w:t>
      </w:r>
      <w:r>
        <w:rPr>
          <w:spacing w:val="-2"/>
        </w:rPr>
        <w:t xml:space="preserve"> </w:t>
      </w:r>
      <w:r>
        <w:t>addresses access to and equity of care.</w:t>
      </w:r>
    </w:p>
    <w:p w14:paraId="1C34E56C" w14:textId="77777777" w:rsidR="004C558F" w:rsidRDefault="004C558F">
      <w:pPr>
        <w:pStyle w:val="BodyText"/>
        <w:spacing w:before="208"/>
      </w:pPr>
    </w:p>
    <w:p w14:paraId="1C34E56D" w14:textId="77777777" w:rsidR="004C558F" w:rsidRDefault="00461887">
      <w:pPr>
        <w:pStyle w:val="ListParagraph"/>
        <w:numPr>
          <w:ilvl w:val="1"/>
          <w:numId w:val="16"/>
        </w:numPr>
        <w:tabs>
          <w:tab w:val="left" w:pos="958"/>
        </w:tabs>
        <w:ind w:left="958" w:hanging="358"/>
        <w:rPr>
          <w:rFonts w:ascii="Franklin Gothic Medium"/>
          <w:color w:val="063656"/>
          <w:sz w:val="28"/>
        </w:rPr>
      </w:pPr>
      <w:bookmarkStart w:id="26" w:name="B._Data_Sources"/>
      <w:bookmarkEnd w:id="26"/>
      <w:r>
        <w:rPr>
          <w:rFonts w:ascii="Franklin Gothic Medium"/>
          <w:color w:val="063656"/>
          <w:sz w:val="28"/>
        </w:rPr>
        <w:t>Data</w:t>
      </w:r>
      <w:r>
        <w:rPr>
          <w:rFonts w:ascii="Franklin Gothic Medium"/>
          <w:color w:val="063656"/>
          <w:spacing w:val="-2"/>
          <w:sz w:val="28"/>
        </w:rPr>
        <w:t xml:space="preserve"> Sources</w:t>
      </w:r>
    </w:p>
    <w:p w14:paraId="1C34E56E" w14:textId="77777777" w:rsidR="004C558F" w:rsidRDefault="004C558F">
      <w:pPr>
        <w:pStyle w:val="BodyText"/>
        <w:spacing w:before="97"/>
        <w:rPr>
          <w:rFonts w:ascii="Franklin Gothic Medium"/>
          <w:sz w:val="28"/>
        </w:rPr>
      </w:pPr>
    </w:p>
    <w:p w14:paraId="1C34E56F" w14:textId="15D2AF2A" w:rsidR="004C558F" w:rsidRDefault="00461887">
      <w:pPr>
        <w:pStyle w:val="BodyText"/>
        <w:spacing w:line="276" w:lineRule="auto"/>
        <w:ind w:left="960" w:right="702" w:firstLine="720"/>
      </w:pPr>
      <w:r>
        <w:t>To</w:t>
      </w:r>
      <w:r>
        <w:rPr>
          <w:spacing w:val="-2"/>
        </w:rPr>
        <w:t xml:space="preserve"> </w:t>
      </w:r>
      <w:r>
        <w:t>conduct</w:t>
      </w:r>
      <w:r>
        <w:rPr>
          <w:spacing w:val="-3"/>
        </w:rPr>
        <w:t xml:space="preserve"> </w:t>
      </w:r>
      <w:r>
        <w:t>this</w:t>
      </w:r>
      <w:r>
        <w:rPr>
          <w:spacing w:val="-2"/>
        </w:rPr>
        <w:t xml:space="preserve"> </w:t>
      </w:r>
      <w:r>
        <w:t>review,</w:t>
      </w:r>
      <w:r>
        <w:rPr>
          <w:spacing w:val="-2"/>
        </w:rPr>
        <w:t xml:space="preserve"> </w:t>
      </w:r>
      <w:r>
        <w:t>we</w:t>
      </w:r>
      <w:r>
        <w:rPr>
          <w:spacing w:val="-4"/>
        </w:rPr>
        <w:t xml:space="preserve"> </w:t>
      </w:r>
      <w:r>
        <w:t>relied</w:t>
      </w:r>
      <w:r>
        <w:rPr>
          <w:spacing w:val="-1"/>
        </w:rPr>
        <w:t xml:space="preserve"> </w:t>
      </w:r>
      <w:r>
        <w:t>on</w:t>
      </w:r>
      <w:r>
        <w:rPr>
          <w:spacing w:val="-2"/>
        </w:rPr>
        <w:t xml:space="preserve"> </w:t>
      </w:r>
      <w:r>
        <w:t>the</w:t>
      </w:r>
      <w:r>
        <w:rPr>
          <w:spacing w:val="-4"/>
        </w:rPr>
        <w:t xml:space="preserve"> </w:t>
      </w:r>
      <w:r>
        <w:t>documents</w:t>
      </w:r>
      <w:r>
        <w:rPr>
          <w:spacing w:val="-4"/>
        </w:rPr>
        <w:t xml:space="preserve"> </w:t>
      </w:r>
      <w:r>
        <w:t>and</w:t>
      </w:r>
      <w:r>
        <w:rPr>
          <w:spacing w:val="-4"/>
        </w:rPr>
        <w:t xml:space="preserve"> </w:t>
      </w:r>
      <w:r>
        <w:t>data</w:t>
      </w:r>
      <w:r>
        <w:rPr>
          <w:spacing w:val="-1"/>
        </w:rPr>
        <w:t xml:space="preserve"> </w:t>
      </w:r>
      <w:r>
        <w:t>the</w:t>
      </w:r>
      <w:r>
        <w:rPr>
          <w:spacing w:val="-2"/>
        </w:rPr>
        <w:t xml:space="preserve"> </w:t>
      </w:r>
      <w:r>
        <w:t>parties</w:t>
      </w:r>
      <w:r>
        <w:rPr>
          <w:spacing w:val="-2"/>
        </w:rPr>
        <w:t xml:space="preserve"> </w:t>
      </w:r>
      <w:r>
        <w:t>produced</w:t>
      </w:r>
      <w:r>
        <w:rPr>
          <w:spacing w:val="-1"/>
        </w:rPr>
        <w:t xml:space="preserve"> </w:t>
      </w:r>
      <w:r>
        <w:t>to</w:t>
      </w:r>
      <w:r>
        <w:rPr>
          <w:spacing w:val="-2"/>
        </w:rPr>
        <w:t xml:space="preserve"> </w:t>
      </w:r>
      <w:r>
        <w:t>us</w:t>
      </w:r>
      <w:r>
        <w:rPr>
          <w:spacing w:val="-2"/>
        </w:rPr>
        <w:t xml:space="preserve"> </w:t>
      </w:r>
      <w:r>
        <w:t>in response to HPC information requests,</w:t>
      </w:r>
      <w:r w:rsidR="009F7A4D">
        <w:rPr>
          <w:rStyle w:val="FootnoteReference"/>
        </w:rPr>
        <w:footnoteReference w:id="19"/>
      </w:r>
      <w:r>
        <w:rPr>
          <w:spacing w:val="32"/>
          <w:position w:val="5"/>
          <w:sz w:val="14"/>
        </w:rPr>
        <w:t xml:space="preserve"> </w:t>
      </w:r>
      <w:r>
        <w:t>the parties’ own description of the transaction as</w:t>
      </w:r>
    </w:p>
    <w:p w14:paraId="1C34E570" w14:textId="2AA3A22D" w:rsidR="004C558F" w:rsidRDefault="004C558F">
      <w:pPr>
        <w:pStyle w:val="BodyText"/>
        <w:spacing w:before="9"/>
        <w:rPr>
          <w:sz w:val="18"/>
        </w:rPr>
      </w:pPr>
    </w:p>
    <w:p w14:paraId="1C34E574" w14:textId="77777777" w:rsidR="004C558F" w:rsidRDefault="004C558F">
      <w:pPr>
        <w:rPr>
          <w:sz w:val="20"/>
        </w:rPr>
        <w:sectPr w:rsidR="004C558F">
          <w:pgSz w:w="12240" w:h="15840"/>
          <w:pgMar w:top="1360" w:right="740" w:bottom="720" w:left="480" w:header="0" w:footer="521" w:gutter="0"/>
          <w:cols w:space="720"/>
        </w:sectPr>
      </w:pPr>
      <w:bookmarkStart w:id="27" w:name="_bookmark25"/>
      <w:bookmarkStart w:id="28" w:name="_bookmark27"/>
      <w:bookmarkEnd w:id="27"/>
      <w:bookmarkEnd w:id="28"/>
    </w:p>
    <w:p w14:paraId="1C34E575" w14:textId="49E03E8A" w:rsidR="004C558F" w:rsidRDefault="00461887">
      <w:pPr>
        <w:pStyle w:val="BodyText"/>
        <w:spacing w:before="80" w:line="276" w:lineRule="auto"/>
        <w:ind w:left="959" w:right="705"/>
      </w:pPr>
      <w:r>
        <w:lastRenderedPageBreak/>
        <w:t>presented in their material change notices and application for Determination of Need (</w:t>
      </w:r>
      <w:proofErr w:type="spellStart"/>
      <w:r>
        <w:t>DoN</w:t>
      </w:r>
      <w:proofErr w:type="spellEnd"/>
      <w:r>
        <w:t>) and supporting materials filed with the Massachusetts Department of Public Health (DPH), and publicly available information published by the parties. The HPC also utilized information from the Massachusetts Registration of Provider Organizations program (MA-RPO)</w:t>
      </w:r>
      <w:r>
        <w:rPr>
          <w:spacing w:val="-32"/>
        </w:rPr>
        <w:t xml:space="preserve"> </w:t>
      </w:r>
      <w:r w:rsidR="00CC1F3A">
        <w:rPr>
          <w:rStyle w:val="FootnoteReference"/>
          <w:spacing w:val="-32"/>
        </w:rPr>
        <w:footnoteReference w:id="20"/>
      </w:r>
      <w:r>
        <w:t xml:space="preserve">and obtained data and documents from </w:t>
      </w:r>
      <w:proofErr w:type="gramStart"/>
      <w:r>
        <w:t>a number of</w:t>
      </w:r>
      <w:proofErr w:type="gramEnd"/>
      <w:r>
        <w:t xml:space="preserve"> other sources. These include other state agencies such as the Massachusetts Attorney General’s Office (AGO) Non-Profit Organizations/Public Charities Division, from</w:t>
      </w:r>
      <w:r>
        <w:rPr>
          <w:spacing w:val="-2"/>
        </w:rPr>
        <w:t xml:space="preserve"> </w:t>
      </w:r>
      <w:r>
        <w:t>which</w:t>
      </w:r>
      <w:r>
        <w:rPr>
          <w:spacing w:val="-2"/>
        </w:rPr>
        <w:t xml:space="preserve"> </w:t>
      </w:r>
      <w:r>
        <w:t>we</w:t>
      </w:r>
      <w:r>
        <w:rPr>
          <w:spacing w:val="-2"/>
        </w:rPr>
        <w:t xml:space="preserve"> </w:t>
      </w:r>
      <w:r>
        <w:t>received</w:t>
      </w:r>
      <w:r>
        <w:rPr>
          <w:spacing w:val="-4"/>
        </w:rPr>
        <w:t xml:space="preserve"> </w:t>
      </w:r>
      <w:r>
        <w:t>audited</w:t>
      </w:r>
      <w:r>
        <w:rPr>
          <w:spacing w:val="-1"/>
        </w:rPr>
        <w:t xml:space="preserve"> </w:t>
      </w:r>
      <w:r>
        <w:t>financial</w:t>
      </w:r>
      <w:r>
        <w:rPr>
          <w:spacing w:val="-5"/>
        </w:rPr>
        <w:t xml:space="preserve"> </w:t>
      </w:r>
      <w:r>
        <w:t>statements</w:t>
      </w:r>
      <w:r>
        <w:rPr>
          <w:spacing w:val="-1"/>
        </w:rPr>
        <w:t xml:space="preserve"> </w:t>
      </w:r>
      <w:r>
        <w:t>for</w:t>
      </w:r>
      <w:r>
        <w:rPr>
          <w:spacing w:val="-5"/>
        </w:rPr>
        <w:t xml:space="preserve"> </w:t>
      </w:r>
      <w:r>
        <w:t>non-profit</w:t>
      </w:r>
      <w:r>
        <w:rPr>
          <w:spacing w:val="-3"/>
        </w:rPr>
        <w:t xml:space="preserve"> </w:t>
      </w:r>
      <w:r>
        <w:t>institutions</w:t>
      </w:r>
      <w:r>
        <w:rPr>
          <w:spacing w:val="-4"/>
        </w:rPr>
        <w:t xml:space="preserve"> </w:t>
      </w:r>
      <w:r>
        <w:t>relevant</w:t>
      </w:r>
      <w:r>
        <w:rPr>
          <w:spacing w:val="-3"/>
        </w:rPr>
        <w:t xml:space="preserve"> </w:t>
      </w:r>
      <w:r>
        <w:t>to</w:t>
      </w:r>
      <w:r>
        <w:rPr>
          <w:spacing w:val="-2"/>
        </w:rPr>
        <w:t xml:space="preserve"> </w:t>
      </w:r>
      <w:r>
        <w:t>our</w:t>
      </w:r>
      <w:r>
        <w:rPr>
          <w:spacing w:val="-3"/>
        </w:rPr>
        <w:t xml:space="preserve"> </w:t>
      </w:r>
      <w:r>
        <w:t>review, and the Center for Health Information and Analysis (CHIA), from which we received provider- and payer-level data,</w:t>
      </w:r>
      <w:r w:rsidR="00CC1F3A">
        <w:rPr>
          <w:rStyle w:val="FootnoteReference"/>
        </w:rPr>
        <w:footnoteReference w:id="21"/>
      </w:r>
      <w:r>
        <w:rPr>
          <w:spacing w:val="34"/>
          <w:position w:val="5"/>
          <w:sz w:val="14"/>
        </w:rPr>
        <w:t xml:space="preserve"> </w:t>
      </w:r>
      <w:r>
        <w:t>hospital discharge data,</w:t>
      </w:r>
      <w:r w:rsidR="00CC1F3A">
        <w:rPr>
          <w:rStyle w:val="FootnoteReference"/>
        </w:rPr>
        <w:footnoteReference w:id="22"/>
      </w:r>
      <w:r>
        <w:rPr>
          <w:spacing w:val="34"/>
          <w:position w:val="5"/>
          <w:sz w:val="14"/>
        </w:rPr>
        <w:t xml:space="preserve"> </w:t>
      </w:r>
      <w:r>
        <w:t>and claims-level data from the All-Payer Claims Database (APCD);</w:t>
      </w:r>
      <w:r w:rsidR="00391CBD">
        <w:rPr>
          <w:rStyle w:val="FootnoteReference"/>
        </w:rPr>
        <w:footnoteReference w:id="23"/>
      </w:r>
      <w:r>
        <w:rPr>
          <w:spacing w:val="32"/>
          <w:position w:val="5"/>
          <w:sz w:val="14"/>
        </w:rPr>
        <w:t xml:space="preserve"> </w:t>
      </w:r>
      <w:r>
        <w:t>federal agencies such as the Agency for Healthcare Research and Quality</w:t>
      </w:r>
      <w:r>
        <w:rPr>
          <w:spacing w:val="40"/>
        </w:rPr>
        <w:t xml:space="preserve"> </w:t>
      </w:r>
      <w:r>
        <w:t>(AHRQ) and the Centers for Medicare and Medicaid Services (CMS); and other market participants.</w:t>
      </w:r>
    </w:p>
    <w:p w14:paraId="1C34E576" w14:textId="77777777" w:rsidR="004C558F" w:rsidRDefault="00461887">
      <w:pPr>
        <w:pStyle w:val="BodyText"/>
        <w:spacing w:line="273" w:lineRule="auto"/>
        <w:ind w:left="959" w:right="799"/>
      </w:pPr>
      <w:r>
        <w:t>The</w:t>
      </w:r>
      <w:r>
        <w:rPr>
          <w:spacing w:val="-3"/>
        </w:rPr>
        <w:t xml:space="preserve"> </w:t>
      </w:r>
      <w:r>
        <w:t>HPC</w:t>
      </w:r>
      <w:r>
        <w:rPr>
          <w:spacing w:val="-5"/>
        </w:rPr>
        <w:t xml:space="preserve"> </w:t>
      </w:r>
      <w:r>
        <w:t>appreciates</w:t>
      </w:r>
      <w:r>
        <w:rPr>
          <w:spacing w:val="-3"/>
        </w:rPr>
        <w:t xml:space="preserve"> </w:t>
      </w:r>
      <w:r>
        <w:t>the</w:t>
      </w:r>
      <w:r>
        <w:rPr>
          <w:spacing w:val="-3"/>
        </w:rPr>
        <w:t xml:space="preserve"> </w:t>
      </w:r>
      <w:r>
        <w:t>cooperation</w:t>
      </w:r>
      <w:r>
        <w:rPr>
          <w:spacing w:val="-3"/>
        </w:rPr>
        <w:t xml:space="preserve"> </w:t>
      </w:r>
      <w:r>
        <w:t>of</w:t>
      </w:r>
      <w:r>
        <w:rPr>
          <w:spacing w:val="-2"/>
        </w:rPr>
        <w:t xml:space="preserve"> </w:t>
      </w:r>
      <w:r>
        <w:t>all</w:t>
      </w:r>
      <w:r>
        <w:rPr>
          <w:spacing w:val="-5"/>
        </w:rPr>
        <w:t xml:space="preserve"> </w:t>
      </w:r>
      <w:proofErr w:type="gramStart"/>
      <w:r>
        <w:t>entities</w:t>
      </w:r>
      <w:proofErr w:type="gramEnd"/>
      <w:r>
        <w:rPr>
          <w:spacing w:val="-3"/>
        </w:rPr>
        <w:t xml:space="preserve"> </w:t>
      </w:r>
      <w:r>
        <w:t>that</w:t>
      </w:r>
      <w:r>
        <w:rPr>
          <w:spacing w:val="-4"/>
        </w:rPr>
        <w:t xml:space="preserve"> </w:t>
      </w:r>
      <w:r>
        <w:t>provided</w:t>
      </w:r>
      <w:r>
        <w:rPr>
          <w:spacing w:val="-2"/>
        </w:rPr>
        <w:t xml:space="preserve"> </w:t>
      </w:r>
      <w:r>
        <w:t>information</w:t>
      </w:r>
      <w:r>
        <w:rPr>
          <w:spacing w:val="-3"/>
        </w:rPr>
        <w:t xml:space="preserve"> </w:t>
      </w:r>
      <w:r>
        <w:t>in</w:t>
      </w:r>
      <w:r>
        <w:rPr>
          <w:spacing w:val="-3"/>
        </w:rPr>
        <w:t xml:space="preserve"> </w:t>
      </w:r>
      <w:r>
        <w:t>support</w:t>
      </w:r>
      <w:r>
        <w:rPr>
          <w:spacing w:val="-4"/>
        </w:rPr>
        <w:t xml:space="preserve"> </w:t>
      </w:r>
      <w:r>
        <w:t>of</w:t>
      </w:r>
      <w:r>
        <w:rPr>
          <w:spacing w:val="-2"/>
        </w:rPr>
        <w:t xml:space="preserve"> </w:t>
      </w:r>
      <w:r>
        <w:t xml:space="preserve">this </w:t>
      </w:r>
      <w:r>
        <w:rPr>
          <w:spacing w:val="-2"/>
        </w:rPr>
        <w:t>review.</w:t>
      </w:r>
    </w:p>
    <w:p w14:paraId="1C34E577" w14:textId="77777777" w:rsidR="004C558F" w:rsidRDefault="004C558F">
      <w:pPr>
        <w:pStyle w:val="BodyText"/>
        <w:spacing w:before="41"/>
      </w:pPr>
    </w:p>
    <w:p w14:paraId="1C34E578" w14:textId="77777777" w:rsidR="004C558F" w:rsidRDefault="00461887">
      <w:pPr>
        <w:pStyle w:val="BodyText"/>
        <w:spacing w:line="276" w:lineRule="auto"/>
        <w:ind w:left="959" w:right="702" w:firstLine="720"/>
      </w:pPr>
      <w:r>
        <w:t>To assist in our review and analysis of information, the HPC engaged consultants with extensive</w:t>
      </w:r>
      <w:r>
        <w:rPr>
          <w:spacing w:val="-4"/>
        </w:rPr>
        <w:t xml:space="preserve"> </w:t>
      </w:r>
      <w:r>
        <w:t>experience</w:t>
      </w:r>
      <w:r>
        <w:rPr>
          <w:spacing w:val="-2"/>
        </w:rPr>
        <w:t xml:space="preserve"> </w:t>
      </w:r>
      <w:r>
        <w:t>evaluating</w:t>
      </w:r>
      <w:r>
        <w:rPr>
          <w:spacing w:val="-3"/>
        </w:rPr>
        <w:t xml:space="preserve"> </w:t>
      </w:r>
      <w:r>
        <w:t>provider</w:t>
      </w:r>
      <w:r>
        <w:rPr>
          <w:spacing w:val="-3"/>
        </w:rPr>
        <w:t xml:space="preserve"> </w:t>
      </w:r>
      <w:r>
        <w:t>organizations</w:t>
      </w:r>
      <w:r>
        <w:rPr>
          <w:spacing w:val="-4"/>
        </w:rPr>
        <w:t xml:space="preserve"> </w:t>
      </w:r>
      <w:r>
        <w:t>and</w:t>
      </w:r>
      <w:r>
        <w:rPr>
          <w:spacing w:val="-2"/>
        </w:rPr>
        <w:t xml:space="preserve"> </w:t>
      </w:r>
      <w:r>
        <w:t>their</w:t>
      </w:r>
      <w:r>
        <w:rPr>
          <w:spacing w:val="-3"/>
        </w:rPr>
        <w:t xml:space="preserve"> </w:t>
      </w:r>
      <w:r>
        <w:t>impact</w:t>
      </w:r>
      <w:r>
        <w:rPr>
          <w:spacing w:val="-5"/>
        </w:rPr>
        <w:t xml:space="preserve"> </w:t>
      </w:r>
      <w:r>
        <w:t>on</w:t>
      </w:r>
      <w:r>
        <w:rPr>
          <w:spacing w:val="-4"/>
        </w:rPr>
        <w:t xml:space="preserve"> </w:t>
      </w:r>
      <w:r>
        <w:t>health</w:t>
      </w:r>
      <w:r>
        <w:rPr>
          <w:spacing w:val="-2"/>
        </w:rPr>
        <w:t xml:space="preserve"> </w:t>
      </w:r>
      <w:r>
        <w:t>care</w:t>
      </w:r>
      <w:r>
        <w:rPr>
          <w:spacing w:val="-2"/>
        </w:rPr>
        <w:t xml:space="preserve"> </w:t>
      </w:r>
      <w:r>
        <w:t>costs</w:t>
      </w:r>
      <w:r>
        <w:rPr>
          <w:spacing w:val="-4"/>
        </w:rPr>
        <w:t xml:space="preserve"> </w:t>
      </w:r>
      <w:r>
        <w:t>and</w:t>
      </w:r>
      <w:r>
        <w:rPr>
          <w:spacing w:val="-2"/>
        </w:rPr>
        <w:t xml:space="preserve"> </w:t>
      </w:r>
      <w:r>
        <w:t>the health care market, including economists, actuaries, accountants, clinicians, and experts in health care quality and care delivery. Working with these experts, the HPC comprehensively analyzed the data and other materials detailed above.</w:t>
      </w:r>
    </w:p>
    <w:p w14:paraId="1C34E579" w14:textId="77777777" w:rsidR="004C558F" w:rsidRDefault="004C558F">
      <w:pPr>
        <w:pStyle w:val="BodyText"/>
        <w:spacing w:before="36"/>
      </w:pPr>
    </w:p>
    <w:p w14:paraId="1C34E57A" w14:textId="0A043D88" w:rsidR="004C558F" w:rsidRDefault="00461887">
      <w:pPr>
        <w:pStyle w:val="BodyText"/>
        <w:spacing w:line="276" w:lineRule="auto"/>
        <w:ind w:left="959" w:right="752" w:firstLine="720"/>
      </w:pPr>
      <w:r>
        <w:t>Where our analyses rely on nonpublic information produced by the parties or other market participants,</w:t>
      </w:r>
      <w:r>
        <w:rPr>
          <w:spacing w:val="-2"/>
        </w:rPr>
        <w:t xml:space="preserve"> </w:t>
      </w:r>
      <w:r>
        <w:t>state</w:t>
      </w:r>
      <w:r>
        <w:rPr>
          <w:spacing w:val="-2"/>
        </w:rPr>
        <w:t xml:space="preserve"> </w:t>
      </w:r>
      <w:r>
        <w:t>law</w:t>
      </w:r>
      <w:r>
        <w:rPr>
          <w:spacing w:val="-3"/>
        </w:rPr>
        <w:t xml:space="preserve"> </w:t>
      </w:r>
      <w:r>
        <w:t>prohibits</w:t>
      </w:r>
      <w:r>
        <w:rPr>
          <w:spacing w:val="-2"/>
        </w:rPr>
        <w:t xml:space="preserve"> </w:t>
      </w:r>
      <w:r>
        <w:t>the</w:t>
      </w:r>
      <w:r>
        <w:rPr>
          <w:spacing w:val="-2"/>
        </w:rPr>
        <w:t xml:space="preserve"> </w:t>
      </w:r>
      <w:r>
        <w:t>HPC</w:t>
      </w:r>
      <w:r>
        <w:rPr>
          <w:spacing w:val="-5"/>
        </w:rPr>
        <w:t xml:space="preserve"> </w:t>
      </w:r>
      <w:r>
        <w:t>from</w:t>
      </w:r>
      <w:r>
        <w:rPr>
          <w:spacing w:val="-4"/>
        </w:rPr>
        <w:t xml:space="preserve"> </w:t>
      </w:r>
      <w:r>
        <w:t>disclosing</w:t>
      </w:r>
      <w:r>
        <w:rPr>
          <w:spacing w:val="-3"/>
        </w:rPr>
        <w:t xml:space="preserve"> </w:t>
      </w:r>
      <w:r>
        <w:t>such</w:t>
      </w:r>
      <w:r>
        <w:rPr>
          <w:spacing w:val="-4"/>
        </w:rPr>
        <w:t xml:space="preserve"> </w:t>
      </w:r>
      <w:r>
        <w:t>information</w:t>
      </w:r>
      <w:r>
        <w:rPr>
          <w:spacing w:val="-2"/>
        </w:rPr>
        <w:t xml:space="preserve"> </w:t>
      </w:r>
      <w:r>
        <w:t>without</w:t>
      </w:r>
      <w:r>
        <w:rPr>
          <w:spacing w:val="-3"/>
        </w:rPr>
        <w:t xml:space="preserve"> </w:t>
      </w:r>
      <w:r>
        <w:t>the</w:t>
      </w:r>
      <w:r>
        <w:rPr>
          <w:spacing w:val="-4"/>
        </w:rPr>
        <w:t xml:space="preserve"> </w:t>
      </w:r>
      <w:r>
        <w:t>consent</w:t>
      </w:r>
      <w:r>
        <w:rPr>
          <w:spacing w:val="-5"/>
        </w:rPr>
        <w:t xml:space="preserve"> </w:t>
      </w:r>
      <w:r>
        <w:t>of</w:t>
      </w:r>
      <w:r>
        <w:rPr>
          <w:spacing w:val="-1"/>
        </w:rPr>
        <w:t xml:space="preserve"> </w:t>
      </w:r>
      <w:r>
        <w:t>the producing entity, except in a preliminary or final CMIR report where “the commission believes that such disclosure should be made in the public interest after taking into account any privacy, trade secret or anti-competitive considerations.”</w:t>
      </w:r>
      <w:r>
        <w:rPr>
          <w:spacing w:val="-31"/>
        </w:rPr>
        <w:t xml:space="preserve"> </w:t>
      </w:r>
      <w:r w:rsidR="00391CBD">
        <w:rPr>
          <w:rStyle w:val="FootnoteReference"/>
          <w:spacing w:val="-31"/>
        </w:rPr>
        <w:footnoteReference w:id="24"/>
      </w:r>
      <w:r>
        <w:t>Consistent with this requirement, this Preliminary Report contains only limited disclosures of such confidential information where the HPC has determined that the public interest in disclosure outweighs privacy, trade secret, and anti- competitive considerations.</w:t>
      </w:r>
    </w:p>
    <w:p w14:paraId="1C34E57B" w14:textId="37D7434B" w:rsidR="004C558F" w:rsidRDefault="004C558F">
      <w:pPr>
        <w:pStyle w:val="BodyText"/>
        <w:spacing w:before="38"/>
        <w:rPr>
          <w:sz w:val="20"/>
        </w:rPr>
      </w:pPr>
    </w:p>
    <w:p w14:paraId="1C34E581" w14:textId="77777777" w:rsidR="004C558F" w:rsidRDefault="004C558F">
      <w:pPr>
        <w:rPr>
          <w:sz w:val="20"/>
        </w:rPr>
        <w:sectPr w:rsidR="004C558F">
          <w:pgSz w:w="12240" w:h="15840"/>
          <w:pgMar w:top="1360" w:right="740" w:bottom="720" w:left="480" w:header="0" w:footer="521" w:gutter="0"/>
          <w:cols w:space="720"/>
        </w:sectPr>
      </w:pPr>
      <w:bookmarkStart w:id="29" w:name="_bookmark28"/>
      <w:bookmarkEnd w:id="29"/>
    </w:p>
    <w:p w14:paraId="1C34E582" w14:textId="75E4A04B" w:rsidR="004C558F" w:rsidRDefault="00461887">
      <w:pPr>
        <w:pStyle w:val="BodyText"/>
        <w:spacing w:before="88" w:line="276" w:lineRule="auto"/>
        <w:ind w:left="960" w:right="702" w:firstLine="720"/>
      </w:pPr>
      <w:r>
        <w:lastRenderedPageBreak/>
        <w:t>For each analysis, the HPC utilized the most recent and reliable data available. Because data—whether publicly reported or privately held—is usually generated on a variable schedule from entity to entity, the most recent and reliable data primarily reflect 2022 or 2023 data; historic data used in longitudinal analyses are from as early as 2010, although our analyses focused on inpatient oncology services focus on 2016 through 2023 because the HPC’s definition of oncology discharges is based in part on ICD-10 diagnosis codes.</w:t>
      </w:r>
      <w:r>
        <w:rPr>
          <w:spacing w:val="-34"/>
        </w:rPr>
        <w:t xml:space="preserve"> </w:t>
      </w:r>
      <w:r w:rsidR="00184830">
        <w:rPr>
          <w:rStyle w:val="FootnoteReference"/>
          <w:spacing w:val="-34"/>
        </w:rPr>
        <w:footnoteReference w:id="25"/>
      </w:r>
      <w:r>
        <w:t xml:space="preserve">We have noted the </w:t>
      </w:r>
      <w:proofErr w:type="gramStart"/>
      <w:r>
        <w:t>applicable year</w:t>
      </w:r>
      <w:proofErr w:type="gramEnd"/>
      <w:r>
        <w:t xml:space="preserve"> for the underlying data throughout this report and, wherever possible, we examined multiple years of data to analyze trends</w:t>
      </w:r>
      <w:r>
        <w:rPr>
          <w:spacing w:val="-4"/>
        </w:rPr>
        <w:t xml:space="preserve"> </w:t>
      </w:r>
      <w:r>
        <w:t>and</w:t>
      </w:r>
      <w:r>
        <w:rPr>
          <w:spacing w:val="-1"/>
        </w:rPr>
        <w:t xml:space="preserve"> </w:t>
      </w:r>
      <w:r>
        <w:t>to</w:t>
      </w:r>
      <w:r>
        <w:rPr>
          <w:spacing w:val="-2"/>
        </w:rPr>
        <w:t xml:space="preserve"> </w:t>
      </w:r>
      <w:r>
        <w:t>report</w:t>
      </w:r>
      <w:r>
        <w:rPr>
          <w:spacing w:val="-3"/>
        </w:rPr>
        <w:t xml:space="preserve"> </w:t>
      </w:r>
      <w:r>
        <w:t>on</w:t>
      </w:r>
      <w:r>
        <w:rPr>
          <w:spacing w:val="-2"/>
        </w:rPr>
        <w:t xml:space="preserve"> </w:t>
      </w:r>
      <w:r>
        <w:t>the</w:t>
      </w:r>
      <w:r>
        <w:rPr>
          <w:spacing w:val="-2"/>
        </w:rPr>
        <w:t xml:space="preserve"> </w:t>
      </w:r>
      <w:r>
        <w:t>consistency</w:t>
      </w:r>
      <w:r>
        <w:rPr>
          <w:spacing w:val="-3"/>
        </w:rPr>
        <w:t xml:space="preserve"> </w:t>
      </w:r>
      <w:r>
        <w:t>of</w:t>
      </w:r>
      <w:r>
        <w:rPr>
          <w:spacing w:val="-1"/>
        </w:rPr>
        <w:t xml:space="preserve"> </w:t>
      </w:r>
      <w:r>
        <w:t>findings</w:t>
      </w:r>
      <w:r>
        <w:rPr>
          <w:spacing w:val="-4"/>
        </w:rPr>
        <w:t xml:space="preserve"> </w:t>
      </w:r>
      <w:r>
        <w:t>over</w:t>
      </w:r>
      <w:r>
        <w:rPr>
          <w:spacing w:val="-3"/>
        </w:rPr>
        <w:t xml:space="preserve"> </w:t>
      </w:r>
      <w:r>
        <w:t>time.</w:t>
      </w:r>
      <w:r>
        <w:rPr>
          <w:spacing w:val="-2"/>
        </w:rPr>
        <w:t xml:space="preserve"> </w:t>
      </w:r>
      <w:r>
        <w:t>For</w:t>
      </w:r>
      <w:r>
        <w:rPr>
          <w:spacing w:val="-5"/>
        </w:rPr>
        <w:t xml:space="preserve"> </w:t>
      </w:r>
      <w:r>
        <w:t>data</w:t>
      </w:r>
      <w:r>
        <w:rPr>
          <w:spacing w:val="-1"/>
        </w:rPr>
        <w:t xml:space="preserve"> </w:t>
      </w:r>
      <w:r>
        <w:t>and</w:t>
      </w:r>
      <w:r>
        <w:rPr>
          <w:spacing w:val="-4"/>
        </w:rPr>
        <w:t xml:space="preserve"> </w:t>
      </w:r>
      <w:r>
        <w:t>materials</w:t>
      </w:r>
      <w:r>
        <w:rPr>
          <w:spacing w:val="-2"/>
        </w:rPr>
        <w:t xml:space="preserve"> </w:t>
      </w:r>
      <w:r>
        <w:t>produced</w:t>
      </w:r>
      <w:r>
        <w:rPr>
          <w:spacing w:val="-1"/>
        </w:rPr>
        <w:t xml:space="preserve"> </w:t>
      </w:r>
      <w:r>
        <w:t>by</w:t>
      </w:r>
      <w:r>
        <w:rPr>
          <w:spacing w:val="-3"/>
        </w:rPr>
        <w:t xml:space="preserve"> </w:t>
      </w:r>
      <w:r>
        <w:t>the parties and other market participants, the HPC tested the accuracy and consistency of the data collected to the extent possible but also relied in large part on the producing party for the quality of the information provided.</w:t>
      </w:r>
    </w:p>
    <w:p w14:paraId="1C34E583" w14:textId="77777777" w:rsidR="004C558F" w:rsidRDefault="004C558F">
      <w:pPr>
        <w:pStyle w:val="BodyText"/>
        <w:spacing w:before="36"/>
      </w:pPr>
    </w:p>
    <w:p w14:paraId="1C34E584" w14:textId="77777777" w:rsidR="004C558F" w:rsidRDefault="00461887">
      <w:pPr>
        <w:pStyle w:val="BodyText"/>
        <w:spacing w:line="276" w:lineRule="auto"/>
        <w:ind w:left="960" w:right="702" w:firstLine="720"/>
      </w:pPr>
      <w:r>
        <w:t>The availability of accurate data, time constraints, and a focus on those analyses that complement—rather</w:t>
      </w:r>
      <w:r>
        <w:rPr>
          <w:spacing w:val="-3"/>
        </w:rPr>
        <w:t xml:space="preserve"> </w:t>
      </w:r>
      <w:r>
        <w:t>than</w:t>
      </w:r>
      <w:r>
        <w:rPr>
          <w:spacing w:val="-4"/>
        </w:rPr>
        <w:t xml:space="preserve"> </w:t>
      </w:r>
      <w:r>
        <w:t>duplicate—the</w:t>
      </w:r>
      <w:r>
        <w:rPr>
          <w:spacing w:val="-2"/>
        </w:rPr>
        <w:t xml:space="preserve"> </w:t>
      </w:r>
      <w:r>
        <w:t>work</w:t>
      </w:r>
      <w:r>
        <w:rPr>
          <w:spacing w:val="-3"/>
        </w:rPr>
        <w:t xml:space="preserve"> </w:t>
      </w:r>
      <w:r>
        <w:t>of</w:t>
      </w:r>
      <w:r>
        <w:rPr>
          <w:spacing w:val="-1"/>
        </w:rPr>
        <w:t xml:space="preserve"> </w:t>
      </w:r>
      <w:r>
        <w:t>other</w:t>
      </w:r>
      <w:r>
        <w:rPr>
          <w:spacing w:val="-3"/>
        </w:rPr>
        <w:t xml:space="preserve"> </w:t>
      </w:r>
      <w:r>
        <w:t>agencies</w:t>
      </w:r>
      <w:r>
        <w:rPr>
          <w:spacing w:val="-4"/>
        </w:rPr>
        <w:t xml:space="preserve"> </w:t>
      </w:r>
      <w:r>
        <w:t>may</w:t>
      </w:r>
      <w:r>
        <w:rPr>
          <w:spacing w:val="-5"/>
        </w:rPr>
        <w:t xml:space="preserve"> </w:t>
      </w:r>
      <w:r>
        <w:t>affect</w:t>
      </w:r>
      <w:r>
        <w:rPr>
          <w:spacing w:val="-3"/>
        </w:rPr>
        <w:t xml:space="preserve"> </w:t>
      </w:r>
      <w:r>
        <w:t>the</w:t>
      </w:r>
      <w:r>
        <w:rPr>
          <w:spacing w:val="-4"/>
        </w:rPr>
        <w:t xml:space="preserve"> </w:t>
      </w:r>
      <w:r>
        <w:t>analyses</w:t>
      </w:r>
      <w:r>
        <w:rPr>
          <w:spacing w:val="-2"/>
        </w:rPr>
        <w:t xml:space="preserve"> </w:t>
      </w:r>
      <w:r>
        <w:t>included</w:t>
      </w:r>
      <w:r>
        <w:rPr>
          <w:spacing w:val="-1"/>
        </w:rPr>
        <w:t xml:space="preserve"> </w:t>
      </w:r>
      <w:r>
        <w:t>in this and other reviews of material changes. Future reviews may encompass new and evolving analyses, depending on the facts of a transaction, recent market developments, areas of public interest, and the availability of improved data resources.</w:t>
      </w:r>
    </w:p>
    <w:p w14:paraId="1C34E585" w14:textId="77777777" w:rsidR="004C558F" w:rsidRDefault="004C558F">
      <w:pPr>
        <w:pStyle w:val="BodyText"/>
        <w:spacing w:before="36"/>
      </w:pPr>
    </w:p>
    <w:p w14:paraId="1C34E586" w14:textId="3E0E311D" w:rsidR="004C558F" w:rsidRDefault="00461887">
      <w:pPr>
        <w:pStyle w:val="BodyText"/>
        <w:spacing w:line="276" w:lineRule="auto"/>
        <w:ind w:left="959" w:right="752" w:firstLine="720"/>
      </w:pPr>
      <w:r>
        <w:t xml:space="preserve">Finally, most of our cost and market analyses focus on the anticipated impact in the commercially insured market. In the commercially insured market, prices for health care services— whether fee-for-service, global budgets, or other forms of alternative </w:t>
      </w:r>
      <w:proofErr w:type="gramStart"/>
      <w:r>
        <w:t>payments—</w:t>
      </w:r>
      <w:proofErr w:type="gramEnd"/>
      <w:r>
        <w:t xml:space="preserve">are established through private negotiations between payers and providers. The terms of these payer-provider contracts vary widely, </w:t>
      </w:r>
      <w:proofErr w:type="gramStart"/>
      <w:r>
        <w:t>with regard to</w:t>
      </w:r>
      <w:proofErr w:type="gramEnd"/>
      <w:r>
        <w:t xml:space="preserve"> both price and other material terms that impact health care costs and market functioning. </w:t>
      </w:r>
      <w:r w:rsidR="00F0743C">
        <w:rPr>
          <w:rStyle w:val="FootnoteReference"/>
        </w:rPr>
        <w:footnoteReference w:id="26"/>
      </w:r>
      <w:r>
        <w:t xml:space="preserve">However, because of the </w:t>
      </w:r>
      <w:proofErr w:type="gramStart"/>
      <w:r>
        <w:t>particular relevance</w:t>
      </w:r>
      <w:proofErr w:type="gramEnd"/>
      <w:r>
        <w:t xml:space="preserve"> of oncology care to older residents and the differences among the parties in Medicare payment rates, particularly for inpatient</w:t>
      </w:r>
      <w:r>
        <w:rPr>
          <w:spacing w:val="-3"/>
        </w:rPr>
        <w:t xml:space="preserve"> </w:t>
      </w:r>
      <w:r>
        <w:t>care,</w:t>
      </w:r>
      <w:r>
        <w:rPr>
          <w:spacing w:val="-2"/>
        </w:rPr>
        <w:t xml:space="preserve"> </w:t>
      </w:r>
      <w:r>
        <w:t>this</w:t>
      </w:r>
      <w:r>
        <w:rPr>
          <w:spacing w:val="-2"/>
        </w:rPr>
        <w:t xml:space="preserve"> </w:t>
      </w:r>
      <w:r>
        <w:t>report</w:t>
      </w:r>
      <w:r>
        <w:rPr>
          <w:spacing w:val="-5"/>
        </w:rPr>
        <w:t xml:space="preserve"> </w:t>
      </w:r>
      <w:r>
        <w:t>also</w:t>
      </w:r>
      <w:r>
        <w:rPr>
          <w:spacing w:val="-4"/>
        </w:rPr>
        <w:t xml:space="preserve"> </w:t>
      </w:r>
      <w:r>
        <w:t>assesses</w:t>
      </w:r>
      <w:r>
        <w:rPr>
          <w:spacing w:val="-2"/>
        </w:rPr>
        <w:t xml:space="preserve"> </w:t>
      </w:r>
      <w:r>
        <w:t>some</w:t>
      </w:r>
      <w:r>
        <w:rPr>
          <w:spacing w:val="-4"/>
        </w:rPr>
        <w:t xml:space="preserve"> </w:t>
      </w:r>
      <w:r>
        <w:t>cost</w:t>
      </w:r>
      <w:r>
        <w:rPr>
          <w:spacing w:val="-5"/>
        </w:rPr>
        <w:t xml:space="preserve"> </w:t>
      </w:r>
      <w:r>
        <w:t>and</w:t>
      </w:r>
      <w:r>
        <w:rPr>
          <w:spacing w:val="-4"/>
        </w:rPr>
        <w:t xml:space="preserve"> </w:t>
      </w:r>
      <w:r>
        <w:t>market</w:t>
      </w:r>
      <w:r>
        <w:rPr>
          <w:spacing w:val="-3"/>
        </w:rPr>
        <w:t xml:space="preserve"> </w:t>
      </w:r>
      <w:r>
        <w:t>impacts</w:t>
      </w:r>
      <w:r>
        <w:rPr>
          <w:spacing w:val="-2"/>
        </w:rPr>
        <w:t xml:space="preserve"> </w:t>
      </w:r>
      <w:r>
        <w:t>of</w:t>
      </w:r>
      <w:r>
        <w:rPr>
          <w:spacing w:val="-1"/>
        </w:rPr>
        <w:t xml:space="preserve"> </w:t>
      </w:r>
      <w:r>
        <w:t>the</w:t>
      </w:r>
      <w:r>
        <w:rPr>
          <w:spacing w:val="-4"/>
        </w:rPr>
        <w:t xml:space="preserve"> </w:t>
      </w:r>
      <w:r>
        <w:t>proposed</w:t>
      </w:r>
      <w:r>
        <w:rPr>
          <w:spacing w:val="-1"/>
        </w:rPr>
        <w:t xml:space="preserve"> </w:t>
      </w:r>
      <w:r>
        <w:t>transaction on Medicare spending.</w:t>
      </w:r>
    </w:p>
    <w:p w14:paraId="1C34E587" w14:textId="77777777" w:rsidR="004C558F" w:rsidRDefault="004C558F">
      <w:pPr>
        <w:pStyle w:val="BodyText"/>
        <w:spacing w:before="199"/>
      </w:pPr>
    </w:p>
    <w:p w14:paraId="1C34E588" w14:textId="77777777" w:rsidR="004C558F" w:rsidRDefault="00461887">
      <w:pPr>
        <w:pStyle w:val="ListParagraph"/>
        <w:numPr>
          <w:ilvl w:val="1"/>
          <w:numId w:val="16"/>
        </w:numPr>
        <w:tabs>
          <w:tab w:val="left" w:pos="959"/>
        </w:tabs>
        <w:spacing w:before="1"/>
        <w:ind w:left="959" w:hanging="359"/>
        <w:rPr>
          <w:rFonts w:ascii="Franklin Gothic Medium"/>
          <w:color w:val="063656"/>
          <w:sz w:val="28"/>
        </w:rPr>
      </w:pPr>
      <w:bookmarkStart w:id="30" w:name="C._Methodologies"/>
      <w:bookmarkEnd w:id="30"/>
      <w:r>
        <w:rPr>
          <w:rFonts w:ascii="Franklin Gothic Medium"/>
          <w:color w:val="063656"/>
          <w:spacing w:val="-2"/>
          <w:sz w:val="28"/>
        </w:rPr>
        <w:t>Methodologies</w:t>
      </w:r>
    </w:p>
    <w:p w14:paraId="1C34E589" w14:textId="77777777" w:rsidR="004C558F" w:rsidRDefault="004C558F">
      <w:pPr>
        <w:pStyle w:val="BodyText"/>
        <w:spacing w:before="96"/>
        <w:rPr>
          <w:rFonts w:ascii="Franklin Gothic Medium"/>
          <w:sz w:val="28"/>
        </w:rPr>
      </w:pPr>
    </w:p>
    <w:p w14:paraId="1C34E58A" w14:textId="77777777" w:rsidR="004C558F" w:rsidRDefault="00461887">
      <w:pPr>
        <w:pStyle w:val="BodyText"/>
        <w:spacing w:line="276" w:lineRule="auto"/>
        <w:ind w:left="959" w:right="702" w:firstLine="720"/>
      </w:pPr>
      <w:r>
        <w:t xml:space="preserve">The analyses in this report </w:t>
      </w:r>
      <w:proofErr w:type="gramStart"/>
      <w:r>
        <w:t>build</w:t>
      </w:r>
      <w:proofErr w:type="gramEnd"/>
      <w:r>
        <w:t xml:space="preserve"> on well-established methodologies used in economic research, antitrust litigation, and prior HPC studies. Where possible the HPC made conservative assumptions</w:t>
      </w:r>
      <w:r>
        <w:rPr>
          <w:spacing w:val="-2"/>
        </w:rPr>
        <w:t xml:space="preserve"> </w:t>
      </w:r>
      <w:r>
        <w:t>in</w:t>
      </w:r>
      <w:r>
        <w:rPr>
          <w:spacing w:val="-2"/>
        </w:rPr>
        <w:t xml:space="preserve"> </w:t>
      </w:r>
      <w:r>
        <w:t>modeling</w:t>
      </w:r>
      <w:r>
        <w:rPr>
          <w:spacing w:val="-8"/>
        </w:rPr>
        <w:t xml:space="preserve"> </w:t>
      </w:r>
      <w:r>
        <w:t>potential</w:t>
      </w:r>
      <w:r>
        <w:rPr>
          <w:spacing w:val="-3"/>
        </w:rPr>
        <w:t xml:space="preserve"> </w:t>
      </w:r>
      <w:r>
        <w:t>impacts</w:t>
      </w:r>
      <w:r>
        <w:rPr>
          <w:spacing w:val="-2"/>
        </w:rPr>
        <w:t xml:space="preserve"> </w:t>
      </w:r>
      <w:r>
        <w:t>and</w:t>
      </w:r>
      <w:r>
        <w:rPr>
          <w:spacing w:val="-1"/>
        </w:rPr>
        <w:t xml:space="preserve"> </w:t>
      </w:r>
      <w:r>
        <w:t>presents</w:t>
      </w:r>
      <w:r>
        <w:rPr>
          <w:spacing w:val="-2"/>
        </w:rPr>
        <w:t xml:space="preserve"> </w:t>
      </w:r>
      <w:r>
        <w:t>quantitative</w:t>
      </w:r>
      <w:r>
        <w:rPr>
          <w:spacing w:val="-2"/>
        </w:rPr>
        <w:t xml:space="preserve"> </w:t>
      </w:r>
      <w:r>
        <w:t>findings</w:t>
      </w:r>
      <w:r>
        <w:rPr>
          <w:spacing w:val="-4"/>
        </w:rPr>
        <w:t xml:space="preserve"> </w:t>
      </w:r>
      <w:r>
        <w:t>only</w:t>
      </w:r>
      <w:r>
        <w:rPr>
          <w:spacing w:val="-3"/>
        </w:rPr>
        <w:t xml:space="preserve"> </w:t>
      </w:r>
      <w:r>
        <w:t>where</w:t>
      </w:r>
      <w:r>
        <w:rPr>
          <w:spacing w:val="-2"/>
        </w:rPr>
        <w:t xml:space="preserve"> </w:t>
      </w:r>
      <w:r>
        <w:t>they</w:t>
      </w:r>
      <w:r>
        <w:rPr>
          <w:spacing w:val="-5"/>
        </w:rPr>
        <w:t xml:space="preserve"> </w:t>
      </w:r>
      <w:r>
        <w:t>are well supported by available data and methodology. In most analyses the HPC modeled various sensitivities</w:t>
      </w:r>
      <w:r>
        <w:rPr>
          <w:spacing w:val="-2"/>
        </w:rPr>
        <w:t xml:space="preserve"> </w:t>
      </w:r>
      <w:r>
        <w:t>based</w:t>
      </w:r>
      <w:r>
        <w:rPr>
          <w:spacing w:val="-4"/>
        </w:rPr>
        <w:t xml:space="preserve"> </w:t>
      </w:r>
      <w:r>
        <w:t>on</w:t>
      </w:r>
      <w:r>
        <w:rPr>
          <w:spacing w:val="-4"/>
        </w:rPr>
        <w:t xml:space="preserve"> </w:t>
      </w:r>
      <w:r>
        <w:t>different</w:t>
      </w:r>
      <w:r>
        <w:rPr>
          <w:spacing w:val="-3"/>
        </w:rPr>
        <w:t xml:space="preserve"> </w:t>
      </w:r>
      <w:r>
        <w:t>underlying</w:t>
      </w:r>
      <w:r>
        <w:rPr>
          <w:spacing w:val="-6"/>
        </w:rPr>
        <w:t xml:space="preserve"> </w:t>
      </w:r>
      <w:r>
        <w:t>assumptions,</w:t>
      </w:r>
      <w:r>
        <w:rPr>
          <w:spacing w:val="-2"/>
        </w:rPr>
        <w:t xml:space="preserve"> </w:t>
      </w:r>
      <w:r>
        <w:t>resulting</w:t>
      </w:r>
      <w:r>
        <w:rPr>
          <w:spacing w:val="-3"/>
        </w:rPr>
        <w:t xml:space="preserve"> </w:t>
      </w:r>
      <w:r>
        <w:t>in</w:t>
      </w:r>
      <w:r>
        <w:rPr>
          <w:spacing w:val="-2"/>
        </w:rPr>
        <w:t xml:space="preserve"> </w:t>
      </w:r>
      <w:r>
        <w:t>ranges</w:t>
      </w:r>
      <w:r>
        <w:rPr>
          <w:spacing w:val="-2"/>
        </w:rPr>
        <w:t xml:space="preserve"> </w:t>
      </w:r>
      <w:r>
        <w:t>of</w:t>
      </w:r>
      <w:r>
        <w:rPr>
          <w:spacing w:val="-4"/>
        </w:rPr>
        <w:t xml:space="preserve"> </w:t>
      </w:r>
      <w:r>
        <w:t>potential</w:t>
      </w:r>
      <w:r>
        <w:rPr>
          <w:spacing w:val="-3"/>
        </w:rPr>
        <w:t xml:space="preserve"> </w:t>
      </w:r>
      <w:r>
        <w:t>impacts</w:t>
      </w:r>
      <w:r>
        <w:rPr>
          <w:spacing w:val="-2"/>
        </w:rPr>
        <w:t xml:space="preserve"> </w:t>
      </w:r>
      <w:r>
        <w:t>of</w:t>
      </w:r>
    </w:p>
    <w:p w14:paraId="1C34E58B" w14:textId="1AD286E0" w:rsidR="004C558F" w:rsidRDefault="004C558F">
      <w:pPr>
        <w:pStyle w:val="BodyText"/>
        <w:spacing w:before="9"/>
        <w:rPr>
          <w:sz w:val="12"/>
        </w:rPr>
      </w:pPr>
    </w:p>
    <w:p w14:paraId="1C34E58F" w14:textId="77777777" w:rsidR="004C558F" w:rsidRDefault="004C558F">
      <w:pPr>
        <w:rPr>
          <w:sz w:val="20"/>
        </w:rPr>
        <w:sectPr w:rsidR="004C558F">
          <w:pgSz w:w="12240" w:h="15840"/>
          <w:pgMar w:top="1640" w:right="740" w:bottom="720" w:left="480" w:header="0" w:footer="521" w:gutter="0"/>
          <w:cols w:space="720"/>
        </w:sectPr>
      </w:pPr>
      <w:bookmarkStart w:id="31" w:name="_bookmark33"/>
      <w:bookmarkStart w:id="32" w:name="_bookmark34"/>
      <w:bookmarkEnd w:id="31"/>
      <w:bookmarkEnd w:id="32"/>
    </w:p>
    <w:p w14:paraId="1C34E590" w14:textId="77777777" w:rsidR="004C558F" w:rsidRDefault="00461887">
      <w:pPr>
        <w:pStyle w:val="BodyText"/>
        <w:spacing w:before="80" w:line="276" w:lineRule="auto"/>
        <w:ind w:left="959" w:right="702"/>
      </w:pPr>
      <w:r>
        <w:lastRenderedPageBreak/>
        <w:t xml:space="preserve">the proposed transaction. Where applicable, this report </w:t>
      </w:r>
      <w:proofErr w:type="gramStart"/>
      <w:r>
        <w:t>compares and contrasts</w:t>
      </w:r>
      <w:proofErr w:type="gramEnd"/>
      <w:r>
        <w:t xml:space="preserve"> </w:t>
      </w:r>
      <w:proofErr w:type="gramStart"/>
      <w:r>
        <w:t>the HPC’s</w:t>
      </w:r>
      <w:proofErr w:type="gramEnd"/>
      <w:r>
        <w:t xml:space="preserve"> findings with</w:t>
      </w:r>
      <w:r>
        <w:rPr>
          <w:spacing w:val="-3"/>
        </w:rPr>
        <w:t xml:space="preserve"> </w:t>
      </w:r>
      <w:r>
        <w:t>analyses</w:t>
      </w:r>
      <w:r>
        <w:rPr>
          <w:spacing w:val="-3"/>
        </w:rPr>
        <w:t xml:space="preserve"> </w:t>
      </w:r>
      <w:r>
        <w:t>presented</w:t>
      </w:r>
      <w:r>
        <w:rPr>
          <w:spacing w:val="-2"/>
        </w:rPr>
        <w:t xml:space="preserve"> </w:t>
      </w:r>
      <w:r>
        <w:t>by</w:t>
      </w:r>
      <w:r>
        <w:rPr>
          <w:spacing w:val="-4"/>
        </w:rPr>
        <w:t xml:space="preserve"> </w:t>
      </w:r>
      <w:r>
        <w:t>the</w:t>
      </w:r>
      <w:r>
        <w:rPr>
          <w:spacing w:val="-3"/>
        </w:rPr>
        <w:t xml:space="preserve"> </w:t>
      </w:r>
      <w:r>
        <w:t>parties</w:t>
      </w:r>
      <w:r>
        <w:rPr>
          <w:spacing w:val="-3"/>
        </w:rPr>
        <w:t xml:space="preserve"> </w:t>
      </w:r>
      <w:r>
        <w:t>and</w:t>
      </w:r>
      <w:r>
        <w:rPr>
          <w:spacing w:val="-2"/>
        </w:rPr>
        <w:t xml:space="preserve"> </w:t>
      </w:r>
      <w:r>
        <w:t>in</w:t>
      </w:r>
      <w:r>
        <w:rPr>
          <w:spacing w:val="-5"/>
        </w:rPr>
        <w:t xml:space="preserve"> </w:t>
      </w:r>
      <w:r>
        <w:t>the</w:t>
      </w:r>
      <w:r>
        <w:rPr>
          <w:spacing w:val="-3"/>
        </w:rPr>
        <w:t xml:space="preserve"> </w:t>
      </w:r>
      <w:r>
        <w:t>Independent</w:t>
      </w:r>
      <w:r>
        <w:rPr>
          <w:spacing w:val="-4"/>
        </w:rPr>
        <w:t xml:space="preserve"> </w:t>
      </w:r>
      <w:r>
        <w:t>Cost</w:t>
      </w:r>
      <w:r>
        <w:rPr>
          <w:spacing w:val="-4"/>
        </w:rPr>
        <w:t xml:space="preserve"> </w:t>
      </w:r>
      <w:r>
        <w:t>Analysis</w:t>
      </w:r>
      <w:r>
        <w:rPr>
          <w:spacing w:val="-3"/>
        </w:rPr>
        <w:t xml:space="preserve"> </w:t>
      </w:r>
      <w:r>
        <w:t>(ICA)</w:t>
      </w:r>
      <w:r>
        <w:rPr>
          <w:spacing w:val="-3"/>
        </w:rPr>
        <w:t xml:space="preserve"> </w:t>
      </w:r>
      <w:r>
        <w:t>of</w:t>
      </w:r>
      <w:r>
        <w:rPr>
          <w:spacing w:val="-5"/>
        </w:rPr>
        <w:t xml:space="preserve"> </w:t>
      </w:r>
      <w:r>
        <w:t>DFCI’s</w:t>
      </w:r>
      <w:r>
        <w:rPr>
          <w:spacing w:val="-3"/>
        </w:rPr>
        <w:t xml:space="preserve"> </w:t>
      </w:r>
      <w:r>
        <w:t>proposed new hospital.</w:t>
      </w:r>
    </w:p>
    <w:p w14:paraId="1C34E591" w14:textId="77777777" w:rsidR="004C558F" w:rsidRDefault="004C558F">
      <w:pPr>
        <w:pStyle w:val="BodyText"/>
        <w:spacing w:before="36"/>
      </w:pPr>
    </w:p>
    <w:p w14:paraId="1C34E592" w14:textId="77777777" w:rsidR="004C558F" w:rsidRDefault="00461887">
      <w:pPr>
        <w:pStyle w:val="BodyText"/>
        <w:spacing w:before="1" w:line="276" w:lineRule="auto"/>
        <w:ind w:left="959" w:right="702" w:firstLine="720"/>
      </w:pPr>
      <w:r>
        <w:t>Additional</w:t>
      </w:r>
      <w:r>
        <w:rPr>
          <w:spacing w:val="-6"/>
        </w:rPr>
        <w:t xml:space="preserve"> </w:t>
      </w:r>
      <w:r>
        <w:t>details</w:t>
      </w:r>
      <w:r>
        <w:rPr>
          <w:spacing w:val="-3"/>
        </w:rPr>
        <w:t xml:space="preserve"> </w:t>
      </w:r>
      <w:r>
        <w:t>of</w:t>
      </w:r>
      <w:r>
        <w:rPr>
          <w:spacing w:val="-2"/>
        </w:rPr>
        <w:t xml:space="preserve"> </w:t>
      </w:r>
      <w:r>
        <w:t>the</w:t>
      </w:r>
      <w:r>
        <w:rPr>
          <w:spacing w:val="-3"/>
        </w:rPr>
        <w:t xml:space="preserve"> </w:t>
      </w:r>
      <w:r>
        <w:t>HPC’s</w:t>
      </w:r>
      <w:r>
        <w:rPr>
          <w:spacing w:val="-3"/>
        </w:rPr>
        <w:t xml:space="preserve"> </w:t>
      </w:r>
      <w:r>
        <w:t>methodologies</w:t>
      </w:r>
      <w:r>
        <w:rPr>
          <w:spacing w:val="-3"/>
        </w:rPr>
        <w:t xml:space="preserve"> </w:t>
      </w:r>
      <w:r>
        <w:t>are</w:t>
      </w:r>
      <w:r>
        <w:rPr>
          <w:spacing w:val="-3"/>
        </w:rPr>
        <w:t xml:space="preserve"> </w:t>
      </w:r>
      <w:r>
        <w:t>provided</w:t>
      </w:r>
      <w:r>
        <w:rPr>
          <w:spacing w:val="-2"/>
        </w:rPr>
        <w:t xml:space="preserve"> </w:t>
      </w:r>
      <w:r>
        <w:t>throughout</w:t>
      </w:r>
      <w:r>
        <w:rPr>
          <w:spacing w:val="-4"/>
        </w:rPr>
        <w:t xml:space="preserve"> </w:t>
      </w:r>
      <w:r>
        <w:t>this</w:t>
      </w:r>
      <w:r>
        <w:rPr>
          <w:spacing w:val="-3"/>
        </w:rPr>
        <w:t xml:space="preserve"> </w:t>
      </w:r>
      <w:r>
        <w:t>report</w:t>
      </w:r>
      <w:r>
        <w:rPr>
          <w:spacing w:val="-4"/>
        </w:rPr>
        <w:t xml:space="preserve"> </w:t>
      </w:r>
      <w:r>
        <w:t>and</w:t>
      </w:r>
      <w:r>
        <w:rPr>
          <w:spacing w:val="-2"/>
        </w:rPr>
        <w:t xml:space="preserve"> </w:t>
      </w:r>
      <w:r>
        <w:t>in</w:t>
      </w:r>
      <w:r>
        <w:rPr>
          <w:spacing w:val="-3"/>
        </w:rPr>
        <w:t xml:space="preserve"> </w:t>
      </w:r>
      <w:r>
        <w:t>the Data Appendix. Given the centrality of specialized oncology services in this review, this section also provides a brief primer on oncology and related services.</w:t>
      </w:r>
    </w:p>
    <w:p w14:paraId="1C34E593" w14:textId="77777777" w:rsidR="004C558F" w:rsidRDefault="004C558F">
      <w:pPr>
        <w:spacing w:line="276" w:lineRule="auto"/>
        <w:sectPr w:rsidR="004C558F">
          <w:pgSz w:w="12240" w:h="15840"/>
          <w:pgMar w:top="1360" w:right="740" w:bottom="720" w:left="480" w:header="0" w:footer="521" w:gutter="0"/>
          <w:cols w:space="720"/>
        </w:sectPr>
      </w:pPr>
    </w:p>
    <w:p w14:paraId="1C34E594" w14:textId="77777777" w:rsidR="004C558F" w:rsidRDefault="004C558F">
      <w:pPr>
        <w:pStyle w:val="BodyText"/>
        <w:spacing w:before="303"/>
        <w:rPr>
          <w:sz w:val="28"/>
        </w:rPr>
      </w:pPr>
    </w:p>
    <w:p w14:paraId="1C34E595" w14:textId="5ADE2CF0" w:rsidR="004C558F" w:rsidRDefault="00461887">
      <w:pPr>
        <w:ind w:left="1248"/>
        <w:rPr>
          <w:rFonts w:ascii="Franklin Gothic Medium"/>
          <w:sz w:val="28"/>
        </w:rPr>
      </w:pPr>
      <w:bookmarkStart w:id="33" w:name="Oncology_and_Related_Services"/>
      <w:bookmarkEnd w:id="33"/>
      <w:r>
        <w:rPr>
          <w:rFonts w:ascii="Franklin Gothic Medium"/>
          <w:color w:val="063656"/>
          <w:sz w:val="28"/>
        </w:rPr>
        <w:t>Oncology</w:t>
      </w:r>
      <w:r>
        <w:rPr>
          <w:rFonts w:ascii="Franklin Gothic Medium"/>
          <w:color w:val="063656"/>
          <w:spacing w:val="-5"/>
          <w:sz w:val="28"/>
        </w:rPr>
        <w:t xml:space="preserve"> </w:t>
      </w:r>
      <w:r>
        <w:rPr>
          <w:rFonts w:ascii="Franklin Gothic Medium"/>
          <w:color w:val="063656"/>
          <w:sz w:val="28"/>
        </w:rPr>
        <w:t>and</w:t>
      </w:r>
      <w:r>
        <w:rPr>
          <w:rFonts w:ascii="Franklin Gothic Medium"/>
          <w:color w:val="063656"/>
          <w:spacing w:val="-6"/>
          <w:sz w:val="28"/>
        </w:rPr>
        <w:t xml:space="preserve"> </w:t>
      </w:r>
      <w:r>
        <w:rPr>
          <w:rFonts w:ascii="Franklin Gothic Medium"/>
          <w:color w:val="063656"/>
          <w:sz w:val="28"/>
        </w:rPr>
        <w:t>Related</w:t>
      </w:r>
      <w:r>
        <w:rPr>
          <w:rFonts w:ascii="Franklin Gothic Medium"/>
          <w:color w:val="063656"/>
          <w:spacing w:val="-5"/>
          <w:sz w:val="28"/>
        </w:rPr>
        <w:t xml:space="preserve"> </w:t>
      </w:r>
      <w:r>
        <w:rPr>
          <w:rFonts w:ascii="Franklin Gothic Medium"/>
          <w:color w:val="063656"/>
          <w:spacing w:val="-2"/>
          <w:sz w:val="28"/>
        </w:rPr>
        <w:t>Services</w:t>
      </w:r>
    </w:p>
    <w:p w14:paraId="1C34E596" w14:textId="77777777" w:rsidR="004C558F" w:rsidRDefault="004C558F">
      <w:pPr>
        <w:pStyle w:val="BodyText"/>
        <w:spacing w:before="97"/>
        <w:rPr>
          <w:rFonts w:ascii="Franklin Gothic Medium"/>
          <w:sz w:val="28"/>
        </w:rPr>
      </w:pPr>
    </w:p>
    <w:p w14:paraId="1C34E597" w14:textId="77777777" w:rsidR="004C558F" w:rsidRDefault="00461887">
      <w:pPr>
        <w:pStyle w:val="BodyText"/>
        <w:spacing w:line="276" w:lineRule="auto"/>
        <w:ind w:left="1247" w:right="891" w:firstLine="360"/>
      </w:pPr>
      <w:r>
        <w:t>Care</w:t>
      </w:r>
      <w:r>
        <w:rPr>
          <w:spacing w:val="-3"/>
        </w:rPr>
        <w:t xml:space="preserve"> </w:t>
      </w:r>
      <w:r>
        <w:t>for</w:t>
      </w:r>
      <w:r>
        <w:rPr>
          <w:spacing w:val="-4"/>
        </w:rPr>
        <w:t xml:space="preserve"> </w:t>
      </w:r>
      <w:r>
        <w:t>patients</w:t>
      </w:r>
      <w:r>
        <w:rPr>
          <w:spacing w:val="-3"/>
        </w:rPr>
        <w:t xml:space="preserve"> </w:t>
      </w:r>
      <w:r>
        <w:t>with</w:t>
      </w:r>
      <w:r>
        <w:rPr>
          <w:spacing w:val="-3"/>
        </w:rPr>
        <w:t xml:space="preserve"> </w:t>
      </w:r>
      <w:r>
        <w:t>cancer</w:t>
      </w:r>
      <w:r>
        <w:rPr>
          <w:spacing w:val="-4"/>
        </w:rPr>
        <w:t xml:space="preserve"> </w:t>
      </w:r>
      <w:r>
        <w:t>involves</w:t>
      </w:r>
      <w:r>
        <w:rPr>
          <w:spacing w:val="-5"/>
        </w:rPr>
        <w:t xml:space="preserve"> </w:t>
      </w:r>
      <w:r>
        <w:t>a</w:t>
      </w:r>
      <w:r>
        <w:rPr>
          <w:spacing w:val="-2"/>
        </w:rPr>
        <w:t xml:space="preserve"> </w:t>
      </w:r>
      <w:r>
        <w:t>combination</w:t>
      </w:r>
      <w:r>
        <w:rPr>
          <w:spacing w:val="-3"/>
        </w:rPr>
        <w:t xml:space="preserve"> </w:t>
      </w:r>
      <w:r>
        <w:t>of</w:t>
      </w:r>
      <w:r>
        <w:rPr>
          <w:spacing w:val="-5"/>
        </w:rPr>
        <w:t xml:space="preserve"> </w:t>
      </w:r>
      <w:r>
        <w:t>clinical</w:t>
      </w:r>
      <w:r>
        <w:rPr>
          <w:spacing w:val="-4"/>
        </w:rPr>
        <w:t xml:space="preserve"> </w:t>
      </w:r>
      <w:r>
        <w:t>specialties</w:t>
      </w:r>
      <w:r>
        <w:rPr>
          <w:spacing w:val="-3"/>
        </w:rPr>
        <w:t xml:space="preserve"> </w:t>
      </w:r>
      <w:r>
        <w:t>and</w:t>
      </w:r>
      <w:r>
        <w:rPr>
          <w:spacing w:val="-2"/>
        </w:rPr>
        <w:t xml:space="preserve"> </w:t>
      </w:r>
      <w:r>
        <w:t>techniques. These include services from screening and diagnosis; to treatment, management of sequalae and side effects, and palliative care; to survivorship support. Cancer care may complicate and be complicated by a patient’s other medical and behavioral health needs. The following are some principal areas relevant to oncology care, although the specific care a given patient receives depends in large part on the type of cancer.</w:t>
      </w:r>
    </w:p>
    <w:p w14:paraId="1C34E598" w14:textId="77777777" w:rsidR="004C558F" w:rsidRDefault="004C558F">
      <w:pPr>
        <w:pStyle w:val="BodyText"/>
        <w:spacing w:before="36"/>
      </w:pPr>
    </w:p>
    <w:p w14:paraId="1C34E599" w14:textId="77777777" w:rsidR="004C558F" w:rsidRDefault="00461887">
      <w:pPr>
        <w:pStyle w:val="ListParagraph"/>
        <w:numPr>
          <w:ilvl w:val="0"/>
          <w:numId w:val="15"/>
        </w:numPr>
        <w:tabs>
          <w:tab w:val="left" w:pos="1968"/>
        </w:tabs>
        <w:spacing w:line="276" w:lineRule="auto"/>
        <w:ind w:right="1262"/>
      </w:pPr>
      <w:r>
        <w:rPr>
          <w:u w:val="single"/>
        </w:rPr>
        <w:t>Medical</w:t>
      </w:r>
      <w:r>
        <w:rPr>
          <w:spacing w:val="-7"/>
          <w:u w:val="single"/>
        </w:rPr>
        <w:t xml:space="preserve"> </w:t>
      </w:r>
      <w:r>
        <w:rPr>
          <w:u w:val="single"/>
        </w:rPr>
        <w:t>oncology</w:t>
      </w:r>
      <w:r>
        <w:t>:</w:t>
      </w:r>
      <w:r>
        <w:rPr>
          <w:spacing w:val="-7"/>
        </w:rPr>
        <w:t xml:space="preserve"> </w:t>
      </w:r>
      <w:r>
        <w:t>The</w:t>
      </w:r>
      <w:r>
        <w:rPr>
          <w:spacing w:val="-6"/>
        </w:rPr>
        <w:t xml:space="preserve"> </w:t>
      </w:r>
      <w:r>
        <w:t>use</w:t>
      </w:r>
      <w:r>
        <w:rPr>
          <w:spacing w:val="-6"/>
        </w:rPr>
        <w:t xml:space="preserve"> </w:t>
      </w:r>
      <w:r>
        <w:t>of</w:t>
      </w:r>
      <w:r>
        <w:rPr>
          <w:spacing w:val="-3"/>
        </w:rPr>
        <w:t xml:space="preserve"> </w:t>
      </w:r>
      <w:r>
        <w:t>chemotherapy,</w:t>
      </w:r>
      <w:r>
        <w:rPr>
          <w:spacing w:val="-4"/>
        </w:rPr>
        <w:t xml:space="preserve"> </w:t>
      </w:r>
      <w:r>
        <w:t>hormone</w:t>
      </w:r>
      <w:r>
        <w:rPr>
          <w:spacing w:val="-4"/>
        </w:rPr>
        <w:t xml:space="preserve"> </w:t>
      </w:r>
      <w:r>
        <w:t>therapy,</w:t>
      </w:r>
      <w:r>
        <w:rPr>
          <w:spacing w:val="-4"/>
        </w:rPr>
        <w:t xml:space="preserve"> </w:t>
      </w:r>
      <w:r>
        <w:t>immunotherapy,</w:t>
      </w:r>
      <w:r>
        <w:rPr>
          <w:spacing w:val="-4"/>
        </w:rPr>
        <w:t xml:space="preserve"> </w:t>
      </w:r>
      <w:r>
        <w:t>and other drugs to treat cancer, often administered by infusion or injection.</w:t>
      </w:r>
    </w:p>
    <w:p w14:paraId="1C34E59A" w14:textId="77777777" w:rsidR="004C558F" w:rsidRDefault="00461887">
      <w:pPr>
        <w:pStyle w:val="ListParagraph"/>
        <w:numPr>
          <w:ilvl w:val="0"/>
          <w:numId w:val="15"/>
        </w:numPr>
        <w:tabs>
          <w:tab w:val="left" w:pos="1967"/>
        </w:tabs>
        <w:spacing w:before="120"/>
        <w:ind w:left="1967" w:hanging="359"/>
      </w:pPr>
      <w:r>
        <w:rPr>
          <w:u w:val="single"/>
        </w:rPr>
        <w:t>Surgical</w:t>
      </w:r>
      <w:r>
        <w:rPr>
          <w:spacing w:val="-7"/>
          <w:u w:val="single"/>
        </w:rPr>
        <w:t xml:space="preserve"> </w:t>
      </w:r>
      <w:r>
        <w:rPr>
          <w:u w:val="single"/>
        </w:rPr>
        <w:t>oncology</w:t>
      </w:r>
      <w:r>
        <w:t>:</w:t>
      </w:r>
      <w:r>
        <w:rPr>
          <w:spacing w:val="-6"/>
        </w:rPr>
        <w:t xml:space="preserve"> </w:t>
      </w:r>
      <w:r>
        <w:t>The</w:t>
      </w:r>
      <w:r>
        <w:rPr>
          <w:spacing w:val="-3"/>
        </w:rPr>
        <w:t xml:space="preserve"> </w:t>
      </w:r>
      <w:r>
        <w:t>use</w:t>
      </w:r>
      <w:r>
        <w:rPr>
          <w:spacing w:val="-6"/>
        </w:rPr>
        <w:t xml:space="preserve"> </w:t>
      </w:r>
      <w:r>
        <w:t>of</w:t>
      </w:r>
      <w:r>
        <w:rPr>
          <w:spacing w:val="-5"/>
        </w:rPr>
        <w:t xml:space="preserve"> </w:t>
      </w:r>
      <w:r>
        <w:t>surgery</w:t>
      </w:r>
      <w:r>
        <w:rPr>
          <w:spacing w:val="-4"/>
        </w:rPr>
        <w:t xml:space="preserve"> </w:t>
      </w:r>
      <w:r>
        <w:t>and</w:t>
      </w:r>
      <w:r>
        <w:rPr>
          <w:spacing w:val="-5"/>
        </w:rPr>
        <w:t xml:space="preserve"> </w:t>
      </w:r>
      <w:r>
        <w:t>other</w:t>
      </w:r>
      <w:r>
        <w:rPr>
          <w:spacing w:val="-5"/>
        </w:rPr>
        <w:t xml:space="preserve"> </w:t>
      </w:r>
      <w:r>
        <w:t>procedures</w:t>
      </w:r>
      <w:r>
        <w:rPr>
          <w:spacing w:val="-3"/>
        </w:rPr>
        <w:t xml:space="preserve"> </w:t>
      </w:r>
      <w:r>
        <w:t>to</w:t>
      </w:r>
      <w:r>
        <w:rPr>
          <w:spacing w:val="-3"/>
        </w:rPr>
        <w:t xml:space="preserve"> </w:t>
      </w:r>
      <w:r>
        <w:t>treat</w:t>
      </w:r>
      <w:r>
        <w:rPr>
          <w:spacing w:val="-4"/>
        </w:rPr>
        <w:t xml:space="preserve"> </w:t>
      </w:r>
      <w:r>
        <w:rPr>
          <w:spacing w:val="-2"/>
        </w:rPr>
        <w:t>cancer.</w:t>
      </w:r>
    </w:p>
    <w:p w14:paraId="1C34E59B" w14:textId="77777777" w:rsidR="004C558F" w:rsidRDefault="00461887">
      <w:pPr>
        <w:pStyle w:val="ListParagraph"/>
        <w:numPr>
          <w:ilvl w:val="0"/>
          <w:numId w:val="15"/>
        </w:numPr>
        <w:tabs>
          <w:tab w:val="left" w:pos="1967"/>
        </w:tabs>
        <w:spacing w:before="158"/>
        <w:ind w:left="1967" w:hanging="359"/>
      </w:pPr>
      <w:r>
        <w:rPr>
          <w:u w:val="single"/>
        </w:rPr>
        <w:t>Radiation</w:t>
      </w:r>
      <w:r>
        <w:rPr>
          <w:spacing w:val="-7"/>
          <w:u w:val="single"/>
        </w:rPr>
        <w:t xml:space="preserve"> </w:t>
      </w:r>
      <w:r>
        <w:rPr>
          <w:u w:val="single"/>
        </w:rPr>
        <w:t>oncology</w:t>
      </w:r>
      <w:r>
        <w:t>:</w:t>
      </w:r>
      <w:r>
        <w:rPr>
          <w:spacing w:val="-4"/>
        </w:rPr>
        <w:t xml:space="preserve"> </w:t>
      </w:r>
      <w:r>
        <w:t>The</w:t>
      </w:r>
      <w:r>
        <w:rPr>
          <w:spacing w:val="-4"/>
        </w:rPr>
        <w:t xml:space="preserve"> </w:t>
      </w:r>
      <w:r>
        <w:t>use</w:t>
      </w:r>
      <w:r>
        <w:rPr>
          <w:spacing w:val="-4"/>
        </w:rPr>
        <w:t xml:space="preserve"> </w:t>
      </w:r>
      <w:r>
        <w:t>of</w:t>
      </w:r>
      <w:r>
        <w:rPr>
          <w:spacing w:val="-3"/>
        </w:rPr>
        <w:t xml:space="preserve"> </w:t>
      </w:r>
      <w:r>
        <w:t>radiation</w:t>
      </w:r>
      <w:r>
        <w:rPr>
          <w:spacing w:val="-4"/>
        </w:rPr>
        <w:t xml:space="preserve"> </w:t>
      </w:r>
      <w:r>
        <w:t>therapy</w:t>
      </w:r>
      <w:r>
        <w:rPr>
          <w:spacing w:val="-5"/>
        </w:rPr>
        <w:t xml:space="preserve"> </w:t>
      </w:r>
      <w:r>
        <w:t>to</w:t>
      </w:r>
      <w:r>
        <w:rPr>
          <w:spacing w:val="-4"/>
        </w:rPr>
        <w:t xml:space="preserve"> </w:t>
      </w:r>
      <w:r>
        <w:t>treat</w:t>
      </w:r>
      <w:r>
        <w:rPr>
          <w:spacing w:val="-5"/>
        </w:rPr>
        <w:t xml:space="preserve"> </w:t>
      </w:r>
      <w:r>
        <w:rPr>
          <w:spacing w:val="-2"/>
        </w:rPr>
        <w:t>cancer.</w:t>
      </w:r>
    </w:p>
    <w:p w14:paraId="1C34E59C" w14:textId="77777777" w:rsidR="004C558F" w:rsidRDefault="00461887">
      <w:pPr>
        <w:pStyle w:val="ListParagraph"/>
        <w:numPr>
          <w:ilvl w:val="0"/>
          <w:numId w:val="15"/>
        </w:numPr>
        <w:tabs>
          <w:tab w:val="left" w:pos="1968"/>
        </w:tabs>
        <w:spacing w:before="157" w:line="276" w:lineRule="auto"/>
        <w:ind w:right="1384"/>
      </w:pPr>
      <w:r>
        <w:rPr>
          <w:u w:val="single"/>
        </w:rPr>
        <w:t>Pathology</w:t>
      </w:r>
      <w:r>
        <w:t>: The assessment of the nature and cause of disease as expressed by changes</w:t>
      </w:r>
      <w:r>
        <w:rPr>
          <w:spacing w:val="-3"/>
        </w:rPr>
        <w:t xml:space="preserve"> </w:t>
      </w:r>
      <w:r>
        <w:t>in</w:t>
      </w:r>
      <w:r>
        <w:rPr>
          <w:spacing w:val="-3"/>
        </w:rPr>
        <w:t xml:space="preserve"> </w:t>
      </w:r>
      <w:r>
        <w:t>cellular</w:t>
      </w:r>
      <w:r>
        <w:rPr>
          <w:spacing w:val="-4"/>
        </w:rPr>
        <w:t xml:space="preserve"> </w:t>
      </w:r>
      <w:r>
        <w:t>or</w:t>
      </w:r>
      <w:r>
        <w:rPr>
          <w:spacing w:val="-4"/>
        </w:rPr>
        <w:t xml:space="preserve"> </w:t>
      </w:r>
      <w:r>
        <w:t>tissue</w:t>
      </w:r>
      <w:r>
        <w:rPr>
          <w:spacing w:val="-3"/>
        </w:rPr>
        <w:t xml:space="preserve"> </w:t>
      </w:r>
      <w:r>
        <w:t>structure</w:t>
      </w:r>
      <w:r>
        <w:rPr>
          <w:spacing w:val="-3"/>
        </w:rPr>
        <w:t xml:space="preserve"> </w:t>
      </w:r>
      <w:r>
        <w:t>and</w:t>
      </w:r>
      <w:r>
        <w:rPr>
          <w:spacing w:val="-5"/>
        </w:rPr>
        <w:t xml:space="preserve"> </w:t>
      </w:r>
      <w:r>
        <w:t>function</w:t>
      </w:r>
      <w:r>
        <w:rPr>
          <w:spacing w:val="-5"/>
        </w:rPr>
        <w:t xml:space="preserve"> </w:t>
      </w:r>
      <w:r>
        <w:t>caused</w:t>
      </w:r>
      <w:r>
        <w:rPr>
          <w:spacing w:val="-2"/>
        </w:rPr>
        <w:t xml:space="preserve"> </w:t>
      </w:r>
      <w:r>
        <w:t>by</w:t>
      </w:r>
      <w:r>
        <w:rPr>
          <w:spacing w:val="-4"/>
        </w:rPr>
        <w:t xml:space="preserve"> </w:t>
      </w:r>
      <w:r>
        <w:t>the</w:t>
      </w:r>
      <w:r>
        <w:rPr>
          <w:spacing w:val="-5"/>
        </w:rPr>
        <w:t xml:space="preserve"> </w:t>
      </w:r>
      <w:r>
        <w:t>disease</w:t>
      </w:r>
      <w:r>
        <w:rPr>
          <w:spacing w:val="-3"/>
        </w:rPr>
        <w:t xml:space="preserve"> </w:t>
      </w:r>
      <w:r>
        <w:t>process.</w:t>
      </w:r>
    </w:p>
    <w:p w14:paraId="1C34E59D" w14:textId="77777777" w:rsidR="004C558F" w:rsidRDefault="00461887">
      <w:pPr>
        <w:pStyle w:val="ListParagraph"/>
        <w:numPr>
          <w:ilvl w:val="0"/>
          <w:numId w:val="15"/>
        </w:numPr>
        <w:tabs>
          <w:tab w:val="left" w:pos="1968"/>
        </w:tabs>
        <w:spacing w:before="119" w:line="276" w:lineRule="auto"/>
        <w:ind w:right="1834"/>
      </w:pPr>
      <w:r>
        <w:rPr>
          <w:u w:val="single"/>
        </w:rPr>
        <w:t>Diagnostic</w:t>
      </w:r>
      <w:r>
        <w:rPr>
          <w:spacing w:val="-3"/>
          <w:u w:val="single"/>
        </w:rPr>
        <w:t xml:space="preserve"> </w:t>
      </w:r>
      <w:r>
        <w:rPr>
          <w:u w:val="single"/>
        </w:rPr>
        <w:t>radiology</w:t>
      </w:r>
      <w:r>
        <w:t>:</w:t>
      </w:r>
      <w:r>
        <w:rPr>
          <w:spacing w:val="-6"/>
        </w:rPr>
        <w:t xml:space="preserve"> </w:t>
      </w:r>
      <w:r>
        <w:t>The</w:t>
      </w:r>
      <w:r>
        <w:rPr>
          <w:spacing w:val="-5"/>
        </w:rPr>
        <w:t xml:space="preserve"> </w:t>
      </w:r>
      <w:r>
        <w:t>use</w:t>
      </w:r>
      <w:r>
        <w:rPr>
          <w:spacing w:val="-5"/>
        </w:rPr>
        <w:t xml:space="preserve"> </w:t>
      </w:r>
      <w:r>
        <w:t>of</w:t>
      </w:r>
      <w:r>
        <w:rPr>
          <w:spacing w:val="-2"/>
        </w:rPr>
        <w:t xml:space="preserve"> </w:t>
      </w:r>
      <w:r>
        <w:t>radiology,</w:t>
      </w:r>
      <w:r>
        <w:rPr>
          <w:spacing w:val="-3"/>
        </w:rPr>
        <w:t xml:space="preserve"> </w:t>
      </w:r>
      <w:r>
        <w:t>including</w:t>
      </w:r>
      <w:r>
        <w:rPr>
          <w:spacing w:val="-6"/>
        </w:rPr>
        <w:t xml:space="preserve"> </w:t>
      </w:r>
      <w:r>
        <w:t>X-ray,</w:t>
      </w:r>
      <w:r>
        <w:rPr>
          <w:spacing w:val="-3"/>
        </w:rPr>
        <w:t xml:space="preserve"> </w:t>
      </w:r>
      <w:r>
        <w:t>CT,</w:t>
      </w:r>
      <w:r>
        <w:rPr>
          <w:spacing w:val="-3"/>
        </w:rPr>
        <w:t xml:space="preserve"> </w:t>
      </w:r>
      <w:r>
        <w:t>PET</w:t>
      </w:r>
      <w:r>
        <w:rPr>
          <w:spacing w:val="-2"/>
        </w:rPr>
        <w:t xml:space="preserve"> </w:t>
      </w:r>
      <w:r>
        <w:t>and</w:t>
      </w:r>
      <w:r>
        <w:rPr>
          <w:spacing w:val="-2"/>
        </w:rPr>
        <w:t xml:space="preserve"> </w:t>
      </w:r>
      <w:r>
        <w:t>SPECT, ultrasound, and MRI, to diagnose, stage, treat, and monitor cancer.</w:t>
      </w:r>
    </w:p>
    <w:p w14:paraId="1C34E59E" w14:textId="77777777" w:rsidR="004C558F" w:rsidRDefault="00461887">
      <w:pPr>
        <w:pStyle w:val="ListParagraph"/>
        <w:numPr>
          <w:ilvl w:val="0"/>
          <w:numId w:val="15"/>
        </w:numPr>
        <w:tabs>
          <w:tab w:val="left" w:pos="1968"/>
        </w:tabs>
        <w:spacing w:before="120" w:line="276" w:lineRule="auto"/>
        <w:ind w:right="1035"/>
      </w:pPr>
      <w:r>
        <w:rPr>
          <w:u w:val="single"/>
        </w:rPr>
        <w:t>Palliative care</w:t>
      </w:r>
      <w:r>
        <w:t>: Care given to improve the quality of life and help reduce pain in people who have a serious or life-threatening disease. The goal of palliative care is to prevent or</w:t>
      </w:r>
      <w:r>
        <w:rPr>
          <w:spacing w:val="-3"/>
        </w:rPr>
        <w:t xml:space="preserve"> </w:t>
      </w:r>
      <w:r>
        <w:t>treat,</w:t>
      </w:r>
      <w:r>
        <w:rPr>
          <w:spacing w:val="-2"/>
        </w:rPr>
        <w:t xml:space="preserve"> </w:t>
      </w:r>
      <w:r>
        <w:t>as</w:t>
      </w:r>
      <w:r>
        <w:rPr>
          <w:spacing w:val="-2"/>
        </w:rPr>
        <w:t xml:space="preserve"> </w:t>
      </w:r>
      <w:r>
        <w:t>early</w:t>
      </w:r>
      <w:r>
        <w:rPr>
          <w:spacing w:val="-5"/>
        </w:rPr>
        <w:t xml:space="preserve"> </w:t>
      </w:r>
      <w:r>
        <w:t>as</w:t>
      </w:r>
      <w:r>
        <w:rPr>
          <w:spacing w:val="-2"/>
        </w:rPr>
        <w:t xml:space="preserve"> </w:t>
      </w:r>
      <w:r>
        <w:t>possible,</w:t>
      </w:r>
      <w:r>
        <w:rPr>
          <w:spacing w:val="-2"/>
        </w:rPr>
        <w:t xml:space="preserve"> </w:t>
      </w:r>
      <w:r>
        <w:t>the</w:t>
      </w:r>
      <w:r>
        <w:rPr>
          <w:spacing w:val="-2"/>
        </w:rPr>
        <w:t xml:space="preserve"> </w:t>
      </w:r>
      <w:r>
        <w:t>symptoms</w:t>
      </w:r>
      <w:r>
        <w:rPr>
          <w:spacing w:val="-2"/>
        </w:rPr>
        <w:t xml:space="preserve"> </w:t>
      </w:r>
      <w:r>
        <w:t>of</w:t>
      </w:r>
      <w:r>
        <w:rPr>
          <w:spacing w:val="-1"/>
        </w:rPr>
        <w:t xml:space="preserve"> </w:t>
      </w:r>
      <w:r>
        <w:t>the</w:t>
      </w:r>
      <w:r>
        <w:rPr>
          <w:spacing w:val="-2"/>
        </w:rPr>
        <w:t xml:space="preserve"> </w:t>
      </w:r>
      <w:r>
        <w:t>disease</w:t>
      </w:r>
      <w:r>
        <w:rPr>
          <w:spacing w:val="-4"/>
        </w:rPr>
        <w:t xml:space="preserve"> </w:t>
      </w:r>
      <w:r>
        <w:t>and</w:t>
      </w:r>
      <w:r>
        <w:rPr>
          <w:spacing w:val="-1"/>
        </w:rPr>
        <w:t xml:space="preserve"> </w:t>
      </w:r>
      <w:r>
        <w:t>the</w:t>
      </w:r>
      <w:r>
        <w:rPr>
          <w:spacing w:val="-4"/>
        </w:rPr>
        <w:t xml:space="preserve"> </w:t>
      </w:r>
      <w:r>
        <w:t>side</w:t>
      </w:r>
      <w:r>
        <w:rPr>
          <w:spacing w:val="-2"/>
        </w:rPr>
        <w:t xml:space="preserve"> </w:t>
      </w:r>
      <w:r>
        <w:t>effects</w:t>
      </w:r>
      <w:r>
        <w:rPr>
          <w:spacing w:val="-4"/>
        </w:rPr>
        <w:t xml:space="preserve"> </w:t>
      </w:r>
      <w:r>
        <w:t>caused by treatment of the disease. It also attends to the psychological, social, and spiritual problems caused by the disease or its treatment. It may also include family and caregiver support. Palliative care may be given with other treatments from the time of diagnosis until the end of life.</w:t>
      </w:r>
    </w:p>
    <w:p w14:paraId="1C34E59F" w14:textId="77777777" w:rsidR="004C558F" w:rsidRDefault="00461887">
      <w:pPr>
        <w:pStyle w:val="ListParagraph"/>
        <w:numPr>
          <w:ilvl w:val="0"/>
          <w:numId w:val="15"/>
        </w:numPr>
        <w:tabs>
          <w:tab w:val="left" w:pos="1968"/>
        </w:tabs>
        <w:spacing w:before="121" w:line="276" w:lineRule="auto"/>
        <w:ind w:right="1057"/>
      </w:pPr>
      <w:r>
        <w:rPr>
          <w:u w:val="single"/>
        </w:rPr>
        <w:t>Related supportive services</w:t>
      </w:r>
      <w:r>
        <w:t>: Other common services provided to patients with cancer include</w:t>
      </w:r>
      <w:r>
        <w:rPr>
          <w:spacing w:val="-3"/>
        </w:rPr>
        <w:t xml:space="preserve"> </w:t>
      </w:r>
      <w:r>
        <w:t>nutritional</w:t>
      </w:r>
      <w:r>
        <w:rPr>
          <w:spacing w:val="-4"/>
        </w:rPr>
        <w:t xml:space="preserve"> </w:t>
      </w:r>
      <w:r>
        <w:t>counseling,</w:t>
      </w:r>
      <w:r>
        <w:rPr>
          <w:spacing w:val="-3"/>
        </w:rPr>
        <w:t xml:space="preserve"> </w:t>
      </w:r>
      <w:r>
        <w:t>behavioral</w:t>
      </w:r>
      <w:r>
        <w:rPr>
          <w:spacing w:val="-4"/>
        </w:rPr>
        <w:t xml:space="preserve"> </w:t>
      </w:r>
      <w:r>
        <w:t>health</w:t>
      </w:r>
      <w:r>
        <w:rPr>
          <w:spacing w:val="-5"/>
        </w:rPr>
        <w:t xml:space="preserve"> </w:t>
      </w:r>
      <w:r>
        <w:t>counseling,</w:t>
      </w:r>
      <w:r>
        <w:rPr>
          <w:spacing w:val="-6"/>
        </w:rPr>
        <w:t xml:space="preserve"> </w:t>
      </w:r>
      <w:r>
        <w:t>and</w:t>
      </w:r>
      <w:r>
        <w:rPr>
          <w:spacing w:val="-2"/>
        </w:rPr>
        <w:t xml:space="preserve"> </w:t>
      </w:r>
      <w:r>
        <w:t>social</w:t>
      </w:r>
      <w:r>
        <w:rPr>
          <w:spacing w:val="-4"/>
        </w:rPr>
        <w:t xml:space="preserve"> </w:t>
      </w:r>
      <w:r>
        <w:t>work</w:t>
      </w:r>
      <w:r>
        <w:rPr>
          <w:spacing w:val="-4"/>
        </w:rPr>
        <w:t xml:space="preserve"> </w:t>
      </w:r>
      <w:r>
        <w:t>supports.</w:t>
      </w:r>
    </w:p>
    <w:p w14:paraId="1C34E5A0" w14:textId="77777777" w:rsidR="004C558F" w:rsidRDefault="004C558F">
      <w:pPr>
        <w:pStyle w:val="BodyText"/>
        <w:spacing w:before="158"/>
      </w:pPr>
    </w:p>
    <w:p w14:paraId="1C34E5A1" w14:textId="77777777" w:rsidR="004C558F" w:rsidRDefault="00461887">
      <w:pPr>
        <w:pStyle w:val="BodyText"/>
        <w:spacing w:before="1" w:line="276" w:lineRule="auto"/>
        <w:ind w:left="1247" w:right="1290" w:firstLine="359"/>
      </w:pPr>
      <w:r>
        <w:t>Given</w:t>
      </w:r>
      <w:r>
        <w:rPr>
          <w:spacing w:val="-2"/>
        </w:rPr>
        <w:t xml:space="preserve"> </w:t>
      </w:r>
      <w:r>
        <w:t>the</w:t>
      </w:r>
      <w:r>
        <w:rPr>
          <w:spacing w:val="-2"/>
        </w:rPr>
        <w:t xml:space="preserve"> </w:t>
      </w:r>
      <w:r>
        <w:t>broad</w:t>
      </w:r>
      <w:r>
        <w:rPr>
          <w:spacing w:val="-1"/>
        </w:rPr>
        <w:t xml:space="preserve"> </w:t>
      </w:r>
      <w:r>
        <w:t>scope</w:t>
      </w:r>
      <w:r>
        <w:rPr>
          <w:spacing w:val="-4"/>
        </w:rPr>
        <w:t xml:space="preserve"> </w:t>
      </w:r>
      <w:r>
        <w:t>of</w:t>
      </w:r>
      <w:r>
        <w:rPr>
          <w:spacing w:val="-4"/>
        </w:rPr>
        <w:t xml:space="preserve"> </w:t>
      </w:r>
      <w:r>
        <w:t>services</w:t>
      </w:r>
      <w:r>
        <w:rPr>
          <w:spacing w:val="-2"/>
        </w:rPr>
        <w:t xml:space="preserve"> </w:t>
      </w:r>
      <w:r>
        <w:t>involved</w:t>
      </w:r>
      <w:r>
        <w:rPr>
          <w:spacing w:val="-1"/>
        </w:rPr>
        <w:t xml:space="preserve"> </w:t>
      </w:r>
      <w:r>
        <w:t>in</w:t>
      </w:r>
      <w:r>
        <w:rPr>
          <w:spacing w:val="-2"/>
        </w:rPr>
        <w:t xml:space="preserve"> </w:t>
      </w:r>
      <w:r>
        <w:t>cancer</w:t>
      </w:r>
      <w:r>
        <w:rPr>
          <w:spacing w:val="-3"/>
        </w:rPr>
        <w:t xml:space="preserve"> </w:t>
      </w:r>
      <w:r>
        <w:t>care,</w:t>
      </w:r>
      <w:r>
        <w:rPr>
          <w:spacing w:val="-2"/>
        </w:rPr>
        <w:t xml:space="preserve"> </w:t>
      </w:r>
      <w:r>
        <w:t>the</w:t>
      </w:r>
      <w:r>
        <w:rPr>
          <w:spacing w:val="-4"/>
        </w:rPr>
        <w:t xml:space="preserve"> </w:t>
      </w:r>
      <w:r>
        <w:t>HPC</w:t>
      </w:r>
      <w:r>
        <w:rPr>
          <w:spacing w:val="-3"/>
        </w:rPr>
        <w:t xml:space="preserve"> </w:t>
      </w:r>
      <w:r>
        <w:t>focused</w:t>
      </w:r>
      <w:r>
        <w:rPr>
          <w:spacing w:val="-4"/>
        </w:rPr>
        <w:t xml:space="preserve"> </w:t>
      </w:r>
      <w:r>
        <w:t>many</w:t>
      </w:r>
      <w:r>
        <w:rPr>
          <w:spacing w:val="-3"/>
        </w:rPr>
        <w:t xml:space="preserve"> </w:t>
      </w:r>
      <w:r>
        <w:t>of</w:t>
      </w:r>
      <w:r>
        <w:rPr>
          <w:spacing w:val="-1"/>
        </w:rPr>
        <w:t xml:space="preserve"> </w:t>
      </w:r>
      <w:r>
        <w:t>its analyses on specific subsets of services based on their relevance to the parties and the reliability of data relevant to that service in hospital discharge and payer claims data.</w:t>
      </w:r>
    </w:p>
    <w:p w14:paraId="1C34E5A2" w14:textId="77777777" w:rsidR="004C558F" w:rsidRDefault="004C558F">
      <w:pPr>
        <w:pStyle w:val="BodyText"/>
        <w:spacing w:before="36"/>
      </w:pPr>
    </w:p>
    <w:p w14:paraId="1C34E5A3" w14:textId="70B74F2F" w:rsidR="004C558F" w:rsidRDefault="00461887">
      <w:pPr>
        <w:pStyle w:val="BodyText"/>
        <w:spacing w:before="1" w:line="276" w:lineRule="auto"/>
        <w:ind w:left="1247" w:right="702" w:firstLine="359"/>
      </w:pPr>
      <w:r>
        <w:t>To define the scope of inpatient oncology services, the HPC used CHIA hospital inpatient discharge</w:t>
      </w:r>
      <w:r>
        <w:rPr>
          <w:spacing w:val="-4"/>
        </w:rPr>
        <w:t xml:space="preserve"> </w:t>
      </w:r>
      <w:r>
        <w:t>database</w:t>
      </w:r>
      <w:r>
        <w:rPr>
          <w:spacing w:val="-2"/>
        </w:rPr>
        <w:t xml:space="preserve"> </w:t>
      </w:r>
      <w:r>
        <w:t>(HDD)</w:t>
      </w:r>
      <w:r>
        <w:rPr>
          <w:spacing w:val="-5"/>
        </w:rPr>
        <w:t xml:space="preserve"> </w:t>
      </w:r>
      <w:r>
        <w:t>for</w:t>
      </w:r>
      <w:r>
        <w:rPr>
          <w:spacing w:val="-3"/>
        </w:rPr>
        <w:t xml:space="preserve"> </w:t>
      </w:r>
      <w:r>
        <w:t>2016</w:t>
      </w:r>
      <w:r>
        <w:rPr>
          <w:spacing w:val="-2"/>
        </w:rPr>
        <w:t xml:space="preserve"> </w:t>
      </w:r>
      <w:r>
        <w:t>through</w:t>
      </w:r>
      <w:r>
        <w:rPr>
          <w:spacing w:val="-2"/>
        </w:rPr>
        <w:t xml:space="preserve"> </w:t>
      </w:r>
      <w:r>
        <w:t>2023.</w:t>
      </w:r>
      <w:r>
        <w:rPr>
          <w:spacing w:val="-5"/>
        </w:rPr>
        <w:t xml:space="preserve"> </w:t>
      </w:r>
      <w:r>
        <w:t>The</w:t>
      </w:r>
      <w:r>
        <w:rPr>
          <w:spacing w:val="-2"/>
        </w:rPr>
        <w:t xml:space="preserve"> </w:t>
      </w:r>
      <w:r>
        <w:t>HPC</w:t>
      </w:r>
      <w:r>
        <w:rPr>
          <w:spacing w:val="-3"/>
        </w:rPr>
        <w:t xml:space="preserve"> </w:t>
      </w:r>
      <w:r>
        <w:t>used</w:t>
      </w:r>
      <w:r>
        <w:rPr>
          <w:spacing w:val="-4"/>
        </w:rPr>
        <w:t xml:space="preserve"> </w:t>
      </w:r>
      <w:r>
        <w:t>a</w:t>
      </w:r>
      <w:r>
        <w:rPr>
          <w:spacing w:val="-4"/>
        </w:rPr>
        <w:t xml:space="preserve"> </w:t>
      </w:r>
      <w:r>
        <w:t>set</w:t>
      </w:r>
      <w:r>
        <w:rPr>
          <w:spacing w:val="-3"/>
        </w:rPr>
        <w:t xml:space="preserve"> </w:t>
      </w:r>
      <w:r>
        <w:t>of</w:t>
      </w:r>
      <w:r>
        <w:rPr>
          <w:spacing w:val="-1"/>
        </w:rPr>
        <w:t xml:space="preserve"> </w:t>
      </w:r>
      <w:r>
        <w:t>diagnoses</w:t>
      </w:r>
      <w:r>
        <w:rPr>
          <w:spacing w:val="-2"/>
        </w:rPr>
        <w:t xml:space="preserve"> </w:t>
      </w:r>
      <w:r>
        <w:t>related</w:t>
      </w:r>
      <w:r>
        <w:rPr>
          <w:spacing w:val="-1"/>
        </w:rPr>
        <w:t xml:space="preserve"> </w:t>
      </w:r>
      <w:r>
        <w:t xml:space="preserve">to cancer using codes in the International Classification of Diseases, Tenth Revision (ICD-10), as defined by DFCI for analyses in its </w:t>
      </w:r>
      <w:proofErr w:type="spellStart"/>
      <w:r>
        <w:t>DoN</w:t>
      </w:r>
      <w:proofErr w:type="spellEnd"/>
      <w:r>
        <w:t xml:space="preserve"> application.</w:t>
      </w:r>
      <w:r w:rsidR="002F6244">
        <w:rPr>
          <w:rStyle w:val="FootnoteReference"/>
        </w:rPr>
        <w:footnoteReference w:id="27"/>
      </w:r>
      <w:r>
        <w:rPr>
          <w:spacing w:val="30"/>
          <w:position w:val="5"/>
          <w:sz w:val="14"/>
        </w:rPr>
        <w:t xml:space="preserve"> </w:t>
      </w:r>
      <w:r>
        <w:t>With the assistance of clinical expert consultants, the HPC then categorized inpatient MS-DRGs into three classifications:</w:t>
      </w:r>
    </w:p>
    <w:p w14:paraId="1C34E5A4" w14:textId="77777777" w:rsidR="004C558F" w:rsidRDefault="004C558F">
      <w:pPr>
        <w:pStyle w:val="BodyText"/>
        <w:rPr>
          <w:sz w:val="20"/>
        </w:rPr>
      </w:pPr>
    </w:p>
    <w:p w14:paraId="1C34E5A5" w14:textId="77777777" w:rsidR="004C558F" w:rsidRDefault="004C558F">
      <w:pPr>
        <w:pStyle w:val="BodyText"/>
        <w:rPr>
          <w:sz w:val="20"/>
        </w:rPr>
      </w:pPr>
    </w:p>
    <w:p w14:paraId="1C34E5A8" w14:textId="77777777" w:rsidR="004C558F" w:rsidRDefault="004C558F">
      <w:pPr>
        <w:rPr>
          <w:sz w:val="20"/>
        </w:rPr>
        <w:sectPr w:rsidR="004C558F">
          <w:pgSz w:w="12240" w:h="15840"/>
          <w:pgMar w:top="980" w:right="740" w:bottom="720" w:left="480" w:header="0" w:footer="521" w:gutter="0"/>
          <w:cols w:space="720"/>
        </w:sectPr>
      </w:pPr>
    </w:p>
    <w:p w14:paraId="1C34E5A9" w14:textId="77777777" w:rsidR="004C558F" w:rsidRDefault="004C558F">
      <w:pPr>
        <w:pStyle w:val="BodyText"/>
        <w:spacing w:before="210"/>
      </w:pPr>
    </w:p>
    <w:p w14:paraId="1C34E5AA" w14:textId="25E000F2" w:rsidR="004C558F" w:rsidRDefault="00461887">
      <w:pPr>
        <w:pStyle w:val="ListParagraph"/>
        <w:numPr>
          <w:ilvl w:val="2"/>
          <w:numId w:val="16"/>
        </w:numPr>
        <w:tabs>
          <w:tab w:val="left" w:pos="1967"/>
        </w:tabs>
        <w:spacing w:line="276" w:lineRule="auto"/>
        <w:ind w:right="1078"/>
      </w:pPr>
      <w:r>
        <w:t>Those</w:t>
      </w:r>
      <w:r>
        <w:rPr>
          <w:spacing w:val="-3"/>
        </w:rPr>
        <w:t xml:space="preserve"> </w:t>
      </w:r>
      <w:r>
        <w:t>which</w:t>
      </w:r>
      <w:r>
        <w:rPr>
          <w:spacing w:val="-3"/>
        </w:rPr>
        <w:t xml:space="preserve"> </w:t>
      </w:r>
      <w:r>
        <w:t>should</w:t>
      </w:r>
      <w:r>
        <w:rPr>
          <w:spacing w:val="-5"/>
        </w:rPr>
        <w:t xml:space="preserve"> </w:t>
      </w:r>
      <w:r>
        <w:t>always</w:t>
      </w:r>
      <w:r>
        <w:rPr>
          <w:spacing w:val="-3"/>
        </w:rPr>
        <w:t xml:space="preserve"> </w:t>
      </w:r>
      <w:r>
        <w:t>be</w:t>
      </w:r>
      <w:r>
        <w:rPr>
          <w:spacing w:val="-3"/>
        </w:rPr>
        <w:t xml:space="preserve"> </w:t>
      </w:r>
      <w:r>
        <w:t>considered</w:t>
      </w:r>
      <w:r>
        <w:rPr>
          <w:spacing w:val="-2"/>
        </w:rPr>
        <w:t xml:space="preserve"> </w:t>
      </w:r>
      <w:r>
        <w:t>oncology</w:t>
      </w:r>
      <w:r>
        <w:rPr>
          <w:spacing w:val="-6"/>
        </w:rPr>
        <w:t xml:space="preserve"> </w:t>
      </w:r>
      <w:r>
        <w:t>care</w:t>
      </w:r>
      <w:r>
        <w:rPr>
          <w:spacing w:val="-3"/>
        </w:rPr>
        <w:t xml:space="preserve"> </w:t>
      </w:r>
      <w:r>
        <w:t>regardless</w:t>
      </w:r>
      <w:r>
        <w:rPr>
          <w:spacing w:val="-5"/>
        </w:rPr>
        <w:t xml:space="preserve"> </w:t>
      </w:r>
      <w:r>
        <w:t>of</w:t>
      </w:r>
      <w:r>
        <w:rPr>
          <w:spacing w:val="-2"/>
        </w:rPr>
        <w:t xml:space="preserve"> </w:t>
      </w:r>
      <w:r>
        <w:t>the</w:t>
      </w:r>
      <w:r>
        <w:rPr>
          <w:spacing w:val="-3"/>
        </w:rPr>
        <w:t xml:space="preserve"> </w:t>
      </w:r>
      <w:r>
        <w:t>presence</w:t>
      </w:r>
      <w:r>
        <w:rPr>
          <w:spacing w:val="-3"/>
        </w:rPr>
        <w:t xml:space="preserve"> </w:t>
      </w:r>
      <w:r>
        <w:t>of an oncology ICD code (e.g., bone marrow transplants, malignancy-specific DRGs</w:t>
      </w:r>
      <w:proofErr w:type="gramStart"/>
      <w:r>
        <w:t>);</w:t>
      </w:r>
      <w:proofErr w:type="gramEnd"/>
    </w:p>
    <w:p w14:paraId="1C34E5AB" w14:textId="77777777" w:rsidR="004C558F" w:rsidRDefault="00461887">
      <w:pPr>
        <w:pStyle w:val="ListParagraph"/>
        <w:numPr>
          <w:ilvl w:val="2"/>
          <w:numId w:val="16"/>
        </w:numPr>
        <w:tabs>
          <w:tab w:val="left" w:pos="1967"/>
        </w:tabs>
        <w:spacing w:before="120" w:line="276" w:lineRule="auto"/>
        <w:ind w:right="1368"/>
      </w:pPr>
      <w:r>
        <w:t>those</w:t>
      </w:r>
      <w:r>
        <w:rPr>
          <w:spacing w:val="-5"/>
        </w:rPr>
        <w:t xml:space="preserve"> </w:t>
      </w:r>
      <w:r>
        <w:t>which</w:t>
      </w:r>
      <w:r>
        <w:rPr>
          <w:spacing w:val="-3"/>
        </w:rPr>
        <w:t xml:space="preserve"> </w:t>
      </w:r>
      <w:r>
        <w:t>should</w:t>
      </w:r>
      <w:r>
        <w:rPr>
          <w:spacing w:val="-2"/>
        </w:rPr>
        <w:t xml:space="preserve"> </w:t>
      </w:r>
      <w:r>
        <w:t>be</w:t>
      </w:r>
      <w:r>
        <w:rPr>
          <w:spacing w:val="-5"/>
        </w:rPr>
        <w:t xml:space="preserve"> </w:t>
      </w:r>
      <w:r>
        <w:t>assumed</w:t>
      </w:r>
      <w:r>
        <w:rPr>
          <w:spacing w:val="-2"/>
        </w:rPr>
        <w:t xml:space="preserve"> </w:t>
      </w:r>
      <w:r>
        <w:t>to</w:t>
      </w:r>
      <w:r>
        <w:rPr>
          <w:spacing w:val="-3"/>
        </w:rPr>
        <w:t xml:space="preserve"> </w:t>
      </w:r>
      <w:r>
        <w:t>be</w:t>
      </w:r>
      <w:r>
        <w:rPr>
          <w:spacing w:val="-3"/>
        </w:rPr>
        <w:t xml:space="preserve"> </w:t>
      </w:r>
      <w:r>
        <w:t>cancer-related</w:t>
      </w:r>
      <w:r>
        <w:rPr>
          <w:spacing w:val="-5"/>
        </w:rPr>
        <w:t xml:space="preserve"> </w:t>
      </w:r>
      <w:r>
        <w:t>if</w:t>
      </w:r>
      <w:r>
        <w:rPr>
          <w:spacing w:val="-2"/>
        </w:rPr>
        <w:t xml:space="preserve"> </w:t>
      </w:r>
      <w:r>
        <w:t>the</w:t>
      </w:r>
      <w:r>
        <w:rPr>
          <w:spacing w:val="-3"/>
        </w:rPr>
        <w:t xml:space="preserve"> </w:t>
      </w:r>
      <w:r>
        <w:t>HDD</w:t>
      </w:r>
      <w:r>
        <w:rPr>
          <w:spacing w:val="-2"/>
        </w:rPr>
        <w:t xml:space="preserve"> </w:t>
      </w:r>
      <w:r>
        <w:t>record</w:t>
      </w:r>
      <w:r>
        <w:rPr>
          <w:spacing w:val="-2"/>
        </w:rPr>
        <w:t xml:space="preserve"> </w:t>
      </w:r>
      <w:r>
        <w:t>includes</w:t>
      </w:r>
      <w:r>
        <w:rPr>
          <w:spacing w:val="-3"/>
        </w:rPr>
        <w:t xml:space="preserve"> </w:t>
      </w:r>
      <w:r>
        <w:t>an oncology ICD code (e.g., many surgical procedures, septicemia and other major infections that may result from oncology-related immunosuppression); and</w:t>
      </w:r>
    </w:p>
    <w:p w14:paraId="1C34E5AC" w14:textId="77777777" w:rsidR="004C558F" w:rsidRDefault="00461887">
      <w:pPr>
        <w:pStyle w:val="ListParagraph"/>
        <w:numPr>
          <w:ilvl w:val="2"/>
          <w:numId w:val="16"/>
        </w:numPr>
        <w:tabs>
          <w:tab w:val="left" w:pos="1967"/>
        </w:tabs>
        <w:spacing w:before="121" w:line="273" w:lineRule="auto"/>
        <w:ind w:right="1220"/>
      </w:pPr>
      <w:r>
        <w:t>those</w:t>
      </w:r>
      <w:r>
        <w:rPr>
          <w:spacing w:val="-4"/>
        </w:rPr>
        <w:t xml:space="preserve"> </w:t>
      </w:r>
      <w:r>
        <w:t>which</w:t>
      </w:r>
      <w:r>
        <w:rPr>
          <w:spacing w:val="-2"/>
        </w:rPr>
        <w:t xml:space="preserve"> </w:t>
      </w:r>
      <w:r>
        <w:t>should</w:t>
      </w:r>
      <w:r>
        <w:rPr>
          <w:spacing w:val="-4"/>
        </w:rPr>
        <w:t xml:space="preserve"> </w:t>
      </w:r>
      <w:r>
        <w:t>never</w:t>
      </w:r>
      <w:r>
        <w:rPr>
          <w:spacing w:val="-5"/>
        </w:rPr>
        <w:t xml:space="preserve"> </w:t>
      </w:r>
      <w:r>
        <w:t>be</w:t>
      </w:r>
      <w:r>
        <w:rPr>
          <w:spacing w:val="-2"/>
        </w:rPr>
        <w:t xml:space="preserve"> </w:t>
      </w:r>
      <w:proofErr w:type="gramStart"/>
      <w:r>
        <w:t>considered</w:t>
      </w:r>
      <w:r>
        <w:rPr>
          <w:spacing w:val="-4"/>
        </w:rPr>
        <w:t xml:space="preserve"> </w:t>
      </w:r>
      <w:r>
        <w:t>oncology</w:t>
      </w:r>
      <w:proofErr w:type="gramEnd"/>
      <w:r>
        <w:rPr>
          <w:spacing w:val="-3"/>
        </w:rPr>
        <w:t xml:space="preserve"> </w:t>
      </w:r>
      <w:r>
        <w:t>care</w:t>
      </w:r>
      <w:r>
        <w:rPr>
          <w:spacing w:val="-2"/>
        </w:rPr>
        <w:t xml:space="preserve"> </w:t>
      </w:r>
      <w:r>
        <w:t>regardless</w:t>
      </w:r>
      <w:r>
        <w:rPr>
          <w:spacing w:val="-2"/>
        </w:rPr>
        <w:t xml:space="preserve"> </w:t>
      </w:r>
      <w:r>
        <w:t>of</w:t>
      </w:r>
      <w:r>
        <w:rPr>
          <w:spacing w:val="-1"/>
        </w:rPr>
        <w:t xml:space="preserve"> </w:t>
      </w:r>
      <w:r>
        <w:t>the</w:t>
      </w:r>
      <w:r>
        <w:rPr>
          <w:spacing w:val="-4"/>
        </w:rPr>
        <w:t xml:space="preserve"> </w:t>
      </w:r>
      <w:r>
        <w:t>presence</w:t>
      </w:r>
      <w:r>
        <w:rPr>
          <w:spacing w:val="-4"/>
        </w:rPr>
        <w:t xml:space="preserve"> </w:t>
      </w:r>
      <w:r>
        <w:t>of an oncology ICD code (e.g., traumas, heart attack, labor and delivery).</w:t>
      </w:r>
    </w:p>
    <w:p w14:paraId="1C34E5AD" w14:textId="77777777" w:rsidR="004C558F" w:rsidRDefault="004C558F">
      <w:pPr>
        <w:pStyle w:val="BodyText"/>
        <w:spacing w:before="161"/>
      </w:pPr>
    </w:p>
    <w:p w14:paraId="1C34E5AE" w14:textId="0AFBD295" w:rsidR="004C558F" w:rsidRDefault="00461887">
      <w:pPr>
        <w:pStyle w:val="BodyText"/>
        <w:spacing w:line="276" w:lineRule="auto"/>
        <w:ind w:left="1247" w:right="1034" w:firstLine="359"/>
        <w:rPr>
          <w:sz w:val="14"/>
        </w:rPr>
      </w:pPr>
      <w:r>
        <w:t>The HPC considered a discharge to be an oncology discharge in-scope for this review if it fell into either of the first two categories. Although the inclusion of discharges in the second category</w:t>
      </w:r>
      <w:r>
        <w:rPr>
          <w:spacing w:val="-3"/>
        </w:rPr>
        <w:t xml:space="preserve"> </w:t>
      </w:r>
      <w:r>
        <w:t>likely</w:t>
      </w:r>
      <w:r>
        <w:rPr>
          <w:spacing w:val="-3"/>
        </w:rPr>
        <w:t xml:space="preserve"> </w:t>
      </w:r>
      <w:r>
        <w:t>results</w:t>
      </w:r>
      <w:r>
        <w:rPr>
          <w:spacing w:val="-3"/>
        </w:rPr>
        <w:t xml:space="preserve"> </w:t>
      </w:r>
      <w:r>
        <w:t>in</w:t>
      </w:r>
      <w:r>
        <w:rPr>
          <w:spacing w:val="-3"/>
        </w:rPr>
        <w:t xml:space="preserve"> </w:t>
      </w:r>
      <w:r>
        <w:t>some</w:t>
      </w:r>
      <w:r>
        <w:rPr>
          <w:spacing w:val="-3"/>
        </w:rPr>
        <w:t xml:space="preserve"> </w:t>
      </w:r>
      <w:r>
        <w:t>overcounting</w:t>
      </w:r>
      <w:r>
        <w:rPr>
          <w:spacing w:val="-3"/>
        </w:rPr>
        <w:t xml:space="preserve"> </w:t>
      </w:r>
      <w:r>
        <w:t>(i.e.,</w:t>
      </w:r>
      <w:r>
        <w:rPr>
          <w:spacing w:val="-3"/>
        </w:rPr>
        <w:t xml:space="preserve"> </w:t>
      </w:r>
      <w:r>
        <w:t>patients</w:t>
      </w:r>
      <w:r>
        <w:rPr>
          <w:spacing w:val="-3"/>
        </w:rPr>
        <w:t xml:space="preserve"> </w:t>
      </w:r>
      <w:r>
        <w:t>with</w:t>
      </w:r>
      <w:r>
        <w:rPr>
          <w:spacing w:val="-4"/>
        </w:rPr>
        <w:t xml:space="preserve"> </w:t>
      </w:r>
      <w:r>
        <w:t>a</w:t>
      </w:r>
      <w:r>
        <w:rPr>
          <w:spacing w:val="-2"/>
        </w:rPr>
        <w:t xml:space="preserve"> </w:t>
      </w:r>
      <w:r>
        <w:t>cancer</w:t>
      </w:r>
      <w:r>
        <w:rPr>
          <w:spacing w:val="-5"/>
        </w:rPr>
        <w:t xml:space="preserve"> </w:t>
      </w:r>
      <w:r>
        <w:t>diagnosis</w:t>
      </w:r>
      <w:r>
        <w:rPr>
          <w:spacing w:val="-3"/>
        </w:rPr>
        <w:t xml:space="preserve"> </w:t>
      </w:r>
      <w:r>
        <w:t>who</w:t>
      </w:r>
      <w:r>
        <w:rPr>
          <w:spacing w:val="-4"/>
        </w:rPr>
        <w:t xml:space="preserve"> </w:t>
      </w:r>
      <w:r>
        <w:t xml:space="preserve">happen to be admitted for a reason wholly unrelated to their disease), its inclusion is essential to capture the full scope of oncology services provided by the parties, and this approach largely aligns with the definition of inpatient oncology care provided by DFCI to support its </w:t>
      </w:r>
      <w:proofErr w:type="spellStart"/>
      <w:r>
        <w:t>DoN</w:t>
      </w:r>
      <w:proofErr w:type="spellEnd"/>
      <w:r>
        <w:t xml:space="preserve"> application</w:t>
      </w:r>
      <w:bookmarkStart w:id="34" w:name="_bookmark36"/>
      <w:bookmarkEnd w:id="34"/>
      <w:r>
        <w:t>.</w:t>
      </w:r>
      <w:r>
        <w:rPr>
          <w:spacing w:val="-32"/>
        </w:rPr>
        <w:t xml:space="preserve"> </w:t>
      </w:r>
      <w:r w:rsidR="00054E82">
        <w:rPr>
          <w:rStyle w:val="FootnoteReference"/>
          <w:spacing w:val="-32"/>
        </w:rPr>
        <w:footnoteReference w:id="28"/>
      </w:r>
      <w:r>
        <w:t>For some analyses, the HPC further distinguished oncology discharges as medical or surgical using CMS classifications</w:t>
      </w:r>
      <w:r w:rsidR="00054E82">
        <w:rPr>
          <w:rStyle w:val="FootnoteReference"/>
        </w:rPr>
        <w:footnoteReference w:id="29"/>
      </w:r>
      <w:r>
        <w:rPr>
          <w:spacing w:val="36"/>
          <w:position w:val="5"/>
          <w:sz w:val="14"/>
        </w:rPr>
        <w:t xml:space="preserve"> </w:t>
      </w:r>
      <w:r>
        <w:t>because DFCI generally provides medical oncology services only.</w:t>
      </w:r>
      <w:r>
        <w:rPr>
          <w:spacing w:val="-33"/>
        </w:rPr>
        <w:t xml:space="preserve"> </w:t>
      </w:r>
      <w:r w:rsidR="00594602">
        <w:rPr>
          <w:rStyle w:val="FootnoteReference"/>
          <w:spacing w:val="-33"/>
        </w:rPr>
        <w:footnoteReference w:id="30"/>
      </w:r>
      <w:r>
        <w:t>The definition of inpatient oncology care used in the Independent Cost Analysis of DFCI’s proposed new hospital appears to differ from that used by the HPC: Although the ICA uses the same set of ICD-10 codes to identify oncology patients, it does not describe</w:t>
      </w:r>
      <w:r>
        <w:rPr>
          <w:spacing w:val="-1"/>
        </w:rPr>
        <w:t xml:space="preserve"> </w:t>
      </w:r>
      <w:r>
        <w:t>an</w:t>
      </w:r>
      <w:r>
        <w:rPr>
          <w:spacing w:val="-3"/>
        </w:rPr>
        <w:t xml:space="preserve"> </w:t>
      </w:r>
      <w:r>
        <w:t>exclusion</w:t>
      </w:r>
      <w:r>
        <w:rPr>
          <w:spacing w:val="-1"/>
        </w:rPr>
        <w:t xml:space="preserve"> </w:t>
      </w:r>
      <w:r>
        <w:t>of non-oncology</w:t>
      </w:r>
      <w:r>
        <w:rPr>
          <w:spacing w:val="-2"/>
        </w:rPr>
        <w:t xml:space="preserve"> </w:t>
      </w:r>
      <w:r>
        <w:t>inpatient</w:t>
      </w:r>
      <w:r>
        <w:rPr>
          <w:spacing w:val="-2"/>
        </w:rPr>
        <w:t xml:space="preserve"> </w:t>
      </w:r>
      <w:r>
        <w:t>care</w:t>
      </w:r>
      <w:r>
        <w:rPr>
          <w:spacing w:val="-3"/>
        </w:rPr>
        <w:t xml:space="preserve"> </w:t>
      </w:r>
      <w:proofErr w:type="gramStart"/>
      <w:r>
        <w:t>similar</w:t>
      </w:r>
      <w:r>
        <w:rPr>
          <w:spacing w:val="-2"/>
        </w:rPr>
        <w:t xml:space="preserve"> </w:t>
      </w:r>
      <w:r>
        <w:t>to</w:t>
      </w:r>
      <w:proofErr w:type="gramEnd"/>
      <w:r>
        <w:rPr>
          <w:spacing w:val="-1"/>
        </w:rPr>
        <w:t xml:space="preserve"> </w:t>
      </w:r>
      <w:r>
        <w:t>the</w:t>
      </w:r>
      <w:r>
        <w:rPr>
          <w:spacing w:val="-1"/>
        </w:rPr>
        <w:t xml:space="preserve"> </w:t>
      </w:r>
      <w:r>
        <w:t>HPC’s</w:t>
      </w:r>
      <w:r>
        <w:rPr>
          <w:spacing w:val="-1"/>
        </w:rPr>
        <w:t xml:space="preserve"> </w:t>
      </w:r>
      <w:r>
        <w:t>third</w:t>
      </w:r>
      <w:r>
        <w:rPr>
          <w:spacing w:val="-3"/>
        </w:rPr>
        <w:t xml:space="preserve"> </w:t>
      </w:r>
      <w:r>
        <w:t>category</w:t>
      </w:r>
      <w:r>
        <w:rPr>
          <w:spacing w:val="-2"/>
        </w:rPr>
        <w:t xml:space="preserve"> </w:t>
      </w:r>
      <w:r>
        <w:t>of</w:t>
      </w:r>
      <w:r>
        <w:rPr>
          <w:spacing w:val="-3"/>
        </w:rPr>
        <w:t xml:space="preserve"> </w:t>
      </w:r>
      <w:r>
        <w:t>MS- DRGs above.</w:t>
      </w:r>
      <w:r>
        <w:rPr>
          <w:spacing w:val="-33"/>
        </w:rPr>
        <w:t xml:space="preserve"> </w:t>
      </w:r>
      <w:r w:rsidR="00906438">
        <w:rPr>
          <w:rStyle w:val="FootnoteReference"/>
          <w:spacing w:val="-33"/>
        </w:rPr>
        <w:footnoteReference w:id="31"/>
      </w:r>
      <w:r>
        <w:t xml:space="preserve">The ICA also distinguishes medical and surgical care by ICD-10 procedure codes rather than MS-DRGs, and in many results </w:t>
      </w:r>
      <w:proofErr w:type="gramStart"/>
      <w:r>
        <w:t>does</w:t>
      </w:r>
      <w:proofErr w:type="gramEnd"/>
      <w:r>
        <w:t xml:space="preserve"> not distinguish between medical and surgical discharges. The ICA’s more inclusive approach leads the ICA to include substantially higher numbers of discharges as relevant oncology care compared to the HPC’s approach.</w:t>
      </w:r>
      <w:r>
        <w:rPr>
          <w:spacing w:val="-33"/>
        </w:rPr>
        <w:t xml:space="preserve"> </w:t>
      </w:r>
      <w:r w:rsidR="00C029B5">
        <w:rPr>
          <w:rStyle w:val="FootnoteReference"/>
          <w:spacing w:val="-33"/>
        </w:rPr>
        <w:footnoteReference w:id="32"/>
      </w:r>
    </w:p>
    <w:p w14:paraId="1C34E5AF" w14:textId="77777777" w:rsidR="004C558F" w:rsidRDefault="004C558F">
      <w:pPr>
        <w:pStyle w:val="BodyText"/>
        <w:spacing w:before="45"/>
        <w:rPr>
          <w:sz w:val="20"/>
        </w:rPr>
      </w:pPr>
    </w:p>
    <w:p w14:paraId="1C34E5B6" w14:textId="77777777" w:rsidR="004C558F" w:rsidRDefault="004C558F">
      <w:pPr>
        <w:rPr>
          <w:sz w:val="20"/>
        </w:rPr>
        <w:sectPr w:rsidR="004C558F">
          <w:pgSz w:w="12240" w:h="15840"/>
          <w:pgMar w:top="980" w:right="740" w:bottom="720" w:left="480" w:header="0" w:footer="521" w:gutter="0"/>
          <w:cols w:space="720"/>
        </w:sectPr>
      </w:pPr>
      <w:bookmarkStart w:id="35" w:name="_bookmark37"/>
      <w:bookmarkStart w:id="36" w:name="_bookmark40"/>
      <w:bookmarkStart w:id="37" w:name="II._Overview_of_the_Parties_and_the_Tran"/>
      <w:bookmarkStart w:id="38" w:name="_bookmark42"/>
      <w:bookmarkEnd w:id="35"/>
      <w:bookmarkEnd w:id="36"/>
      <w:bookmarkEnd w:id="37"/>
      <w:bookmarkEnd w:id="38"/>
    </w:p>
    <w:p w14:paraId="1C34E5B7" w14:textId="77777777" w:rsidR="004C558F" w:rsidRDefault="00461887">
      <w:pPr>
        <w:pStyle w:val="Heading1"/>
        <w:numPr>
          <w:ilvl w:val="0"/>
          <w:numId w:val="16"/>
        </w:numPr>
        <w:tabs>
          <w:tab w:val="left" w:pos="959"/>
        </w:tabs>
        <w:ind w:left="959" w:hanging="628"/>
        <w:jc w:val="left"/>
      </w:pPr>
      <w:r>
        <w:rPr>
          <w:color w:val="084875"/>
        </w:rPr>
        <w:lastRenderedPageBreak/>
        <w:t>OVERVIEW</w:t>
      </w:r>
      <w:r>
        <w:rPr>
          <w:color w:val="084875"/>
          <w:spacing w:val="-7"/>
        </w:rPr>
        <w:t xml:space="preserve"> </w:t>
      </w:r>
      <w:r>
        <w:rPr>
          <w:color w:val="084875"/>
        </w:rPr>
        <w:t>OF</w:t>
      </w:r>
      <w:r>
        <w:rPr>
          <w:color w:val="084875"/>
          <w:spacing w:val="-8"/>
        </w:rPr>
        <w:t xml:space="preserve"> </w:t>
      </w:r>
      <w:r>
        <w:rPr>
          <w:color w:val="084875"/>
        </w:rPr>
        <w:t>THE</w:t>
      </w:r>
      <w:r>
        <w:rPr>
          <w:color w:val="084875"/>
          <w:spacing w:val="-9"/>
        </w:rPr>
        <w:t xml:space="preserve"> </w:t>
      </w:r>
      <w:r>
        <w:rPr>
          <w:color w:val="084875"/>
        </w:rPr>
        <w:t>PARTIES</w:t>
      </w:r>
      <w:r>
        <w:rPr>
          <w:color w:val="084875"/>
          <w:spacing w:val="-9"/>
        </w:rPr>
        <w:t xml:space="preserve"> </w:t>
      </w:r>
      <w:r>
        <w:rPr>
          <w:color w:val="084875"/>
        </w:rPr>
        <w:t>AND</w:t>
      </w:r>
      <w:r>
        <w:rPr>
          <w:color w:val="084875"/>
          <w:spacing w:val="-9"/>
        </w:rPr>
        <w:t xml:space="preserve"> </w:t>
      </w:r>
      <w:r>
        <w:rPr>
          <w:color w:val="084875"/>
        </w:rPr>
        <w:t>THE</w:t>
      </w:r>
      <w:r>
        <w:rPr>
          <w:color w:val="084875"/>
          <w:spacing w:val="-9"/>
        </w:rPr>
        <w:t xml:space="preserve"> </w:t>
      </w:r>
      <w:r>
        <w:rPr>
          <w:color w:val="084875"/>
          <w:spacing w:val="-2"/>
        </w:rPr>
        <w:t>TRANSACTION</w:t>
      </w:r>
    </w:p>
    <w:p w14:paraId="1C34E5B8" w14:textId="77777777" w:rsidR="004C558F" w:rsidRDefault="004C558F">
      <w:pPr>
        <w:pStyle w:val="BodyText"/>
        <w:spacing w:before="60"/>
        <w:rPr>
          <w:rFonts w:ascii="Franklin Gothic Demi"/>
          <w:b/>
          <w:sz w:val="32"/>
        </w:rPr>
      </w:pPr>
    </w:p>
    <w:p w14:paraId="1C34E5B9" w14:textId="029BA65D" w:rsidR="004C558F" w:rsidRDefault="00461887">
      <w:pPr>
        <w:pStyle w:val="BodyText"/>
        <w:spacing w:line="276" w:lineRule="auto"/>
        <w:ind w:left="959" w:right="1034" w:firstLine="720"/>
        <w:rPr>
          <w:sz w:val="14"/>
        </w:rPr>
      </w:pPr>
      <w:r>
        <w:t>On October 24, 2023, Dana-Farber Cancer Institute (DFCI), Beth Israel Deaconess Medical Center (BIDMC), and Harvard Medical Faculty Physicians at Beth Israel Deaconess Medical Center (HMFP) (collectively “the parties”) filed Notices of Material Change (MCNs) with the</w:t>
      </w:r>
      <w:r>
        <w:rPr>
          <w:spacing w:val="-1"/>
        </w:rPr>
        <w:t xml:space="preserve"> </w:t>
      </w:r>
      <w:r>
        <w:t>Health</w:t>
      </w:r>
      <w:r>
        <w:rPr>
          <w:spacing w:val="-1"/>
        </w:rPr>
        <w:t xml:space="preserve"> </w:t>
      </w:r>
      <w:r>
        <w:t>Policy</w:t>
      </w:r>
      <w:r>
        <w:rPr>
          <w:spacing w:val="-2"/>
        </w:rPr>
        <w:t xml:space="preserve"> </w:t>
      </w:r>
      <w:r>
        <w:t>Commission</w:t>
      </w:r>
      <w:r>
        <w:rPr>
          <w:spacing w:val="-1"/>
        </w:rPr>
        <w:t xml:space="preserve"> </w:t>
      </w:r>
      <w:r>
        <w:t>regarding</w:t>
      </w:r>
      <w:r>
        <w:rPr>
          <w:spacing w:val="-4"/>
        </w:rPr>
        <w:t xml:space="preserve"> </w:t>
      </w:r>
      <w:r>
        <w:t>a new</w:t>
      </w:r>
      <w:r>
        <w:rPr>
          <w:spacing w:val="-2"/>
        </w:rPr>
        <w:t xml:space="preserve"> </w:t>
      </w:r>
      <w:r>
        <w:t>clinical</w:t>
      </w:r>
      <w:r>
        <w:rPr>
          <w:spacing w:val="-2"/>
        </w:rPr>
        <w:t xml:space="preserve"> </w:t>
      </w:r>
      <w:r>
        <w:t>affiliation.</w:t>
      </w:r>
      <w:r w:rsidR="00CE0633">
        <w:rPr>
          <w:rStyle w:val="FootnoteReference"/>
        </w:rPr>
        <w:footnoteReference w:id="33"/>
      </w:r>
      <w:r>
        <w:rPr>
          <w:spacing w:val="19"/>
          <w:position w:val="5"/>
          <w:sz w:val="14"/>
        </w:rPr>
        <w:t xml:space="preserve"> </w:t>
      </w:r>
      <w:r>
        <w:t>Under</w:t>
      </w:r>
      <w:r>
        <w:rPr>
          <w:spacing w:val="-2"/>
        </w:rPr>
        <w:t xml:space="preserve"> </w:t>
      </w:r>
      <w:r>
        <w:t>the</w:t>
      </w:r>
      <w:r>
        <w:rPr>
          <w:spacing w:val="-1"/>
        </w:rPr>
        <w:t xml:space="preserve"> </w:t>
      </w:r>
      <w:r>
        <w:t>proposed</w:t>
      </w:r>
      <w:r>
        <w:rPr>
          <w:spacing w:val="-3"/>
        </w:rPr>
        <w:t xml:space="preserve"> </w:t>
      </w:r>
      <w:r>
        <w:t>affiliation, the parties plan to provide coordinated and integrated cancer care for adults in the Longwood Medical and Academic Area in Boston and coordinate on the construction of a new freestanding dedicated cancer hospital. The new freestanding cancer hospital would be constructed by DFCI and would be adjacent to and connected with BIDMC. DFCI filed an application for a Determination</w:t>
      </w:r>
      <w:r>
        <w:rPr>
          <w:spacing w:val="-1"/>
        </w:rPr>
        <w:t xml:space="preserve"> </w:t>
      </w:r>
      <w:r>
        <w:t>of</w:t>
      </w:r>
      <w:r>
        <w:rPr>
          <w:spacing w:val="-1"/>
        </w:rPr>
        <w:t xml:space="preserve"> </w:t>
      </w:r>
      <w:r>
        <w:t>Need</w:t>
      </w:r>
      <w:r>
        <w:rPr>
          <w:spacing w:val="-1"/>
        </w:rPr>
        <w:t xml:space="preserve"> </w:t>
      </w:r>
      <w:r>
        <w:t>with the</w:t>
      </w:r>
      <w:r>
        <w:rPr>
          <w:spacing w:val="-1"/>
        </w:rPr>
        <w:t xml:space="preserve"> </w:t>
      </w:r>
      <w:r>
        <w:t>Department</w:t>
      </w:r>
      <w:r>
        <w:rPr>
          <w:spacing w:val="-2"/>
        </w:rPr>
        <w:t xml:space="preserve"> </w:t>
      </w:r>
      <w:r>
        <w:t>of Public Health</w:t>
      </w:r>
      <w:r>
        <w:rPr>
          <w:spacing w:val="-1"/>
        </w:rPr>
        <w:t xml:space="preserve"> </w:t>
      </w:r>
      <w:r>
        <w:t>for the new facility concurrently with the filing of its MCN.</w:t>
      </w:r>
      <w:r w:rsidR="002266E0">
        <w:rPr>
          <w:rStyle w:val="FootnoteReference"/>
        </w:rPr>
        <w:footnoteReference w:id="34"/>
      </w:r>
      <w:r>
        <w:rPr>
          <w:spacing w:val="23"/>
          <w:position w:val="5"/>
          <w:sz w:val="14"/>
        </w:rPr>
        <w:t xml:space="preserve"> </w:t>
      </w:r>
      <w:r>
        <w:t>The proposed affiliation represents a significant realignment among major Massachusetts health care providers, replacing a nearly 30-year clinical affiliation between DFCI and Brigham and Women’s Hospital (BWH) through which DFCI currently provides inpatient oncology services in beds it leases from BWH as well as to BWH patients in BWH beds.</w:t>
      </w:r>
      <w:r w:rsidR="002266E0">
        <w:rPr>
          <w:rStyle w:val="FootnoteReference"/>
        </w:rPr>
        <w:footnoteReference w:id="35"/>
      </w:r>
      <w:r w:rsidR="002266E0">
        <w:rPr>
          <w:sz w:val="14"/>
        </w:rPr>
        <w:t xml:space="preserve"> </w:t>
      </w:r>
    </w:p>
    <w:p w14:paraId="1C34E5BA" w14:textId="77777777" w:rsidR="004C558F" w:rsidRDefault="004C558F">
      <w:pPr>
        <w:pStyle w:val="BodyText"/>
        <w:spacing w:before="36"/>
      </w:pPr>
    </w:p>
    <w:p w14:paraId="1C34E5BB" w14:textId="77777777" w:rsidR="004C558F" w:rsidRDefault="00461887">
      <w:pPr>
        <w:pStyle w:val="BodyText"/>
        <w:ind w:left="147" w:right="8"/>
        <w:jc w:val="center"/>
      </w:pPr>
      <w:r>
        <w:t>This</w:t>
      </w:r>
      <w:r>
        <w:rPr>
          <w:spacing w:val="-9"/>
        </w:rPr>
        <w:t xml:space="preserve"> </w:t>
      </w:r>
      <w:r>
        <w:t>section</w:t>
      </w:r>
      <w:r>
        <w:rPr>
          <w:spacing w:val="-7"/>
        </w:rPr>
        <w:t xml:space="preserve"> </w:t>
      </w:r>
      <w:r>
        <w:t>describes</w:t>
      </w:r>
      <w:r>
        <w:rPr>
          <w:spacing w:val="-4"/>
        </w:rPr>
        <w:t xml:space="preserve"> </w:t>
      </w:r>
      <w:r>
        <w:t>the</w:t>
      </w:r>
      <w:r>
        <w:rPr>
          <w:spacing w:val="-7"/>
        </w:rPr>
        <w:t xml:space="preserve"> </w:t>
      </w:r>
      <w:r>
        <w:t>parties,</w:t>
      </w:r>
      <w:r>
        <w:rPr>
          <w:spacing w:val="-5"/>
        </w:rPr>
        <w:t xml:space="preserve"> </w:t>
      </w:r>
      <w:r>
        <w:t>their</w:t>
      </w:r>
      <w:r>
        <w:rPr>
          <w:spacing w:val="-5"/>
        </w:rPr>
        <w:t xml:space="preserve"> </w:t>
      </w:r>
      <w:r>
        <w:t>current</w:t>
      </w:r>
      <w:r>
        <w:rPr>
          <w:spacing w:val="-6"/>
        </w:rPr>
        <w:t xml:space="preserve"> </w:t>
      </w:r>
      <w:r>
        <w:t>relationships,</w:t>
      </w:r>
      <w:r>
        <w:rPr>
          <w:spacing w:val="-7"/>
        </w:rPr>
        <w:t xml:space="preserve"> </w:t>
      </w:r>
      <w:r>
        <w:t>and</w:t>
      </w:r>
      <w:r>
        <w:rPr>
          <w:spacing w:val="-4"/>
        </w:rPr>
        <w:t xml:space="preserve"> </w:t>
      </w:r>
      <w:r>
        <w:t>the</w:t>
      </w:r>
      <w:r>
        <w:rPr>
          <w:spacing w:val="-5"/>
        </w:rPr>
        <w:t xml:space="preserve"> </w:t>
      </w:r>
      <w:r>
        <w:t>proposed</w:t>
      </w:r>
      <w:r>
        <w:rPr>
          <w:spacing w:val="-3"/>
        </w:rPr>
        <w:t xml:space="preserve"> </w:t>
      </w:r>
      <w:r>
        <w:rPr>
          <w:spacing w:val="-2"/>
        </w:rPr>
        <w:t>transaction.</w:t>
      </w:r>
    </w:p>
    <w:p w14:paraId="1C34E5BC" w14:textId="77777777" w:rsidR="004C558F" w:rsidRDefault="004C558F">
      <w:pPr>
        <w:pStyle w:val="BodyText"/>
        <w:spacing w:before="236"/>
      </w:pPr>
    </w:p>
    <w:p w14:paraId="1C34E5BD" w14:textId="77777777" w:rsidR="004C558F" w:rsidRDefault="00461887">
      <w:pPr>
        <w:pStyle w:val="ListParagraph"/>
        <w:numPr>
          <w:ilvl w:val="1"/>
          <w:numId w:val="16"/>
        </w:numPr>
        <w:tabs>
          <w:tab w:val="left" w:pos="958"/>
        </w:tabs>
        <w:ind w:left="958" w:hanging="358"/>
        <w:rPr>
          <w:rFonts w:ascii="Franklin Gothic Medium"/>
          <w:color w:val="063656"/>
          <w:sz w:val="28"/>
        </w:rPr>
      </w:pPr>
      <w:bookmarkStart w:id="39" w:name="A._Overview_of_the_Parties"/>
      <w:bookmarkEnd w:id="39"/>
      <w:r>
        <w:rPr>
          <w:rFonts w:ascii="Franklin Gothic Medium"/>
          <w:color w:val="063656"/>
          <w:sz w:val="28"/>
        </w:rPr>
        <w:t>Overview</w:t>
      </w:r>
      <w:r>
        <w:rPr>
          <w:rFonts w:ascii="Franklin Gothic Medium"/>
          <w:color w:val="063656"/>
          <w:spacing w:val="-3"/>
          <w:sz w:val="28"/>
        </w:rPr>
        <w:t xml:space="preserve"> </w:t>
      </w:r>
      <w:r>
        <w:rPr>
          <w:rFonts w:ascii="Franklin Gothic Medium"/>
          <w:color w:val="063656"/>
          <w:sz w:val="28"/>
        </w:rPr>
        <w:t>of</w:t>
      </w:r>
      <w:r>
        <w:rPr>
          <w:rFonts w:ascii="Franklin Gothic Medium"/>
          <w:color w:val="063656"/>
          <w:spacing w:val="-3"/>
          <w:sz w:val="28"/>
        </w:rPr>
        <w:t xml:space="preserve"> </w:t>
      </w:r>
      <w:r>
        <w:rPr>
          <w:rFonts w:ascii="Franklin Gothic Medium"/>
          <w:color w:val="063656"/>
          <w:sz w:val="28"/>
        </w:rPr>
        <w:t>the</w:t>
      </w:r>
      <w:r>
        <w:rPr>
          <w:rFonts w:ascii="Franklin Gothic Medium"/>
          <w:color w:val="063656"/>
          <w:spacing w:val="-4"/>
          <w:sz w:val="28"/>
        </w:rPr>
        <w:t xml:space="preserve"> </w:t>
      </w:r>
      <w:r>
        <w:rPr>
          <w:rFonts w:ascii="Franklin Gothic Medium"/>
          <w:color w:val="063656"/>
          <w:spacing w:val="-2"/>
          <w:sz w:val="28"/>
        </w:rPr>
        <w:t>Parties</w:t>
      </w:r>
    </w:p>
    <w:p w14:paraId="1C34E5BE" w14:textId="77777777" w:rsidR="004C558F" w:rsidRDefault="00461887">
      <w:pPr>
        <w:pStyle w:val="Heading3"/>
        <w:numPr>
          <w:ilvl w:val="2"/>
          <w:numId w:val="16"/>
        </w:numPr>
        <w:tabs>
          <w:tab w:val="left" w:pos="959"/>
        </w:tabs>
        <w:spacing w:before="205"/>
        <w:ind w:left="959" w:hanging="359"/>
        <w:rPr>
          <w:color w:val="042339"/>
        </w:rPr>
      </w:pPr>
      <w:bookmarkStart w:id="40" w:name="1._Dana-Farber_Cancer_Institute"/>
      <w:bookmarkEnd w:id="40"/>
      <w:r>
        <w:rPr>
          <w:color w:val="042339"/>
        </w:rPr>
        <w:t>Dana-Farber</w:t>
      </w:r>
      <w:r>
        <w:rPr>
          <w:color w:val="042339"/>
          <w:spacing w:val="-12"/>
        </w:rPr>
        <w:t xml:space="preserve"> </w:t>
      </w:r>
      <w:r>
        <w:rPr>
          <w:color w:val="042339"/>
        </w:rPr>
        <w:t>Cancer</w:t>
      </w:r>
      <w:r>
        <w:rPr>
          <w:color w:val="042339"/>
          <w:spacing w:val="-11"/>
        </w:rPr>
        <w:t xml:space="preserve"> </w:t>
      </w:r>
      <w:r>
        <w:rPr>
          <w:color w:val="042339"/>
          <w:spacing w:val="-2"/>
        </w:rPr>
        <w:t>Institute</w:t>
      </w:r>
    </w:p>
    <w:p w14:paraId="1C34E5BF" w14:textId="77777777" w:rsidR="004C558F" w:rsidRDefault="004C558F">
      <w:pPr>
        <w:pStyle w:val="BodyText"/>
        <w:spacing w:before="73"/>
        <w:rPr>
          <w:rFonts w:ascii="Franklin Gothic Medium"/>
          <w:sz w:val="26"/>
        </w:rPr>
      </w:pPr>
    </w:p>
    <w:p w14:paraId="1C34E5C0" w14:textId="60983D8D" w:rsidR="004C558F" w:rsidRDefault="00461887">
      <w:pPr>
        <w:pStyle w:val="BodyText"/>
        <w:spacing w:before="1" w:line="276" w:lineRule="auto"/>
        <w:ind w:left="959" w:right="984" w:firstLine="720"/>
      </w:pPr>
      <w:r>
        <w:t>Founded in 1947, the Dana-Farber Cancer Institute (DFCI) is a non-profit acute care cancer hospital and research institute. Its main hospital site located in the Longwood Medical Area of Boston includes research and outpatient clinical buildings connected to both BWH and Boston Children’s Hospital (BCH), as well as inpatient beds leased from and located within BWH. DFCI</w:t>
      </w:r>
      <w:r>
        <w:rPr>
          <w:spacing w:val="-4"/>
        </w:rPr>
        <w:t xml:space="preserve"> </w:t>
      </w:r>
      <w:r>
        <w:t>also</w:t>
      </w:r>
      <w:r>
        <w:rPr>
          <w:spacing w:val="-3"/>
        </w:rPr>
        <w:t xml:space="preserve"> </w:t>
      </w:r>
      <w:r>
        <w:t>operates</w:t>
      </w:r>
      <w:r>
        <w:rPr>
          <w:spacing w:val="-3"/>
        </w:rPr>
        <w:t xml:space="preserve"> </w:t>
      </w:r>
      <w:r>
        <w:t>six</w:t>
      </w:r>
      <w:r>
        <w:rPr>
          <w:spacing w:val="-1"/>
        </w:rPr>
        <w:t xml:space="preserve"> </w:t>
      </w:r>
      <w:r>
        <w:t>regional</w:t>
      </w:r>
      <w:r>
        <w:rPr>
          <w:spacing w:val="-4"/>
        </w:rPr>
        <w:t xml:space="preserve"> </w:t>
      </w:r>
      <w:r>
        <w:t>hospital</w:t>
      </w:r>
      <w:r>
        <w:rPr>
          <w:spacing w:val="-2"/>
        </w:rPr>
        <w:t xml:space="preserve"> </w:t>
      </w:r>
      <w:r>
        <w:t>satellite</w:t>
      </w:r>
      <w:r>
        <w:rPr>
          <w:spacing w:val="-1"/>
        </w:rPr>
        <w:t xml:space="preserve"> </w:t>
      </w:r>
      <w:r>
        <w:t>locations</w:t>
      </w:r>
      <w:r>
        <w:rPr>
          <w:spacing w:val="-2"/>
        </w:rPr>
        <w:t xml:space="preserve"> </w:t>
      </w:r>
      <w:r>
        <w:t>for</w:t>
      </w:r>
      <w:r>
        <w:rPr>
          <w:spacing w:val="-2"/>
        </w:rPr>
        <w:t xml:space="preserve"> </w:t>
      </w:r>
      <w:r>
        <w:t>outpatient</w:t>
      </w:r>
      <w:r>
        <w:rPr>
          <w:spacing w:val="-2"/>
        </w:rPr>
        <w:t xml:space="preserve"> </w:t>
      </w:r>
      <w:r>
        <w:t>care</w:t>
      </w:r>
      <w:r>
        <w:rPr>
          <w:spacing w:val="-4"/>
        </w:rPr>
        <w:t xml:space="preserve"> </w:t>
      </w:r>
      <w:r>
        <w:t>as</w:t>
      </w:r>
      <w:r>
        <w:rPr>
          <w:spacing w:val="-1"/>
        </w:rPr>
        <w:t xml:space="preserve"> </w:t>
      </w:r>
      <w:r>
        <w:t>shown</w:t>
      </w:r>
      <w:r>
        <w:rPr>
          <w:spacing w:val="-1"/>
        </w:rPr>
        <w:t xml:space="preserve"> </w:t>
      </w:r>
      <w:r>
        <w:t>in</w:t>
      </w:r>
      <w:r>
        <w:rPr>
          <w:spacing w:val="-1"/>
        </w:rPr>
        <w:t xml:space="preserve"> </w:t>
      </w:r>
      <w:r>
        <w:t>the</w:t>
      </w:r>
      <w:r>
        <w:rPr>
          <w:spacing w:val="-3"/>
        </w:rPr>
        <w:t xml:space="preserve"> </w:t>
      </w:r>
      <w:r>
        <w:t>map below and provides</w:t>
      </w:r>
      <w:r>
        <w:rPr>
          <w:spacing w:val="-1"/>
        </w:rPr>
        <w:t xml:space="preserve"> </w:t>
      </w:r>
      <w:r>
        <w:t>care through</w:t>
      </w:r>
      <w:r>
        <w:rPr>
          <w:spacing w:val="-1"/>
        </w:rPr>
        <w:t xml:space="preserve"> </w:t>
      </w:r>
      <w:r>
        <w:t>additional</w:t>
      </w:r>
      <w:r>
        <w:rPr>
          <w:spacing w:val="-2"/>
        </w:rPr>
        <w:t xml:space="preserve"> </w:t>
      </w:r>
      <w:r>
        <w:t>clinical</w:t>
      </w:r>
      <w:r>
        <w:rPr>
          <w:spacing w:val="-2"/>
        </w:rPr>
        <w:t xml:space="preserve"> </w:t>
      </w:r>
      <w:r>
        <w:t>affiliations</w:t>
      </w:r>
      <w:bookmarkStart w:id="41" w:name="_bookmark43"/>
      <w:bookmarkEnd w:id="41"/>
      <w:r>
        <w:t>.</w:t>
      </w:r>
      <w:r>
        <w:rPr>
          <w:spacing w:val="-36"/>
        </w:rPr>
        <w:t xml:space="preserve"> </w:t>
      </w:r>
      <w:r w:rsidR="002266E0">
        <w:rPr>
          <w:rStyle w:val="FootnoteReference"/>
          <w:spacing w:val="-36"/>
        </w:rPr>
        <w:footnoteReference w:id="36"/>
      </w:r>
      <w:r>
        <w:t>DFCI currently employs</w:t>
      </w:r>
      <w:r>
        <w:rPr>
          <w:spacing w:val="-1"/>
        </w:rPr>
        <w:t xml:space="preserve"> </w:t>
      </w:r>
      <w:r>
        <w:t>over 350 physicians.</w:t>
      </w:r>
      <w:r>
        <w:rPr>
          <w:spacing w:val="-31"/>
        </w:rPr>
        <w:t xml:space="preserve"> </w:t>
      </w:r>
      <w:r w:rsidR="00272BD1">
        <w:rPr>
          <w:rStyle w:val="FootnoteReference"/>
          <w:spacing w:val="-31"/>
        </w:rPr>
        <w:footnoteReference w:id="37"/>
      </w:r>
      <w:r>
        <w:t>Through the Dana-Farber/Harvard Cancer Center, DFCI also engages in</w:t>
      </w:r>
      <w:r>
        <w:rPr>
          <w:spacing w:val="40"/>
        </w:rPr>
        <w:t xml:space="preserve"> </w:t>
      </w:r>
      <w:r>
        <w:t>collaborative research with 1,000 researchers across five academic medical institutions - BIDMC,</w:t>
      </w:r>
    </w:p>
    <w:p w14:paraId="1C34E5C1" w14:textId="77777777" w:rsidR="004C558F" w:rsidRDefault="004C558F">
      <w:pPr>
        <w:pStyle w:val="BodyText"/>
        <w:rPr>
          <w:sz w:val="20"/>
        </w:rPr>
      </w:pPr>
    </w:p>
    <w:p w14:paraId="1C34E5C8" w14:textId="476BE880" w:rsidR="004C558F" w:rsidRDefault="00461887" w:rsidP="00272BD1">
      <w:pPr>
        <w:pStyle w:val="BodyText"/>
        <w:spacing w:before="186"/>
        <w:rPr>
          <w:sz w:val="20"/>
        </w:rPr>
      </w:pPr>
      <w:r>
        <w:rPr>
          <w:spacing w:val="15"/>
          <w:position w:val="5"/>
          <w:sz w:val="13"/>
        </w:rPr>
        <w:t xml:space="preserve"> </w:t>
      </w:r>
    </w:p>
    <w:p w14:paraId="1C34E5C9" w14:textId="77777777" w:rsidR="004C558F" w:rsidRDefault="004C558F">
      <w:pPr>
        <w:rPr>
          <w:sz w:val="20"/>
        </w:rPr>
        <w:sectPr w:rsidR="004C558F">
          <w:pgSz w:w="12240" w:h="15840"/>
          <w:pgMar w:top="1360" w:right="740" w:bottom="720" w:left="480" w:header="0" w:footer="521" w:gutter="0"/>
          <w:cols w:space="720"/>
        </w:sectPr>
      </w:pPr>
    </w:p>
    <w:p w14:paraId="1C34E5CA" w14:textId="7387EF8A" w:rsidR="004C558F" w:rsidRDefault="00461887">
      <w:pPr>
        <w:pStyle w:val="BodyText"/>
        <w:spacing w:before="80" w:line="276" w:lineRule="auto"/>
        <w:ind w:left="959" w:right="1290"/>
        <w:rPr>
          <w:sz w:val="14"/>
        </w:rPr>
      </w:pPr>
      <w:r>
        <w:lastRenderedPageBreak/>
        <w:t>DFCI,</w:t>
      </w:r>
      <w:r>
        <w:rPr>
          <w:spacing w:val="-5"/>
        </w:rPr>
        <w:t xml:space="preserve"> </w:t>
      </w:r>
      <w:r>
        <w:t>BWH,</w:t>
      </w:r>
      <w:r>
        <w:rPr>
          <w:spacing w:val="-5"/>
        </w:rPr>
        <w:t xml:space="preserve"> </w:t>
      </w:r>
      <w:r>
        <w:t>Mass</w:t>
      </w:r>
      <w:r>
        <w:rPr>
          <w:spacing w:val="-4"/>
        </w:rPr>
        <w:t xml:space="preserve"> </w:t>
      </w:r>
      <w:r>
        <w:t>General</w:t>
      </w:r>
      <w:r>
        <w:rPr>
          <w:spacing w:val="-5"/>
        </w:rPr>
        <w:t xml:space="preserve"> </w:t>
      </w:r>
      <w:r>
        <w:t>Hospital</w:t>
      </w:r>
      <w:r>
        <w:rPr>
          <w:spacing w:val="-3"/>
        </w:rPr>
        <w:t xml:space="preserve"> </w:t>
      </w:r>
      <w:r>
        <w:t>(MGH),</w:t>
      </w:r>
      <w:r>
        <w:rPr>
          <w:spacing w:val="-5"/>
        </w:rPr>
        <w:t xml:space="preserve"> </w:t>
      </w:r>
      <w:r>
        <w:t>and</w:t>
      </w:r>
      <w:r>
        <w:rPr>
          <w:spacing w:val="-1"/>
        </w:rPr>
        <w:t xml:space="preserve"> </w:t>
      </w:r>
      <w:r>
        <w:t>Boston</w:t>
      </w:r>
      <w:r>
        <w:rPr>
          <w:spacing w:val="-2"/>
        </w:rPr>
        <w:t xml:space="preserve"> </w:t>
      </w:r>
      <w:r>
        <w:t>Children’s</w:t>
      </w:r>
      <w:r>
        <w:rPr>
          <w:spacing w:val="-2"/>
        </w:rPr>
        <w:t xml:space="preserve"> </w:t>
      </w:r>
      <w:r>
        <w:t>Hospital</w:t>
      </w:r>
      <w:r>
        <w:rPr>
          <w:spacing w:val="-3"/>
        </w:rPr>
        <w:t xml:space="preserve"> </w:t>
      </w:r>
      <w:r>
        <w:t>(BCH)</w:t>
      </w:r>
      <w:r>
        <w:rPr>
          <w:spacing w:val="-2"/>
        </w:rPr>
        <w:t xml:space="preserve"> </w:t>
      </w:r>
      <w:r>
        <w:t>-</w:t>
      </w:r>
      <w:r>
        <w:rPr>
          <w:spacing w:val="-2"/>
        </w:rPr>
        <w:t xml:space="preserve"> </w:t>
      </w:r>
      <w:r>
        <w:t>along</w:t>
      </w:r>
      <w:r>
        <w:rPr>
          <w:spacing w:val="-3"/>
        </w:rPr>
        <w:t xml:space="preserve"> </w:t>
      </w:r>
      <w:r>
        <w:t xml:space="preserve">with Harvard Medical School and </w:t>
      </w:r>
      <w:proofErr w:type="gramStart"/>
      <w:r>
        <w:t>the Harvard</w:t>
      </w:r>
      <w:proofErr w:type="gramEnd"/>
      <w:r>
        <w:t xml:space="preserve"> T.H. Chan School of Public Health.</w:t>
      </w:r>
      <w:r>
        <w:rPr>
          <w:spacing w:val="-32"/>
        </w:rPr>
        <w:t xml:space="preserve"> </w:t>
      </w:r>
      <w:r w:rsidR="000847F2">
        <w:rPr>
          <w:rStyle w:val="FootnoteReference"/>
          <w:spacing w:val="-32"/>
        </w:rPr>
        <w:footnoteReference w:id="38"/>
      </w:r>
    </w:p>
    <w:p w14:paraId="1C34E5CB" w14:textId="77777777" w:rsidR="004C558F" w:rsidRDefault="004C558F">
      <w:pPr>
        <w:pStyle w:val="BodyText"/>
        <w:spacing w:before="38"/>
      </w:pPr>
    </w:p>
    <w:p w14:paraId="1C34E5CC" w14:textId="77777777" w:rsidR="004C558F" w:rsidRDefault="00461887">
      <w:pPr>
        <w:pStyle w:val="BodyText"/>
        <w:ind w:right="5"/>
        <w:jc w:val="center"/>
      </w:pPr>
      <w:r>
        <w:rPr>
          <w:noProof/>
        </w:rPr>
        <w:drawing>
          <wp:anchor distT="0" distB="0" distL="0" distR="0" simplePos="0" relativeHeight="251634688" behindDoc="1" locked="0" layoutInCell="1" allowOverlap="1" wp14:anchorId="1C34F0C2" wp14:editId="5544552B">
            <wp:simplePos x="0" y="0"/>
            <wp:positionH relativeFrom="page">
              <wp:posOffset>914400</wp:posOffset>
            </wp:positionH>
            <wp:positionV relativeFrom="paragraph">
              <wp:posOffset>181793</wp:posOffset>
            </wp:positionV>
            <wp:extent cx="5927343" cy="3690366"/>
            <wp:effectExtent l="0" t="0" r="0" b="0"/>
            <wp:wrapTopAndBottom/>
            <wp:docPr id="34" name="Image 34" descr="Map of DFCI Main Campus and Hospital Satelli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DFCI Main Campus and Hospital Satellites"/>
                    <pic:cNvPicPr/>
                  </pic:nvPicPr>
                  <pic:blipFill>
                    <a:blip r:embed="rId28" cstate="print"/>
                    <a:stretch>
                      <a:fillRect/>
                    </a:stretch>
                  </pic:blipFill>
                  <pic:spPr>
                    <a:xfrm>
                      <a:off x="0" y="0"/>
                      <a:ext cx="5927343" cy="3690366"/>
                    </a:xfrm>
                    <a:prstGeom prst="rect">
                      <a:avLst/>
                    </a:prstGeom>
                  </pic:spPr>
                </pic:pic>
              </a:graphicData>
            </a:graphic>
          </wp:anchor>
        </w:drawing>
      </w:r>
      <w:r>
        <w:t>DFCI</w:t>
      </w:r>
      <w:r>
        <w:rPr>
          <w:spacing w:val="-6"/>
        </w:rPr>
        <w:t xml:space="preserve"> </w:t>
      </w:r>
      <w:r>
        <w:t>Main</w:t>
      </w:r>
      <w:r>
        <w:rPr>
          <w:spacing w:val="-3"/>
        </w:rPr>
        <w:t xml:space="preserve"> </w:t>
      </w:r>
      <w:r>
        <w:t>Campus</w:t>
      </w:r>
      <w:r>
        <w:rPr>
          <w:spacing w:val="-3"/>
        </w:rPr>
        <w:t xml:space="preserve"> </w:t>
      </w:r>
      <w:r>
        <w:t>and</w:t>
      </w:r>
      <w:r>
        <w:rPr>
          <w:spacing w:val="-3"/>
        </w:rPr>
        <w:t xml:space="preserve"> </w:t>
      </w:r>
      <w:r>
        <w:t>Hospital</w:t>
      </w:r>
      <w:r>
        <w:rPr>
          <w:spacing w:val="-3"/>
        </w:rPr>
        <w:t xml:space="preserve"> </w:t>
      </w:r>
      <w:r>
        <w:rPr>
          <w:spacing w:val="-2"/>
        </w:rPr>
        <w:t>Satellites</w:t>
      </w:r>
    </w:p>
    <w:p w14:paraId="1C34E5CD" w14:textId="77777777" w:rsidR="004C558F" w:rsidRDefault="004C558F">
      <w:pPr>
        <w:pStyle w:val="BodyText"/>
      </w:pPr>
    </w:p>
    <w:p w14:paraId="1C34E5CE" w14:textId="77777777" w:rsidR="004C558F" w:rsidRDefault="004C558F">
      <w:pPr>
        <w:pStyle w:val="BodyText"/>
        <w:spacing w:before="130"/>
      </w:pPr>
    </w:p>
    <w:p w14:paraId="1C34E5CF" w14:textId="3CA6565E" w:rsidR="004C558F" w:rsidRDefault="00461887">
      <w:pPr>
        <w:pStyle w:val="BodyText"/>
        <w:spacing w:line="276" w:lineRule="auto"/>
        <w:ind w:left="959" w:right="1034" w:firstLine="720"/>
      </w:pPr>
      <w:r>
        <w:t>DFCI</w:t>
      </w:r>
      <w:r>
        <w:rPr>
          <w:spacing w:val="-3"/>
        </w:rPr>
        <w:t xml:space="preserve"> </w:t>
      </w:r>
      <w:r>
        <w:t>is</w:t>
      </w:r>
      <w:r>
        <w:rPr>
          <w:spacing w:val="-3"/>
        </w:rPr>
        <w:t xml:space="preserve"> </w:t>
      </w:r>
      <w:r>
        <w:t>one</w:t>
      </w:r>
      <w:r>
        <w:rPr>
          <w:spacing w:val="-3"/>
        </w:rPr>
        <w:t xml:space="preserve"> </w:t>
      </w:r>
      <w:r>
        <w:t>of</w:t>
      </w:r>
      <w:r>
        <w:rPr>
          <w:spacing w:val="-2"/>
        </w:rPr>
        <w:t xml:space="preserve"> </w:t>
      </w:r>
      <w:r>
        <w:t>57</w:t>
      </w:r>
      <w:r>
        <w:rPr>
          <w:spacing w:val="-5"/>
        </w:rPr>
        <w:t xml:space="preserve"> </w:t>
      </w:r>
      <w:r>
        <w:t>National</w:t>
      </w:r>
      <w:r>
        <w:rPr>
          <w:spacing w:val="-3"/>
        </w:rPr>
        <w:t xml:space="preserve"> </w:t>
      </w:r>
      <w:r>
        <w:t>Cancer</w:t>
      </w:r>
      <w:r>
        <w:rPr>
          <w:spacing w:val="-4"/>
        </w:rPr>
        <w:t xml:space="preserve"> </w:t>
      </w:r>
      <w:r>
        <w:t>Institute</w:t>
      </w:r>
      <w:r>
        <w:rPr>
          <w:spacing w:val="-3"/>
        </w:rPr>
        <w:t xml:space="preserve"> </w:t>
      </w:r>
      <w:r>
        <w:t>(NCI)</w:t>
      </w:r>
      <w:r>
        <w:rPr>
          <w:spacing w:val="-5"/>
        </w:rPr>
        <w:t xml:space="preserve"> </w:t>
      </w:r>
      <w:r>
        <w:t>designated</w:t>
      </w:r>
      <w:r>
        <w:rPr>
          <w:spacing w:val="-4"/>
        </w:rPr>
        <w:t xml:space="preserve"> </w:t>
      </w:r>
      <w:r>
        <w:t>Comprehensive</w:t>
      </w:r>
      <w:r>
        <w:rPr>
          <w:spacing w:val="-3"/>
        </w:rPr>
        <w:t xml:space="preserve"> </w:t>
      </w:r>
      <w:r>
        <w:t>Cancer</w:t>
      </w:r>
      <w:r>
        <w:rPr>
          <w:spacing w:val="-3"/>
        </w:rPr>
        <w:t xml:space="preserve"> </w:t>
      </w:r>
      <w:r>
        <w:t>Care Centers</w:t>
      </w:r>
      <w:r>
        <w:rPr>
          <w:spacing w:val="-33"/>
        </w:rPr>
        <w:t xml:space="preserve"> </w:t>
      </w:r>
      <w:r w:rsidR="00AF2856">
        <w:rPr>
          <w:rStyle w:val="FootnoteReference"/>
          <w:spacing w:val="-33"/>
        </w:rPr>
        <w:footnoteReference w:id="39"/>
      </w:r>
      <w:r>
        <w:rPr>
          <w:spacing w:val="30"/>
          <w:position w:val="5"/>
          <w:sz w:val="14"/>
        </w:rPr>
        <w:t xml:space="preserve"> </w:t>
      </w:r>
      <w:r>
        <w:t>and one of 11 Prospective Payment System (PPS) exempt cancer hospitals in the United States, reflecting its highly specialized focus on oncology care.</w:t>
      </w:r>
      <w:r w:rsidR="00AF2856">
        <w:rPr>
          <w:rStyle w:val="FootnoteReference"/>
        </w:rPr>
        <w:footnoteReference w:id="40"/>
      </w:r>
      <w:r>
        <w:rPr>
          <w:spacing w:val="31"/>
          <w:position w:val="5"/>
          <w:sz w:val="14"/>
        </w:rPr>
        <w:t xml:space="preserve"> </w:t>
      </w:r>
      <w:r>
        <w:t>DFCI’s clinical model is</w:t>
      </w:r>
    </w:p>
    <w:p w14:paraId="1C34E5D0" w14:textId="30DAC220" w:rsidR="004C558F" w:rsidRDefault="004C558F">
      <w:pPr>
        <w:pStyle w:val="BodyText"/>
        <w:spacing w:before="72"/>
        <w:rPr>
          <w:sz w:val="20"/>
        </w:rPr>
      </w:pPr>
    </w:p>
    <w:p w14:paraId="1C34E5D5" w14:textId="77777777" w:rsidR="004C558F" w:rsidRDefault="004C558F">
      <w:pPr>
        <w:rPr>
          <w:sz w:val="20"/>
        </w:rPr>
        <w:sectPr w:rsidR="004C558F">
          <w:pgSz w:w="12240" w:h="15840"/>
          <w:pgMar w:top="1360" w:right="740" w:bottom="720" w:left="480" w:header="0" w:footer="521" w:gutter="0"/>
          <w:cols w:space="720"/>
        </w:sectPr>
      </w:pPr>
      <w:bookmarkStart w:id="42" w:name="_bookmark49"/>
      <w:bookmarkStart w:id="43" w:name="_bookmark50"/>
      <w:bookmarkStart w:id="44" w:name="_bookmark51"/>
      <w:bookmarkEnd w:id="42"/>
      <w:bookmarkEnd w:id="43"/>
      <w:bookmarkEnd w:id="44"/>
    </w:p>
    <w:p w14:paraId="1C34E5D6" w14:textId="77777777" w:rsidR="004C558F" w:rsidRDefault="00461887">
      <w:pPr>
        <w:pStyle w:val="BodyText"/>
        <w:spacing w:before="80" w:line="276" w:lineRule="auto"/>
        <w:ind w:left="960" w:right="991"/>
      </w:pPr>
      <w:r>
        <w:lastRenderedPageBreak/>
        <w:t>unique among specialized cancer centers in that DFCI focuses on the provision of medical oncology</w:t>
      </w:r>
      <w:r>
        <w:rPr>
          <w:spacing w:val="-3"/>
        </w:rPr>
        <w:t xml:space="preserve"> </w:t>
      </w:r>
      <w:r>
        <w:t>services,</w:t>
      </w:r>
      <w:r>
        <w:rPr>
          <w:spacing w:val="-2"/>
        </w:rPr>
        <w:t xml:space="preserve"> </w:t>
      </w:r>
      <w:r>
        <w:t>relying</w:t>
      </w:r>
      <w:r>
        <w:rPr>
          <w:spacing w:val="-5"/>
        </w:rPr>
        <w:t xml:space="preserve"> </w:t>
      </w:r>
      <w:r>
        <w:t>on</w:t>
      </w:r>
      <w:r>
        <w:rPr>
          <w:spacing w:val="-2"/>
        </w:rPr>
        <w:t xml:space="preserve"> </w:t>
      </w:r>
      <w:r>
        <w:t>clinical</w:t>
      </w:r>
      <w:r>
        <w:rPr>
          <w:spacing w:val="-3"/>
        </w:rPr>
        <w:t xml:space="preserve"> </w:t>
      </w:r>
      <w:r>
        <w:t>partner</w:t>
      </w:r>
      <w:r>
        <w:rPr>
          <w:spacing w:val="-3"/>
        </w:rPr>
        <w:t xml:space="preserve"> </w:t>
      </w:r>
      <w:r>
        <w:t>provider</w:t>
      </w:r>
      <w:r>
        <w:rPr>
          <w:spacing w:val="-3"/>
        </w:rPr>
        <w:t xml:space="preserve"> </w:t>
      </w:r>
      <w:r>
        <w:t>organizations</w:t>
      </w:r>
      <w:r>
        <w:rPr>
          <w:spacing w:val="-4"/>
        </w:rPr>
        <w:t xml:space="preserve"> </w:t>
      </w:r>
      <w:r>
        <w:t>to</w:t>
      </w:r>
      <w:r>
        <w:rPr>
          <w:spacing w:val="-2"/>
        </w:rPr>
        <w:t xml:space="preserve"> </w:t>
      </w:r>
      <w:r>
        <w:t>provide</w:t>
      </w:r>
      <w:r>
        <w:rPr>
          <w:spacing w:val="-4"/>
        </w:rPr>
        <w:t xml:space="preserve"> </w:t>
      </w:r>
      <w:r>
        <w:t>surgical</w:t>
      </w:r>
      <w:r>
        <w:rPr>
          <w:spacing w:val="-5"/>
        </w:rPr>
        <w:t xml:space="preserve"> </w:t>
      </w:r>
      <w:r>
        <w:t>oncology and certain other non-oncology services. DFCI’s patients are predominantly adults.</w:t>
      </w:r>
    </w:p>
    <w:p w14:paraId="1C34E5D7" w14:textId="77777777" w:rsidR="004C558F" w:rsidRDefault="004C558F">
      <w:pPr>
        <w:pStyle w:val="BodyText"/>
        <w:spacing w:before="36"/>
      </w:pPr>
    </w:p>
    <w:p w14:paraId="1C34E5D8" w14:textId="18AE5F15" w:rsidR="004C558F" w:rsidRDefault="00461887">
      <w:pPr>
        <w:pStyle w:val="BodyText"/>
        <w:spacing w:before="1" w:line="276" w:lineRule="auto"/>
        <w:ind w:left="959" w:right="1010" w:firstLine="720"/>
        <w:rPr>
          <w:sz w:val="14"/>
        </w:rPr>
      </w:pPr>
      <w:r>
        <w:t>In</w:t>
      </w:r>
      <w:r>
        <w:rPr>
          <w:spacing w:val="-2"/>
        </w:rPr>
        <w:t xml:space="preserve"> </w:t>
      </w:r>
      <w:r>
        <w:t>FY2023</w:t>
      </w:r>
      <w:r>
        <w:rPr>
          <w:spacing w:val="-5"/>
        </w:rPr>
        <w:t xml:space="preserve"> </w:t>
      </w:r>
      <w:r>
        <w:t>DFCI</w:t>
      </w:r>
      <w:r>
        <w:rPr>
          <w:spacing w:val="-5"/>
        </w:rPr>
        <w:t xml:space="preserve"> </w:t>
      </w:r>
      <w:r>
        <w:t>had</w:t>
      </w:r>
      <w:r>
        <w:rPr>
          <w:spacing w:val="-1"/>
        </w:rPr>
        <w:t xml:space="preserve"> </w:t>
      </w:r>
      <w:r>
        <w:t>$3.36</w:t>
      </w:r>
      <w:r>
        <w:rPr>
          <w:spacing w:val="-2"/>
        </w:rPr>
        <w:t xml:space="preserve"> </w:t>
      </w:r>
      <w:r>
        <w:t>billion</w:t>
      </w:r>
      <w:r>
        <w:rPr>
          <w:spacing w:val="-2"/>
        </w:rPr>
        <w:t xml:space="preserve"> </w:t>
      </w:r>
      <w:r>
        <w:t>in</w:t>
      </w:r>
      <w:r>
        <w:rPr>
          <w:spacing w:val="-2"/>
        </w:rPr>
        <w:t xml:space="preserve"> </w:t>
      </w:r>
      <w:r>
        <w:t>net</w:t>
      </w:r>
      <w:r>
        <w:rPr>
          <w:spacing w:val="-3"/>
        </w:rPr>
        <w:t xml:space="preserve"> </w:t>
      </w:r>
      <w:r>
        <w:t>assets</w:t>
      </w:r>
      <w:r>
        <w:rPr>
          <w:spacing w:val="-4"/>
        </w:rPr>
        <w:t xml:space="preserve"> </w:t>
      </w:r>
      <w:r>
        <w:t>and</w:t>
      </w:r>
      <w:r>
        <w:rPr>
          <w:spacing w:val="-4"/>
        </w:rPr>
        <w:t xml:space="preserve"> </w:t>
      </w:r>
      <w:r>
        <w:t>was</w:t>
      </w:r>
      <w:r>
        <w:rPr>
          <w:spacing w:val="-2"/>
        </w:rPr>
        <w:t xml:space="preserve"> </w:t>
      </w:r>
      <w:r>
        <w:t>the</w:t>
      </w:r>
      <w:r>
        <w:rPr>
          <w:spacing w:val="-2"/>
        </w:rPr>
        <w:t xml:space="preserve"> </w:t>
      </w:r>
      <w:r>
        <w:t>fourth</w:t>
      </w:r>
      <w:r>
        <w:rPr>
          <w:spacing w:val="-2"/>
        </w:rPr>
        <w:t xml:space="preserve"> </w:t>
      </w:r>
      <w:r>
        <w:t>largest</w:t>
      </w:r>
      <w:r>
        <w:rPr>
          <w:spacing w:val="-5"/>
        </w:rPr>
        <w:t xml:space="preserve"> </w:t>
      </w:r>
      <w:r>
        <w:t>Massachusetts- based provider system by net assets, behind Mass General Brigham, Boston Children’s Hospital, and BILH, and the fifth largest by net patient service revenue (NPSR), behind UMass Memorial Health Care in addition to the other largest systems</w:t>
      </w:r>
      <w:bookmarkStart w:id="45" w:name="_bookmark52"/>
      <w:bookmarkEnd w:id="45"/>
      <w:r>
        <w:t>.</w:t>
      </w:r>
      <w:r w:rsidR="00CC75E2">
        <w:rPr>
          <w:rStyle w:val="FootnoteReference"/>
        </w:rPr>
        <w:footnoteReference w:id="41"/>
      </w:r>
      <w:r>
        <w:rPr>
          <w:spacing w:val="31"/>
          <w:position w:val="5"/>
          <w:sz w:val="14"/>
        </w:rPr>
        <w:t xml:space="preserve"> </w:t>
      </w:r>
      <w:r>
        <w:t>DFCI received over $164 million in</w:t>
      </w:r>
      <w:r>
        <w:rPr>
          <w:spacing w:val="40"/>
        </w:rPr>
        <w:t xml:space="preserve"> </w:t>
      </w:r>
      <w:r>
        <w:t>National Institutes of Health (NIH) funding in FY2024, the fourth-highest total amount to an independent hospital in the Commonwealth.</w:t>
      </w:r>
      <w:r w:rsidR="004F6954">
        <w:rPr>
          <w:rStyle w:val="FootnoteReference"/>
        </w:rPr>
        <w:footnoteReference w:id="42"/>
      </w:r>
      <w:r w:rsidR="004F6954">
        <w:rPr>
          <w:sz w:val="14"/>
        </w:rPr>
        <w:t xml:space="preserve"> </w:t>
      </w:r>
    </w:p>
    <w:p w14:paraId="1C34E5D9" w14:textId="77777777" w:rsidR="004C558F" w:rsidRDefault="004C558F">
      <w:pPr>
        <w:pStyle w:val="BodyText"/>
        <w:spacing w:before="117"/>
      </w:pPr>
    </w:p>
    <w:p w14:paraId="1C34E5DA" w14:textId="77777777" w:rsidR="004C558F" w:rsidRDefault="00461887">
      <w:pPr>
        <w:pStyle w:val="ListParagraph"/>
        <w:numPr>
          <w:ilvl w:val="0"/>
          <w:numId w:val="14"/>
        </w:numPr>
        <w:tabs>
          <w:tab w:val="left" w:pos="958"/>
        </w:tabs>
        <w:ind w:left="958" w:hanging="358"/>
      </w:pPr>
      <w:bookmarkStart w:id="46" w:name="a._Inpatient_and_Outpatient_Services"/>
      <w:bookmarkEnd w:id="46"/>
      <w:proofErr w:type="gramStart"/>
      <w:r>
        <w:rPr>
          <w:color w:val="063656"/>
        </w:rPr>
        <w:t>Inpatient</w:t>
      </w:r>
      <w:proofErr w:type="gramEnd"/>
      <w:r>
        <w:rPr>
          <w:color w:val="063656"/>
          <w:spacing w:val="-6"/>
        </w:rPr>
        <w:t xml:space="preserve"> </w:t>
      </w:r>
      <w:r>
        <w:rPr>
          <w:color w:val="063656"/>
        </w:rPr>
        <w:t>and</w:t>
      </w:r>
      <w:r>
        <w:rPr>
          <w:color w:val="063656"/>
          <w:spacing w:val="-3"/>
        </w:rPr>
        <w:t xml:space="preserve"> </w:t>
      </w:r>
      <w:r>
        <w:rPr>
          <w:color w:val="063656"/>
        </w:rPr>
        <w:t>Outpatient</w:t>
      </w:r>
      <w:r>
        <w:rPr>
          <w:color w:val="063656"/>
          <w:spacing w:val="-5"/>
        </w:rPr>
        <w:t xml:space="preserve"> </w:t>
      </w:r>
      <w:r>
        <w:rPr>
          <w:color w:val="063656"/>
          <w:spacing w:val="-2"/>
        </w:rPr>
        <w:t>Services</w:t>
      </w:r>
    </w:p>
    <w:p w14:paraId="1C34E5DB" w14:textId="77777777" w:rsidR="004C558F" w:rsidRDefault="004C558F">
      <w:pPr>
        <w:pStyle w:val="BodyText"/>
        <w:spacing w:before="77"/>
      </w:pPr>
    </w:p>
    <w:p w14:paraId="1C34E5DC" w14:textId="2A785219" w:rsidR="004C558F" w:rsidRDefault="00461887">
      <w:pPr>
        <w:pStyle w:val="BodyText"/>
        <w:spacing w:line="276" w:lineRule="auto"/>
        <w:ind w:left="959" w:right="991" w:firstLine="720"/>
      </w:pPr>
      <w:r>
        <w:t xml:space="preserve">Since 1997, DFCI’s most significant clinical affiliate has been BWH, and DFCI’s affiliation agreement with BWH lasts until 2028. Currently, DFCI’s inpatient operations consist of 30 inpatient beds leased from BWH and located within BWH’s Longwood hospital facility. In addition to these beds, DFCI </w:t>
      </w:r>
      <w:proofErr w:type="gramStart"/>
      <w:r>
        <w:t>physicians</w:t>
      </w:r>
      <w:proofErr w:type="gramEnd"/>
      <w:r>
        <w:t xml:space="preserve"> staff BWH’s medical oncology service, serving as the attending physicians to all patients requiring inpatient oncology care, accounting for approximately 180 of BWH’s beds per day.</w:t>
      </w:r>
      <w:r>
        <w:rPr>
          <w:spacing w:val="-33"/>
        </w:rPr>
        <w:t xml:space="preserve"> </w:t>
      </w:r>
      <w:r w:rsidR="005E49F4">
        <w:rPr>
          <w:rStyle w:val="FootnoteReference"/>
          <w:spacing w:val="-33"/>
        </w:rPr>
        <w:footnoteReference w:id="43"/>
      </w:r>
      <w:r>
        <w:t>DFCI also provides all outpatient medical oncology services for BWH patients in the Longwood area. BWH and its physicians provide surgical oncology care as well as certain</w:t>
      </w:r>
      <w:r>
        <w:rPr>
          <w:spacing w:val="-2"/>
        </w:rPr>
        <w:t xml:space="preserve"> </w:t>
      </w:r>
      <w:r>
        <w:t>other</w:t>
      </w:r>
      <w:r>
        <w:rPr>
          <w:spacing w:val="-3"/>
        </w:rPr>
        <w:t xml:space="preserve"> </w:t>
      </w:r>
      <w:r>
        <w:t>non-oncology</w:t>
      </w:r>
      <w:r>
        <w:rPr>
          <w:spacing w:val="-3"/>
        </w:rPr>
        <w:t xml:space="preserve"> </w:t>
      </w:r>
      <w:r>
        <w:t>services</w:t>
      </w:r>
      <w:r>
        <w:rPr>
          <w:spacing w:val="-4"/>
        </w:rPr>
        <w:t xml:space="preserve"> </w:t>
      </w:r>
      <w:r>
        <w:t>needed</w:t>
      </w:r>
      <w:r>
        <w:rPr>
          <w:spacing w:val="-1"/>
        </w:rPr>
        <w:t xml:space="preserve"> </w:t>
      </w:r>
      <w:r>
        <w:t>by</w:t>
      </w:r>
      <w:r>
        <w:rPr>
          <w:spacing w:val="-3"/>
        </w:rPr>
        <w:t xml:space="preserve"> </w:t>
      </w:r>
      <w:r>
        <w:t>BWH</w:t>
      </w:r>
      <w:r>
        <w:rPr>
          <w:spacing w:val="-5"/>
        </w:rPr>
        <w:t xml:space="preserve"> </w:t>
      </w:r>
      <w:r>
        <w:t>and</w:t>
      </w:r>
      <w:r>
        <w:rPr>
          <w:spacing w:val="-1"/>
        </w:rPr>
        <w:t xml:space="preserve"> </w:t>
      </w:r>
      <w:r>
        <w:t>DFCI</w:t>
      </w:r>
      <w:r>
        <w:rPr>
          <w:spacing w:val="-2"/>
        </w:rPr>
        <w:t xml:space="preserve"> </w:t>
      </w:r>
      <w:r>
        <w:t>inpatients,</w:t>
      </w:r>
      <w:r>
        <w:rPr>
          <w:spacing w:val="-5"/>
        </w:rPr>
        <w:t xml:space="preserve"> </w:t>
      </w:r>
      <w:r>
        <w:t>and</w:t>
      </w:r>
      <w:r>
        <w:rPr>
          <w:spacing w:val="-4"/>
        </w:rPr>
        <w:t xml:space="preserve"> </w:t>
      </w:r>
      <w:r>
        <w:t>both</w:t>
      </w:r>
      <w:r>
        <w:rPr>
          <w:spacing w:val="-2"/>
        </w:rPr>
        <w:t xml:space="preserve"> </w:t>
      </w:r>
      <w:r>
        <w:t>BWH</w:t>
      </w:r>
      <w:r>
        <w:rPr>
          <w:spacing w:val="-5"/>
        </w:rPr>
        <w:t xml:space="preserve"> </w:t>
      </w:r>
      <w:r>
        <w:t>and</w:t>
      </w:r>
      <w:r>
        <w:rPr>
          <w:spacing w:val="-4"/>
        </w:rPr>
        <w:t xml:space="preserve"> </w:t>
      </w:r>
      <w:r>
        <w:t>DFCI provide</w:t>
      </w:r>
      <w:r>
        <w:rPr>
          <w:spacing w:val="-1"/>
        </w:rPr>
        <w:t xml:space="preserve"> </w:t>
      </w:r>
      <w:r>
        <w:t>radiology,</w:t>
      </w:r>
      <w:r>
        <w:rPr>
          <w:spacing w:val="-4"/>
        </w:rPr>
        <w:t xml:space="preserve"> </w:t>
      </w:r>
      <w:r>
        <w:t>pathology,</w:t>
      </w:r>
      <w:r>
        <w:rPr>
          <w:spacing w:val="-1"/>
        </w:rPr>
        <w:t xml:space="preserve"> </w:t>
      </w:r>
      <w:r>
        <w:t>and radiation</w:t>
      </w:r>
      <w:r>
        <w:rPr>
          <w:spacing w:val="-3"/>
        </w:rPr>
        <w:t xml:space="preserve"> </w:t>
      </w:r>
      <w:r>
        <w:t>therapy</w:t>
      </w:r>
      <w:r>
        <w:rPr>
          <w:spacing w:val="-4"/>
        </w:rPr>
        <w:t xml:space="preserve"> </w:t>
      </w:r>
      <w:r>
        <w:t>services.</w:t>
      </w:r>
      <w:r>
        <w:rPr>
          <w:spacing w:val="-4"/>
        </w:rPr>
        <w:t xml:space="preserve"> </w:t>
      </w:r>
      <w:r>
        <w:t>BWH</w:t>
      </w:r>
      <w:r>
        <w:rPr>
          <w:spacing w:val="-2"/>
        </w:rPr>
        <w:t xml:space="preserve"> </w:t>
      </w:r>
      <w:r>
        <w:t>and</w:t>
      </w:r>
      <w:r>
        <w:rPr>
          <w:spacing w:val="-3"/>
        </w:rPr>
        <w:t xml:space="preserve"> </w:t>
      </w:r>
      <w:r>
        <w:t>DFCI</w:t>
      </w:r>
      <w:r>
        <w:rPr>
          <w:spacing w:val="-4"/>
        </w:rPr>
        <w:t xml:space="preserve"> </w:t>
      </w:r>
      <w:r>
        <w:t>also</w:t>
      </w:r>
      <w:r>
        <w:rPr>
          <w:spacing w:val="-1"/>
        </w:rPr>
        <w:t xml:space="preserve"> </w:t>
      </w:r>
      <w:r>
        <w:t>follow</w:t>
      </w:r>
      <w:r>
        <w:rPr>
          <w:spacing w:val="-2"/>
        </w:rPr>
        <w:t xml:space="preserve"> </w:t>
      </w:r>
      <w:r>
        <w:t>this</w:t>
      </w:r>
      <w:r>
        <w:rPr>
          <w:spacing w:val="-3"/>
        </w:rPr>
        <w:t xml:space="preserve"> </w:t>
      </w:r>
      <w:r>
        <w:t>model at several joint outpatient sites. This model is unique, with other major oncology providers in Massachusetts (including</w:t>
      </w:r>
      <w:r>
        <w:rPr>
          <w:spacing w:val="-1"/>
        </w:rPr>
        <w:t xml:space="preserve"> </w:t>
      </w:r>
      <w:r>
        <w:t>BIDMC</w:t>
      </w:r>
      <w:r>
        <w:rPr>
          <w:spacing w:val="-1"/>
        </w:rPr>
        <w:t xml:space="preserve"> </w:t>
      </w:r>
      <w:r>
        <w:t>and MGH)</w:t>
      </w:r>
      <w:r>
        <w:rPr>
          <w:spacing w:val="-1"/>
        </w:rPr>
        <w:t xml:space="preserve"> </w:t>
      </w:r>
      <w:r>
        <w:t>and other specialty cancer care hospitals nationwide</w:t>
      </w:r>
    </w:p>
    <w:p w14:paraId="1C34E5DD" w14:textId="77777777" w:rsidR="004C558F" w:rsidRDefault="004C558F">
      <w:pPr>
        <w:pStyle w:val="BodyText"/>
        <w:rPr>
          <w:sz w:val="20"/>
        </w:rPr>
      </w:pPr>
    </w:p>
    <w:p w14:paraId="1C34E5DE" w14:textId="77777777" w:rsidR="004C558F" w:rsidRDefault="004C558F">
      <w:pPr>
        <w:pStyle w:val="BodyText"/>
        <w:rPr>
          <w:sz w:val="20"/>
        </w:rPr>
      </w:pPr>
    </w:p>
    <w:p w14:paraId="1C34E5DF" w14:textId="77777777" w:rsidR="004C558F" w:rsidRDefault="004C558F">
      <w:pPr>
        <w:pStyle w:val="BodyText"/>
        <w:rPr>
          <w:sz w:val="20"/>
        </w:rPr>
      </w:pPr>
    </w:p>
    <w:p w14:paraId="1C34E5E3" w14:textId="5DAF93AD" w:rsidR="00FF2871" w:rsidRPr="00FF2871" w:rsidRDefault="00461887" w:rsidP="00FF2871">
      <w:pPr>
        <w:pStyle w:val="BodyText"/>
        <w:spacing w:before="196"/>
        <w:rPr>
          <w:sz w:val="20"/>
        </w:rPr>
      </w:pPr>
      <w:bookmarkStart w:id="47" w:name="_bookmark53"/>
      <w:bookmarkStart w:id="48" w:name="_bookmark54"/>
      <w:bookmarkEnd w:id="47"/>
      <w:bookmarkEnd w:id="48"/>
      <w:r>
        <w:rPr>
          <w:spacing w:val="17"/>
          <w:position w:val="5"/>
          <w:sz w:val="13"/>
        </w:rPr>
        <w:t xml:space="preserve"> </w:t>
      </w:r>
      <w:bookmarkStart w:id="49" w:name="_bookmark55"/>
      <w:bookmarkEnd w:id="49"/>
    </w:p>
    <w:p w14:paraId="1C34E5E4" w14:textId="28DF427C" w:rsidR="004C558F" w:rsidRDefault="004C558F">
      <w:pPr>
        <w:ind w:left="959" w:right="972"/>
        <w:rPr>
          <w:sz w:val="20"/>
        </w:rPr>
      </w:pPr>
    </w:p>
    <w:p w14:paraId="1C34E5E5" w14:textId="77777777" w:rsidR="004C558F" w:rsidRDefault="004C558F">
      <w:pPr>
        <w:rPr>
          <w:sz w:val="20"/>
        </w:rPr>
        <w:sectPr w:rsidR="004C558F">
          <w:pgSz w:w="12240" w:h="15840"/>
          <w:pgMar w:top="1360" w:right="740" w:bottom="720" w:left="480" w:header="0" w:footer="521" w:gutter="0"/>
          <w:cols w:space="720"/>
        </w:sectPr>
      </w:pPr>
    </w:p>
    <w:p w14:paraId="1C34E5E6" w14:textId="0DD96FEE" w:rsidR="004C558F" w:rsidRDefault="00461887">
      <w:pPr>
        <w:pStyle w:val="BodyText"/>
        <w:spacing w:before="80" w:line="276" w:lineRule="auto"/>
        <w:ind w:left="960" w:right="1290"/>
        <w:rPr>
          <w:sz w:val="14"/>
        </w:rPr>
      </w:pPr>
      <w:r>
        <w:lastRenderedPageBreak/>
        <w:t>providing</w:t>
      </w:r>
      <w:r>
        <w:rPr>
          <w:spacing w:val="-4"/>
        </w:rPr>
        <w:t xml:space="preserve"> </w:t>
      </w:r>
      <w:r>
        <w:t>the</w:t>
      </w:r>
      <w:r>
        <w:rPr>
          <w:spacing w:val="-5"/>
        </w:rPr>
        <w:t xml:space="preserve"> </w:t>
      </w:r>
      <w:r>
        <w:t>full</w:t>
      </w:r>
      <w:r>
        <w:rPr>
          <w:spacing w:val="-5"/>
        </w:rPr>
        <w:t xml:space="preserve"> </w:t>
      </w:r>
      <w:r>
        <w:t>continuum</w:t>
      </w:r>
      <w:r>
        <w:rPr>
          <w:spacing w:val="-3"/>
        </w:rPr>
        <w:t xml:space="preserve"> </w:t>
      </w:r>
      <w:r>
        <w:t>of</w:t>
      </w:r>
      <w:r>
        <w:rPr>
          <w:spacing w:val="-2"/>
        </w:rPr>
        <w:t xml:space="preserve"> </w:t>
      </w:r>
      <w:r>
        <w:t>inpatient</w:t>
      </w:r>
      <w:r>
        <w:rPr>
          <w:spacing w:val="-4"/>
        </w:rPr>
        <w:t xml:space="preserve"> </w:t>
      </w:r>
      <w:r>
        <w:t>and</w:t>
      </w:r>
      <w:r>
        <w:rPr>
          <w:spacing w:val="-2"/>
        </w:rPr>
        <w:t xml:space="preserve"> </w:t>
      </w:r>
      <w:r>
        <w:t>outpatient</w:t>
      </w:r>
      <w:r>
        <w:rPr>
          <w:spacing w:val="-4"/>
        </w:rPr>
        <w:t xml:space="preserve"> </w:t>
      </w:r>
      <w:r>
        <w:t>oncology</w:t>
      </w:r>
      <w:r>
        <w:rPr>
          <w:spacing w:val="-5"/>
        </w:rPr>
        <w:t xml:space="preserve"> </w:t>
      </w:r>
      <w:r>
        <w:t>services</w:t>
      </w:r>
      <w:r>
        <w:rPr>
          <w:spacing w:val="-2"/>
        </w:rPr>
        <w:t xml:space="preserve"> </w:t>
      </w:r>
      <w:r>
        <w:t>including</w:t>
      </w:r>
      <w:r>
        <w:rPr>
          <w:spacing w:val="-5"/>
        </w:rPr>
        <w:t xml:space="preserve"> </w:t>
      </w:r>
      <w:r>
        <w:t>medical, surgical, radiation oncology, and ancillary care.</w:t>
      </w:r>
      <w:r>
        <w:rPr>
          <w:spacing w:val="-28"/>
        </w:rPr>
        <w:t xml:space="preserve"> </w:t>
      </w:r>
      <w:r w:rsidR="009A0F0D">
        <w:rPr>
          <w:rStyle w:val="FootnoteReference"/>
          <w:spacing w:val="-28"/>
        </w:rPr>
        <w:footnoteReference w:id="44"/>
      </w:r>
    </w:p>
    <w:p w14:paraId="1C34E5E7" w14:textId="77777777" w:rsidR="004C558F" w:rsidRDefault="004C558F">
      <w:pPr>
        <w:pStyle w:val="BodyText"/>
        <w:spacing w:before="38"/>
      </w:pPr>
    </w:p>
    <w:p w14:paraId="1C34E5E8" w14:textId="666513F4" w:rsidR="004C558F" w:rsidRDefault="00461887">
      <w:pPr>
        <w:pStyle w:val="BodyText"/>
        <w:spacing w:line="276" w:lineRule="auto"/>
        <w:ind w:left="959" w:right="1049" w:firstLine="720"/>
        <w:rPr>
          <w:sz w:val="14"/>
        </w:rPr>
      </w:pPr>
      <w:r>
        <w:t>DFCI</w:t>
      </w:r>
      <w:r>
        <w:rPr>
          <w:spacing w:val="-2"/>
        </w:rPr>
        <w:t xml:space="preserve"> </w:t>
      </w:r>
      <w:r>
        <w:t>provides</w:t>
      </w:r>
      <w:r>
        <w:rPr>
          <w:spacing w:val="-4"/>
        </w:rPr>
        <w:t xml:space="preserve"> </w:t>
      </w:r>
      <w:r>
        <w:t>extensive</w:t>
      </w:r>
      <w:r>
        <w:rPr>
          <w:spacing w:val="-2"/>
        </w:rPr>
        <w:t xml:space="preserve"> </w:t>
      </w:r>
      <w:r>
        <w:t>hospital</w:t>
      </w:r>
      <w:r>
        <w:rPr>
          <w:spacing w:val="-5"/>
        </w:rPr>
        <w:t xml:space="preserve"> </w:t>
      </w:r>
      <w:r>
        <w:t>outpatient</w:t>
      </w:r>
      <w:r>
        <w:rPr>
          <w:spacing w:val="-3"/>
        </w:rPr>
        <w:t xml:space="preserve"> </w:t>
      </w:r>
      <w:r>
        <w:t>services,</w:t>
      </w:r>
      <w:r>
        <w:rPr>
          <w:spacing w:val="-2"/>
        </w:rPr>
        <w:t xml:space="preserve"> </w:t>
      </w:r>
      <w:r>
        <w:t>with</w:t>
      </w:r>
      <w:r>
        <w:rPr>
          <w:spacing w:val="-2"/>
        </w:rPr>
        <w:t xml:space="preserve"> </w:t>
      </w:r>
      <w:r>
        <w:t>97.7%</w:t>
      </w:r>
      <w:r>
        <w:rPr>
          <w:spacing w:val="-5"/>
        </w:rPr>
        <w:t xml:space="preserve"> </w:t>
      </w:r>
      <w:r>
        <w:t>of</w:t>
      </w:r>
      <w:r>
        <w:rPr>
          <w:spacing w:val="-4"/>
        </w:rPr>
        <w:t xml:space="preserve"> </w:t>
      </w:r>
      <w:r>
        <w:t>DFCI’s</w:t>
      </w:r>
      <w:r>
        <w:rPr>
          <w:spacing w:val="-2"/>
        </w:rPr>
        <w:t xml:space="preserve"> </w:t>
      </w:r>
      <w:r>
        <w:t>patient</w:t>
      </w:r>
      <w:r>
        <w:rPr>
          <w:spacing w:val="-3"/>
        </w:rPr>
        <w:t xml:space="preserve"> </w:t>
      </w:r>
      <w:r>
        <w:t>service revenue coming from outpatient services in FY2023.</w:t>
      </w:r>
      <w:r w:rsidR="0079661E">
        <w:rPr>
          <w:rStyle w:val="FootnoteReference"/>
        </w:rPr>
        <w:footnoteReference w:id="45"/>
      </w:r>
      <w:r>
        <w:rPr>
          <w:spacing w:val="33"/>
          <w:position w:val="5"/>
          <w:sz w:val="14"/>
        </w:rPr>
        <w:t xml:space="preserve"> </w:t>
      </w:r>
      <w:r>
        <w:t>DFCI provides outpatient services at its main</w:t>
      </w:r>
      <w:r>
        <w:rPr>
          <w:spacing w:val="-3"/>
        </w:rPr>
        <w:t xml:space="preserve"> </w:t>
      </w:r>
      <w:r>
        <w:t>campus in</w:t>
      </w:r>
      <w:r>
        <w:rPr>
          <w:spacing w:val="-1"/>
        </w:rPr>
        <w:t xml:space="preserve"> </w:t>
      </w:r>
      <w:r>
        <w:t>Boston</w:t>
      </w:r>
      <w:r>
        <w:rPr>
          <w:spacing w:val="-1"/>
        </w:rPr>
        <w:t xml:space="preserve"> </w:t>
      </w:r>
      <w:r>
        <w:t>in</w:t>
      </w:r>
      <w:r>
        <w:rPr>
          <w:spacing w:val="-3"/>
        </w:rPr>
        <w:t xml:space="preserve"> </w:t>
      </w:r>
      <w:r>
        <w:t>coordination</w:t>
      </w:r>
      <w:r>
        <w:rPr>
          <w:spacing w:val="-1"/>
        </w:rPr>
        <w:t xml:space="preserve"> </w:t>
      </w:r>
      <w:r>
        <w:t>with</w:t>
      </w:r>
      <w:r>
        <w:rPr>
          <w:spacing w:val="-3"/>
        </w:rPr>
        <w:t xml:space="preserve"> </w:t>
      </w:r>
      <w:r>
        <w:t>BWH,</w:t>
      </w:r>
      <w:r>
        <w:rPr>
          <w:spacing w:val="-4"/>
        </w:rPr>
        <w:t xml:space="preserve"> </w:t>
      </w:r>
      <w:r>
        <w:t>as</w:t>
      </w:r>
      <w:r>
        <w:rPr>
          <w:spacing w:val="-1"/>
        </w:rPr>
        <w:t xml:space="preserve"> </w:t>
      </w:r>
      <w:r>
        <w:t>well</w:t>
      </w:r>
      <w:r>
        <w:rPr>
          <w:spacing w:val="-2"/>
        </w:rPr>
        <w:t xml:space="preserve"> </w:t>
      </w:r>
      <w:r>
        <w:t>as</w:t>
      </w:r>
      <w:r>
        <w:rPr>
          <w:spacing w:val="-1"/>
        </w:rPr>
        <w:t xml:space="preserve"> </w:t>
      </w:r>
      <w:r>
        <w:t>nine</w:t>
      </w:r>
      <w:r>
        <w:rPr>
          <w:spacing w:val="-1"/>
        </w:rPr>
        <w:t xml:space="preserve"> </w:t>
      </w:r>
      <w:r>
        <w:t>other</w:t>
      </w:r>
      <w:r>
        <w:rPr>
          <w:spacing w:val="-2"/>
        </w:rPr>
        <w:t xml:space="preserve"> </w:t>
      </w:r>
      <w:r>
        <w:t>hospital</w:t>
      </w:r>
      <w:r>
        <w:rPr>
          <w:spacing w:val="-2"/>
        </w:rPr>
        <w:t xml:space="preserve"> </w:t>
      </w:r>
      <w:r>
        <w:t>satellites.</w:t>
      </w:r>
      <w:r w:rsidR="00CE692F">
        <w:rPr>
          <w:rStyle w:val="FootnoteReference"/>
        </w:rPr>
        <w:footnoteReference w:id="46"/>
      </w:r>
      <w:r>
        <w:rPr>
          <w:spacing w:val="19"/>
          <w:position w:val="5"/>
          <w:sz w:val="14"/>
        </w:rPr>
        <w:t xml:space="preserve"> </w:t>
      </w:r>
      <w:r>
        <w:t>DFCI operates several of these satellites in collaboration with BWH and other provider organizations: Milford (BWH and Milford Regional Medical Center), Weymouth (BWH and South Shore Hospital), Foxborough (BWH), and Chestnut Hill (BWH).</w:t>
      </w:r>
      <w:r>
        <w:rPr>
          <w:spacing w:val="-32"/>
        </w:rPr>
        <w:t xml:space="preserve"> </w:t>
      </w:r>
      <w:r w:rsidR="00236043">
        <w:rPr>
          <w:rStyle w:val="FootnoteReference"/>
          <w:spacing w:val="-32"/>
        </w:rPr>
        <w:footnoteReference w:id="47"/>
      </w:r>
      <w:r>
        <w:t>In 2014, DFCI acquired Commonwealth Hematology-</w:t>
      </w:r>
      <w:proofErr w:type="gramStart"/>
      <w:r>
        <w:t>Oncology</w:t>
      </w:r>
      <w:proofErr w:type="gramEnd"/>
      <w:r>
        <w:t xml:space="preserve"> a non-profit hematology and oncology physician organization, acquiring eight clinics and two radiation oncology treatment centers; DFCI subsequently closed most of these clinic locations or consolidated them into hospital-licensed sites.</w:t>
      </w:r>
      <w:r>
        <w:rPr>
          <w:spacing w:val="-31"/>
        </w:rPr>
        <w:t xml:space="preserve"> </w:t>
      </w:r>
      <w:r w:rsidR="00F262A4">
        <w:rPr>
          <w:rStyle w:val="FootnoteReference"/>
          <w:spacing w:val="-31"/>
        </w:rPr>
        <w:footnoteReference w:id="48"/>
      </w:r>
    </w:p>
    <w:p w14:paraId="1C34E5E9" w14:textId="77777777" w:rsidR="004C558F" w:rsidRDefault="004C558F">
      <w:pPr>
        <w:pStyle w:val="BodyText"/>
        <w:spacing w:before="116"/>
      </w:pPr>
    </w:p>
    <w:p w14:paraId="1C34E5EA" w14:textId="77777777" w:rsidR="004C558F" w:rsidRDefault="00461887">
      <w:pPr>
        <w:pStyle w:val="ListParagraph"/>
        <w:numPr>
          <w:ilvl w:val="0"/>
          <w:numId w:val="14"/>
        </w:numPr>
        <w:tabs>
          <w:tab w:val="left" w:pos="959"/>
        </w:tabs>
        <w:ind w:left="959" w:hanging="359"/>
      </w:pPr>
      <w:bookmarkStart w:id="50" w:name="b._Other_Clinical_Affiliations"/>
      <w:bookmarkEnd w:id="50"/>
      <w:r>
        <w:rPr>
          <w:color w:val="063656"/>
        </w:rPr>
        <w:t>Other</w:t>
      </w:r>
      <w:r>
        <w:rPr>
          <w:color w:val="063656"/>
          <w:spacing w:val="-4"/>
        </w:rPr>
        <w:t xml:space="preserve"> </w:t>
      </w:r>
      <w:r>
        <w:rPr>
          <w:color w:val="063656"/>
        </w:rPr>
        <w:t>Clinical</w:t>
      </w:r>
      <w:r>
        <w:rPr>
          <w:color w:val="063656"/>
          <w:spacing w:val="-4"/>
        </w:rPr>
        <w:t xml:space="preserve"> </w:t>
      </w:r>
      <w:r>
        <w:rPr>
          <w:color w:val="063656"/>
          <w:spacing w:val="-2"/>
        </w:rPr>
        <w:t>Affiliations</w:t>
      </w:r>
    </w:p>
    <w:p w14:paraId="1C34E5EB" w14:textId="77777777" w:rsidR="004C558F" w:rsidRDefault="004C558F">
      <w:pPr>
        <w:pStyle w:val="BodyText"/>
        <w:spacing w:before="77"/>
      </w:pPr>
    </w:p>
    <w:p w14:paraId="1C34E5EC" w14:textId="33E670F2" w:rsidR="004C558F" w:rsidRDefault="00461887">
      <w:pPr>
        <w:pStyle w:val="BodyText"/>
        <w:spacing w:line="276" w:lineRule="auto"/>
        <w:ind w:left="959" w:right="943" w:firstLine="720"/>
      </w:pPr>
      <w:r>
        <w:t>In addition to services at its own licensed sites, DFCI staffs oncology services on the campuses of some affiliated healthcare providers including Lawrence General Hospital, Milford Regional Medical Center, South Shore Hospital, St. Elizabeth’s Medical Center, Whittier Street Health Center, and</w:t>
      </w:r>
      <w:r>
        <w:rPr>
          <w:spacing w:val="-2"/>
        </w:rPr>
        <w:t xml:space="preserve"> </w:t>
      </w:r>
      <w:r>
        <w:t>Dimock</w:t>
      </w:r>
      <w:r>
        <w:rPr>
          <w:spacing w:val="-1"/>
        </w:rPr>
        <w:t xml:space="preserve"> </w:t>
      </w:r>
      <w:r>
        <w:t>Community</w:t>
      </w:r>
      <w:r>
        <w:rPr>
          <w:spacing w:val="-1"/>
        </w:rPr>
        <w:t xml:space="preserve"> </w:t>
      </w:r>
      <w:r>
        <w:t>Health Center.</w:t>
      </w:r>
      <w:r w:rsidR="00C36F02">
        <w:rPr>
          <w:rStyle w:val="FootnoteReference"/>
        </w:rPr>
        <w:footnoteReference w:id="49"/>
      </w:r>
      <w:r>
        <w:rPr>
          <w:spacing w:val="20"/>
          <w:position w:val="5"/>
          <w:sz w:val="14"/>
        </w:rPr>
        <w:t xml:space="preserve"> </w:t>
      </w:r>
      <w:r>
        <w:t>DFCI also leads the</w:t>
      </w:r>
      <w:r>
        <w:rPr>
          <w:spacing w:val="-2"/>
        </w:rPr>
        <w:t xml:space="preserve"> </w:t>
      </w:r>
      <w:r>
        <w:t>Dana-Farber</w:t>
      </w:r>
      <w:r>
        <w:rPr>
          <w:spacing w:val="-1"/>
        </w:rPr>
        <w:t xml:space="preserve"> </w:t>
      </w:r>
      <w:r>
        <w:t>Cancer Care</w:t>
      </w:r>
      <w:r>
        <w:rPr>
          <w:spacing w:val="-3"/>
        </w:rPr>
        <w:t xml:space="preserve"> </w:t>
      </w:r>
      <w:r>
        <w:t>Collaborative,</w:t>
      </w:r>
      <w:r>
        <w:rPr>
          <w:spacing w:val="-3"/>
        </w:rPr>
        <w:t xml:space="preserve"> </w:t>
      </w:r>
      <w:r>
        <w:t>a</w:t>
      </w:r>
      <w:r>
        <w:rPr>
          <w:spacing w:val="-2"/>
        </w:rPr>
        <w:t xml:space="preserve"> </w:t>
      </w:r>
      <w:r>
        <w:t>group</w:t>
      </w:r>
      <w:r>
        <w:rPr>
          <w:spacing w:val="-4"/>
        </w:rPr>
        <w:t xml:space="preserve"> </w:t>
      </w:r>
      <w:r>
        <w:t>of</w:t>
      </w:r>
      <w:r>
        <w:rPr>
          <w:spacing w:val="-5"/>
        </w:rPr>
        <w:t xml:space="preserve"> </w:t>
      </w:r>
      <w:r>
        <w:t>hospitals</w:t>
      </w:r>
      <w:r>
        <w:rPr>
          <w:spacing w:val="-3"/>
        </w:rPr>
        <w:t xml:space="preserve"> </w:t>
      </w:r>
      <w:r>
        <w:t>with</w:t>
      </w:r>
      <w:r>
        <w:rPr>
          <w:spacing w:val="-3"/>
        </w:rPr>
        <w:t xml:space="preserve"> </w:t>
      </w:r>
      <w:r>
        <w:t>clinical</w:t>
      </w:r>
      <w:r>
        <w:rPr>
          <w:spacing w:val="-6"/>
        </w:rPr>
        <w:t xml:space="preserve"> </w:t>
      </w:r>
      <w:r>
        <w:t>affiliations</w:t>
      </w:r>
      <w:r>
        <w:rPr>
          <w:spacing w:val="-3"/>
        </w:rPr>
        <w:t xml:space="preserve"> </w:t>
      </w:r>
      <w:r>
        <w:t>that</w:t>
      </w:r>
      <w:r>
        <w:rPr>
          <w:spacing w:val="-4"/>
        </w:rPr>
        <w:t xml:space="preserve"> </w:t>
      </w:r>
      <w:r>
        <w:t>receive</w:t>
      </w:r>
      <w:r>
        <w:rPr>
          <w:spacing w:val="-5"/>
        </w:rPr>
        <w:t xml:space="preserve"> </w:t>
      </w:r>
      <w:r>
        <w:t>DFCI’s</w:t>
      </w:r>
      <w:r>
        <w:rPr>
          <w:spacing w:val="-3"/>
        </w:rPr>
        <w:t xml:space="preserve"> </w:t>
      </w:r>
      <w:r>
        <w:t>endorsement, access to services and education, and enhanced access to DFCI clinicians and care.</w:t>
      </w:r>
      <w:r>
        <w:rPr>
          <w:spacing w:val="-33"/>
        </w:rPr>
        <w:t xml:space="preserve"> </w:t>
      </w:r>
      <w:r w:rsidR="00DF2E17">
        <w:rPr>
          <w:rStyle w:val="FootnoteReference"/>
          <w:spacing w:val="-33"/>
        </w:rPr>
        <w:footnoteReference w:id="50"/>
      </w:r>
      <w:r>
        <w:t>Massachusetts hospitals in the Cancer Care Collaborative include UMass Memorial Medical Center, Berkshire Medical Center, and Cape Cod Hospital.</w:t>
      </w:r>
      <w:r>
        <w:rPr>
          <w:spacing w:val="-34"/>
        </w:rPr>
        <w:t xml:space="preserve"> </w:t>
      </w:r>
      <w:r w:rsidR="00647633">
        <w:rPr>
          <w:rStyle w:val="FootnoteReference"/>
          <w:spacing w:val="-34"/>
        </w:rPr>
        <w:footnoteReference w:id="51"/>
      </w:r>
      <w:r>
        <w:t>Outside of Massachusetts, DFCI supports cancer care programs at Northern Light Health in Maine, Stamford Hospital in</w:t>
      </w:r>
    </w:p>
    <w:p w14:paraId="1C34E5ED" w14:textId="57316A64" w:rsidR="004C558F" w:rsidRDefault="004C558F">
      <w:pPr>
        <w:pStyle w:val="BodyText"/>
        <w:spacing w:before="3"/>
        <w:rPr>
          <w:sz w:val="17"/>
        </w:rPr>
      </w:pPr>
    </w:p>
    <w:p w14:paraId="1C34E5F7" w14:textId="2767E10D" w:rsidR="004C558F" w:rsidRDefault="00461887">
      <w:pPr>
        <w:ind w:left="960"/>
        <w:rPr>
          <w:sz w:val="20"/>
        </w:rPr>
      </w:pPr>
      <w:bookmarkStart w:id="51" w:name="_bookmark56"/>
      <w:bookmarkStart w:id="52" w:name="_bookmark58"/>
      <w:bookmarkStart w:id="53" w:name="_bookmark60"/>
      <w:bookmarkStart w:id="54" w:name="_bookmark63"/>
      <w:bookmarkEnd w:id="51"/>
      <w:bookmarkEnd w:id="52"/>
      <w:bookmarkEnd w:id="53"/>
      <w:bookmarkEnd w:id="54"/>
      <w:r>
        <w:rPr>
          <w:spacing w:val="16"/>
          <w:position w:val="5"/>
          <w:sz w:val="13"/>
        </w:rPr>
        <w:t xml:space="preserve"> </w:t>
      </w:r>
    </w:p>
    <w:p w14:paraId="1C34E5F8" w14:textId="77777777" w:rsidR="004C558F" w:rsidRDefault="004C558F">
      <w:pPr>
        <w:rPr>
          <w:sz w:val="20"/>
        </w:rPr>
        <w:sectPr w:rsidR="004C558F">
          <w:pgSz w:w="12240" w:h="15840"/>
          <w:pgMar w:top="1360" w:right="740" w:bottom="720" w:left="480" w:header="0" w:footer="521" w:gutter="0"/>
          <w:cols w:space="720"/>
        </w:sectPr>
      </w:pPr>
    </w:p>
    <w:p w14:paraId="1C34E5F9" w14:textId="23A3BBDF" w:rsidR="004C558F" w:rsidRDefault="00461887">
      <w:pPr>
        <w:pStyle w:val="BodyText"/>
        <w:spacing w:before="80" w:line="276" w:lineRule="auto"/>
        <w:ind w:left="960" w:right="1353"/>
        <w:rPr>
          <w:sz w:val="14"/>
        </w:rPr>
      </w:pPr>
      <w:r>
        <w:lastRenderedPageBreak/>
        <w:t>Connecticut,</w:t>
      </w:r>
      <w:r>
        <w:rPr>
          <w:spacing w:val="-3"/>
        </w:rPr>
        <w:t xml:space="preserve"> </w:t>
      </w:r>
      <w:r>
        <w:t>Brown</w:t>
      </w:r>
      <w:r>
        <w:rPr>
          <w:spacing w:val="-5"/>
        </w:rPr>
        <w:t xml:space="preserve"> </w:t>
      </w:r>
      <w:r>
        <w:t>University</w:t>
      </w:r>
      <w:r>
        <w:rPr>
          <w:spacing w:val="-4"/>
        </w:rPr>
        <w:t xml:space="preserve"> </w:t>
      </w:r>
      <w:r>
        <w:t>Health</w:t>
      </w:r>
      <w:r>
        <w:rPr>
          <w:spacing w:val="-5"/>
        </w:rPr>
        <w:t xml:space="preserve"> </w:t>
      </w:r>
      <w:r>
        <w:t>(formerly</w:t>
      </w:r>
      <w:r>
        <w:rPr>
          <w:spacing w:val="-4"/>
        </w:rPr>
        <w:t xml:space="preserve"> </w:t>
      </w:r>
      <w:r>
        <w:t>Lifespan)</w:t>
      </w:r>
      <w:r>
        <w:rPr>
          <w:spacing w:val="-3"/>
        </w:rPr>
        <w:t xml:space="preserve"> </w:t>
      </w:r>
      <w:r>
        <w:t>in</w:t>
      </w:r>
      <w:r>
        <w:rPr>
          <w:spacing w:val="-3"/>
        </w:rPr>
        <w:t xml:space="preserve"> </w:t>
      </w:r>
      <w:r>
        <w:t>Rhode</w:t>
      </w:r>
      <w:r>
        <w:rPr>
          <w:spacing w:val="-3"/>
        </w:rPr>
        <w:t xml:space="preserve"> </w:t>
      </w:r>
      <w:r>
        <w:t>Island,</w:t>
      </w:r>
      <w:r>
        <w:rPr>
          <w:spacing w:val="-6"/>
        </w:rPr>
        <w:t xml:space="preserve"> </w:t>
      </w:r>
      <w:r>
        <w:t>and</w:t>
      </w:r>
      <w:r>
        <w:rPr>
          <w:spacing w:val="-5"/>
        </w:rPr>
        <w:t xml:space="preserve"> </w:t>
      </w:r>
      <w:r>
        <w:t>New</w:t>
      </w:r>
      <w:r>
        <w:rPr>
          <w:spacing w:val="-4"/>
        </w:rPr>
        <w:t xml:space="preserve"> </w:t>
      </w:r>
      <w:r>
        <w:t xml:space="preserve">Hampshire </w:t>
      </w:r>
      <w:r>
        <w:rPr>
          <w:spacing w:val="-2"/>
        </w:rPr>
        <w:t>Oncology-Hematology.</w:t>
      </w:r>
      <w:r w:rsidR="00B679A0">
        <w:rPr>
          <w:rStyle w:val="FootnoteReference"/>
          <w:spacing w:val="-2"/>
        </w:rPr>
        <w:footnoteReference w:id="52"/>
      </w:r>
      <w:r w:rsidR="00B679A0">
        <w:rPr>
          <w:sz w:val="14"/>
        </w:rPr>
        <w:t xml:space="preserve"> </w:t>
      </w:r>
    </w:p>
    <w:p w14:paraId="1C34E5FA" w14:textId="77777777" w:rsidR="004C558F" w:rsidRDefault="004C558F">
      <w:pPr>
        <w:pStyle w:val="BodyText"/>
        <w:spacing w:before="38"/>
      </w:pPr>
    </w:p>
    <w:p w14:paraId="1C34E5FB" w14:textId="7516AB35" w:rsidR="004C558F" w:rsidRDefault="00461887">
      <w:pPr>
        <w:pStyle w:val="BodyText"/>
        <w:spacing w:line="276" w:lineRule="auto"/>
        <w:ind w:left="959" w:right="943" w:firstLine="720"/>
        <w:rPr>
          <w:sz w:val="14"/>
        </w:rPr>
      </w:pPr>
      <w:r>
        <w:t>For</w:t>
      </w:r>
      <w:r>
        <w:rPr>
          <w:spacing w:val="-3"/>
        </w:rPr>
        <w:t xml:space="preserve"> </w:t>
      </w:r>
      <w:r>
        <w:t>pediatric</w:t>
      </w:r>
      <w:r>
        <w:rPr>
          <w:spacing w:val="-2"/>
        </w:rPr>
        <w:t xml:space="preserve"> </w:t>
      </w:r>
      <w:r>
        <w:t>care,</w:t>
      </w:r>
      <w:r>
        <w:rPr>
          <w:spacing w:val="-5"/>
        </w:rPr>
        <w:t xml:space="preserve"> </w:t>
      </w:r>
      <w:r>
        <w:t>DFCI</w:t>
      </w:r>
      <w:r>
        <w:rPr>
          <w:spacing w:val="-5"/>
        </w:rPr>
        <w:t xml:space="preserve"> </w:t>
      </w:r>
      <w:r>
        <w:t>has</w:t>
      </w:r>
      <w:r>
        <w:rPr>
          <w:spacing w:val="-4"/>
        </w:rPr>
        <w:t xml:space="preserve"> </w:t>
      </w:r>
      <w:r>
        <w:t>an</w:t>
      </w:r>
      <w:r>
        <w:rPr>
          <w:spacing w:val="-4"/>
        </w:rPr>
        <w:t xml:space="preserve"> </w:t>
      </w:r>
      <w:r>
        <w:t>affiliation</w:t>
      </w:r>
      <w:r>
        <w:rPr>
          <w:spacing w:val="-4"/>
        </w:rPr>
        <w:t xml:space="preserve"> </w:t>
      </w:r>
      <w:r>
        <w:t>with</w:t>
      </w:r>
      <w:r>
        <w:rPr>
          <w:spacing w:val="-2"/>
        </w:rPr>
        <w:t xml:space="preserve"> </w:t>
      </w:r>
      <w:r>
        <w:t>Boston</w:t>
      </w:r>
      <w:r>
        <w:rPr>
          <w:spacing w:val="-2"/>
        </w:rPr>
        <w:t xml:space="preserve"> </w:t>
      </w:r>
      <w:r>
        <w:t>Children’s</w:t>
      </w:r>
      <w:r>
        <w:rPr>
          <w:spacing w:val="-1"/>
        </w:rPr>
        <w:t xml:space="preserve"> </w:t>
      </w:r>
      <w:r>
        <w:t>Hospital</w:t>
      </w:r>
      <w:r>
        <w:rPr>
          <w:spacing w:val="-3"/>
        </w:rPr>
        <w:t xml:space="preserve"> </w:t>
      </w:r>
      <w:r>
        <w:t>(BCH),</w:t>
      </w:r>
      <w:r>
        <w:rPr>
          <w:spacing w:val="-2"/>
        </w:rPr>
        <w:t xml:space="preserve"> </w:t>
      </w:r>
      <w:r>
        <w:t>the</w:t>
      </w:r>
      <w:r>
        <w:rPr>
          <w:spacing w:val="-4"/>
        </w:rPr>
        <w:t xml:space="preserve"> </w:t>
      </w:r>
      <w:r>
        <w:t>Dana- Farber/Boston Children's Cancer and Blood Disorders Center. Under this partnership, DFCI provides outpatient pediatric medical oncology and certain hematology services on the BCH campus, and DFCI physicians round on BCH inpatients.</w:t>
      </w:r>
      <w:r>
        <w:rPr>
          <w:spacing w:val="-30"/>
        </w:rPr>
        <w:t xml:space="preserve"> </w:t>
      </w:r>
      <w:r w:rsidR="00B07781">
        <w:rPr>
          <w:rStyle w:val="FootnoteReference"/>
          <w:spacing w:val="-30"/>
        </w:rPr>
        <w:footnoteReference w:id="53"/>
      </w:r>
    </w:p>
    <w:p w14:paraId="1C34E5FC" w14:textId="77777777" w:rsidR="004C558F" w:rsidRDefault="004C558F">
      <w:pPr>
        <w:pStyle w:val="BodyText"/>
        <w:spacing w:before="36"/>
      </w:pPr>
    </w:p>
    <w:p w14:paraId="1C34E5FD" w14:textId="77777777" w:rsidR="004C558F" w:rsidRDefault="00461887">
      <w:pPr>
        <w:pStyle w:val="BodyText"/>
        <w:ind w:right="4"/>
        <w:jc w:val="center"/>
      </w:pPr>
      <w:r>
        <w:rPr>
          <w:noProof/>
        </w:rPr>
        <w:drawing>
          <wp:anchor distT="0" distB="0" distL="0" distR="0" simplePos="0" relativeHeight="251638784" behindDoc="1" locked="0" layoutInCell="1" allowOverlap="1" wp14:anchorId="1C34F0CE" wp14:editId="238B91DA">
            <wp:simplePos x="0" y="0"/>
            <wp:positionH relativeFrom="page">
              <wp:posOffset>914400</wp:posOffset>
            </wp:positionH>
            <wp:positionV relativeFrom="paragraph">
              <wp:posOffset>183160</wp:posOffset>
            </wp:positionV>
            <wp:extent cx="5906692" cy="3968496"/>
            <wp:effectExtent l="0" t="0" r="0" b="0"/>
            <wp:wrapTopAndBottom/>
            <wp:docPr id="40" name="Image 40" descr="Map of Massachusetts - DFCI Locations and Affili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Map of Massachusetts - DFCI Locations and Affiliates"/>
                    <pic:cNvPicPr/>
                  </pic:nvPicPr>
                  <pic:blipFill>
                    <a:blip r:embed="rId29" cstate="print"/>
                    <a:stretch>
                      <a:fillRect/>
                    </a:stretch>
                  </pic:blipFill>
                  <pic:spPr>
                    <a:xfrm>
                      <a:off x="0" y="0"/>
                      <a:ext cx="5906692" cy="3968496"/>
                    </a:xfrm>
                    <a:prstGeom prst="rect">
                      <a:avLst/>
                    </a:prstGeom>
                  </pic:spPr>
                </pic:pic>
              </a:graphicData>
            </a:graphic>
          </wp:anchor>
        </w:drawing>
      </w:r>
      <w:r>
        <w:t>DFCI</w:t>
      </w:r>
      <w:r>
        <w:rPr>
          <w:spacing w:val="-4"/>
        </w:rPr>
        <w:t xml:space="preserve"> </w:t>
      </w:r>
      <w:r>
        <w:t>Locations</w:t>
      </w:r>
      <w:r>
        <w:rPr>
          <w:spacing w:val="-3"/>
        </w:rPr>
        <w:t xml:space="preserve"> </w:t>
      </w:r>
      <w:r>
        <w:t>and</w:t>
      </w:r>
      <w:r>
        <w:rPr>
          <w:spacing w:val="-2"/>
        </w:rPr>
        <w:t xml:space="preserve"> Affiliates</w:t>
      </w:r>
    </w:p>
    <w:p w14:paraId="1C34E5FE" w14:textId="77777777" w:rsidR="004C558F" w:rsidRDefault="004C558F">
      <w:pPr>
        <w:pStyle w:val="BodyText"/>
        <w:spacing w:before="227"/>
      </w:pPr>
    </w:p>
    <w:p w14:paraId="1C34E5FF" w14:textId="77777777" w:rsidR="004C558F" w:rsidRDefault="00461887">
      <w:pPr>
        <w:pStyle w:val="Heading3"/>
        <w:numPr>
          <w:ilvl w:val="2"/>
          <w:numId w:val="16"/>
        </w:numPr>
        <w:tabs>
          <w:tab w:val="left" w:pos="959"/>
        </w:tabs>
        <w:ind w:left="959" w:hanging="359"/>
        <w:rPr>
          <w:color w:val="042339"/>
        </w:rPr>
      </w:pPr>
      <w:bookmarkStart w:id="55" w:name="2._BIDMC_and_Beth_Israel_Lahey_Health"/>
      <w:bookmarkEnd w:id="55"/>
      <w:r>
        <w:rPr>
          <w:color w:val="042339"/>
        </w:rPr>
        <w:t>BIDMC</w:t>
      </w:r>
      <w:r>
        <w:rPr>
          <w:color w:val="042339"/>
          <w:spacing w:val="-6"/>
        </w:rPr>
        <w:t xml:space="preserve"> </w:t>
      </w:r>
      <w:r>
        <w:rPr>
          <w:color w:val="042339"/>
        </w:rPr>
        <w:t>and</w:t>
      </w:r>
      <w:r>
        <w:rPr>
          <w:color w:val="042339"/>
          <w:spacing w:val="-7"/>
        </w:rPr>
        <w:t xml:space="preserve"> </w:t>
      </w:r>
      <w:r>
        <w:rPr>
          <w:color w:val="042339"/>
        </w:rPr>
        <w:t>Beth</w:t>
      </w:r>
      <w:r>
        <w:rPr>
          <w:color w:val="042339"/>
          <w:spacing w:val="-7"/>
        </w:rPr>
        <w:t xml:space="preserve"> </w:t>
      </w:r>
      <w:r>
        <w:rPr>
          <w:color w:val="042339"/>
        </w:rPr>
        <w:t>Israel</w:t>
      </w:r>
      <w:r>
        <w:rPr>
          <w:color w:val="042339"/>
          <w:spacing w:val="-8"/>
        </w:rPr>
        <w:t xml:space="preserve"> </w:t>
      </w:r>
      <w:r>
        <w:rPr>
          <w:color w:val="042339"/>
        </w:rPr>
        <w:t>Lahey</w:t>
      </w:r>
      <w:r>
        <w:rPr>
          <w:color w:val="042339"/>
          <w:spacing w:val="-6"/>
        </w:rPr>
        <w:t xml:space="preserve"> </w:t>
      </w:r>
      <w:r>
        <w:rPr>
          <w:color w:val="042339"/>
          <w:spacing w:val="-2"/>
        </w:rPr>
        <w:t>Health</w:t>
      </w:r>
    </w:p>
    <w:p w14:paraId="1C34E600" w14:textId="77777777" w:rsidR="004C558F" w:rsidRDefault="004C558F">
      <w:pPr>
        <w:pStyle w:val="BodyText"/>
        <w:spacing w:before="71"/>
        <w:rPr>
          <w:rFonts w:ascii="Franklin Gothic Medium"/>
          <w:sz w:val="26"/>
        </w:rPr>
      </w:pPr>
    </w:p>
    <w:p w14:paraId="1C34E601" w14:textId="77777777" w:rsidR="004C558F" w:rsidRDefault="00461887">
      <w:pPr>
        <w:pStyle w:val="BodyText"/>
        <w:spacing w:line="276" w:lineRule="auto"/>
        <w:ind w:left="959" w:right="1034" w:firstLine="720"/>
      </w:pPr>
      <w:r>
        <w:t>BIDMC</w:t>
      </w:r>
      <w:r>
        <w:rPr>
          <w:spacing w:val="-3"/>
        </w:rPr>
        <w:t xml:space="preserve"> </w:t>
      </w:r>
      <w:r>
        <w:t>is</w:t>
      </w:r>
      <w:r>
        <w:rPr>
          <w:spacing w:val="-2"/>
        </w:rPr>
        <w:t xml:space="preserve"> </w:t>
      </w:r>
      <w:r>
        <w:t>an</w:t>
      </w:r>
      <w:r>
        <w:rPr>
          <w:spacing w:val="-3"/>
        </w:rPr>
        <w:t xml:space="preserve"> </w:t>
      </w:r>
      <w:r>
        <w:t>academic</w:t>
      </w:r>
      <w:r>
        <w:rPr>
          <w:spacing w:val="-3"/>
        </w:rPr>
        <w:t xml:space="preserve"> </w:t>
      </w:r>
      <w:r>
        <w:t>medical</w:t>
      </w:r>
      <w:r>
        <w:rPr>
          <w:spacing w:val="-4"/>
        </w:rPr>
        <w:t xml:space="preserve"> </w:t>
      </w:r>
      <w:r>
        <w:t>center</w:t>
      </w:r>
      <w:r>
        <w:rPr>
          <w:spacing w:val="-3"/>
        </w:rPr>
        <w:t xml:space="preserve"> </w:t>
      </w:r>
      <w:r>
        <w:t>(AMC)</w:t>
      </w:r>
      <w:r>
        <w:rPr>
          <w:spacing w:val="-2"/>
        </w:rPr>
        <w:t xml:space="preserve"> </w:t>
      </w:r>
      <w:r>
        <w:t>in</w:t>
      </w:r>
      <w:r>
        <w:rPr>
          <w:spacing w:val="-2"/>
        </w:rPr>
        <w:t xml:space="preserve"> </w:t>
      </w:r>
      <w:r>
        <w:t>the</w:t>
      </w:r>
      <w:r>
        <w:rPr>
          <w:spacing w:val="-2"/>
        </w:rPr>
        <w:t xml:space="preserve"> </w:t>
      </w:r>
      <w:r>
        <w:t>Longwood</w:t>
      </w:r>
      <w:r>
        <w:rPr>
          <w:spacing w:val="-3"/>
        </w:rPr>
        <w:t xml:space="preserve"> </w:t>
      </w:r>
      <w:r>
        <w:t>area</w:t>
      </w:r>
      <w:r>
        <w:rPr>
          <w:spacing w:val="-3"/>
        </w:rPr>
        <w:t xml:space="preserve"> </w:t>
      </w:r>
      <w:r>
        <w:t>of</w:t>
      </w:r>
      <w:r>
        <w:rPr>
          <w:spacing w:val="-3"/>
        </w:rPr>
        <w:t xml:space="preserve"> </w:t>
      </w:r>
      <w:r>
        <w:t>Boston</w:t>
      </w:r>
      <w:r>
        <w:rPr>
          <w:spacing w:val="-3"/>
        </w:rPr>
        <w:t xml:space="preserve"> </w:t>
      </w:r>
      <w:r>
        <w:t>and</w:t>
      </w:r>
      <w:r>
        <w:rPr>
          <w:spacing w:val="-1"/>
        </w:rPr>
        <w:t xml:space="preserve"> </w:t>
      </w:r>
      <w:r>
        <w:t>is</w:t>
      </w:r>
      <w:r>
        <w:rPr>
          <w:spacing w:val="-3"/>
        </w:rPr>
        <w:t xml:space="preserve"> </w:t>
      </w:r>
      <w:r>
        <w:t xml:space="preserve">the largest hospital of Beth Israel Lahey Health (BILH), a non-profit health care system formed in 2019 by the merger of Lahey Health System; </w:t>
      </w:r>
      <w:proofErr w:type="spellStart"/>
      <w:r>
        <w:t>CareGroup</w:t>
      </w:r>
      <w:proofErr w:type="spellEnd"/>
      <w:r>
        <w:t xml:space="preserve"> and its component parts, Beth Israel Deaconess Medical Center, New England Baptist Hospital, and Mount Auburn Hospital; and</w:t>
      </w:r>
    </w:p>
    <w:p w14:paraId="1C34E602" w14:textId="77777777" w:rsidR="004C558F" w:rsidRDefault="004C558F">
      <w:pPr>
        <w:pStyle w:val="BodyText"/>
        <w:rPr>
          <w:sz w:val="20"/>
        </w:rPr>
      </w:pPr>
    </w:p>
    <w:p w14:paraId="1C34E603" w14:textId="77777777" w:rsidR="004C558F" w:rsidRDefault="004C558F">
      <w:pPr>
        <w:pStyle w:val="BodyText"/>
        <w:rPr>
          <w:sz w:val="20"/>
        </w:rPr>
      </w:pPr>
    </w:p>
    <w:p w14:paraId="1C34E604" w14:textId="29E09E73" w:rsidR="004C558F" w:rsidRDefault="004C558F">
      <w:pPr>
        <w:pStyle w:val="BodyText"/>
        <w:spacing w:before="126"/>
        <w:rPr>
          <w:sz w:val="20"/>
        </w:rPr>
      </w:pPr>
    </w:p>
    <w:p w14:paraId="1C34E606" w14:textId="3F57E45D" w:rsidR="004C558F" w:rsidRDefault="004C558F">
      <w:pPr>
        <w:spacing w:before="2"/>
        <w:ind w:left="959" w:right="1351"/>
        <w:rPr>
          <w:sz w:val="20"/>
        </w:rPr>
      </w:pPr>
      <w:bookmarkStart w:id="56" w:name="_bookmark64"/>
      <w:bookmarkStart w:id="57" w:name="_bookmark65"/>
      <w:bookmarkEnd w:id="56"/>
      <w:bookmarkEnd w:id="57"/>
    </w:p>
    <w:p w14:paraId="1C34E607" w14:textId="77777777" w:rsidR="004C558F" w:rsidRDefault="004C558F">
      <w:pPr>
        <w:rPr>
          <w:sz w:val="20"/>
        </w:rPr>
        <w:sectPr w:rsidR="004C558F">
          <w:pgSz w:w="12240" w:h="15840"/>
          <w:pgMar w:top="1360" w:right="740" w:bottom="720" w:left="480" w:header="0" w:footer="521" w:gutter="0"/>
          <w:cols w:space="720"/>
        </w:sectPr>
      </w:pPr>
    </w:p>
    <w:p w14:paraId="1C34E608" w14:textId="4EDD82EF" w:rsidR="004C558F" w:rsidRDefault="00461887">
      <w:pPr>
        <w:pStyle w:val="BodyText"/>
        <w:spacing w:before="80" w:line="276" w:lineRule="auto"/>
        <w:ind w:left="959" w:right="799"/>
        <w:rPr>
          <w:sz w:val="14"/>
        </w:rPr>
      </w:pPr>
      <w:r>
        <w:lastRenderedPageBreak/>
        <w:t>Seacoast Regional Health Systems.</w:t>
      </w:r>
      <w:r w:rsidR="00FF1B34">
        <w:rPr>
          <w:rStyle w:val="FootnoteReference"/>
        </w:rPr>
        <w:footnoteReference w:id="54"/>
      </w:r>
      <w:r>
        <w:rPr>
          <w:spacing w:val="32"/>
          <w:position w:val="5"/>
          <w:sz w:val="14"/>
        </w:rPr>
        <w:t xml:space="preserve"> </w:t>
      </w:r>
      <w:r>
        <w:t>In 2021, BILH acquired the Joslin Diabetes Center and in 2022</w:t>
      </w:r>
      <w:r>
        <w:rPr>
          <w:spacing w:val="-2"/>
        </w:rPr>
        <w:t xml:space="preserve"> </w:t>
      </w:r>
      <w:r>
        <w:t>it</w:t>
      </w:r>
      <w:r>
        <w:rPr>
          <w:spacing w:val="-3"/>
        </w:rPr>
        <w:t xml:space="preserve"> </w:t>
      </w:r>
      <w:r>
        <w:t>acquired</w:t>
      </w:r>
      <w:r>
        <w:rPr>
          <w:spacing w:val="-1"/>
        </w:rPr>
        <w:t xml:space="preserve"> </w:t>
      </w:r>
      <w:r>
        <w:t>Exeter</w:t>
      </w:r>
      <w:r>
        <w:rPr>
          <w:spacing w:val="-3"/>
        </w:rPr>
        <w:t xml:space="preserve"> </w:t>
      </w:r>
      <w:r>
        <w:t>Health</w:t>
      </w:r>
      <w:r>
        <w:rPr>
          <w:spacing w:val="-2"/>
        </w:rPr>
        <w:t xml:space="preserve"> </w:t>
      </w:r>
      <w:r>
        <w:t>Resources,</w:t>
      </w:r>
      <w:r>
        <w:rPr>
          <w:spacing w:val="-5"/>
        </w:rPr>
        <w:t xml:space="preserve"> </w:t>
      </w:r>
      <w:r>
        <w:t>a</w:t>
      </w:r>
      <w:r>
        <w:rPr>
          <w:spacing w:val="-4"/>
        </w:rPr>
        <w:t xml:space="preserve"> </w:t>
      </w:r>
      <w:r>
        <w:t>New</w:t>
      </w:r>
      <w:r>
        <w:rPr>
          <w:spacing w:val="-3"/>
        </w:rPr>
        <w:t xml:space="preserve"> </w:t>
      </w:r>
      <w:r>
        <w:t>Hampshire</w:t>
      </w:r>
      <w:r>
        <w:rPr>
          <w:spacing w:val="-4"/>
        </w:rPr>
        <w:t xml:space="preserve"> </w:t>
      </w:r>
      <w:r>
        <w:t>healthcare</w:t>
      </w:r>
      <w:r>
        <w:rPr>
          <w:spacing w:val="-4"/>
        </w:rPr>
        <w:t xml:space="preserve"> </w:t>
      </w:r>
      <w:r>
        <w:t>syste</w:t>
      </w:r>
      <w:bookmarkStart w:id="59" w:name="_bookmark68"/>
      <w:bookmarkEnd w:id="59"/>
      <w:r>
        <w:t>m.</w:t>
      </w:r>
      <w:r>
        <w:rPr>
          <w:spacing w:val="-36"/>
        </w:rPr>
        <w:t xml:space="preserve"> </w:t>
      </w:r>
      <w:r w:rsidR="008828A7">
        <w:rPr>
          <w:rStyle w:val="FootnoteReference"/>
          <w:spacing w:val="-36"/>
        </w:rPr>
        <w:footnoteReference w:id="55"/>
      </w:r>
      <w:r>
        <w:t>BILH</w:t>
      </w:r>
      <w:r>
        <w:rPr>
          <w:spacing w:val="-3"/>
        </w:rPr>
        <w:t xml:space="preserve"> </w:t>
      </w:r>
      <w:r>
        <w:t>owns</w:t>
      </w:r>
      <w:r>
        <w:rPr>
          <w:spacing w:val="-2"/>
        </w:rPr>
        <w:t xml:space="preserve"> </w:t>
      </w:r>
      <w:r>
        <w:t>ten general acute care hospitals in Massachusetts</w:t>
      </w:r>
      <w:bookmarkStart w:id="60" w:name="_bookmark66"/>
      <w:bookmarkEnd w:id="60"/>
      <w:r>
        <w:t>.</w:t>
      </w:r>
      <w:r w:rsidR="0023289C">
        <w:rPr>
          <w:rStyle w:val="FootnoteReference"/>
        </w:rPr>
        <w:footnoteReference w:id="56"/>
      </w:r>
      <w:r>
        <w:rPr>
          <w:spacing w:val="34"/>
          <w:position w:val="5"/>
          <w:sz w:val="14"/>
        </w:rPr>
        <w:t xml:space="preserve"> </w:t>
      </w:r>
      <w:r>
        <w:t>In addition, BILH includes several contracting entities, including Beth Israel Lahey Health Performance Network, Beth Israel Deaconess Care Organization (BIDCO), and Lahey Clinical Performance Network</w:t>
      </w:r>
      <w:bookmarkStart w:id="61" w:name="_bookmark67"/>
      <w:bookmarkEnd w:id="61"/>
      <w:r>
        <w:t>.</w:t>
      </w:r>
      <w:r>
        <w:rPr>
          <w:spacing w:val="-32"/>
        </w:rPr>
        <w:t xml:space="preserve"> </w:t>
      </w:r>
      <w:r w:rsidR="00980E34">
        <w:rPr>
          <w:rStyle w:val="FootnoteReference"/>
          <w:spacing w:val="-32"/>
        </w:rPr>
        <w:footnoteReference w:id="57"/>
      </w:r>
      <w:r>
        <w:t>BILH is the second-largest provider</w:t>
      </w:r>
      <w:r>
        <w:rPr>
          <w:spacing w:val="-4"/>
        </w:rPr>
        <w:t xml:space="preserve"> </w:t>
      </w:r>
      <w:r>
        <w:t>organization</w:t>
      </w:r>
      <w:r>
        <w:rPr>
          <w:spacing w:val="-3"/>
        </w:rPr>
        <w:t xml:space="preserve"> </w:t>
      </w:r>
      <w:r>
        <w:t>in</w:t>
      </w:r>
      <w:r>
        <w:rPr>
          <w:spacing w:val="-3"/>
        </w:rPr>
        <w:t xml:space="preserve"> </w:t>
      </w:r>
      <w:r>
        <w:t>the</w:t>
      </w:r>
      <w:r>
        <w:rPr>
          <w:spacing w:val="-3"/>
        </w:rPr>
        <w:t xml:space="preserve"> </w:t>
      </w:r>
      <w:r>
        <w:t>Commonwealth</w:t>
      </w:r>
      <w:r>
        <w:rPr>
          <w:spacing w:val="-3"/>
        </w:rPr>
        <w:t xml:space="preserve"> </w:t>
      </w:r>
      <w:r>
        <w:t>by</w:t>
      </w:r>
      <w:r>
        <w:rPr>
          <w:spacing w:val="-6"/>
        </w:rPr>
        <w:t xml:space="preserve"> </w:t>
      </w:r>
      <w:r>
        <w:t>NPSR,</w:t>
      </w:r>
      <w:r>
        <w:rPr>
          <w:spacing w:val="-3"/>
        </w:rPr>
        <w:t xml:space="preserve"> </w:t>
      </w:r>
      <w:r>
        <w:t>with</w:t>
      </w:r>
      <w:r>
        <w:rPr>
          <w:spacing w:val="-3"/>
        </w:rPr>
        <w:t xml:space="preserve"> </w:t>
      </w:r>
      <w:r>
        <w:t>$6.5</w:t>
      </w:r>
      <w:r>
        <w:rPr>
          <w:spacing w:val="-3"/>
        </w:rPr>
        <w:t xml:space="preserve"> </w:t>
      </w:r>
      <w:r>
        <w:t>billion</w:t>
      </w:r>
      <w:r>
        <w:rPr>
          <w:spacing w:val="-3"/>
        </w:rPr>
        <w:t xml:space="preserve"> </w:t>
      </w:r>
      <w:r>
        <w:t>in</w:t>
      </w:r>
      <w:r>
        <w:rPr>
          <w:spacing w:val="-3"/>
        </w:rPr>
        <w:t xml:space="preserve"> </w:t>
      </w:r>
      <w:r>
        <w:t>FY2022,</w:t>
      </w:r>
      <w:r>
        <w:rPr>
          <w:spacing w:val="-3"/>
        </w:rPr>
        <w:t xml:space="preserve"> </w:t>
      </w:r>
      <w:r>
        <w:t>second</w:t>
      </w:r>
      <w:r>
        <w:rPr>
          <w:spacing w:val="-2"/>
        </w:rPr>
        <w:t xml:space="preserve"> </w:t>
      </w:r>
      <w:r>
        <w:t>to</w:t>
      </w:r>
      <w:r>
        <w:rPr>
          <w:spacing w:val="-3"/>
        </w:rPr>
        <w:t xml:space="preserve"> </w:t>
      </w:r>
      <w:r>
        <w:t>MGB with $12.79 billion.</w:t>
      </w:r>
      <w:r w:rsidR="00B04BF3">
        <w:rPr>
          <w:rStyle w:val="FootnoteReference"/>
        </w:rPr>
        <w:footnoteReference w:id="58"/>
      </w:r>
      <w:r w:rsidR="00B04BF3">
        <w:rPr>
          <w:sz w:val="14"/>
        </w:rPr>
        <w:t xml:space="preserve"> </w:t>
      </w:r>
    </w:p>
    <w:p w14:paraId="1C34E609" w14:textId="77777777" w:rsidR="004C558F" w:rsidRDefault="004C558F">
      <w:pPr>
        <w:pStyle w:val="BodyText"/>
        <w:spacing w:before="36"/>
      </w:pPr>
    </w:p>
    <w:p w14:paraId="1C34E60A" w14:textId="53B64802" w:rsidR="004C558F" w:rsidRDefault="00461887">
      <w:pPr>
        <w:pStyle w:val="BodyText"/>
        <w:spacing w:before="1" w:line="276" w:lineRule="auto"/>
        <w:ind w:left="959" w:right="1009" w:firstLine="720"/>
      </w:pPr>
      <w:r>
        <w:t>BIDMC is the Commonwealth’s fifth largest general acute hospital with 799 staffed beds and reported an operating revenue of more than $2.6 billion dollars in 2023.</w:t>
      </w:r>
      <w:r>
        <w:rPr>
          <w:spacing w:val="-33"/>
        </w:rPr>
        <w:t xml:space="preserve"> </w:t>
      </w:r>
      <w:r w:rsidR="00A949B3">
        <w:rPr>
          <w:rStyle w:val="FootnoteReference"/>
          <w:spacing w:val="-33"/>
        </w:rPr>
        <w:footnoteReference w:id="59"/>
      </w:r>
      <w:r>
        <w:t>BIDMC currently provides both inpatient and outpatient oncology care, including medical, surgical, and radiation oncology as well as diagnostic and ancillary services, and conducts cancer research through The Cancer</w:t>
      </w:r>
      <w:r>
        <w:rPr>
          <w:spacing w:val="-3"/>
        </w:rPr>
        <w:t xml:space="preserve"> </w:t>
      </w:r>
      <w:r>
        <w:t>Center</w:t>
      </w:r>
      <w:r>
        <w:rPr>
          <w:spacing w:val="-3"/>
        </w:rPr>
        <w:t xml:space="preserve"> </w:t>
      </w:r>
      <w:r>
        <w:t>at</w:t>
      </w:r>
      <w:r>
        <w:rPr>
          <w:spacing w:val="-5"/>
        </w:rPr>
        <w:t xml:space="preserve"> </w:t>
      </w:r>
      <w:r>
        <w:t>Beth</w:t>
      </w:r>
      <w:r>
        <w:rPr>
          <w:spacing w:val="-2"/>
        </w:rPr>
        <w:t xml:space="preserve"> </w:t>
      </w:r>
      <w:r>
        <w:t>Israel</w:t>
      </w:r>
      <w:r>
        <w:rPr>
          <w:spacing w:val="-3"/>
        </w:rPr>
        <w:t xml:space="preserve"> </w:t>
      </w:r>
      <w:r>
        <w:t>Deaconess</w:t>
      </w:r>
      <w:r>
        <w:rPr>
          <w:spacing w:val="-4"/>
        </w:rPr>
        <w:t xml:space="preserve"> </w:t>
      </w:r>
      <w:r>
        <w:t>Medical</w:t>
      </w:r>
      <w:r>
        <w:rPr>
          <w:spacing w:val="-3"/>
        </w:rPr>
        <w:t xml:space="preserve"> </w:t>
      </w:r>
      <w:r>
        <w:t>Center.</w:t>
      </w:r>
      <w:r>
        <w:rPr>
          <w:spacing w:val="-34"/>
        </w:rPr>
        <w:t xml:space="preserve"> </w:t>
      </w:r>
      <w:r w:rsidR="00A949B3">
        <w:rPr>
          <w:rStyle w:val="FootnoteReference"/>
          <w:spacing w:val="-34"/>
        </w:rPr>
        <w:footnoteReference w:id="60"/>
      </w:r>
      <w:r>
        <w:t>BIDMC</w:t>
      </w:r>
      <w:r>
        <w:rPr>
          <w:spacing w:val="-3"/>
        </w:rPr>
        <w:t xml:space="preserve"> </w:t>
      </w:r>
      <w:r>
        <w:t>estimates</w:t>
      </w:r>
      <w:r>
        <w:rPr>
          <w:spacing w:val="-2"/>
        </w:rPr>
        <w:t xml:space="preserve"> </w:t>
      </w:r>
      <w:r>
        <w:t>that</w:t>
      </w:r>
      <w:r>
        <w:rPr>
          <w:spacing w:val="-5"/>
        </w:rPr>
        <w:t xml:space="preserve"> </w:t>
      </w:r>
      <w:r>
        <w:t>at</w:t>
      </w:r>
      <w:r>
        <w:rPr>
          <w:spacing w:val="-3"/>
        </w:rPr>
        <w:t xml:space="preserve"> </w:t>
      </w:r>
      <w:r>
        <w:t>least</w:t>
      </w:r>
      <w:r>
        <w:rPr>
          <w:spacing w:val="-3"/>
        </w:rPr>
        <w:t xml:space="preserve"> </w:t>
      </w:r>
      <w:r>
        <w:t>80</w:t>
      </w:r>
      <w:r>
        <w:rPr>
          <w:spacing w:val="-2"/>
        </w:rPr>
        <w:t xml:space="preserve"> </w:t>
      </w:r>
      <w:r>
        <w:t>beds on average are used for</w:t>
      </w:r>
      <w:r>
        <w:rPr>
          <w:spacing w:val="-2"/>
        </w:rPr>
        <w:t xml:space="preserve"> </w:t>
      </w:r>
      <w:r>
        <w:t xml:space="preserve">medical oncology patients each day. </w:t>
      </w:r>
      <w:r w:rsidR="00777009">
        <w:rPr>
          <w:rStyle w:val="FootnoteReference"/>
        </w:rPr>
        <w:footnoteReference w:id="61"/>
      </w:r>
      <w:r>
        <w:t>As with most specialty services at BIDMC, physicians affiliated with Harvard Medical Faculty Physicians at Beth Israel Deaconess Medical Center (HMFP), described in greater detail below, currently provide all oncology services at BIDMC.</w:t>
      </w:r>
    </w:p>
    <w:p w14:paraId="1C34E60B" w14:textId="77777777" w:rsidR="004C558F" w:rsidRDefault="004C558F">
      <w:pPr>
        <w:pStyle w:val="BodyText"/>
        <w:spacing w:before="36"/>
      </w:pPr>
    </w:p>
    <w:p w14:paraId="1C34E60C" w14:textId="63F775CE" w:rsidR="004C558F" w:rsidRDefault="00461887">
      <w:pPr>
        <w:pStyle w:val="BodyText"/>
        <w:spacing w:line="276" w:lineRule="auto"/>
        <w:ind w:left="959" w:right="702"/>
        <w:rPr>
          <w:sz w:val="14"/>
        </w:rPr>
      </w:pPr>
      <w:r>
        <w:t>In</w:t>
      </w:r>
      <w:r>
        <w:rPr>
          <w:spacing w:val="-2"/>
        </w:rPr>
        <w:t xml:space="preserve"> </w:t>
      </w:r>
      <w:r>
        <w:t>addition</w:t>
      </w:r>
      <w:r>
        <w:rPr>
          <w:spacing w:val="-2"/>
        </w:rPr>
        <w:t xml:space="preserve"> </w:t>
      </w:r>
      <w:r>
        <w:t>to</w:t>
      </w:r>
      <w:r>
        <w:rPr>
          <w:spacing w:val="-4"/>
        </w:rPr>
        <w:t xml:space="preserve"> </w:t>
      </w:r>
      <w:r>
        <w:t>BIDMC’s</w:t>
      </w:r>
      <w:r>
        <w:rPr>
          <w:spacing w:val="-2"/>
        </w:rPr>
        <w:t xml:space="preserve"> </w:t>
      </w:r>
      <w:r>
        <w:t>Cancer</w:t>
      </w:r>
      <w:r>
        <w:rPr>
          <w:spacing w:val="-3"/>
        </w:rPr>
        <w:t xml:space="preserve"> </w:t>
      </w:r>
      <w:r>
        <w:t>Care</w:t>
      </w:r>
      <w:r>
        <w:rPr>
          <w:spacing w:val="-2"/>
        </w:rPr>
        <w:t xml:space="preserve"> </w:t>
      </w:r>
      <w:r>
        <w:t>Center,</w:t>
      </w:r>
      <w:r>
        <w:rPr>
          <w:spacing w:val="-2"/>
        </w:rPr>
        <w:t xml:space="preserve"> </w:t>
      </w:r>
      <w:r>
        <w:t>other</w:t>
      </w:r>
      <w:r>
        <w:rPr>
          <w:spacing w:val="-3"/>
        </w:rPr>
        <w:t xml:space="preserve"> </w:t>
      </w:r>
      <w:r>
        <w:t>hospitals</w:t>
      </w:r>
      <w:r>
        <w:rPr>
          <w:spacing w:val="-1"/>
        </w:rPr>
        <w:t xml:space="preserve"> </w:t>
      </w:r>
      <w:r>
        <w:t>in</w:t>
      </w:r>
      <w:r>
        <w:rPr>
          <w:spacing w:val="-2"/>
        </w:rPr>
        <w:t xml:space="preserve"> </w:t>
      </w:r>
      <w:r>
        <w:t>the</w:t>
      </w:r>
      <w:r>
        <w:rPr>
          <w:spacing w:val="-4"/>
        </w:rPr>
        <w:t xml:space="preserve"> </w:t>
      </w:r>
      <w:r>
        <w:t>BILH</w:t>
      </w:r>
      <w:r>
        <w:rPr>
          <w:spacing w:val="-5"/>
        </w:rPr>
        <w:t xml:space="preserve"> </w:t>
      </w:r>
      <w:r>
        <w:t>system</w:t>
      </w:r>
      <w:r>
        <w:rPr>
          <w:spacing w:val="-4"/>
        </w:rPr>
        <w:t xml:space="preserve"> </w:t>
      </w:r>
      <w:r>
        <w:t>provide</w:t>
      </w:r>
      <w:r>
        <w:rPr>
          <w:spacing w:val="-2"/>
        </w:rPr>
        <w:t xml:space="preserve"> </w:t>
      </w:r>
      <w:r>
        <w:t>inpatient oncology services at the locations listed below:</w:t>
      </w:r>
      <w:r>
        <w:rPr>
          <w:spacing w:val="-29"/>
        </w:rPr>
        <w:t xml:space="preserve"> </w:t>
      </w:r>
      <w:r w:rsidR="00777009">
        <w:rPr>
          <w:rStyle w:val="FootnoteReference"/>
          <w:spacing w:val="-29"/>
        </w:rPr>
        <w:footnoteReference w:id="62"/>
      </w:r>
    </w:p>
    <w:p w14:paraId="1C34E60D" w14:textId="77777777" w:rsidR="004C558F" w:rsidRDefault="004C558F">
      <w:pPr>
        <w:pStyle w:val="BodyText"/>
        <w:spacing w:before="38"/>
      </w:pPr>
    </w:p>
    <w:p w14:paraId="1C34E60E" w14:textId="77777777" w:rsidR="004C558F" w:rsidRDefault="00461887">
      <w:pPr>
        <w:pStyle w:val="ListParagraph"/>
        <w:numPr>
          <w:ilvl w:val="0"/>
          <w:numId w:val="13"/>
        </w:numPr>
        <w:tabs>
          <w:tab w:val="left" w:pos="1679"/>
        </w:tabs>
        <w:spacing w:before="1"/>
        <w:ind w:hanging="360"/>
      </w:pPr>
      <w:r>
        <w:t>Anna</w:t>
      </w:r>
      <w:r>
        <w:rPr>
          <w:spacing w:val="-4"/>
        </w:rPr>
        <w:t xml:space="preserve"> </w:t>
      </w:r>
      <w:r>
        <w:t>Jaques</w:t>
      </w:r>
      <w:r>
        <w:rPr>
          <w:spacing w:val="-5"/>
        </w:rPr>
        <w:t xml:space="preserve"> </w:t>
      </w:r>
      <w:r>
        <w:t>Hospital</w:t>
      </w:r>
      <w:r>
        <w:rPr>
          <w:spacing w:val="-5"/>
        </w:rPr>
        <w:t xml:space="preserve"> </w:t>
      </w:r>
      <w:r>
        <w:t>-</w:t>
      </w:r>
      <w:r>
        <w:rPr>
          <w:spacing w:val="-4"/>
        </w:rPr>
        <w:t xml:space="preserve"> </w:t>
      </w:r>
      <w:r>
        <w:t>Anna</w:t>
      </w:r>
      <w:r>
        <w:rPr>
          <w:spacing w:val="-4"/>
        </w:rPr>
        <w:t xml:space="preserve"> </w:t>
      </w:r>
      <w:r>
        <w:t>Jaques</w:t>
      </w:r>
      <w:r>
        <w:rPr>
          <w:spacing w:val="-4"/>
        </w:rPr>
        <w:t xml:space="preserve"> </w:t>
      </w:r>
      <w:r>
        <w:t>Cancer</w:t>
      </w:r>
      <w:r>
        <w:rPr>
          <w:spacing w:val="-4"/>
        </w:rPr>
        <w:t xml:space="preserve"> </w:t>
      </w:r>
      <w:r>
        <w:rPr>
          <w:spacing w:val="-2"/>
        </w:rPr>
        <w:t>Center</w:t>
      </w:r>
    </w:p>
    <w:p w14:paraId="1C34E60F" w14:textId="66014C3B" w:rsidR="004C558F" w:rsidRDefault="004C558F">
      <w:pPr>
        <w:pStyle w:val="BodyText"/>
        <w:spacing w:before="188"/>
        <w:rPr>
          <w:sz w:val="20"/>
        </w:rPr>
      </w:pPr>
    </w:p>
    <w:p w14:paraId="1C34E61F" w14:textId="77777777" w:rsidR="004C558F" w:rsidRDefault="004C558F">
      <w:pPr>
        <w:rPr>
          <w:sz w:val="20"/>
        </w:rPr>
        <w:sectPr w:rsidR="004C558F">
          <w:pgSz w:w="12240" w:h="15840"/>
          <w:pgMar w:top="1360" w:right="740" w:bottom="720" w:left="480" w:header="0" w:footer="521" w:gutter="0"/>
          <w:cols w:space="720"/>
        </w:sectPr>
      </w:pPr>
      <w:bookmarkStart w:id="62" w:name="_bookmark69"/>
      <w:bookmarkStart w:id="63" w:name="_bookmark72"/>
      <w:bookmarkStart w:id="64" w:name="_bookmark74"/>
      <w:bookmarkStart w:id="65" w:name="_bookmark76"/>
      <w:bookmarkEnd w:id="62"/>
      <w:bookmarkEnd w:id="63"/>
      <w:bookmarkEnd w:id="64"/>
      <w:bookmarkEnd w:id="65"/>
    </w:p>
    <w:p w14:paraId="1C34E620" w14:textId="77777777" w:rsidR="004C558F" w:rsidRDefault="00461887">
      <w:pPr>
        <w:pStyle w:val="ListParagraph"/>
        <w:numPr>
          <w:ilvl w:val="0"/>
          <w:numId w:val="13"/>
        </w:numPr>
        <w:tabs>
          <w:tab w:val="left" w:pos="1679"/>
        </w:tabs>
        <w:spacing w:before="79"/>
        <w:ind w:hanging="360"/>
      </w:pPr>
      <w:r>
        <w:lastRenderedPageBreak/>
        <w:t>BIDH-Needham</w:t>
      </w:r>
      <w:r>
        <w:rPr>
          <w:spacing w:val="-6"/>
        </w:rPr>
        <w:t xml:space="preserve"> </w:t>
      </w:r>
      <w:r>
        <w:t>-</w:t>
      </w:r>
      <w:r>
        <w:rPr>
          <w:spacing w:val="-4"/>
        </w:rPr>
        <w:t xml:space="preserve"> </w:t>
      </w:r>
      <w:r>
        <w:t>Lank</w:t>
      </w:r>
      <w:r>
        <w:rPr>
          <w:spacing w:val="-4"/>
        </w:rPr>
        <w:t xml:space="preserve"> </w:t>
      </w:r>
      <w:r>
        <w:t>Cancer</w:t>
      </w:r>
      <w:r>
        <w:rPr>
          <w:spacing w:val="-5"/>
        </w:rPr>
        <w:t xml:space="preserve"> </w:t>
      </w:r>
      <w:r>
        <w:t>Center</w:t>
      </w:r>
      <w:r>
        <w:rPr>
          <w:spacing w:val="-5"/>
        </w:rPr>
        <w:t xml:space="preserve"> </w:t>
      </w:r>
      <w:r>
        <w:t>located</w:t>
      </w:r>
      <w:r>
        <w:rPr>
          <w:spacing w:val="-5"/>
        </w:rPr>
        <w:t xml:space="preserve"> </w:t>
      </w:r>
      <w:r>
        <w:t>at</w:t>
      </w:r>
      <w:r>
        <w:rPr>
          <w:spacing w:val="-5"/>
        </w:rPr>
        <w:t xml:space="preserve"> </w:t>
      </w:r>
      <w:r>
        <w:t>BID</w:t>
      </w:r>
      <w:r>
        <w:rPr>
          <w:spacing w:val="-5"/>
        </w:rPr>
        <w:t xml:space="preserve"> </w:t>
      </w:r>
      <w:r>
        <w:rPr>
          <w:spacing w:val="-2"/>
        </w:rPr>
        <w:t>Needham</w:t>
      </w:r>
    </w:p>
    <w:p w14:paraId="1C34E621" w14:textId="77777777" w:rsidR="004C558F" w:rsidRDefault="00461887">
      <w:pPr>
        <w:pStyle w:val="ListParagraph"/>
        <w:numPr>
          <w:ilvl w:val="0"/>
          <w:numId w:val="13"/>
        </w:numPr>
        <w:tabs>
          <w:tab w:val="left" w:pos="1679"/>
        </w:tabs>
        <w:spacing w:before="38"/>
        <w:ind w:hanging="360"/>
      </w:pPr>
      <w:r>
        <w:t>BIDH-Plymouth</w:t>
      </w:r>
      <w:r>
        <w:rPr>
          <w:spacing w:val="-5"/>
        </w:rPr>
        <w:t xml:space="preserve"> </w:t>
      </w:r>
      <w:r>
        <w:t>-</w:t>
      </w:r>
      <w:r>
        <w:rPr>
          <w:spacing w:val="-5"/>
        </w:rPr>
        <w:t xml:space="preserve"> </w:t>
      </w:r>
      <w:r>
        <w:t>Jordan</w:t>
      </w:r>
      <w:r>
        <w:rPr>
          <w:spacing w:val="-5"/>
        </w:rPr>
        <w:t xml:space="preserve"> </w:t>
      </w:r>
      <w:r>
        <w:t>Hospital</w:t>
      </w:r>
      <w:r>
        <w:rPr>
          <w:spacing w:val="-6"/>
        </w:rPr>
        <w:t xml:space="preserve"> </w:t>
      </w:r>
      <w:r>
        <w:t>Club</w:t>
      </w:r>
      <w:r>
        <w:rPr>
          <w:spacing w:val="-6"/>
        </w:rPr>
        <w:t xml:space="preserve"> </w:t>
      </w:r>
      <w:r>
        <w:t>Cancer</w:t>
      </w:r>
      <w:r>
        <w:rPr>
          <w:spacing w:val="-5"/>
        </w:rPr>
        <w:t xml:space="preserve"> </w:t>
      </w:r>
      <w:r>
        <w:rPr>
          <w:spacing w:val="-2"/>
        </w:rPr>
        <w:t>Center</w:t>
      </w:r>
    </w:p>
    <w:p w14:paraId="1C34E622" w14:textId="77777777" w:rsidR="004C558F" w:rsidRDefault="00461887">
      <w:pPr>
        <w:pStyle w:val="ListParagraph"/>
        <w:numPr>
          <w:ilvl w:val="0"/>
          <w:numId w:val="13"/>
        </w:numPr>
        <w:tabs>
          <w:tab w:val="left" w:pos="1679"/>
        </w:tabs>
        <w:spacing w:before="35"/>
        <w:ind w:hanging="360"/>
      </w:pPr>
      <w:r>
        <w:t>Beverly</w:t>
      </w:r>
      <w:r>
        <w:rPr>
          <w:spacing w:val="-10"/>
        </w:rPr>
        <w:t xml:space="preserve"> </w:t>
      </w:r>
      <w:r>
        <w:t>Hospital</w:t>
      </w:r>
      <w:r>
        <w:rPr>
          <w:spacing w:val="-7"/>
        </w:rPr>
        <w:t xml:space="preserve"> </w:t>
      </w:r>
      <w:r>
        <w:t>-</w:t>
      </w:r>
      <w:r>
        <w:rPr>
          <w:spacing w:val="-6"/>
        </w:rPr>
        <w:t xml:space="preserve"> </w:t>
      </w:r>
      <w:r>
        <w:t>Hematology/Oncology</w:t>
      </w:r>
      <w:r>
        <w:rPr>
          <w:spacing w:val="-7"/>
        </w:rPr>
        <w:t xml:space="preserve"> </w:t>
      </w:r>
      <w:r>
        <w:rPr>
          <w:spacing w:val="-2"/>
        </w:rPr>
        <w:t>Center</w:t>
      </w:r>
    </w:p>
    <w:p w14:paraId="1C34E623" w14:textId="77777777" w:rsidR="004C558F" w:rsidRDefault="00461887">
      <w:pPr>
        <w:pStyle w:val="ListParagraph"/>
        <w:numPr>
          <w:ilvl w:val="0"/>
          <w:numId w:val="13"/>
        </w:numPr>
        <w:tabs>
          <w:tab w:val="left" w:pos="1680"/>
        </w:tabs>
        <w:spacing w:before="38"/>
        <w:ind w:left="1680" w:hanging="360"/>
      </w:pPr>
      <w:r>
        <w:t>Lahey</w:t>
      </w:r>
      <w:r>
        <w:rPr>
          <w:spacing w:val="-9"/>
        </w:rPr>
        <w:t xml:space="preserve"> </w:t>
      </w:r>
      <w:r>
        <w:t>Hospital</w:t>
      </w:r>
      <w:r>
        <w:rPr>
          <w:spacing w:val="-5"/>
        </w:rPr>
        <w:t xml:space="preserve"> </w:t>
      </w:r>
      <w:r>
        <w:t>&amp;</w:t>
      </w:r>
      <w:r>
        <w:rPr>
          <w:spacing w:val="-5"/>
        </w:rPr>
        <w:t xml:space="preserve"> </w:t>
      </w:r>
      <w:r>
        <w:t>Medical</w:t>
      </w:r>
      <w:r>
        <w:rPr>
          <w:spacing w:val="-7"/>
        </w:rPr>
        <w:t xml:space="preserve"> </w:t>
      </w:r>
      <w:r>
        <w:t>Center-</w:t>
      </w:r>
      <w:r>
        <w:rPr>
          <w:spacing w:val="-4"/>
        </w:rPr>
        <w:t xml:space="preserve"> </w:t>
      </w:r>
      <w:r>
        <w:t>Lahey</w:t>
      </w:r>
      <w:r>
        <w:rPr>
          <w:spacing w:val="-5"/>
        </w:rPr>
        <w:t xml:space="preserve"> </w:t>
      </w:r>
      <w:r>
        <w:t>Health</w:t>
      </w:r>
      <w:r>
        <w:rPr>
          <w:spacing w:val="-4"/>
        </w:rPr>
        <w:t xml:space="preserve"> </w:t>
      </w:r>
      <w:r>
        <w:t>Cancer</w:t>
      </w:r>
      <w:r>
        <w:rPr>
          <w:spacing w:val="-4"/>
        </w:rPr>
        <w:t xml:space="preserve"> </w:t>
      </w:r>
      <w:r>
        <w:rPr>
          <w:spacing w:val="-2"/>
        </w:rPr>
        <w:t>Institute</w:t>
      </w:r>
    </w:p>
    <w:p w14:paraId="1C34E624" w14:textId="77777777" w:rsidR="004C558F" w:rsidRDefault="00461887">
      <w:pPr>
        <w:pStyle w:val="ListParagraph"/>
        <w:numPr>
          <w:ilvl w:val="0"/>
          <w:numId w:val="13"/>
        </w:numPr>
        <w:tabs>
          <w:tab w:val="left" w:pos="1680"/>
        </w:tabs>
        <w:spacing w:before="37"/>
        <w:ind w:left="1680" w:hanging="360"/>
      </w:pPr>
      <w:r>
        <w:t>Mount</w:t>
      </w:r>
      <w:r>
        <w:rPr>
          <w:spacing w:val="-3"/>
        </w:rPr>
        <w:t xml:space="preserve"> </w:t>
      </w:r>
      <w:r>
        <w:t>Auburn</w:t>
      </w:r>
      <w:r>
        <w:rPr>
          <w:spacing w:val="-2"/>
        </w:rPr>
        <w:t xml:space="preserve"> Hospital</w:t>
      </w:r>
    </w:p>
    <w:p w14:paraId="1C34E625" w14:textId="77777777" w:rsidR="004C558F" w:rsidRDefault="00461887">
      <w:pPr>
        <w:pStyle w:val="ListParagraph"/>
        <w:numPr>
          <w:ilvl w:val="0"/>
          <w:numId w:val="13"/>
        </w:numPr>
        <w:tabs>
          <w:tab w:val="left" w:pos="1680"/>
        </w:tabs>
        <w:spacing w:before="36"/>
        <w:ind w:left="1680" w:hanging="360"/>
      </w:pPr>
      <w:r>
        <w:t>Winchester</w:t>
      </w:r>
      <w:r>
        <w:rPr>
          <w:spacing w:val="-5"/>
        </w:rPr>
        <w:t xml:space="preserve"> </w:t>
      </w:r>
      <w:r>
        <w:t>Hospital</w:t>
      </w:r>
      <w:r>
        <w:rPr>
          <w:spacing w:val="-5"/>
        </w:rPr>
        <w:t xml:space="preserve"> </w:t>
      </w:r>
      <w:r>
        <w:t>-</w:t>
      </w:r>
      <w:r>
        <w:rPr>
          <w:spacing w:val="-4"/>
        </w:rPr>
        <w:t xml:space="preserve"> </w:t>
      </w:r>
      <w:r>
        <w:t>Center</w:t>
      </w:r>
      <w:r>
        <w:rPr>
          <w:spacing w:val="-4"/>
        </w:rPr>
        <w:t xml:space="preserve"> </w:t>
      </w:r>
      <w:r>
        <w:t>for</w:t>
      </w:r>
      <w:r>
        <w:rPr>
          <w:spacing w:val="-5"/>
        </w:rPr>
        <w:t xml:space="preserve"> </w:t>
      </w:r>
      <w:r>
        <w:t>Cancer</w:t>
      </w:r>
      <w:r>
        <w:rPr>
          <w:spacing w:val="-4"/>
        </w:rPr>
        <w:t xml:space="preserve"> Care</w:t>
      </w:r>
    </w:p>
    <w:p w14:paraId="1C34E626" w14:textId="77777777" w:rsidR="004C558F" w:rsidRDefault="004C558F">
      <w:pPr>
        <w:pStyle w:val="BodyText"/>
        <w:spacing w:before="234"/>
      </w:pPr>
    </w:p>
    <w:p w14:paraId="1C34E627" w14:textId="77777777" w:rsidR="004C558F" w:rsidRDefault="00461887">
      <w:pPr>
        <w:pStyle w:val="Heading3"/>
        <w:numPr>
          <w:ilvl w:val="2"/>
          <w:numId w:val="16"/>
        </w:numPr>
        <w:tabs>
          <w:tab w:val="left" w:pos="958"/>
          <w:tab w:val="left" w:pos="960"/>
        </w:tabs>
        <w:ind w:left="960" w:right="1564" w:hanging="361"/>
        <w:rPr>
          <w:color w:val="042339"/>
        </w:rPr>
      </w:pPr>
      <w:bookmarkStart w:id="66" w:name="3._Harvard_Medical_Faculty_Physicians_at"/>
      <w:bookmarkEnd w:id="66"/>
      <w:r>
        <w:rPr>
          <w:color w:val="042339"/>
        </w:rPr>
        <w:t>Harvard</w:t>
      </w:r>
      <w:r>
        <w:rPr>
          <w:color w:val="042339"/>
          <w:spacing w:val="-5"/>
        </w:rPr>
        <w:t xml:space="preserve"> </w:t>
      </w:r>
      <w:r>
        <w:rPr>
          <w:color w:val="042339"/>
        </w:rPr>
        <w:t>Medical</w:t>
      </w:r>
      <w:r>
        <w:rPr>
          <w:color w:val="042339"/>
          <w:spacing w:val="-6"/>
        </w:rPr>
        <w:t xml:space="preserve"> </w:t>
      </w:r>
      <w:r>
        <w:rPr>
          <w:color w:val="042339"/>
        </w:rPr>
        <w:t>Faculty</w:t>
      </w:r>
      <w:r>
        <w:rPr>
          <w:color w:val="042339"/>
          <w:spacing w:val="-4"/>
        </w:rPr>
        <w:t xml:space="preserve"> </w:t>
      </w:r>
      <w:r>
        <w:rPr>
          <w:color w:val="042339"/>
        </w:rPr>
        <w:t>Physicians</w:t>
      </w:r>
      <w:r>
        <w:rPr>
          <w:color w:val="042339"/>
          <w:spacing w:val="-2"/>
        </w:rPr>
        <w:t xml:space="preserve"> </w:t>
      </w:r>
      <w:r>
        <w:rPr>
          <w:color w:val="042339"/>
        </w:rPr>
        <w:t>at</w:t>
      </w:r>
      <w:r>
        <w:rPr>
          <w:color w:val="042339"/>
          <w:spacing w:val="-4"/>
        </w:rPr>
        <w:t xml:space="preserve"> </w:t>
      </w:r>
      <w:r>
        <w:rPr>
          <w:color w:val="042339"/>
        </w:rPr>
        <w:t>Beth</w:t>
      </w:r>
      <w:r>
        <w:rPr>
          <w:color w:val="042339"/>
          <w:spacing w:val="-4"/>
        </w:rPr>
        <w:t xml:space="preserve"> </w:t>
      </w:r>
      <w:r>
        <w:rPr>
          <w:color w:val="042339"/>
        </w:rPr>
        <w:t>Israel</w:t>
      </w:r>
      <w:r>
        <w:rPr>
          <w:color w:val="042339"/>
          <w:spacing w:val="-6"/>
        </w:rPr>
        <w:t xml:space="preserve"> </w:t>
      </w:r>
      <w:r>
        <w:rPr>
          <w:color w:val="042339"/>
        </w:rPr>
        <w:t>Deaconess</w:t>
      </w:r>
      <w:r>
        <w:rPr>
          <w:color w:val="042339"/>
          <w:spacing w:val="-5"/>
        </w:rPr>
        <w:t xml:space="preserve"> </w:t>
      </w:r>
      <w:r>
        <w:rPr>
          <w:color w:val="042339"/>
        </w:rPr>
        <w:t>Medical</w:t>
      </w:r>
      <w:r>
        <w:rPr>
          <w:color w:val="042339"/>
          <w:spacing w:val="-6"/>
        </w:rPr>
        <w:t xml:space="preserve"> </w:t>
      </w:r>
      <w:r>
        <w:rPr>
          <w:color w:val="042339"/>
        </w:rPr>
        <w:t xml:space="preserve">Center </w:t>
      </w:r>
      <w:r>
        <w:rPr>
          <w:color w:val="042339"/>
          <w:spacing w:val="-2"/>
        </w:rPr>
        <w:t>(HMFP)</w:t>
      </w:r>
    </w:p>
    <w:p w14:paraId="1C34E628" w14:textId="77777777" w:rsidR="004C558F" w:rsidRDefault="004C558F">
      <w:pPr>
        <w:pStyle w:val="BodyText"/>
        <w:spacing w:before="74"/>
        <w:rPr>
          <w:rFonts w:ascii="Franklin Gothic Medium"/>
          <w:sz w:val="26"/>
        </w:rPr>
      </w:pPr>
    </w:p>
    <w:p w14:paraId="1C34E629" w14:textId="190158F5" w:rsidR="004C558F" w:rsidRDefault="00461887">
      <w:pPr>
        <w:pStyle w:val="BodyText"/>
        <w:spacing w:line="276" w:lineRule="auto"/>
        <w:ind w:left="959" w:right="1092" w:firstLine="720"/>
        <w:rPr>
          <w:sz w:val="14"/>
        </w:rPr>
      </w:pPr>
      <w:r>
        <w:t>HMFP is a physician group that employs physicians who staff BIDMC and other BILH hospitals and facilities within the broader Boston metropolitan region. HMFP is corporately distinct from BILH but has an exclusive affiliation agreement with BIDMC for the purposes of providing</w:t>
      </w:r>
      <w:r>
        <w:rPr>
          <w:spacing w:val="-2"/>
        </w:rPr>
        <w:t xml:space="preserve"> </w:t>
      </w:r>
      <w:r>
        <w:t>adult</w:t>
      </w:r>
      <w:r>
        <w:rPr>
          <w:spacing w:val="-2"/>
        </w:rPr>
        <w:t xml:space="preserve"> </w:t>
      </w:r>
      <w:r>
        <w:t>tertiary</w:t>
      </w:r>
      <w:r>
        <w:rPr>
          <w:spacing w:val="-4"/>
        </w:rPr>
        <w:t xml:space="preserve"> </w:t>
      </w:r>
      <w:r>
        <w:t>and quaternary</w:t>
      </w:r>
      <w:r>
        <w:rPr>
          <w:spacing w:val="-2"/>
        </w:rPr>
        <w:t xml:space="preserve"> </w:t>
      </w:r>
      <w:r>
        <w:t>care,</w:t>
      </w:r>
      <w:r>
        <w:rPr>
          <w:spacing w:val="-1"/>
        </w:rPr>
        <w:t xml:space="preserve"> </w:t>
      </w:r>
      <w:r>
        <w:t>including</w:t>
      </w:r>
      <w:r>
        <w:rPr>
          <w:spacing w:val="-2"/>
        </w:rPr>
        <w:t xml:space="preserve"> </w:t>
      </w:r>
      <w:r>
        <w:t>cancer</w:t>
      </w:r>
      <w:r>
        <w:rPr>
          <w:spacing w:val="-2"/>
        </w:rPr>
        <w:t xml:space="preserve"> </w:t>
      </w:r>
      <w:r>
        <w:t>care.</w:t>
      </w:r>
      <w:r>
        <w:rPr>
          <w:spacing w:val="-36"/>
        </w:rPr>
        <w:t xml:space="preserve"> </w:t>
      </w:r>
      <w:r w:rsidR="002A26CE">
        <w:rPr>
          <w:rStyle w:val="FootnoteReference"/>
          <w:spacing w:val="-36"/>
        </w:rPr>
        <w:footnoteReference w:id="63"/>
      </w:r>
      <w:r>
        <w:t>HMFP</w:t>
      </w:r>
      <w:r>
        <w:rPr>
          <w:spacing w:val="-2"/>
        </w:rPr>
        <w:t xml:space="preserve"> </w:t>
      </w:r>
      <w:r>
        <w:t>employs</w:t>
      </w:r>
      <w:r>
        <w:rPr>
          <w:spacing w:val="-1"/>
        </w:rPr>
        <w:t xml:space="preserve"> </w:t>
      </w:r>
      <w:r>
        <w:t>over</w:t>
      </w:r>
      <w:r>
        <w:rPr>
          <w:spacing w:val="-2"/>
        </w:rPr>
        <w:t xml:space="preserve"> </w:t>
      </w:r>
      <w:r>
        <w:t>2,200 providers, including over 1,500 physicians, who provide care at BILH sites.</w:t>
      </w:r>
      <w:r w:rsidR="002A26CE">
        <w:rPr>
          <w:rStyle w:val="FootnoteReference"/>
        </w:rPr>
        <w:footnoteReference w:id="64"/>
      </w:r>
      <w:r>
        <w:rPr>
          <w:spacing w:val="32"/>
          <w:position w:val="5"/>
          <w:sz w:val="14"/>
        </w:rPr>
        <w:t xml:space="preserve"> </w:t>
      </w:r>
      <w:r>
        <w:t>HMFP physicians hold</w:t>
      </w:r>
      <w:r>
        <w:rPr>
          <w:spacing w:val="-5"/>
        </w:rPr>
        <w:t xml:space="preserve"> </w:t>
      </w:r>
      <w:r>
        <w:t>academic</w:t>
      </w:r>
      <w:r>
        <w:rPr>
          <w:spacing w:val="-4"/>
        </w:rPr>
        <w:t xml:space="preserve"> </w:t>
      </w:r>
      <w:r>
        <w:t>medical</w:t>
      </w:r>
      <w:r>
        <w:rPr>
          <w:spacing w:val="-3"/>
        </w:rPr>
        <w:t xml:space="preserve"> </w:t>
      </w:r>
      <w:r>
        <w:t>school</w:t>
      </w:r>
      <w:r>
        <w:rPr>
          <w:spacing w:val="-5"/>
        </w:rPr>
        <w:t xml:space="preserve"> </w:t>
      </w:r>
      <w:r>
        <w:t>appointments</w:t>
      </w:r>
      <w:r>
        <w:rPr>
          <w:spacing w:val="-2"/>
        </w:rPr>
        <w:t xml:space="preserve"> </w:t>
      </w:r>
      <w:r>
        <w:t>within</w:t>
      </w:r>
      <w:r>
        <w:rPr>
          <w:spacing w:val="-4"/>
        </w:rPr>
        <w:t xml:space="preserve"> </w:t>
      </w:r>
      <w:r>
        <w:t>Harvard</w:t>
      </w:r>
      <w:r>
        <w:rPr>
          <w:spacing w:val="-4"/>
        </w:rPr>
        <w:t xml:space="preserve"> </w:t>
      </w:r>
      <w:r>
        <w:t>Medical</w:t>
      </w:r>
      <w:r>
        <w:rPr>
          <w:spacing w:val="-3"/>
        </w:rPr>
        <w:t xml:space="preserve"> </w:t>
      </w:r>
      <w:r>
        <w:t>School.</w:t>
      </w:r>
      <w:r>
        <w:rPr>
          <w:spacing w:val="-36"/>
        </w:rPr>
        <w:t xml:space="preserve"> </w:t>
      </w:r>
      <w:r w:rsidR="002A26CE">
        <w:rPr>
          <w:rStyle w:val="FootnoteReference"/>
          <w:spacing w:val="-36"/>
        </w:rPr>
        <w:footnoteReference w:id="65"/>
      </w:r>
      <w:r>
        <w:t>HMFP</w:t>
      </w:r>
      <w:r>
        <w:rPr>
          <w:spacing w:val="-3"/>
        </w:rPr>
        <w:t xml:space="preserve"> </w:t>
      </w:r>
      <w:r>
        <w:t>physicians currently provide oncology services across the BILH system and all oncology services at BIDMC, with more than 60 oncologists providing both inpatient and outpatient cancer care.</w:t>
      </w:r>
      <w:r w:rsidR="002A26CE">
        <w:rPr>
          <w:rStyle w:val="FootnoteReference"/>
        </w:rPr>
        <w:footnoteReference w:id="66"/>
      </w:r>
      <w:r w:rsidR="002A26CE">
        <w:rPr>
          <w:sz w:val="14"/>
        </w:rPr>
        <w:t xml:space="preserve"> </w:t>
      </w:r>
    </w:p>
    <w:p w14:paraId="1C34E62A" w14:textId="77777777" w:rsidR="004C558F" w:rsidRDefault="00461887">
      <w:pPr>
        <w:pStyle w:val="ListParagraph"/>
        <w:numPr>
          <w:ilvl w:val="1"/>
          <w:numId w:val="16"/>
        </w:numPr>
        <w:tabs>
          <w:tab w:val="left" w:pos="958"/>
        </w:tabs>
        <w:spacing w:before="161"/>
        <w:ind w:left="958" w:hanging="358"/>
        <w:rPr>
          <w:rFonts w:ascii="Franklin Gothic Medium"/>
          <w:color w:val="063656"/>
          <w:sz w:val="28"/>
        </w:rPr>
      </w:pPr>
      <w:bookmarkStart w:id="67" w:name="B._The_Proposed_Transaction"/>
      <w:bookmarkEnd w:id="67"/>
      <w:r>
        <w:rPr>
          <w:rFonts w:ascii="Franklin Gothic Medium"/>
          <w:color w:val="063656"/>
          <w:sz w:val="28"/>
        </w:rPr>
        <w:t>The</w:t>
      </w:r>
      <w:r>
        <w:rPr>
          <w:rFonts w:ascii="Franklin Gothic Medium"/>
          <w:color w:val="063656"/>
          <w:spacing w:val="-5"/>
          <w:sz w:val="28"/>
        </w:rPr>
        <w:t xml:space="preserve"> </w:t>
      </w:r>
      <w:r>
        <w:rPr>
          <w:rFonts w:ascii="Franklin Gothic Medium"/>
          <w:color w:val="063656"/>
          <w:sz w:val="28"/>
        </w:rPr>
        <w:t>Proposed</w:t>
      </w:r>
      <w:r>
        <w:rPr>
          <w:rFonts w:ascii="Franklin Gothic Medium"/>
          <w:color w:val="063656"/>
          <w:spacing w:val="-4"/>
          <w:sz w:val="28"/>
        </w:rPr>
        <w:t xml:space="preserve"> </w:t>
      </w:r>
      <w:r>
        <w:rPr>
          <w:rFonts w:ascii="Franklin Gothic Medium"/>
          <w:color w:val="063656"/>
          <w:spacing w:val="-2"/>
          <w:sz w:val="28"/>
        </w:rPr>
        <w:t>Transaction</w:t>
      </w:r>
    </w:p>
    <w:p w14:paraId="1C34E62B" w14:textId="77777777" w:rsidR="004C558F" w:rsidRDefault="004C558F">
      <w:pPr>
        <w:pStyle w:val="BodyText"/>
        <w:spacing w:before="96"/>
        <w:rPr>
          <w:rFonts w:ascii="Franklin Gothic Medium"/>
          <w:sz w:val="28"/>
        </w:rPr>
      </w:pPr>
    </w:p>
    <w:p w14:paraId="1C34E62C" w14:textId="1838D242" w:rsidR="004C558F" w:rsidRDefault="00461887">
      <w:pPr>
        <w:pStyle w:val="BodyText"/>
        <w:spacing w:before="1" w:line="276" w:lineRule="auto"/>
        <w:ind w:left="959" w:right="799" w:firstLine="720"/>
        <w:rPr>
          <w:sz w:val="14"/>
        </w:rPr>
      </w:pPr>
      <w:r>
        <w:t>Under the proposed clinical affiliation, BIDMC and HMFP would replace BWH as the preferred provider of surgical oncology</w:t>
      </w:r>
      <w:r>
        <w:rPr>
          <w:spacing w:val="-1"/>
        </w:rPr>
        <w:t xml:space="preserve"> </w:t>
      </w:r>
      <w:r>
        <w:t>care for</w:t>
      </w:r>
      <w:r>
        <w:rPr>
          <w:spacing w:val="-2"/>
        </w:rPr>
        <w:t xml:space="preserve"> </w:t>
      </w:r>
      <w:r>
        <w:t>DFCI</w:t>
      </w:r>
      <w:r>
        <w:rPr>
          <w:spacing w:val="-1"/>
        </w:rPr>
        <w:t xml:space="preserve"> </w:t>
      </w:r>
      <w:r>
        <w:t>patients in the Longwood Medical Area and DFCI</w:t>
      </w:r>
      <w:r>
        <w:rPr>
          <w:spacing w:val="-1"/>
        </w:rPr>
        <w:t xml:space="preserve"> </w:t>
      </w:r>
      <w:r>
        <w:t>would become</w:t>
      </w:r>
      <w:r>
        <w:rPr>
          <w:spacing w:val="-1"/>
        </w:rPr>
        <w:t xml:space="preserve"> </w:t>
      </w:r>
      <w:r>
        <w:t>the</w:t>
      </w:r>
      <w:r>
        <w:rPr>
          <w:spacing w:val="-1"/>
        </w:rPr>
        <w:t xml:space="preserve"> </w:t>
      </w:r>
      <w:r>
        <w:t>preferred provider</w:t>
      </w:r>
      <w:r>
        <w:rPr>
          <w:spacing w:val="-4"/>
        </w:rPr>
        <w:t xml:space="preserve"> </w:t>
      </w:r>
      <w:r>
        <w:t>of</w:t>
      </w:r>
      <w:r>
        <w:rPr>
          <w:spacing w:val="-3"/>
        </w:rPr>
        <w:t xml:space="preserve"> </w:t>
      </w:r>
      <w:r>
        <w:t>medical</w:t>
      </w:r>
      <w:r>
        <w:rPr>
          <w:spacing w:val="-2"/>
        </w:rPr>
        <w:t xml:space="preserve"> </w:t>
      </w:r>
      <w:r>
        <w:t>oncology</w:t>
      </w:r>
      <w:r>
        <w:rPr>
          <w:spacing w:val="-2"/>
        </w:rPr>
        <w:t xml:space="preserve"> </w:t>
      </w:r>
      <w:r>
        <w:t>care</w:t>
      </w:r>
      <w:r>
        <w:rPr>
          <w:spacing w:val="-3"/>
        </w:rPr>
        <w:t xml:space="preserve"> </w:t>
      </w:r>
      <w:r>
        <w:t>for</w:t>
      </w:r>
      <w:r>
        <w:rPr>
          <w:spacing w:val="-2"/>
        </w:rPr>
        <w:t xml:space="preserve"> </w:t>
      </w:r>
      <w:r>
        <w:t>BIDMC</w:t>
      </w:r>
      <w:r>
        <w:rPr>
          <w:spacing w:val="-2"/>
        </w:rPr>
        <w:t xml:space="preserve"> </w:t>
      </w:r>
      <w:r>
        <w:t>patients.</w:t>
      </w:r>
      <w:r w:rsidR="00F2635C">
        <w:rPr>
          <w:rStyle w:val="FootnoteReference"/>
        </w:rPr>
        <w:footnoteReference w:id="67"/>
      </w:r>
      <w:r>
        <w:rPr>
          <w:spacing w:val="19"/>
          <w:position w:val="5"/>
          <w:sz w:val="14"/>
        </w:rPr>
        <w:t xml:space="preserve"> </w:t>
      </w:r>
      <w:r>
        <w:t>HMFP medical oncologists providing services primarily at BIDMC would become DFCI employees, and BIDMC would cease providing medical oncology care in the Longwood Medical Area with the expectation that BIDMC medical oncology patients would transition to DFCI.</w:t>
      </w:r>
      <w:r w:rsidR="00F2635C">
        <w:rPr>
          <w:rStyle w:val="FootnoteReference"/>
        </w:rPr>
        <w:footnoteReference w:id="68"/>
      </w:r>
      <w:r w:rsidR="00F2635C">
        <w:rPr>
          <w:sz w:val="14"/>
        </w:rPr>
        <w:t xml:space="preserve"> </w:t>
      </w:r>
    </w:p>
    <w:p w14:paraId="1C34E62D" w14:textId="77777777" w:rsidR="004C558F" w:rsidRDefault="004C558F">
      <w:pPr>
        <w:pStyle w:val="BodyText"/>
        <w:spacing w:before="35"/>
      </w:pPr>
    </w:p>
    <w:p w14:paraId="1C34E62E" w14:textId="17B16ADD" w:rsidR="004C558F" w:rsidRDefault="00461887">
      <w:pPr>
        <w:pStyle w:val="BodyText"/>
        <w:spacing w:line="276" w:lineRule="auto"/>
        <w:ind w:left="959" w:right="991" w:firstLine="720"/>
        <w:rPr>
          <w:sz w:val="14"/>
        </w:rPr>
      </w:pPr>
      <w:r>
        <w:t>BIDMC and HMFP would become DFCI’s preferred provider of surgical oncology services, and</w:t>
      </w:r>
      <w:r>
        <w:rPr>
          <w:spacing w:val="-5"/>
        </w:rPr>
        <w:t xml:space="preserve"> </w:t>
      </w:r>
      <w:r>
        <w:t>HMFP</w:t>
      </w:r>
      <w:r>
        <w:rPr>
          <w:spacing w:val="-3"/>
        </w:rPr>
        <w:t xml:space="preserve"> </w:t>
      </w:r>
      <w:r>
        <w:t>would</w:t>
      </w:r>
      <w:r>
        <w:rPr>
          <w:spacing w:val="-1"/>
        </w:rPr>
        <w:t xml:space="preserve"> </w:t>
      </w:r>
      <w:r>
        <w:t>provide</w:t>
      </w:r>
      <w:r>
        <w:rPr>
          <w:spacing w:val="-4"/>
        </w:rPr>
        <w:t xml:space="preserve"> </w:t>
      </w:r>
      <w:r>
        <w:t>clinical</w:t>
      </w:r>
      <w:r>
        <w:rPr>
          <w:spacing w:val="-5"/>
        </w:rPr>
        <w:t xml:space="preserve"> </w:t>
      </w:r>
      <w:r>
        <w:t>cancer</w:t>
      </w:r>
      <w:r>
        <w:rPr>
          <w:spacing w:val="-3"/>
        </w:rPr>
        <w:t xml:space="preserve"> </w:t>
      </w:r>
      <w:r>
        <w:t>pathology</w:t>
      </w:r>
      <w:r>
        <w:rPr>
          <w:spacing w:val="-5"/>
        </w:rPr>
        <w:t xml:space="preserve"> </w:t>
      </w:r>
      <w:r>
        <w:t>and</w:t>
      </w:r>
      <w:r>
        <w:rPr>
          <w:spacing w:val="-1"/>
        </w:rPr>
        <w:t xml:space="preserve"> </w:t>
      </w:r>
      <w:r>
        <w:t>certain</w:t>
      </w:r>
      <w:r>
        <w:rPr>
          <w:spacing w:val="-2"/>
        </w:rPr>
        <w:t xml:space="preserve"> </w:t>
      </w:r>
      <w:r>
        <w:t>other</w:t>
      </w:r>
      <w:r>
        <w:rPr>
          <w:spacing w:val="-3"/>
        </w:rPr>
        <w:t xml:space="preserve"> </w:t>
      </w:r>
      <w:r>
        <w:t>physician</w:t>
      </w:r>
      <w:r>
        <w:rPr>
          <w:spacing w:val="-4"/>
        </w:rPr>
        <w:t xml:space="preserve"> </w:t>
      </w:r>
      <w:r>
        <w:t>services</w:t>
      </w:r>
      <w:r>
        <w:rPr>
          <w:spacing w:val="-2"/>
        </w:rPr>
        <w:t xml:space="preserve"> </w:t>
      </w:r>
      <w:r>
        <w:t>to</w:t>
      </w:r>
      <w:r>
        <w:rPr>
          <w:spacing w:val="-2"/>
        </w:rPr>
        <w:t xml:space="preserve"> </w:t>
      </w:r>
      <w:r>
        <w:t>DFCI.</w:t>
      </w:r>
      <w:r>
        <w:rPr>
          <w:spacing w:val="-36"/>
        </w:rPr>
        <w:t xml:space="preserve"> </w:t>
      </w:r>
      <w:r w:rsidR="00F2635C">
        <w:rPr>
          <w:rStyle w:val="FootnoteReference"/>
          <w:spacing w:val="-36"/>
        </w:rPr>
        <w:footnoteReference w:id="69"/>
      </w:r>
      <w:r>
        <w:t>DFCI and BIDMC would each continue to provide diagnostic radiology and laboratory and pathology services. DFCI and BIDMC would form a joint venture to coordinate technical radiation therapy services, and DFCI, BIDMC, and HMFP would jointly form a physician organization for the purpose of providing professional radiation oncology services.</w:t>
      </w:r>
      <w:r w:rsidR="00F2635C">
        <w:rPr>
          <w:rStyle w:val="FootnoteReference"/>
        </w:rPr>
        <w:footnoteReference w:id="70"/>
      </w:r>
      <w:r w:rsidR="00F2635C">
        <w:rPr>
          <w:sz w:val="14"/>
        </w:rPr>
        <w:t xml:space="preserve"> </w:t>
      </w:r>
    </w:p>
    <w:p w14:paraId="1C34E62F" w14:textId="77777777" w:rsidR="004C558F" w:rsidRDefault="004C558F">
      <w:pPr>
        <w:pStyle w:val="BodyText"/>
        <w:rPr>
          <w:sz w:val="20"/>
        </w:rPr>
      </w:pPr>
    </w:p>
    <w:p w14:paraId="1C34E630" w14:textId="7315E0A6" w:rsidR="004C558F" w:rsidRDefault="004C558F">
      <w:pPr>
        <w:pStyle w:val="BodyText"/>
        <w:spacing w:before="180"/>
        <w:rPr>
          <w:sz w:val="20"/>
        </w:rPr>
      </w:pPr>
    </w:p>
    <w:p w14:paraId="1C34E639" w14:textId="77777777" w:rsidR="004C558F" w:rsidRDefault="004C558F">
      <w:pPr>
        <w:rPr>
          <w:sz w:val="20"/>
        </w:rPr>
        <w:sectPr w:rsidR="004C558F">
          <w:pgSz w:w="12240" w:h="15840"/>
          <w:pgMar w:top="1360" w:right="740" w:bottom="720" w:left="480" w:header="0" w:footer="521" w:gutter="0"/>
          <w:cols w:space="720"/>
        </w:sectPr>
      </w:pPr>
      <w:bookmarkStart w:id="68" w:name="_bookmark78"/>
      <w:bookmarkStart w:id="69" w:name="_bookmark82"/>
      <w:bookmarkStart w:id="70" w:name="_bookmark84"/>
      <w:bookmarkEnd w:id="68"/>
      <w:bookmarkEnd w:id="69"/>
      <w:bookmarkEnd w:id="70"/>
    </w:p>
    <w:p w14:paraId="1C34E63A" w14:textId="6B9CD660" w:rsidR="004C558F" w:rsidRDefault="00461887">
      <w:pPr>
        <w:pStyle w:val="BodyText"/>
        <w:spacing w:before="80" w:line="276" w:lineRule="auto"/>
        <w:ind w:left="960" w:right="1092" w:firstLine="720"/>
        <w:rPr>
          <w:sz w:val="14"/>
        </w:rPr>
      </w:pPr>
      <w:r>
        <w:lastRenderedPageBreak/>
        <w:t>The parties would form a steering committee to oversee the collaboration, but each organization would remain corporately independent and would maintain ultimate oversight of their</w:t>
      </w:r>
      <w:r>
        <w:rPr>
          <w:spacing w:val="-4"/>
        </w:rPr>
        <w:t xml:space="preserve"> </w:t>
      </w:r>
      <w:r>
        <w:t>respective</w:t>
      </w:r>
      <w:r>
        <w:rPr>
          <w:spacing w:val="-2"/>
        </w:rPr>
        <w:t xml:space="preserve"> </w:t>
      </w:r>
      <w:r>
        <w:t>organizations,</w:t>
      </w:r>
      <w:r>
        <w:rPr>
          <w:spacing w:val="-2"/>
        </w:rPr>
        <w:t xml:space="preserve"> </w:t>
      </w:r>
      <w:r>
        <w:t>including</w:t>
      </w:r>
      <w:r>
        <w:rPr>
          <w:spacing w:val="-5"/>
        </w:rPr>
        <w:t xml:space="preserve"> </w:t>
      </w:r>
      <w:r>
        <w:t>all</w:t>
      </w:r>
      <w:r>
        <w:rPr>
          <w:spacing w:val="-3"/>
        </w:rPr>
        <w:t xml:space="preserve"> </w:t>
      </w:r>
      <w:r>
        <w:t>clinical</w:t>
      </w:r>
      <w:r>
        <w:rPr>
          <w:spacing w:val="-3"/>
        </w:rPr>
        <w:t xml:space="preserve"> </w:t>
      </w:r>
      <w:r>
        <w:t>operations.</w:t>
      </w:r>
      <w:r>
        <w:rPr>
          <w:spacing w:val="-36"/>
        </w:rPr>
        <w:t xml:space="preserve"> </w:t>
      </w:r>
      <w:r w:rsidR="003B1FDF">
        <w:rPr>
          <w:rStyle w:val="FootnoteReference"/>
          <w:spacing w:val="-36"/>
        </w:rPr>
        <w:footnoteReference w:id="71"/>
      </w:r>
      <w:r>
        <w:t>The</w:t>
      </w:r>
      <w:r>
        <w:rPr>
          <w:spacing w:val="-4"/>
        </w:rPr>
        <w:t xml:space="preserve"> </w:t>
      </w:r>
      <w:r>
        <w:t>parties</w:t>
      </w:r>
      <w:r>
        <w:rPr>
          <w:spacing w:val="-4"/>
        </w:rPr>
        <w:t xml:space="preserve"> </w:t>
      </w:r>
      <w:r>
        <w:t>state</w:t>
      </w:r>
      <w:r>
        <w:rPr>
          <w:spacing w:val="-2"/>
        </w:rPr>
        <w:t xml:space="preserve"> </w:t>
      </w:r>
      <w:r>
        <w:t>that</w:t>
      </w:r>
      <w:r>
        <w:rPr>
          <w:spacing w:val="-3"/>
        </w:rPr>
        <w:t xml:space="preserve"> </w:t>
      </w:r>
      <w:r>
        <w:t>they</w:t>
      </w:r>
      <w:r>
        <w:rPr>
          <w:spacing w:val="-3"/>
        </w:rPr>
        <w:t xml:space="preserve"> </w:t>
      </w:r>
      <w:r>
        <w:t xml:space="preserve">have no plans to engage in joint payer </w:t>
      </w:r>
      <w:proofErr w:type="gramStart"/>
      <w:r>
        <w:t>contracting</w:t>
      </w:r>
      <w:proofErr w:type="gramEnd"/>
      <w:r>
        <w:t>, and that the affiliation does not currently include new collaborations between DFCI and any other components of the BILH system.</w:t>
      </w:r>
      <w:r>
        <w:rPr>
          <w:spacing w:val="-32"/>
        </w:rPr>
        <w:t xml:space="preserve"> </w:t>
      </w:r>
      <w:r w:rsidR="00D00F15">
        <w:rPr>
          <w:rStyle w:val="FootnoteReference"/>
          <w:spacing w:val="-32"/>
        </w:rPr>
        <w:footnoteReference w:id="72"/>
      </w:r>
    </w:p>
    <w:p w14:paraId="1C34E63B" w14:textId="77777777" w:rsidR="004C558F" w:rsidRDefault="004C558F">
      <w:pPr>
        <w:pStyle w:val="BodyText"/>
        <w:spacing w:before="197"/>
      </w:pPr>
    </w:p>
    <w:p w14:paraId="1C34E63C" w14:textId="79247962" w:rsidR="004C558F" w:rsidRDefault="00461887">
      <w:pPr>
        <w:pStyle w:val="BodyText"/>
        <w:spacing w:before="1"/>
        <w:ind w:right="6"/>
        <w:jc w:val="center"/>
        <w:rPr>
          <w:sz w:val="14"/>
        </w:rPr>
      </w:pPr>
      <w:r>
        <w:t>Expected</w:t>
      </w:r>
      <w:r>
        <w:rPr>
          <w:spacing w:val="-4"/>
        </w:rPr>
        <w:t xml:space="preserve"> </w:t>
      </w:r>
      <w:r>
        <w:t>Changes</w:t>
      </w:r>
      <w:r>
        <w:rPr>
          <w:spacing w:val="-4"/>
        </w:rPr>
        <w:t xml:space="preserve"> </w:t>
      </w:r>
      <w:r>
        <w:t>in</w:t>
      </w:r>
      <w:r>
        <w:rPr>
          <w:spacing w:val="-4"/>
        </w:rPr>
        <w:t xml:space="preserve"> </w:t>
      </w:r>
      <w:r>
        <w:t>Service</w:t>
      </w:r>
      <w:r>
        <w:rPr>
          <w:spacing w:val="-3"/>
        </w:rPr>
        <w:t xml:space="preserve"> </w:t>
      </w:r>
      <w:r>
        <w:rPr>
          <w:spacing w:val="-2"/>
        </w:rPr>
        <w:t>Provision</w:t>
      </w:r>
      <w:r w:rsidR="00D00F15">
        <w:rPr>
          <w:rStyle w:val="FootnoteReference"/>
          <w:spacing w:val="-2"/>
        </w:rPr>
        <w:footnoteReference w:id="73"/>
      </w:r>
    </w:p>
    <w:p w14:paraId="1C34E63D" w14:textId="77777777" w:rsidR="004C558F" w:rsidRDefault="004C558F">
      <w:pPr>
        <w:pStyle w:val="BodyText"/>
        <w:spacing w:before="186"/>
        <w:rPr>
          <w:sz w:val="20"/>
        </w:rPr>
      </w:pPr>
    </w:p>
    <w:tbl>
      <w:tblPr>
        <w:tblW w:w="0" w:type="auto"/>
        <w:tblInd w:w="11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2162"/>
        <w:gridCol w:w="3396"/>
        <w:gridCol w:w="5242"/>
      </w:tblGrid>
      <w:tr w:rsidR="004C558F" w14:paraId="1C34E641" w14:textId="77777777" w:rsidTr="00DC742D">
        <w:trPr>
          <w:cantSplit/>
          <w:trHeight w:val="467"/>
          <w:tblHeader/>
        </w:trPr>
        <w:tc>
          <w:tcPr>
            <w:tcW w:w="2162" w:type="dxa"/>
            <w:shd w:val="clear" w:color="auto" w:fill="084875"/>
          </w:tcPr>
          <w:p w14:paraId="1C34E63E" w14:textId="77777777" w:rsidR="004C558F" w:rsidRDefault="00461887">
            <w:pPr>
              <w:pStyle w:val="TableParagraph"/>
              <w:spacing w:before="14"/>
              <w:ind w:left="115"/>
              <w:jc w:val="left"/>
              <w:rPr>
                <w:rFonts w:ascii="Franklin Gothic Medium Cond"/>
              </w:rPr>
            </w:pPr>
            <w:r>
              <w:rPr>
                <w:rFonts w:ascii="Franklin Gothic Medium Cond"/>
                <w:color w:val="FFFFFF"/>
              </w:rPr>
              <w:t>Service</w:t>
            </w:r>
            <w:r>
              <w:rPr>
                <w:rFonts w:ascii="Franklin Gothic Medium Cond"/>
                <w:color w:val="FFFFFF"/>
                <w:spacing w:val="-8"/>
              </w:rPr>
              <w:t xml:space="preserve"> </w:t>
            </w:r>
            <w:r>
              <w:rPr>
                <w:rFonts w:ascii="Franklin Gothic Medium Cond"/>
                <w:color w:val="FFFFFF"/>
                <w:spacing w:val="-4"/>
              </w:rPr>
              <w:t>Line</w:t>
            </w:r>
          </w:p>
        </w:tc>
        <w:tc>
          <w:tcPr>
            <w:tcW w:w="3396" w:type="dxa"/>
            <w:shd w:val="clear" w:color="auto" w:fill="084875"/>
          </w:tcPr>
          <w:p w14:paraId="1C34E63F" w14:textId="77777777" w:rsidR="004C558F" w:rsidRDefault="00461887">
            <w:pPr>
              <w:pStyle w:val="TableParagraph"/>
              <w:spacing w:before="14"/>
              <w:ind w:left="113"/>
              <w:jc w:val="left"/>
              <w:rPr>
                <w:rFonts w:ascii="Franklin Gothic Medium Cond"/>
              </w:rPr>
            </w:pPr>
            <w:r>
              <w:rPr>
                <w:rFonts w:ascii="Franklin Gothic Medium Cond"/>
                <w:color w:val="FFFFFF"/>
                <w:spacing w:val="-2"/>
              </w:rPr>
              <w:t>Pre-Transaction</w:t>
            </w:r>
          </w:p>
        </w:tc>
        <w:tc>
          <w:tcPr>
            <w:tcW w:w="5242" w:type="dxa"/>
            <w:shd w:val="clear" w:color="auto" w:fill="084875"/>
          </w:tcPr>
          <w:p w14:paraId="1C34E640" w14:textId="77777777" w:rsidR="004C558F" w:rsidRDefault="00461887">
            <w:pPr>
              <w:pStyle w:val="TableParagraph"/>
              <w:spacing w:before="14"/>
              <w:ind w:left="112"/>
              <w:jc w:val="left"/>
              <w:rPr>
                <w:rFonts w:ascii="Franklin Gothic Medium Cond"/>
              </w:rPr>
            </w:pPr>
            <w:r>
              <w:rPr>
                <w:rFonts w:ascii="Franklin Gothic Medium Cond"/>
                <w:color w:val="FFFFFF"/>
                <w:spacing w:val="-2"/>
              </w:rPr>
              <w:t>Post-Transaction</w:t>
            </w:r>
          </w:p>
        </w:tc>
      </w:tr>
      <w:tr w:rsidR="004C558F" w14:paraId="1C34E648" w14:textId="77777777" w:rsidTr="00DC742D">
        <w:trPr>
          <w:cantSplit/>
          <w:trHeight w:val="2068"/>
        </w:trPr>
        <w:tc>
          <w:tcPr>
            <w:tcW w:w="2162" w:type="dxa"/>
          </w:tcPr>
          <w:p w14:paraId="1C34E642" w14:textId="77777777" w:rsidR="004C558F" w:rsidRDefault="00461887">
            <w:pPr>
              <w:pStyle w:val="TableParagraph"/>
              <w:spacing w:before="13"/>
              <w:ind w:left="115"/>
              <w:jc w:val="left"/>
              <w:rPr>
                <w:sz w:val="20"/>
              </w:rPr>
            </w:pPr>
            <w:r>
              <w:rPr>
                <w:sz w:val="20"/>
              </w:rPr>
              <w:t>Medical</w:t>
            </w:r>
            <w:r>
              <w:rPr>
                <w:spacing w:val="-13"/>
                <w:sz w:val="20"/>
              </w:rPr>
              <w:t xml:space="preserve"> </w:t>
            </w:r>
            <w:r>
              <w:rPr>
                <w:sz w:val="20"/>
              </w:rPr>
              <w:t>Oncology</w:t>
            </w:r>
            <w:r>
              <w:rPr>
                <w:spacing w:val="-12"/>
                <w:sz w:val="20"/>
              </w:rPr>
              <w:t xml:space="preserve"> </w:t>
            </w:r>
            <w:r>
              <w:rPr>
                <w:sz w:val="20"/>
              </w:rPr>
              <w:t xml:space="preserve">and Oncologic Infusion </w:t>
            </w:r>
            <w:r>
              <w:rPr>
                <w:spacing w:val="-2"/>
                <w:sz w:val="20"/>
              </w:rPr>
              <w:t>Treatment</w:t>
            </w:r>
          </w:p>
        </w:tc>
        <w:tc>
          <w:tcPr>
            <w:tcW w:w="3396" w:type="dxa"/>
          </w:tcPr>
          <w:p w14:paraId="1C34E643" w14:textId="77777777" w:rsidR="004C558F" w:rsidRDefault="00461887">
            <w:pPr>
              <w:pStyle w:val="TableParagraph"/>
              <w:spacing w:before="13"/>
              <w:ind w:left="113" w:right="173"/>
              <w:jc w:val="left"/>
              <w:rPr>
                <w:sz w:val="20"/>
              </w:rPr>
            </w:pPr>
            <w:r>
              <w:rPr>
                <w:sz w:val="20"/>
              </w:rPr>
              <w:t>BIDMC</w:t>
            </w:r>
            <w:r>
              <w:rPr>
                <w:spacing w:val="-10"/>
                <w:sz w:val="20"/>
              </w:rPr>
              <w:t xml:space="preserve"> </w:t>
            </w:r>
            <w:r>
              <w:rPr>
                <w:sz w:val="20"/>
              </w:rPr>
              <w:t>and</w:t>
            </w:r>
            <w:r>
              <w:rPr>
                <w:spacing w:val="-9"/>
                <w:sz w:val="20"/>
              </w:rPr>
              <w:t xml:space="preserve"> </w:t>
            </w:r>
            <w:r>
              <w:rPr>
                <w:sz w:val="20"/>
              </w:rPr>
              <w:t>HMFP</w:t>
            </w:r>
            <w:r>
              <w:rPr>
                <w:spacing w:val="-11"/>
                <w:sz w:val="20"/>
              </w:rPr>
              <w:t xml:space="preserve"> </w:t>
            </w:r>
            <w:r>
              <w:rPr>
                <w:sz w:val="20"/>
              </w:rPr>
              <w:t>provide</w:t>
            </w:r>
            <w:r>
              <w:rPr>
                <w:spacing w:val="-11"/>
                <w:sz w:val="20"/>
              </w:rPr>
              <w:t xml:space="preserve"> </w:t>
            </w:r>
            <w:r>
              <w:rPr>
                <w:sz w:val="20"/>
              </w:rPr>
              <w:t>inpatient and outpatient services.</w:t>
            </w:r>
          </w:p>
          <w:p w14:paraId="1C34E644" w14:textId="77777777" w:rsidR="004C558F" w:rsidRDefault="00461887">
            <w:pPr>
              <w:pStyle w:val="TableParagraph"/>
              <w:spacing w:before="226"/>
              <w:ind w:left="113" w:right="173"/>
              <w:jc w:val="left"/>
              <w:rPr>
                <w:sz w:val="20"/>
              </w:rPr>
            </w:pPr>
            <w:r>
              <w:rPr>
                <w:sz w:val="20"/>
              </w:rPr>
              <w:t>DFCI provides inpatient and outpatient</w:t>
            </w:r>
            <w:r>
              <w:rPr>
                <w:spacing w:val="-13"/>
                <w:sz w:val="20"/>
              </w:rPr>
              <w:t xml:space="preserve"> </w:t>
            </w:r>
            <w:r>
              <w:rPr>
                <w:sz w:val="20"/>
              </w:rPr>
              <w:t>services,</w:t>
            </w:r>
            <w:r>
              <w:rPr>
                <w:spacing w:val="-12"/>
                <w:sz w:val="20"/>
              </w:rPr>
              <w:t xml:space="preserve"> </w:t>
            </w:r>
            <w:proofErr w:type="gramStart"/>
            <w:r>
              <w:rPr>
                <w:sz w:val="20"/>
              </w:rPr>
              <w:t>including</w:t>
            </w:r>
            <w:r>
              <w:rPr>
                <w:spacing w:val="-12"/>
                <w:sz w:val="20"/>
              </w:rPr>
              <w:t xml:space="preserve"> </w:t>
            </w:r>
            <w:r>
              <w:rPr>
                <w:sz w:val="20"/>
              </w:rPr>
              <w:t>for</w:t>
            </w:r>
            <w:proofErr w:type="gramEnd"/>
            <w:r>
              <w:rPr>
                <w:sz w:val="20"/>
              </w:rPr>
              <w:t xml:space="preserve"> BWH patients.</w:t>
            </w:r>
          </w:p>
        </w:tc>
        <w:tc>
          <w:tcPr>
            <w:tcW w:w="5242" w:type="dxa"/>
          </w:tcPr>
          <w:p w14:paraId="1C34E645" w14:textId="77777777" w:rsidR="004C558F" w:rsidRDefault="00461887">
            <w:pPr>
              <w:pStyle w:val="TableParagraph"/>
              <w:spacing w:before="13"/>
              <w:ind w:left="112"/>
              <w:jc w:val="left"/>
              <w:rPr>
                <w:sz w:val="20"/>
              </w:rPr>
            </w:pPr>
            <w:r>
              <w:rPr>
                <w:sz w:val="20"/>
              </w:rPr>
              <w:t>DFCI</w:t>
            </w:r>
            <w:r>
              <w:rPr>
                <w:spacing w:val="-5"/>
                <w:sz w:val="20"/>
              </w:rPr>
              <w:t xml:space="preserve"> </w:t>
            </w:r>
            <w:r>
              <w:rPr>
                <w:sz w:val="20"/>
              </w:rPr>
              <w:t>would</w:t>
            </w:r>
            <w:r>
              <w:rPr>
                <w:spacing w:val="-6"/>
                <w:sz w:val="20"/>
              </w:rPr>
              <w:t xml:space="preserve"> </w:t>
            </w:r>
            <w:r>
              <w:rPr>
                <w:sz w:val="20"/>
              </w:rPr>
              <w:t>provide</w:t>
            </w:r>
            <w:r>
              <w:rPr>
                <w:spacing w:val="-7"/>
                <w:sz w:val="20"/>
              </w:rPr>
              <w:t xml:space="preserve"> </w:t>
            </w:r>
            <w:r>
              <w:rPr>
                <w:sz w:val="20"/>
              </w:rPr>
              <w:t>inpatient</w:t>
            </w:r>
            <w:r>
              <w:rPr>
                <w:spacing w:val="-3"/>
                <w:sz w:val="20"/>
              </w:rPr>
              <w:t xml:space="preserve"> </w:t>
            </w:r>
            <w:r>
              <w:rPr>
                <w:sz w:val="20"/>
              </w:rPr>
              <w:t>and</w:t>
            </w:r>
            <w:r>
              <w:rPr>
                <w:spacing w:val="-5"/>
                <w:sz w:val="20"/>
              </w:rPr>
              <w:t xml:space="preserve"> </w:t>
            </w:r>
            <w:r>
              <w:rPr>
                <w:sz w:val="20"/>
              </w:rPr>
              <w:t>outpatient</w:t>
            </w:r>
            <w:r>
              <w:rPr>
                <w:spacing w:val="-5"/>
                <w:sz w:val="20"/>
              </w:rPr>
              <w:t xml:space="preserve"> </w:t>
            </w:r>
            <w:r>
              <w:rPr>
                <w:sz w:val="20"/>
              </w:rPr>
              <w:t>services</w:t>
            </w:r>
            <w:r>
              <w:rPr>
                <w:spacing w:val="-5"/>
                <w:sz w:val="20"/>
              </w:rPr>
              <w:t xml:space="preserve"> </w:t>
            </w:r>
            <w:r>
              <w:rPr>
                <w:sz w:val="20"/>
              </w:rPr>
              <w:t>in</w:t>
            </w:r>
            <w:r>
              <w:rPr>
                <w:spacing w:val="-6"/>
                <w:sz w:val="20"/>
              </w:rPr>
              <w:t xml:space="preserve"> </w:t>
            </w:r>
            <w:r>
              <w:rPr>
                <w:sz w:val="20"/>
              </w:rPr>
              <w:t xml:space="preserve">its new facility and become the preferred provider for BIDMC </w:t>
            </w:r>
            <w:r>
              <w:rPr>
                <w:spacing w:val="-2"/>
                <w:sz w:val="20"/>
              </w:rPr>
              <w:t>patients.</w:t>
            </w:r>
          </w:p>
          <w:p w14:paraId="1C34E646" w14:textId="77777777" w:rsidR="004C558F" w:rsidRDefault="00461887">
            <w:pPr>
              <w:pStyle w:val="TableParagraph"/>
              <w:spacing w:before="114"/>
              <w:ind w:left="112" w:right="195"/>
              <w:jc w:val="left"/>
              <w:rPr>
                <w:sz w:val="20"/>
              </w:rPr>
            </w:pPr>
            <w:r>
              <w:rPr>
                <w:sz w:val="20"/>
              </w:rPr>
              <w:t>BIDMC</w:t>
            </w:r>
            <w:r>
              <w:rPr>
                <w:spacing w:val="-5"/>
                <w:sz w:val="20"/>
              </w:rPr>
              <w:t xml:space="preserve"> </w:t>
            </w:r>
            <w:r>
              <w:rPr>
                <w:sz w:val="20"/>
              </w:rPr>
              <w:t>and</w:t>
            </w:r>
            <w:r>
              <w:rPr>
                <w:spacing w:val="-4"/>
                <w:sz w:val="20"/>
              </w:rPr>
              <w:t xml:space="preserve"> </w:t>
            </w:r>
            <w:r>
              <w:rPr>
                <w:sz w:val="20"/>
              </w:rPr>
              <w:t>HMFP</w:t>
            </w:r>
            <w:r>
              <w:rPr>
                <w:spacing w:val="-6"/>
                <w:sz w:val="20"/>
              </w:rPr>
              <w:t xml:space="preserve"> </w:t>
            </w:r>
            <w:r>
              <w:rPr>
                <w:sz w:val="20"/>
              </w:rPr>
              <w:t>would</w:t>
            </w:r>
            <w:r>
              <w:rPr>
                <w:spacing w:val="-4"/>
                <w:sz w:val="20"/>
              </w:rPr>
              <w:t xml:space="preserve"> </w:t>
            </w:r>
            <w:r>
              <w:rPr>
                <w:sz w:val="20"/>
              </w:rPr>
              <w:t>cease</w:t>
            </w:r>
            <w:r>
              <w:rPr>
                <w:spacing w:val="-6"/>
                <w:sz w:val="20"/>
              </w:rPr>
              <w:t xml:space="preserve"> </w:t>
            </w:r>
            <w:r>
              <w:rPr>
                <w:sz w:val="20"/>
              </w:rPr>
              <w:t>providing</w:t>
            </w:r>
            <w:r>
              <w:rPr>
                <w:spacing w:val="-5"/>
                <w:sz w:val="20"/>
              </w:rPr>
              <w:t xml:space="preserve"> </w:t>
            </w:r>
            <w:r>
              <w:rPr>
                <w:sz w:val="20"/>
              </w:rPr>
              <w:t>these</w:t>
            </w:r>
            <w:r>
              <w:rPr>
                <w:spacing w:val="-6"/>
                <w:sz w:val="20"/>
              </w:rPr>
              <w:t xml:space="preserve"> </w:t>
            </w:r>
            <w:r>
              <w:rPr>
                <w:sz w:val="20"/>
              </w:rPr>
              <w:t>services</w:t>
            </w:r>
            <w:r>
              <w:rPr>
                <w:spacing w:val="-4"/>
                <w:sz w:val="20"/>
              </w:rPr>
              <w:t xml:space="preserve"> </w:t>
            </w:r>
            <w:r>
              <w:rPr>
                <w:sz w:val="20"/>
              </w:rPr>
              <w:t>in the Longwood area, with HMFP medical oncologists practicing</w:t>
            </w:r>
            <w:r>
              <w:rPr>
                <w:spacing w:val="-4"/>
                <w:sz w:val="20"/>
              </w:rPr>
              <w:t xml:space="preserve"> </w:t>
            </w:r>
            <w:r>
              <w:rPr>
                <w:sz w:val="20"/>
              </w:rPr>
              <w:t>at</w:t>
            </w:r>
            <w:r>
              <w:rPr>
                <w:spacing w:val="-3"/>
                <w:sz w:val="20"/>
              </w:rPr>
              <w:t xml:space="preserve"> </w:t>
            </w:r>
            <w:r>
              <w:rPr>
                <w:sz w:val="20"/>
              </w:rPr>
              <w:t>BIDMC</w:t>
            </w:r>
            <w:r>
              <w:rPr>
                <w:spacing w:val="-4"/>
                <w:sz w:val="20"/>
              </w:rPr>
              <w:t xml:space="preserve"> </w:t>
            </w:r>
            <w:r>
              <w:rPr>
                <w:sz w:val="20"/>
              </w:rPr>
              <w:t>joining</w:t>
            </w:r>
            <w:r>
              <w:rPr>
                <w:spacing w:val="-4"/>
                <w:sz w:val="20"/>
              </w:rPr>
              <w:t xml:space="preserve"> </w:t>
            </w:r>
            <w:r>
              <w:rPr>
                <w:sz w:val="20"/>
              </w:rPr>
              <w:t>DFCI.</w:t>
            </w:r>
            <w:r>
              <w:rPr>
                <w:spacing w:val="-3"/>
                <w:sz w:val="20"/>
              </w:rPr>
              <w:t xml:space="preserve"> </w:t>
            </w:r>
            <w:r>
              <w:rPr>
                <w:sz w:val="20"/>
              </w:rPr>
              <w:t>BIDMC</w:t>
            </w:r>
            <w:r>
              <w:rPr>
                <w:spacing w:val="-4"/>
                <w:sz w:val="20"/>
              </w:rPr>
              <w:t xml:space="preserve"> </w:t>
            </w:r>
            <w:r>
              <w:rPr>
                <w:sz w:val="20"/>
              </w:rPr>
              <w:t>and</w:t>
            </w:r>
            <w:r>
              <w:rPr>
                <w:spacing w:val="-3"/>
                <w:sz w:val="20"/>
              </w:rPr>
              <w:t xml:space="preserve"> </w:t>
            </w:r>
            <w:r>
              <w:rPr>
                <w:sz w:val="20"/>
              </w:rPr>
              <w:t>HMFP</w:t>
            </w:r>
            <w:r>
              <w:rPr>
                <w:spacing w:val="-5"/>
                <w:sz w:val="20"/>
              </w:rPr>
              <w:t xml:space="preserve"> </w:t>
            </w:r>
            <w:r>
              <w:rPr>
                <w:sz w:val="20"/>
              </w:rPr>
              <w:t>would continue to provide services outside the Longwood area.</w:t>
            </w:r>
          </w:p>
          <w:p w14:paraId="1C34E647" w14:textId="77777777" w:rsidR="004C558F" w:rsidRDefault="00461887">
            <w:pPr>
              <w:pStyle w:val="TableParagraph"/>
              <w:spacing w:before="113" w:line="221" w:lineRule="exact"/>
              <w:ind w:left="112"/>
              <w:jc w:val="left"/>
              <w:rPr>
                <w:sz w:val="20"/>
              </w:rPr>
            </w:pPr>
            <w:r>
              <w:rPr>
                <w:sz w:val="20"/>
              </w:rPr>
              <w:t>DFCI</w:t>
            </w:r>
            <w:r>
              <w:rPr>
                <w:spacing w:val="-5"/>
                <w:sz w:val="20"/>
              </w:rPr>
              <w:t xml:space="preserve"> </w:t>
            </w:r>
            <w:r>
              <w:rPr>
                <w:sz w:val="20"/>
              </w:rPr>
              <w:t>would</w:t>
            </w:r>
            <w:r>
              <w:rPr>
                <w:spacing w:val="-4"/>
                <w:sz w:val="20"/>
              </w:rPr>
              <w:t xml:space="preserve"> </w:t>
            </w:r>
            <w:r>
              <w:rPr>
                <w:sz w:val="20"/>
              </w:rPr>
              <w:t>no</w:t>
            </w:r>
            <w:r>
              <w:rPr>
                <w:spacing w:val="-5"/>
                <w:sz w:val="20"/>
              </w:rPr>
              <w:t xml:space="preserve"> </w:t>
            </w:r>
            <w:r>
              <w:rPr>
                <w:sz w:val="20"/>
              </w:rPr>
              <w:t>longer</w:t>
            </w:r>
            <w:r>
              <w:rPr>
                <w:spacing w:val="-6"/>
                <w:sz w:val="20"/>
              </w:rPr>
              <w:t xml:space="preserve"> </w:t>
            </w:r>
            <w:r>
              <w:rPr>
                <w:sz w:val="20"/>
              </w:rPr>
              <w:t>provide</w:t>
            </w:r>
            <w:r>
              <w:rPr>
                <w:spacing w:val="-5"/>
                <w:sz w:val="20"/>
              </w:rPr>
              <w:t xml:space="preserve"> </w:t>
            </w:r>
            <w:r>
              <w:rPr>
                <w:sz w:val="20"/>
              </w:rPr>
              <w:t>services</w:t>
            </w:r>
            <w:r>
              <w:rPr>
                <w:spacing w:val="-5"/>
                <w:sz w:val="20"/>
              </w:rPr>
              <w:t xml:space="preserve"> </w:t>
            </w:r>
            <w:r>
              <w:rPr>
                <w:sz w:val="20"/>
              </w:rPr>
              <w:t>at</w:t>
            </w:r>
            <w:r>
              <w:rPr>
                <w:spacing w:val="-4"/>
                <w:sz w:val="20"/>
              </w:rPr>
              <w:t xml:space="preserve"> BWH.</w:t>
            </w:r>
          </w:p>
        </w:tc>
      </w:tr>
      <w:tr w:rsidR="004C558F" w14:paraId="1C34E64D" w14:textId="77777777" w:rsidTr="00DC742D">
        <w:trPr>
          <w:cantSplit/>
          <w:trHeight w:val="1048"/>
        </w:trPr>
        <w:tc>
          <w:tcPr>
            <w:tcW w:w="2162" w:type="dxa"/>
          </w:tcPr>
          <w:p w14:paraId="1C34E649" w14:textId="77777777" w:rsidR="004C558F" w:rsidRDefault="00461887">
            <w:pPr>
              <w:pStyle w:val="TableParagraph"/>
              <w:spacing w:before="13"/>
              <w:ind w:left="115"/>
              <w:jc w:val="left"/>
              <w:rPr>
                <w:sz w:val="20"/>
              </w:rPr>
            </w:pPr>
            <w:r>
              <w:rPr>
                <w:sz w:val="20"/>
              </w:rPr>
              <w:t>Surgical</w:t>
            </w:r>
            <w:r>
              <w:rPr>
                <w:spacing w:val="-6"/>
                <w:sz w:val="20"/>
              </w:rPr>
              <w:t xml:space="preserve"> </w:t>
            </w:r>
            <w:r>
              <w:rPr>
                <w:spacing w:val="-2"/>
                <w:sz w:val="20"/>
              </w:rPr>
              <w:t>Oncology</w:t>
            </w:r>
          </w:p>
        </w:tc>
        <w:tc>
          <w:tcPr>
            <w:tcW w:w="3396" w:type="dxa"/>
          </w:tcPr>
          <w:p w14:paraId="1C34E64A" w14:textId="77777777" w:rsidR="004C558F" w:rsidRDefault="00461887">
            <w:pPr>
              <w:pStyle w:val="TableParagraph"/>
              <w:spacing w:before="13"/>
              <w:ind w:left="113"/>
              <w:jc w:val="left"/>
              <w:rPr>
                <w:sz w:val="20"/>
              </w:rPr>
            </w:pPr>
            <w:r>
              <w:rPr>
                <w:sz w:val="20"/>
              </w:rPr>
              <w:t>BIDMC</w:t>
            </w:r>
            <w:r>
              <w:rPr>
                <w:spacing w:val="-1"/>
                <w:sz w:val="20"/>
              </w:rPr>
              <w:t xml:space="preserve"> </w:t>
            </w:r>
            <w:r>
              <w:rPr>
                <w:sz w:val="20"/>
              </w:rPr>
              <w:t>and HMFP</w:t>
            </w:r>
            <w:r>
              <w:rPr>
                <w:spacing w:val="-2"/>
                <w:sz w:val="20"/>
              </w:rPr>
              <w:t xml:space="preserve"> </w:t>
            </w:r>
            <w:r>
              <w:rPr>
                <w:sz w:val="20"/>
              </w:rPr>
              <w:t>provide</w:t>
            </w:r>
            <w:r>
              <w:rPr>
                <w:spacing w:val="-2"/>
                <w:sz w:val="20"/>
              </w:rPr>
              <w:t xml:space="preserve"> </w:t>
            </w:r>
            <w:r>
              <w:rPr>
                <w:sz w:val="20"/>
              </w:rPr>
              <w:t>surgical oncology</w:t>
            </w:r>
            <w:r>
              <w:rPr>
                <w:spacing w:val="-7"/>
                <w:sz w:val="20"/>
              </w:rPr>
              <w:t xml:space="preserve"> </w:t>
            </w:r>
            <w:r>
              <w:rPr>
                <w:sz w:val="20"/>
              </w:rPr>
              <w:t>services</w:t>
            </w:r>
            <w:r>
              <w:rPr>
                <w:spacing w:val="-5"/>
                <w:sz w:val="20"/>
              </w:rPr>
              <w:t xml:space="preserve"> </w:t>
            </w:r>
            <w:r>
              <w:rPr>
                <w:sz w:val="20"/>
              </w:rPr>
              <w:t>to</w:t>
            </w:r>
            <w:r>
              <w:rPr>
                <w:spacing w:val="-6"/>
                <w:sz w:val="20"/>
              </w:rPr>
              <w:t xml:space="preserve"> </w:t>
            </w:r>
            <w:r>
              <w:rPr>
                <w:sz w:val="20"/>
              </w:rPr>
              <w:t>their</w:t>
            </w:r>
            <w:r>
              <w:rPr>
                <w:spacing w:val="-7"/>
                <w:sz w:val="20"/>
              </w:rPr>
              <w:t xml:space="preserve"> </w:t>
            </w:r>
            <w:r>
              <w:rPr>
                <w:spacing w:val="-2"/>
                <w:sz w:val="20"/>
              </w:rPr>
              <w:t>patients.</w:t>
            </w:r>
          </w:p>
          <w:p w14:paraId="1C34E64B" w14:textId="77777777" w:rsidR="004C558F" w:rsidRDefault="00461887">
            <w:pPr>
              <w:pStyle w:val="TableParagraph"/>
              <w:spacing w:before="108" w:line="220" w:lineRule="atLeast"/>
              <w:ind w:left="113"/>
              <w:jc w:val="left"/>
              <w:rPr>
                <w:sz w:val="20"/>
              </w:rPr>
            </w:pPr>
            <w:r>
              <w:rPr>
                <w:sz w:val="20"/>
              </w:rPr>
              <w:t>BWH</w:t>
            </w:r>
            <w:r>
              <w:rPr>
                <w:spacing w:val="-13"/>
                <w:sz w:val="20"/>
              </w:rPr>
              <w:t xml:space="preserve"> </w:t>
            </w:r>
            <w:r>
              <w:rPr>
                <w:sz w:val="20"/>
              </w:rPr>
              <w:t>provides</w:t>
            </w:r>
            <w:r>
              <w:rPr>
                <w:spacing w:val="-12"/>
                <w:sz w:val="20"/>
              </w:rPr>
              <w:t xml:space="preserve"> </w:t>
            </w:r>
            <w:r>
              <w:rPr>
                <w:sz w:val="20"/>
              </w:rPr>
              <w:t>surgical</w:t>
            </w:r>
            <w:r>
              <w:rPr>
                <w:spacing w:val="-12"/>
                <w:sz w:val="20"/>
              </w:rPr>
              <w:t xml:space="preserve"> </w:t>
            </w:r>
            <w:r>
              <w:rPr>
                <w:sz w:val="20"/>
              </w:rPr>
              <w:t>oncology services to DFCI patients.</w:t>
            </w:r>
          </w:p>
        </w:tc>
        <w:tc>
          <w:tcPr>
            <w:tcW w:w="5242" w:type="dxa"/>
          </w:tcPr>
          <w:p w14:paraId="1C34E64C" w14:textId="77777777" w:rsidR="004C558F" w:rsidRDefault="00461887">
            <w:pPr>
              <w:pStyle w:val="TableParagraph"/>
              <w:spacing w:before="13"/>
              <w:ind w:left="112" w:right="195"/>
              <w:jc w:val="left"/>
              <w:rPr>
                <w:sz w:val="20"/>
              </w:rPr>
            </w:pPr>
            <w:r>
              <w:rPr>
                <w:sz w:val="20"/>
              </w:rPr>
              <w:t>BIDMC</w:t>
            </w:r>
            <w:r>
              <w:rPr>
                <w:spacing w:val="-7"/>
                <w:sz w:val="20"/>
              </w:rPr>
              <w:t xml:space="preserve"> </w:t>
            </w:r>
            <w:r>
              <w:rPr>
                <w:sz w:val="20"/>
              </w:rPr>
              <w:t>and</w:t>
            </w:r>
            <w:r>
              <w:rPr>
                <w:spacing w:val="-6"/>
                <w:sz w:val="20"/>
              </w:rPr>
              <w:t xml:space="preserve"> </w:t>
            </w:r>
            <w:r>
              <w:rPr>
                <w:sz w:val="20"/>
              </w:rPr>
              <w:t>HMFP</w:t>
            </w:r>
            <w:r>
              <w:rPr>
                <w:spacing w:val="-8"/>
                <w:sz w:val="20"/>
              </w:rPr>
              <w:t xml:space="preserve"> </w:t>
            </w:r>
            <w:r>
              <w:rPr>
                <w:sz w:val="20"/>
              </w:rPr>
              <w:t>would</w:t>
            </w:r>
            <w:r>
              <w:rPr>
                <w:spacing w:val="-6"/>
                <w:sz w:val="20"/>
              </w:rPr>
              <w:t xml:space="preserve"> </w:t>
            </w:r>
            <w:r>
              <w:rPr>
                <w:sz w:val="20"/>
              </w:rPr>
              <w:t>become</w:t>
            </w:r>
            <w:r>
              <w:rPr>
                <w:spacing w:val="-8"/>
                <w:sz w:val="20"/>
              </w:rPr>
              <w:t xml:space="preserve"> </w:t>
            </w:r>
            <w:r>
              <w:rPr>
                <w:sz w:val="20"/>
              </w:rPr>
              <w:t>DFCI’s</w:t>
            </w:r>
            <w:r>
              <w:rPr>
                <w:spacing w:val="-6"/>
                <w:sz w:val="20"/>
              </w:rPr>
              <w:t xml:space="preserve"> </w:t>
            </w:r>
            <w:r>
              <w:rPr>
                <w:sz w:val="20"/>
              </w:rPr>
              <w:t>preferred providers of services in the Longwood area.</w:t>
            </w:r>
          </w:p>
        </w:tc>
      </w:tr>
      <w:tr w:rsidR="004C558F" w14:paraId="1C34E652" w14:textId="77777777" w:rsidTr="00DC742D">
        <w:trPr>
          <w:cantSplit/>
          <w:trHeight w:val="359"/>
        </w:trPr>
        <w:tc>
          <w:tcPr>
            <w:tcW w:w="2162" w:type="dxa"/>
          </w:tcPr>
          <w:p w14:paraId="1C34E64E" w14:textId="77777777" w:rsidR="004C558F" w:rsidRDefault="00461887">
            <w:pPr>
              <w:pStyle w:val="TableParagraph"/>
              <w:spacing w:before="13"/>
              <w:ind w:left="115"/>
              <w:jc w:val="left"/>
              <w:rPr>
                <w:sz w:val="20"/>
              </w:rPr>
            </w:pPr>
            <w:r>
              <w:rPr>
                <w:sz w:val="20"/>
              </w:rPr>
              <w:t>Cancer</w:t>
            </w:r>
            <w:r>
              <w:rPr>
                <w:spacing w:val="-5"/>
                <w:sz w:val="20"/>
              </w:rPr>
              <w:t xml:space="preserve"> </w:t>
            </w:r>
            <w:r>
              <w:rPr>
                <w:spacing w:val="-2"/>
                <w:sz w:val="20"/>
              </w:rPr>
              <w:t>Pathology</w:t>
            </w:r>
          </w:p>
        </w:tc>
        <w:tc>
          <w:tcPr>
            <w:tcW w:w="3396" w:type="dxa"/>
            <w:vMerge w:val="restart"/>
          </w:tcPr>
          <w:p w14:paraId="1C34E64F" w14:textId="77777777" w:rsidR="004C558F" w:rsidRDefault="00461887">
            <w:pPr>
              <w:pStyle w:val="TableParagraph"/>
              <w:spacing w:before="13"/>
              <w:ind w:left="112" w:right="546"/>
              <w:jc w:val="both"/>
              <w:rPr>
                <w:sz w:val="20"/>
              </w:rPr>
            </w:pPr>
            <w:r>
              <w:rPr>
                <w:sz w:val="20"/>
              </w:rPr>
              <w:t>BIDMC,</w:t>
            </w:r>
            <w:r>
              <w:rPr>
                <w:spacing w:val="-10"/>
                <w:sz w:val="20"/>
              </w:rPr>
              <w:t xml:space="preserve"> </w:t>
            </w:r>
            <w:r>
              <w:rPr>
                <w:sz w:val="20"/>
              </w:rPr>
              <w:t>HMFP,</w:t>
            </w:r>
            <w:r>
              <w:rPr>
                <w:spacing w:val="-10"/>
                <w:sz w:val="20"/>
              </w:rPr>
              <w:t xml:space="preserve"> </w:t>
            </w:r>
            <w:r>
              <w:rPr>
                <w:sz w:val="20"/>
              </w:rPr>
              <w:t>and</w:t>
            </w:r>
            <w:r>
              <w:rPr>
                <w:spacing w:val="-10"/>
                <w:sz w:val="20"/>
              </w:rPr>
              <w:t xml:space="preserve"> </w:t>
            </w:r>
            <w:r>
              <w:rPr>
                <w:sz w:val="20"/>
              </w:rPr>
              <w:t>DFCI</w:t>
            </w:r>
            <w:r>
              <w:rPr>
                <w:spacing w:val="-10"/>
                <w:sz w:val="20"/>
              </w:rPr>
              <w:t xml:space="preserve"> </w:t>
            </w:r>
            <w:r>
              <w:rPr>
                <w:sz w:val="20"/>
              </w:rPr>
              <w:t>provide cancer</w:t>
            </w:r>
            <w:r>
              <w:rPr>
                <w:spacing w:val="-12"/>
                <w:sz w:val="20"/>
              </w:rPr>
              <w:t xml:space="preserve"> </w:t>
            </w:r>
            <w:r>
              <w:rPr>
                <w:sz w:val="20"/>
              </w:rPr>
              <w:t>pathology</w:t>
            </w:r>
            <w:r>
              <w:rPr>
                <w:spacing w:val="-12"/>
                <w:sz w:val="20"/>
              </w:rPr>
              <w:t xml:space="preserve"> </w:t>
            </w:r>
            <w:r>
              <w:rPr>
                <w:sz w:val="20"/>
              </w:rPr>
              <w:t>and</w:t>
            </w:r>
            <w:r>
              <w:rPr>
                <w:spacing w:val="-12"/>
                <w:sz w:val="20"/>
              </w:rPr>
              <w:t xml:space="preserve"> </w:t>
            </w:r>
            <w:r>
              <w:rPr>
                <w:sz w:val="20"/>
              </w:rPr>
              <w:t>diagnostic radiology services.</w:t>
            </w:r>
          </w:p>
        </w:tc>
        <w:tc>
          <w:tcPr>
            <w:tcW w:w="5242" w:type="dxa"/>
            <w:vMerge w:val="restart"/>
          </w:tcPr>
          <w:p w14:paraId="1C34E650" w14:textId="77777777" w:rsidR="004C558F" w:rsidRDefault="00461887">
            <w:pPr>
              <w:pStyle w:val="TableParagraph"/>
              <w:spacing w:before="13"/>
              <w:ind w:left="112" w:right="195"/>
              <w:jc w:val="left"/>
              <w:rPr>
                <w:sz w:val="20"/>
              </w:rPr>
            </w:pPr>
            <w:r>
              <w:rPr>
                <w:sz w:val="20"/>
              </w:rPr>
              <w:t>DFCI, BIDMC, and HMFP would coordinate in operating these</w:t>
            </w:r>
            <w:r>
              <w:rPr>
                <w:spacing w:val="-6"/>
                <w:sz w:val="20"/>
              </w:rPr>
              <w:t xml:space="preserve"> </w:t>
            </w:r>
            <w:r>
              <w:rPr>
                <w:sz w:val="20"/>
              </w:rPr>
              <w:t>services,</w:t>
            </w:r>
            <w:r>
              <w:rPr>
                <w:spacing w:val="-5"/>
                <w:sz w:val="20"/>
              </w:rPr>
              <w:t xml:space="preserve"> </w:t>
            </w:r>
            <w:r>
              <w:rPr>
                <w:sz w:val="20"/>
              </w:rPr>
              <w:t>with</w:t>
            </w:r>
            <w:r>
              <w:rPr>
                <w:spacing w:val="-6"/>
                <w:sz w:val="20"/>
              </w:rPr>
              <w:t xml:space="preserve"> </w:t>
            </w:r>
            <w:r>
              <w:rPr>
                <w:sz w:val="20"/>
              </w:rPr>
              <w:t>both</w:t>
            </w:r>
            <w:r>
              <w:rPr>
                <w:spacing w:val="-6"/>
                <w:sz w:val="20"/>
              </w:rPr>
              <w:t xml:space="preserve"> </w:t>
            </w:r>
            <w:r>
              <w:rPr>
                <w:sz w:val="20"/>
              </w:rPr>
              <w:t>DFCI</w:t>
            </w:r>
            <w:r>
              <w:rPr>
                <w:spacing w:val="-5"/>
                <w:sz w:val="20"/>
              </w:rPr>
              <w:t xml:space="preserve"> </w:t>
            </w:r>
            <w:r>
              <w:rPr>
                <w:sz w:val="20"/>
              </w:rPr>
              <w:t>and</w:t>
            </w:r>
            <w:r>
              <w:rPr>
                <w:spacing w:val="-5"/>
                <w:sz w:val="20"/>
              </w:rPr>
              <w:t xml:space="preserve"> </w:t>
            </w:r>
            <w:r>
              <w:rPr>
                <w:sz w:val="20"/>
              </w:rPr>
              <w:t>BIDMC</w:t>
            </w:r>
            <w:r>
              <w:rPr>
                <w:spacing w:val="-6"/>
                <w:sz w:val="20"/>
              </w:rPr>
              <w:t xml:space="preserve"> </w:t>
            </w:r>
            <w:r>
              <w:rPr>
                <w:sz w:val="20"/>
              </w:rPr>
              <w:t>providing</w:t>
            </w:r>
            <w:r>
              <w:rPr>
                <w:spacing w:val="-6"/>
                <w:sz w:val="20"/>
              </w:rPr>
              <w:t xml:space="preserve"> </w:t>
            </w:r>
            <w:r>
              <w:rPr>
                <w:sz w:val="20"/>
              </w:rPr>
              <w:t>some</w:t>
            </w:r>
          </w:p>
          <w:p w14:paraId="1C34E651" w14:textId="77777777" w:rsidR="004C558F" w:rsidRDefault="00461887">
            <w:pPr>
              <w:pStyle w:val="TableParagraph"/>
              <w:spacing w:before="0" w:line="228" w:lineRule="exact"/>
              <w:ind w:left="112"/>
              <w:jc w:val="left"/>
              <w:rPr>
                <w:sz w:val="20"/>
              </w:rPr>
            </w:pPr>
            <w:r>
              <w:rPr>
                <w:sz w:val="20"/>
              </w:rPr>
              <w:t>services</w:t>
            </w:r>
            <w:r>
              <w:rPr>
                <w:spacing w:val="-5"/>
                <w:sz w:val="20"/>
              </w:rPr>
              <w:t xml:space="preserve"> </w:t>
            </w:r>
            <w:r>
              <w:rPr>
                <w:sz w:val="20"/>
              </w:rPr>
              <w:t>in</w:t>
            </w:r>
            <w:r>
              <w:rPr>
                <w:spacing w:val="-6"/>
                <w:sz w:val="20"/>
              </w:rPr>
              <w:t xml:space="preserve"> </w:t>
            </w:r>
            <w:r>
              <w:rPr>
                <w:sz w:val="20"/>
              </w:rPr>
              <w:t>their</w:t>
            </w:r>
            <w:r>
              <w:rPr>
                <w:spacing w:val="-7"/>
                <w:sz w:val="20"/>
              </w:rPr>
              <w:t xml:space="preserve"> </w:t>
            </w:r>
            <w:r>
              <w:rPr>
                <w:sz w:val="20"/>
              </w:rPr>
              <w:t>respective</w:t>
            </w:r>
            <w:r>
              <w:rPr>
                <w:spacing w:val="-7"/>
                <w:sz w:val="20"/>
              </w:rPr>
              <w:t xml:space="preserve"> </w:t>
            </w:r>
            <w:r>
              <w:rPr>
                <w:sz w:val="20"/>
              </w:rPr>
              <w:t>facilities</w:t>
            </w:r>
            <w:r>
              <w:rPr>
                <w:spacing w:val="-5"/>
                <w:sz w:val="20"/>
              </w:rPr>
              <w:t xml:space="preserve"> </w:t>
            </w:r>
            <w:r>
              <w:rPr>
                <w:sz w:val="20"/>
              </w:rPr>
              <w:t>and</w:t>
            </w:r>
            <w:r>
              <w:rPr>
                <w:spacing w:val="-5"/>
                <w:sz w:val="20"/>
              </w:rPr>
              <w:t xml:space="preserve"> </w:t>
            </w:r>
            <w:r>
              <w:rPr>
                <w:sz w:val="20"/>
              </w:rPr>
              <w:t>HMFP</w:t>
            </w:r>
            <w:r>
              <w:rPr>
                <w:spacing w:val="-7"/>
                <w:sz w:val="20"/>
              </w:rPr>
              <w:t xml:space="preserve"> </w:t>
            </w:r>
            <w:r>
              <w:rPr>
                <w:sz w:val="20"/>
              </w:rPr>
              <w:t>providing professional services to both.</w:t>
            </w:r>
          </w:p>
        </w:tc>
      </w:tr>
      <w:tr w:rsidR="004C558F" w14:paraId="1C34E656" w14:textId="77777777" w:rsidTr="00DC742D">
        <w:trPr>
          <w:cantSplit/>
          <w:trHeight w:val="566"/>
        </w:trPr>
        <w:tc>
          <w:tcPr>
            <w:tcW w:w="2162" w:type="dxa"/>
          </w:tcPr>
          <w:p w14:paraId="1C34E653" w14:textId="77777777" w:rsidR="004C558F" w:rsidRDefault="00461887">
            <w:pPr>
              <w:pStyle w:val="TableParagraph"/>
              <w:spacing w:before="13"/>
              <w:ind w:left="115"/>
              <w:jc w:val="left"/>
              <w:rPr>
                <w:sz w:val="20"/>
              </w:rPr>
            </w:pPr>
            <w:r>
              <w:rPr>
                <w:sz w:val="20"/>
              </w:rPr>
              <w:t>Diagnostic</w:t>
            </w:r>
            <w:r>
              <w:rPr>
                <w:spacing w:val="-7"/>
                <w:sz w:val="20"/>
              </w:rPr>
              <w:t xml:space="preserve"> </w:t>
            </w:r>
            <w:r>
              <w:rPr>
                <w:spacing w:val="-2"/>
                <w:sz w:val="20"/>
              </w:rPr>
              <w:t>Radiology</w:t>
            </w:r>
          </w:p>
        </w:tc>
        <w:tc>
          <w:tcPr>
            <w:tcW w:w="3396" w:type="dxa"/>
            <w:vMerge/>
            <w:tcBorders>
              <w:top w:val="nil"/>
            </w:tcBorders>
          </w:tcPr>
          <w:p w14:paraId="1C34E654" w14:textId="77777777" w:rsidR="004C558F" w:rsidRDefault="004C558F">
            <w:pPr>
              <w:rPr>
                <w:sz w:val="2"/>
                <w:szCs w:val="2"/>
              </w:rPr>
            </w:pPr>
          </w:p>
        </w:tc>
        <w:tc>
          <w:tcPr>
            <w:tcW w:w="5242" w:type="dxa"/>
            <w:vMerge/>
            <w:tcBorders>
              <w:top w:val="nil"/>
            </w:tcBorders>
          </w:tcPr>
          <w:p w14:paraId="1C34E655" w14:textId="77777777" w:rsidR="004C558F" w:rsidRDefault="004C558F">
            <w:pPr>
              <w:rPr>
                <w:sz w:val="2"/>
                <w:szCs w:val="2"/>
              </w:rPr>
            </w:pPr>
          </w:p>
        </w:tc>
      </w:tr>
      <w:tr w:rsidR="004C558F" w14:paraId="1C34E65B" w14:textId="77777777" w:rsidTr="00DC742D">
        <w:trPr>
          <w:cantSplit/>
          <w:trHeight w:val="1501"/>
        </w:trPr>
        <w:tc>
          <w:tcPr>
            <w:tcW w:w="2162" w:type="dxa"/>
          </w:tcPr>
          <w:p w14:paraId="1C34E657" w14:textId="77777777" w:rsidR="004C558F" w:rsidRDefault="00461887">
            <w:pPr>
              <w:pStyle w:val="TableParagraph"/>
              <w:spacing w:before="13"/>
              <w:ind w:left="115"/>
              <w:jc w:val="left"/>
              <w:rPr>
                <w:sz w:val="20"/>
              </w:rPr>
            </w:pPr>
            <w:r>
              <w:rPr>
                <w:sz w:val="20"/>
              </w:rPr>
              <w:t>Radiation</w:t>
            </w:r>
            <w:r>
              <w:rPr>
                <w:spacing w:val="-8"/>
                <w:sz w:val="20"/>
              </w:rPr>
              <w:t xml:space="preserve"> </w:t>
            </w:r>
            <w:r>
              <w:rPr>
                <w:spacing w:val="-2"/>
                <w:sz w:val="20"/>
              </w:rPr>
              <w:t>Oncology</w:t>
            </w:r>
          </w:p>
        </w:tc>
        <w:tc>
          <w:tcPr>
            <w:tcW w:w="3396" w:type="dxa"/>
          </w:tcPr>
          <w:p w14:paraId="1C34E658" w14:textId="77777777" w:rsidR="004C558F" w:rsidRDefault="00461887">
            <w:pPr>
              <w:pStyle w:val="TableParagraph"/>
              <w:spacing w:before="13"/>
              <w:ind w:left="113" w:right="60"/>
              <w:jc w:val="left"/>
              <w:rPr>
                <w:sz w:val="20"/>
              </w:rPr>
            </w:pPr>
            <w:r>
              <w:rPr>
                <w:sz w:val="20"/>
              </w:rPr>
              <w:t>DFCI and BIDMC each provide radiation oncology services, with HMFP</w:t>
            </w:r>
            <w:r>
              <w:rPr>
                <w:spacing w:val="-13"/>
                <w:sz w:val="20"/>
              </w:rPr>
              <w:t xml:space="preserve"> </w:t>
            </w:r>
            <w:r>
              <w:rPr>
                <w:sz w:val="20"/>
              </w:rPr>
              <w:t>providing</w:t>
            </w:r>
            <w:r>
              <w:rPr>
                <w:spacing w:val="-12"/>
                <w:sz w:val="20"/>
              </w:rPr>
              <w:t xml:space="preserve"> </w:t>
            </w:r>
            <w:r>
              <w:rPr>
                <w:sz w:val="20"/>
              </w:rPr>
              <w:t>professional</w:t>
            </w:r>
            <w:r>
              <w:rPr>
                <w:spacing w:val="-13"/>
                <w:sz w:val="20"/>
              </w:rPr>
              <w:t xml:space="preserve"> </w:t>
            </w:r>
            <w:r>
              <w:rPr>
                <w:sz w:val="20"/>
              </w:rPr>
              <w:t>services at BIDMC.</w:t>
            </w:r>
          </w:p>
          <w:p w14:paraId="1C34E659" w14:textId="77777777" w:rsidR="004C558F" w:rsidRDefault="00461887">
            <w:pPr>
              <w:pStyle w:val="TableParagraph"/>
              <w:spacing w:before="102" w:line="230" w:lineRule="atLeast"/>
              <w:ind w:left="113" w:right="173"/>
              <w:jc w:val="left"/>
              <w:rPr>
                <w:sz w:val="20"/>
              </w:rPr>
            </w:pPr>
            <w:r>
              <w:rPr>
                <w:sz w:val="20"/>
              </w:rPr>
              <w:t>BWH also provides radiation oncology</w:t>
            </w:r>
            <w:r>
              <w:rPr>
                <w:spacing w:val="-11"/>
                <w:sz w:val="20"/>
              </w:rPr>
              <w:t xml:space="preserve"> </w:t>
            </w:r>
            <w:r>
              <w:rPr>
                <w:sz w:val="20"/>
              </w:rPr>
              <w:t>services</w:t>
            </w:r>
            <w:r>
              <w:rPr>
                <w:spacing w:val="-9"/>
                <w:sz w:val="20"/>
              </w:rPr>
              <w:t xml:space="preserve"> </w:t>
            </w:r>
            <w:r>
              <w:rPr>
                <w:sz w:val="20"/>
              </w:rPr>
              <w:t>to</w:t>
            </w:r>
            <w:r>
              <w:rPr>
                <w:spacing w:val="-10"/>
                <w:sz w:val="20"/>
              </w:rPr>
              <w:t xml:space="preserve"> </w:t>
            </w:r>
            <w:r>
              <w:rPr>
                <w:sz w:val="20"/>
              </w:rPr>
              <w:t>DFCI</w:t>
            </w:r>
            <w:r>
              <w:rPr>
                <w:spacing w:val="-9"/>
                <w:sz w:val="20"/>
              </w:rPr>
              <w:t xml:space="preserve"> </w:t>
            </w:r>
            <w:r>
              <w:rPr>
                <w:sz w:val="20"/>
              </w:rPr>
              <w:t>patients.</w:t>
            </w:r>
          </w:p>
        </w:tc>
        <w:tc>
          <w:tcPr>
            <w:tcW w:w="5242" w:type="dxa"/>
          </w:tcPr>
          <w:p w14:paraId="1C34E65A" w14:textId="77777777" w:rsidR="004C558F" w:rsidRDefault="00461887">
            <w:pPr>
              <w:pStyle w:val="TableParagraph"/>
              <w:spacing w:before="13"/>
              <w:ind w:left="112" w:right="39"/>
              <w:jc w:val="left"/>
              <w:rPr>
                <w:sz w:val="20"/>
              </w:rPr>
            </w:pPr>
            <w:r>
              <w:rPr>
                <w:sz w:val="20"/>
              </w:rPr>
              <w:t>DFCI, BIDMC, and HMFP would form a joint venture that would</w:t>
            </w:r>
            <w:r>
              <w:rPr>
                <w:spacing w:val="-2"/>
                <w:sz w:val="20"/>
              </w:rPr>
              <w:t xml:space="preserve"> </w:t>
            </w:r>
            <w:r>
              <w:rPr>
                <w:sz w:val="20"/>
              </w:rPr>
              <w:t>become</w:t>
            </w:r>
            <w:r>
              <w:rPr>
                <w:spacing w:val="-3"/>
                <w:sz w:val="20"/>
              </w:rPr>
              <w:t xml:space="preserve"> </w:t>
            </w:r>
            <w:r>
              <w:rPr>
                <w:sz w:val="20"/>
              </w:rPr>
              <w:t>the</w:t>
            </w:r>
            <w:r>
              <w:rPr>
                <w:spacing w:val="-3"/>
                <w:sz w:val="20"/>
              </w:rPr>
              <w:t xml:space="preserve"> </w:t>
            </w:r>
            <w:r>
              <w:rPr>
                <w:sz w:val="20"/>
              </w:rPr>
              <w:t>sole provider</w:t>
            </w:r>
            <w:r>
              <w:rPr>
                <w:spacing w:val="-3"/>
                <w:sz w:val="20"/>
              </w:rPr>
              <w:t xml:space="preserve"> </w:t>
            </w:r>
            <w:r>
              <w:rPr>
                <w:sz w:val="20"/>
              </w:rPr>
              <w:t>of</w:t>
            </w:r>
            <w:r>
              <w:rPr>
                <w:spacing w:val="-2"/>
                <w:sz w:val="20"/>
              </w:rPr>
              <w:t xml:space="preserve"> </w:t>
            </w:r>
            <w:r>
              <w:rPr>
                <w:sz w:val="20"/>
              </w:rPr>
              <w:t>radiation</w:t>
            </w:r>
            <w:r>
              <w:rPr>
                <w:spacing w:val="-2"/>
                <w:sz w:val="20"/>
              </w:rPr>
              <w:t xml:space="preserve"> </w:t>
            </w:r>
            <w:r>
              <w:rPr>
                <w:sz w:val="20"/>
              </w:rPr>
              <w:t>oncology</w:t>
            </w:r>
            <w:r>
              <w:rPr>
                <w:spacing w:val="-3"/>
                <w:sz w:val="20"/>
              </w:rPr>
              <w:t xml:space="preserve"> </w:t>
            </w:r>
            <w:r>
              <w:rPr>
                <w:sz w:val="20"/>
              </w:rPr>
              <w:t>care for their patients in the Longwood area. They would also form a joint radiation oncology physician organization to coordinate</w:t>
            </w:r>
            <w:r>
              <w:rPr>
                <w:spacing w:val="-8"/>
                <w:sz w:val="20"/>
              </w:rPr>
              <w:t xml:space="preserve"> </w:t>
            </w:r>
            <w:r>
              <w:rPr>
                <w:sz w:val="20"/>
              </w:rPr>
              <w:t>the</w:t>
            </w:r>
            <w:r>
              <w:rPr>
                <w:spacing w:val="-8"/>
                <w:sz w:val="20"/>
              </w:rPr>
              <w:t xml:space="preserve"> </w:t>
            </w:r>
            <w:r>
              <w:rPr>
                <w:sz w:val="20"/>
              </w:rPr>
              <w:t>provision</w:t>
            </w:r>
            <w:r>
              <w:rPr>
                <w:spacing w:val="-7"/>
                <w:sz w:val="20"/>
              </w:rPr>
              <w:t xml:space="preserve"> </w:t>
            </w:r>
            <w:r>
              <w:rPr>
                <w:sz w:val="20"/>
              </w:rPr>
              <w:t>of</w:t>
            </w:r>
            <w:r>
              <w:rPr>
                <w:spacing w:val="-7"/>
                <w:sz w:val="20"/>
              </w:rPr>
              <w:t xml:space="preserve"> </w:t>
            </w:r>
            <w:r>
              <w:rPr>
                <w:sz w:val="20"/>
              </w:rPr>
              <w:t>professional</w:t>
            </w:r>
            <w:r>
              <w:rPr>
                <w:spacing w:val="-5"/>
                <w:sz w:val="20"/>
              </w:rPr>
              <w:t xml:space="preserve"> </w:t>
            </w:r>
            <w:r>
              <w:rPr>
                <w:sz w:val="20"/>
              </w:rPr>
              <w:t>radiation</w:t>
            </w:r>
            <w:r>
              <w:rPr>
                <w:spacing w:val="-7"/>
                <w:sz w:val="20"/>
              </w:rPr>
              <w:t xml:space="preserve"> </w:t>
            </w:r>
            <w:r>
              <w:rPr>
                <w:sz w:val="20"/>
              </w:rPr>
              <w:t xml:space="preserve">oncology </w:t>
            </w:r>
            <w:r>
              <w:rPr>
                <w:spacing w:val="-2"/>
                <w:sz w:val="20"/>
              </w:rPr>
              <w:t>care.</w:t>
            </w:r>
          </w:p>
        </w:tc>
      </w:tr>
      <w:tr w:rsidR="004C558F" w14:paraId="1C34E660" w14:textId="77777777" w:rsidTr="00DC742D">
        <w:trPr>
          <w:cantSplit/>
          <w:trHeight w:val="1048"/>
        </w:trPr>
        <w:tc>
          <w:tcPr>
            <w:tcW w:w="2162" w:type="dxa"/>
          </w:tcPr>
          <w:p w14:paraId="1C34E65C" w14:textId="77777777" w:rsidR="004C558F" w:rsidRDefault="00461887">
            <w:pPr>
              <w:pStyle w:val="TableParagraph"/>
              <w:spacing w:before="13"/>
              <w:ind w:left="115"/>
              <w:jc w:val="left"/>
              <w:rPr>
                <w:sz w:val="20"/>
              </w:rPr>
            </w:pPr>
            <w:r>
              <w:rPr>
                <w:sz w:val="20"/>
              </w:rPr>
              <w:t>Other</w:t>
            </w:r>
            <w:r>
              <w:rPr>
                <w:spacing w:val="-7"/>
                <w:sz w:val="20"/>
              </w:rPr>
              <w:t xml:space="preserve"> </w:t>
            </w:r>
            <w:r>
              <w:rPr>
                <w:sz w:val="20"/>
              </w:rPr>
              <w:t>Clinical</w:t>
            </w:r>
            <w:r>
              <w:rPr>
                <w:spacing w:val="-3"/>
                <w:sz w:val="20"/>
              </w:rPr>
              <w:t xml:space="preserve"> </w:t>
            </w:r>
            <w:r>
              <w:rPr>
                <w:spacing w:val="-2"/>
                <w:sz w:val="20"/>
              </w:rPr>
              <w:t>Services</w:t>
            </w:r>
          </w:p>
        </w:tc>
        <w:tc>
          <w:tcPr>
            <w:tcW w:w="3396" w:type="dxa"/>
          </w:tcPr>
          <w:p w14:paraId="1C34E65D" w14:textId="77777777" w:rsidR="004C558F" w:rsidRDefault="00461887">
            <w:pPr>
              <w:pStyle w:val="TableParagraph"/>
              <w:spacing w:before="13"/>
              <w:ind w:left="113"/>
              <w:jc w:val="left"/>
              <w:rPr>
                <w:sz w:val="20"/>
              </w:rPr>
            </w:pPr>
            <w:r>
              <w:rPr>
                <w:sz w:val="20"/>
              </w:rPr>
              <w:t>BIDMC and HMFP provide other inpatient</w:t>
            </w:r>
            <w:r>
              <w:rPr>
                <w:spacing w:val="-13"/>
                <w:sz w:val="20"/>
              </w:rPr>
              <w:t xml:space="preserve"> </w:t>
            </w:r>
            <w:r>
              <w:rPr>
                <w:sz w:val="20"/>
              </w:rPr>
              <w:t>and</w:t>
            </w:r>
            <w:r>
              <w:rPr>
                <w:spacing w:val="-12"/>
                <w:sz w:val="20"/>
              </w:rPr>
              <w:t xml:space="preserve"> </w:t>
            </w:r>
            <w:r>
              <w:rPr>
                <w:sz w:val="20"/>
              </w:rPr>
              <w:t>outpatient</w:t>
            </w:r>
            <w:r>
              <w:rPr>
                <w:spacing w:val="-13"/>
                <w:sz w:val="20"/>
              </w:rPr>
              <w:t xml:space="preserve"> </w:t>
            </w:r>
            <w:r>
              <w:rPr>
                <w:sz w:val="20"/>
              </w:rPr>
              <w:t>services.</w:t>
            </w:r>
          </w:p>
          <w:p w14:paraId="1C34E65E" w14:textId="77777777" w:rsidR="004C558F" w:rsidRDefault="00461887">
            <w:pPr>
              <w:pStyle w:val="TableParagraph"/>
              <w:spacing w:before="108" w:line="220" w:lineRule="atLeast"/>
              <w:ind w:left="113"/>
              <w:jc w:val="left"/>
              <w:rPr>
                <w:sz w:val="20"/>
              </w:rPr>
            </w:pPr>
            <w:r>
              <w:rPr>
                <w:sz w:val="20"/>
              </w:rPr>
              <w:t>BWH</w:t>
            </w:r>
            <w:r>
              <w:rPr>
                <w:spacing w:val="-11"/>
                <w:sz w:val="20"/>
              </w:rPr>
              <w:t xml:space="preserve"> </w:t>
            </w:r>
            <w:r>
              <w:rPr>
                <w:sz w:val="20"/>
              </w:rPr>
              <w:t>provides</w:t>
            </w:r>
            <w:r>
              <w:rPr>
                <w:spacing w:val="-9"/>
                <w:sz w:val="20"/>
              </w:rPr>
              <w:t xml:space="preserve"> </w:t>
            </w:r>
            <w:r>
              <w:rPr>
                <w:sz w:val="20"/>
              </w:rPr>
              <w:t>certain</w:t>
            </w:r>
            <w:r>
              <w:rPr>
                <w:spacing w:val="-10"/>
                <w:sz w:val="20"/>
              </w:rPr>
              <w:t xml:space="preserve"> </w:t>
            </w:r>
            <w:r>
              <w:rPr>
                <w:sz w:val="20"/>
              </w:rPr>
              <w:t>other</w:t>
            </w:r>
            <w:r>
              <w:rPr>
                <w:spacing w:val="-11"/>
                <w:sz w:val="20"/>
              </w:rPr>
              <w:t xml:space="preserve"> </w:t>
            </w:r>
            <w:r>
              <w:rPr>
                <w:sz w:val="20"/>
              </w:rPr>
              <w:t>clinical services to DFCI inpatients.</w:t>
            </w:r>
          </w:p>
        </w:tc>
        <w:tc>
          <w:tcPr>
            <w:tcW w:w="5242" w:type="dxa"/>
          </w:tcPr>
          <w:p w14:paraId="1C34E65F" w14:textId="77777777" w:rsidR="004C558F" w:rsidRDefault="00461887">
            <w:pPr>
              <w:pStyle w:val="TableParagraph"/>
              <w:spacing w:before="13"/>
              <w:ind w:left="112" w:right="195"/>
              <w:jc w:val="left"/>
              <w:rPr>
                <w:sz w:val="20"/>
              </w:rPr>
            </w:pPr>
            <w:r>
              <w:rPr>
                <w:sz w:val="20"/>
              </w:rPr>
              <w:t>DFCI,</w:t>
            </w:r>
            <w:r>
              <w:rPr>
                <w:spacing w:val="-2"/>
                <w:sz w:val="20"/>
              </w:rPr>
              <w:t xml:space="preserve"> </w:t>
            </w:r>
            <w:r>
              <w:rPr>
                <w:sz w:val="20"/>
              </w:rPr>
              <w:t>BIDMC,</w:t>
            </w:r>
            <w:r>
              <w:rPr>
                <w:spacing w:val="-2"/>
                <w:sz w:val="20"/>
              </w:rPr>
              <w:t xml:space="preserve"> </w:t>
            </w:r>
            <w:r>
              <w:rPr>
                <w:sz w:val="20"/>
              </w:rPr>
              <w:t>and</w:t>
            </w:r>
            <w:r>
              <w:rPr>
                <w:spacing w:val="-2"/>
                <w:sz w:val="20"/>
              </w:rPr>
              <w:t xml:space="preserve"> </w:t>
            </w:r>
            <w:r>
              <w:rPr>
                <w:sz w:val="20"/>
              </w:rPr>
              <w:t>HMFP</w:t>
            </w:r>
            <w:r>
              <w:rPr>
                <w:spacing w:val="-4"/>
                <w:sz w:val="20"/>
              </w:rPr>
              <w:t xml:space="preserve"> </w:t>
            </w:r>
            <w:r>
              <w:rPr>
                <w:sz w:val="20"/>
              </w:rPr>
              <w:t>would</w:t>
            </w:r>
            <w:r>
              <w:rPr>
                <w:spacing w:val="-2"/>
                <w:sz w:val="20"/>
              </w:rPr>
              <w:t xml:space="preserve"> </w:t>
            </w:r>
            <w:r>
              <w:rPr>
                <w:sz w:val="20"/>
              </w:rPr>
              <w:t>continue</w:t>
            </w:r>
            <w:r>
              <w:rPr>
                <w:spacing w:val="-4"/>
                <w:sz w:val="20"/>
              </w:rPr>
              <w:t xml:space="preserve"> </w:t>
            </w:r>
            <w:r>
              <w:rPr>
                <w:sz w:val="20"/>
              </w:rPr>
              <w:t>to</w:t>
            </w:r>
            <w:r>
              <w:rPr>
                <w:spacing w:val="-3"/>
                <w:sz w:val="20"/>
              </w:rPr>
              <w:t xml:space="preserve"> </w:t>
            </w:r>
            <w:r>
              <w:rPr>
                <w:sz w:val="20"/>
              </w:rPr>
              <w:t>provide</w:t>
            </w:r>
            <w:r>
              <w:rPr>
                <w:spacing w:val="-1"/>
                <w:sz w:val="20"/>
              </w:rPr>
              <w:t xml:space="preserve"> </w:t>
            </w:r>
            <w:r>
              <w:rPr>
                <w:sz w:val="20"/>
              </w:rPr>
              <w:t>other clinical</w:t>
            </w:r>
            <w:r>
              <w:rPr>
                <w:spacing w:val="-6"/>
                <w:sz w:val="20"/>
              </w:rPr>
              <w:t xml:space="preserve"> </w:t>
            </w:r>
            <w:r>
              <w:rPr>
                <w:sz w:val="20"/>
              </w:rPr>
              <w:t>services,</w:t>
            </w:r>
            <w:r>
              <w:rPr>
                <w:spacing w:val="-6"/>
                <w:sz w:val="20"/>
              </w:rPr>
              <w:t xml:space="preserve"> </w:t>
            </w:r>
            <w:r>
              <w:rPr>
                <w:sz w:val="20"/>
              </w:rPr>
              <w:t>with</w:t>
            </w:r>
            <w:r>
              <w:rPr>
                <w:spacing w:val="-6"/>
                <w:sz w:val="20"/>
              </w:rPr>
              <w:t xml:space="preserve"> </w:t>
            </w:r>
            <w:r>
              <w:rPr>
                <w:sz w:val="20"/>
              </w:rPr>
              <w:t>BIDMC</w:t>
            </w:r>
            <w:r>
              <w:rPr>
                <w:spacing w:val="-5"/>
                <w:sz w:val="20"/>
              </w:rPr>
              <w:t xml:space="preserve"> </w:t>
            </w:r>
            <w:r>
              <w:rPr>
                <w:sz w:val="20"/>
              </w:rPr>
              <w:t>and</w:t>
            </w:r>
            <w:r>
              <w:rPr>
                <w:spacing w:val="-6"/>
                <w:sz w:val="20"/>
              </w:rPr>
              <w:t xml:space="preserve"> </w:t>
            </w:r>
            <w:r>
              <w:rPr>
                <w:sz w:val="20"/>
              </w:rPr>
              <w:t>HMFP</w:t>
            </w:r>
            <w:r>
              <w:rPr>
                <w:spacing w:val="-7"/>
                <w:sz w:val="20"/>
              </w:rPr>
              <w:t xml:space="preserve"> </w:t>
            </w:r>
            <w:r>
              <w:rPr>
                <w:sz w:val="20"/>
              </w:rPr>
              <w:t>becoming</w:t>
            </w:r>
            <w:r>
              <w:rPr>
                <w:spacing w:val="-6"/>
                <w:sz w:val="20"/>
              </w:rPr>
              <w:t xml:space="preserve"> </w:t>
            </w:r>
            <w:r>
              <w:rPr>
                <w:sz w:val="20"/>
              </w:rPr>
              <w:t xml:space="preserve">DFCI’s preferred providers of other clinical services for its </w:t>
            </w:r>
            <w:r>
              <w:rPr>
                <w:spacing w:val="-2"/>
                <w:sz w:val="20"/>
              </w:rPr>
              <w:t>inpatients.</w:t>
            </w:r>
          </w:p>
        </w:tc>
      </w:tr>
    </w:tbl>
    <w:p w14:paraId="1C34E661" w14:textId="058D6970" w:rsidR="004C558F" w:rsidRDefault="004C558F">
      <w:pPr>
        <w:pStyle w:val="BodyText"/>
        <w:spacing w:before="9"/>
        <w:rPr>
          <w:sz w:val="17"/>
        </w:rPr>
      </w:pPr>
    </w:p>
    <w:p w14:paraId="1C34E665" w14:textId="77777777" w:rsidR="004C558F" w:rsidRDefault="004C558F">
      <w:pPr>
        <w:rPr>
          <w:sz w:val="20"/>
        </w:rPr>
        <w:sectPr w:rsidR="004C558F">
          <w:pgSz w:w="12240" w:h="15840"/>
          <w:pgMar w:top="1360" w:right="740" w:bottom="720" w:left="480" w:header="0" w:footer="521" w:gutter="0"/>
          <w:cols w:space="720"/>
        </w:sectPr>
      </w:pPr>
      <w:bookmarkStart w:id="71" w:name="_bookmark86"/>
      <w:bookmarkEnd w:id="71"/>
    </w:p>
    <w:p w14:paraId="1C34E666" w14:textId="6F607E09" w:rsidR="004C558F" w:rsidRDefault="00461887">
      <w:pPr>
        <w:pStyle w:val="BodyText"/>
        <w:spacing w:before="80" w:line="276" w:lineRule="auto"/>
        <w:ind w:left="959" w:right="943" w:firstLine="360"/>
        <w:rPr>
          <w:sz w:val="14"/>
        </w:rPr>
      </w:pPr>
      <w:r>
        <w:lastRenderedPageBreak/>
        <w:t>As</w:t>
      </w:r>
      <w:r>
        <w:rPr>
          <w:spacing w:val="-2"/>
        </w:rPr>
        <w:t xml:space="preserve"> </w:t>
      </w:r>
      <w:r>
        <w:t>a</w:t>
      </w:r>
      <w:r>
        <w:rPr>
          <w:spacing w:val="-1"/>
        </w:rPr>
        <w:t xml:space="preserve"> </w:t>
      </w:r>
      <w:r>
        <w:t>core</w:t>
      </w:r>
      <w:r>
        <w:rPr>
          <w:spacing w:val="-2"/>
        </w:rPr>
        <w:t xml:space="preserve"> </w:t>
      </w:r>
      <w:r>
        <w:t>element</w:t>
      </w:r>
      <w:r>
        <w:rPr>
          <w:spacing w:val="-6"/>
        </w:rPr>
        <w:t xml:space="preserve"> </w:t>
      </w:r>
      <w:r>
        <w:t>of</w:t>
      </w:r>
      <w:r>
        <w:rPr>
          <w:spacing w:val="-1"/>
        </w:rPr>
        <w:t xml:space="preserve"> </w:t>
      </w:r>
      <w:r>
        <w:t>the</w:t>
      </w:r>
      <w:r>
        <w:rPr>
          <w:spacing w:val="-2"/>
        </w:rPr>
        <w:t xml:space="preserve"> </w:t>
      </w:r>
      <w:r>
        <w:t>proposed</w:t>
      </w:r>
      <w:r>
        <w:rPr>
          <w:spacing w:val="-4"/>
        </w:rPr>
        <w:t xml:space="preserve"> </w:t>
      </w:r>
      <w:r>
        <w:t>affiliation,</w:t>
      </w:r>
      <w:r>
        <w:rPr>
          <w:spacing w:val="-5"/>
        </w:rPr>
        <w:t xml:space="preserve"> </w:t>
      </w:r>
      <w:r>
        <w:t>BIDMC</w:t>
      </w:r>
      <w:r>
        <w:rPr>
          <w:spacing w:val="-5"/>
        </w:rPr>
        <w:t xml:space="preserve"> </w:t>
      </w:r>
      <w:r>
        <w:t>and</w:t>
      </w:r>
      <w:r>
        <w:rPr>
          <w:spacing w:val="-1"/>
        </w:rPr>
        <w:t xml:space="preserve"> </w:t>
      </w:r>
      <w:r>
        <w:t>DFCI</w:t>
      </w:r>
      <w:r>
        <w:rPr>
          <w:spacing w:val="-2"/>
        </w:rPr>
        <w:t xml:space="preserve"> </w:t>
      </w:r>
      <w:r>
        <w:t>would</w:t>
      </w:r>
      <w:r>
        <w:rPr>
          <w:spacing w:val="-4"/>
        </w:rPr>
        <w:t xml:space="preserve"> </w:t>
      </w:r>
      <w:r>
        <w:t>collaborate</w:t>
      </w:r>
      <w:r>
        <w:rPr>
          <w:spacing w:val="-2"/>
        </w:rPr>
        <w:t xml:space="preserve"> </w:t>
      </w:r>
      <w:r>
        <w:t>to</w:t>
      </w:r>
      <w:r>
        <w:rPr>
          <w:spacing w:val="-2"/>
        </w:rPr>
        <w:t xml:space="preserve"> </w:t>
      </w:r>
      <w:r>
        <w:t>enable</w:t>
      </w:r>
      <w:r>
        <w:rPr>
          <w:spacing w:val="-2"/>
        </w:rPr>
        <w:t xml:space="preserve"> </w:t>
      </w:r>
      <w:r>
        <w:t>the construction of a new DFCI cancer hospital. The new facility would be built at 1 Joslin Place, the current location of the Joslin Diabetes Center which was acquired by BILH in 2021.</w:t>
      </w:r>
      <w:r>
        <w:rPr>
          <w:spacing w:val="-34"/>
        </w:rPr>
        <w:t xml:space="preserve"> </w:t>
      </w:r>
      <w:r w:rsidR="005E0EB0">
        <w:rPr>
          <w:rStyle w:val="FootnoteReference"/>
          <w:spacing w:val="-34"/>
        </w:rPr>
        <w:footnoteReference w:id="74"/>
      </w:r>
      <w:r>
        <w:t>BILH would continue to own the land and would construct the building’s underground and ground floor levels, while DFCI would construct, own, and operate a 14-story inpatient cancer facility at a projected cost of $1,675,700,000.</w:t>
      </w:r>
      <w:r w:rsidR="005E0EB0">
        <w:rPr>
          <w:rStyle w:val="FootnoteReference"/>
        </w:rPr>
        <w:footnoteReference w:id="75"/>
      </w:r>
      <w:r>
        <w:rPr>
          <w:spacing w:val="31"/>
          <w:position w:val="5"/>
          <w:sz w:val="14"/>
        </w:rPr>
        <w:t xml:space="preserve"> </w:t>
      </w:r>
      <w:r>
        <w:t>The new facility would include the following elements</w:t>
      </w:r>
      <w:bookmarkStart w:id="72" w:name="_bookmark89"/>
      <w:bookmarkEnd w:id="72"/>
      <w:r>
        <w:t>:</w:t>
      </w:r>
      <w:r>
        <w:rPr>
          <w:spacing w:val="-31"/>
        </w:rPr>
        <w:t xml:space="preserve"> </w:t>
      </w:r>
      <w:r w:rsidR="005E0EB0">
        <w:rPr>
          <w:rStyle w:val="FootnoteReference"/>
          <w:spacing w:val="-31"/>
        </w:rPr>
        <w:footnoteReference w:id="76"/>
      </w:r>
    </w:p>
    <w:p w14:paraId="1C34E667" w14:textId="77777777" w:rsidR="004C558F" w:rsidRDefault="00461887">
      <w:pPr>
        <w:pStyle w:val="ListParagraph"/>
        <w:numPr>
          <w:ilvl w:val="0"/>
          <w:numId w:val="12"/>
        </w:numPr>
        <w:tabs>
          <w:tab w:val="left" w:pos="1680"/>
        </w:tabs>
        <w:spacing w:before="160" w:line="271" w:lineRule="auto"/>
        <w:ind w:right="2103" w:hanging="361"/>
      </w:pPr>
      <w:r>
        <w:t>300</w:t>
      </w:r>
      <w:r>
        <w:rPr>
          <w:spacing w:val="-3"/>
        </w:rPr>
        <w:t xml:space="preserve"> </w:t>
      </w:r>
      <w:r>
        <w:t>adult</w:t>
      </w:r>
      <w:r>
        <w:rPr>
          <w:spacing w:val="-4"/>
        </w:rPr>
        <w:t xml:space="preserve"> </w:t>
      </w:r>
      <w:r>
        <w:t>inpatient</w:t>
      </w:r>
      <w:r>
        <w:rPr>
          <w:spacing w:val="-4"/>
        </w:rPr>
        <w:t xml:space="preserve"> </w:t>
      </w:r>
      <w:r>
        <w:t>beds</w:t>
      </w:r>
      <w:r>
        <w:rPr>
          <w:spacing w:val="-3"/>
        </w:rPr>
        <w:t xml:space="preserve"> </w:t>
      </w:r>
      <w:r>
        <w:t>(an</w:t>
      </w:r>
      <w:r>
        <w:rPr>
          <w:spacing w:val="-5"/>
        </w:rPr>
        <w:t xml:space="preserve"> </w:t>
      </w:r>
      <w:r>
        <w:t>addition</w:t>
      </w:r>
      <w:r>
        <w:rPr>
          <w:spacing w:val="-3"/>
        </w:rPr>
        <w:t xml:space="preserve"> </w:t>
      </w:r>
      <w:r>
        <w:t>of</w:t>
      </w:r>
      <w:r>
        <w:rPr>
          <w:spacing w:val="-2"/>
        </w:rPr>
        <w:t xml:space="preserve"> </w:t>
      </w:r>
      <w:r>
        <w:t>270</w:t>
      </w:r>
      <w:r>
        <w:rPr>
          <w:spacing w:val="-3"/>
        </w:rPr>
        <w:t xml:space="preserve"> </w:t>
      </w:r>
      <w:r>
        <w:t>beds</w:t>
      </w:r>
      <w:r>
        <w:rPr>
          <w:spacing w:val="-5"/>
        </w:rPr>
        <w:t xml:space="preserve"> </w:t>
      </w:r>
      <w:r>
        <w:t>to</w:t>
      </w:r>
      <w:r>
        <w:rPr>
          <w:spacing w:val="-3"/>
        </w:rPr>
        <w:t xml:space="preserve"> </w:t>
      </w:r>
      <w:r>
        <w:t>DFCI’s</w:t>
      </w:r>
      <w:r>
        <w:rPr>
          <w:spacing w:val="-3"/>
        </w:rPr>
        <w:t xml:space="preserve"> </w:t>
      </w:r>
      <w:r>
        <w:t>license,</w:t>
      </w:r>
      <w:r>
        <w:rPr>
          <w:spacing w:val="-3"/>
        </w:rPr>
        <w:t xml:space="preserve"> </w:t>
      </w:r>
      <w:r>
        <w:t>with</w:t>
      </w:r>
      <w:r>
        <w:rPr>
          <w:spacing w:val="-5"/>
        </w:rPr>
        <w:t xml:space="preserve"> </w:t>
      </w:r>
      <w:r>
        <w:t>DFCI discontinuing its current lease of 30 beds at BWH)</w:t>
      </w:r>
    </w:p>
    <w:p w14:paraId="1C34E668" w14:textId="77777777" w:rsidR="004C558F" w:rsidRDefault="00461887">
      <w:pPr>
        <w:pStyle w:val="ListParagraph"/>
        <w:numPr>
          <w:ilvl w:val="0"/>
          <w:numId w:val="12"/>
        </w:numPr>
        <w:tabs>
          <w:tab w:val="left" w:pos="1679"/>
        </w:tabs>
        <w:spacing w:before="6"/>
        <w:ind w:left="1679" w:hanging="359"/>
      </w:pPr>
      <w:r>
        <w:t>20</w:t>
      </w:r>
      <w:r>
        <w:rPr>
          <w:spacing w:val="-3"/>
        </w:rPr>
        <w:t xml:space="preserve"> </w:t>
      </w:r>
      <w:r>
        <w:t>new</w:t>
      </w:r>
      <w:r>
        <w:rPr>
          <w:spacing w:val="-5"/>
        </w:rPr>
        <w:t xml:space="preserve"> </w:t>
      </w:r>
      <w:r>
        <w:t>observation</w:t>
      </w:r>
      <w:r>
        <w:rPr>
          <w:spacing w:val="-2"/>
        </w:rPr>
        <w:t xml:space="preserve"> </w:t>
      </w:r>
      <w:r>
        <w:rPr>
          <w:spacing w:val="-4"/>
        </w:rPr>
        <w:t>beds</w:t>
      </w:r>
    </w:p>
    <w:p w14:paraId="1C34E669" w14:textId="77777777" w:rsidR="004C558F" w:rsidRDefault="00461887">
      <w:pPr>
        <w:pStyle w:val="ListParagraph"/>
        <w:numPr>
          <w:ilvl w:val="0"/>
          <w:numId w:val="12"/>
        </w:numPr>
        <w:tabs>
          <w:tab w:val="left" w:pos="1679"/>
        </w:tabs>
        <w:spacing w:before="38"/>
        <w:ind w:left="1679" w:hanging="359"/>
      </w:pPr>
      <w:r>
        <w:t>2</w:t>
      </w:r>
      <w:r>
        <w:rPr>
          <w:spacing w:val="-5"/>
        </w:rPr>
        <w:t xml:space="preserve"> </w:t>
      </w:r>
      <w:r>
        <w:t>additional</w:t>
      </w:r>
      <w:r>
        <w:rPr>
          <w:spacing w:val="-6"/>
        </w:rPr>
        <w:t xml:space="preserve"> </w:t>
      </w:r>
      <w:r>
        <w:t>magnetic</w:t>
      </w:r>
      <w:r>
        <w:rPr>
          <w:spacing w:val="-5"/>
        </w:rPr>
        <w:t xml:space="preserve"> </w:t>
      </w:r>
      <w:r>
        <w:t>resonance</w:t>
      </w:r>
      <w:r>
        <w:rPr>
          <w:spacing w:val="-5"/>
        </w:rPr>
        <w:t xml:space="preserve"> </w:t>
      </w:r>
      <w:r>
        <w:t>imaging</w:t>
      </w:r>
      <w:r>
        <w:rPr>
          <w:spacing w:val="-5"/>
        </w:rPr>
        <w:t xml:space="preserve"> </w:t>
      </w:r>
      <w:r>
        <w:t>(MRI)</w:t>
      </w:r>
      <w:r>
        <w:rPr>
          <w:spacing w:val="-8"/>
        </w:rPr>
        <w:t xml:space="preserve"> </w:t>
      </w:r>
      <w:r>
        <w:t>machines</w:t>
      </w:r>
      <w:r>
        <w:rPr>
          <w:spacing w:val="-5"/>
        </w:rPr>
        <w:t xml:space="preserve"> </w:t>
      </w:r>
      <w:r>
        <w:t>(DFCI</w:t>
      </w:r>
      <w:r>
        <w:rPr>
          <w:spacing w:val="-7"/>
        </w:rPr>
        <w:t xml:space="preserve"> </w:t>
      </w:r>
      <w:r>
        <w:t>currently</w:t>
      </w:r>
      <w:r>
        <w:rPr>
          <w:spacing w:val="-6"/>
        </w:rPr>
        <w:t xml:space="preserve"> </w:t>
      </w:r>
      <w:r>
        <w:t>operates</w:t>
      </w:r>
      <w:r>
        <w:rPr>
          <w:spacing w:val="-6"/>
        </w:rPr>
        <w:t xml:space="preserve"> </w:t>
      </w:r>
      <w:r>
        <w:rPr>
          <w:spacing w:val="-5"/>
        </w:rPr>
        <w:t>2)</w:t>
      </w:r>
    </w:p>
    <w:p w14:paraId="1C34E66A" w14:textId="77777777" w:rsidR="004C558F" w:rsidRDefault="00461887">
      <w:pPr>
        <w:pStyle w:val="ListParagraph"/>
        <w:numPr>
          <w:ilvl w:val="0"/>
          <w:numId w:val="12"/>
        </w:numPr>
        <w:tabs>
          <w:tab w:val="left" w:pos="1679"/>
        </w:tabs>
        <w:spacing w:before="35"/>
        <w:ind w:left="1679" w:hanging="359"/>
      </w:pPr>
      <w:r>
        <w:t>2</w:t>
      </w:r>
      <w:r>
        <w:rPr>
          <w:spacing w:val="-6"/>
        </w:rPr>
        <w:t xml:space="preserve"> </w:t>
      </w:r>
      <w:r>
        <w:t>additional</w:t>
      </w:r>
      <w:r>
        <w:rPr>
          <w:spacing w:val="-6"/>
        </w:rPr>
        <w:t xml:space="preserve"> </w:t>
      </w:r>
      <w:r>
        <w:t>computerized</w:t>
      </w:r>
      <w:r>
        <w:rPr>
          <w:spacing w:val="-8"/>
        </w:rPr>
        <w:t xml:space="preserve"> </w:t>
      </w:r>
      <w:r>
        <w:t>tomography</w:t>
      </w:r>
      <w:r>
        <w:rPr>
          <w:spacing w:val="-6"/>
        </w:rPr>
        <w:t xml:space="preserve"> </w:t>
      </w:r>
      <w:r>
        <w:t>(CT)</w:t>
      </w:r>
      <w:r>
        <w:rPr>
          <w:spacing w:val="-8"/>
        </w:rPr>
        <w:t xml:space="preserve"> </w:t>
      </w:r>
      <w:r>
        <w:t>machines</w:t>
      </w:r>
      <w:r>
        <w:rPr>
          <w:spacing w:val="-5"/>
        </w:rPr>
        <w:t xml:space="preserve"> </w:t>
      </w:r>
      <w:r>
        <w:t>(DFCI</w:t>
      </w:r>
      <w:r>
        <w:rPr>
          <w:spacing w:val="-6"/>
        </w:rPr>
        <w:t xml:space="preserve"> </w:t>
      </w:r>
      <w:r>
        <w:t>currently</w:t>
      </w:r>
      <w:r>
        <w:rPr>
          <w:spacing w:val="-6"/>
        </w:rPr>
        <w:t xml:space="preserve"> </w:t>
      </w:r>
      <w:r>
        <w:t>operates</w:t>
      </w:r>
      <w:r>
        <w:rPr>
          <w:spacing w:val="-7"/>
        </w:rPr>
        <w:t xml:space="preserve"> </w:t>
      </w:r>
      <w:r>
        <w:rPr>
          <w:spacing w:val="-5"/>
        </w:rPr>
        <w:t>3)</w:t>
      </w:r>
    </w:p>
    <w:p w14:paraId="1C34E66B" w14:textId="77777777" w:rsidR="004C558F" w:rsidRDefault="00461887">
      <w:pPr>
        <w:pStyle w:val="ListParagraph"/>
        <w:numPr>
          <w:ilvl w:val="0"/>
          <w:numId w:val="12"/>
        </w:numPr>
        <w:tabs>
          <w:tab w:val="left" w:pos="1679"/>
        </w:tabs>
        <w:spacing w:before="38"/>
        <w:ind w:left="1679" w:hanging="359"/>
      </w:pPr>
      <w:r>
        <w:t>1</w:t>
      </w:r>
      <w:r>
        <w:rPr>
          <w:spacing w:val="-8"/>
        </w:rPr>
        <w:t xml:space="preserve"> </w:t>
      </w:r>
      <w:r>
        <w:t>additional</w:t>
      </w:r>
      <w:r>
        <w:rPr>
          <w:spacing w:val="-6"/>
        </w:rPr>
        <w:t xml:space="preserve"> </w:t>
      </w:r>
      <w:r>
        <w:t>positron</w:t>
      </w:r>
      <w:r>
        <w:rPr>
          <w:spacing w:val="-6"/>
        </w:rPr>
        <w:t xml:space="preserve"> </w:t>
      </w:r>
      <w:r>
        <w:t>emission</w:t>
      </w:r>
      <w:r>
        <w:rPr>
          <w:spacing w:val="-5"/>
        </w:rPr>
        <w:t xml:space="preserve"> </w:t>
      </w:r>
      <w:r>
        <w:t>tomography</w:t>
      </w:r>
      <w:r>
        <w:rPr>
          <w:spacing w:val="-6"/>
        </w:rPr>
        <w:t xml:space="preserve"> </w:t>
      </w:r>
      <w:r>
        <w:t>(PET-CT)</w:t>
      </w:r>
      <w:r>
        <w:rPr>
          <w:spacing w:val="-8"/>
        </w:rPr>
        <w:t xml:space="preserve"> </w:t>
      </w:r>
      <w:r>
        <w:t>machine</w:t>
      </w:r>
      <w:r>
        <w:rPr>
          <w:spacing w:val="-6"/>
        </w:rPr>
        <w:t xml:space="preserve"> </w:t>
      </w:r>
      <w:r>
        <w:t>(DFCI</w:t>
      </w:r>
      <w:r>
        <w:rPr>
          <w:spacing w:val="-5"/>
        </w:rPr>
        <w:t xml:space="preserve"> </w:t>
      </w:r>
      <w:r>
        <w:t>currently</w:t>
      </w:r>
      <w:r>
        <w:rPr>
          <w:spacing w:val="-8"/>
        </w:rPr>
        <w:t xml:space="preserve"> </w:t>
      </w:r>
      <w:r>
        <w:t>operates</w:t>
      </w:r>
      <w:r>
        <w:rPr>
          <w:spacing w:val="-7"/>
        </w:rPr>
        <w:t xml:space="preserve"> </w:t>
      </w:r>
      <w:r>
        <w:rPr>
          <w:spacing w:val="-5"/>
        </w:rPr>
        <w:t>2)</w:t>
      </w:r>
    </w:p>
    <w:p w14:paraId="1C34E66C" w14:textId="77777777" w:rsidR="004C558F" w:rsidRDefault="00461887">
      <w:pPr>
        <w:pStyle w:val="ListParagraph"/>
        <w:numPr>
          <w:ilvl w:val="0"/>
          <w:numId w:val="12"/>
        </w:numPr>
        <w:tabs>
          <w:tab w:val="left" w:pos="1679"/>
        </w:tabs>
        <w:spacing w:before="38"/>
        <w:ind w:left="1679" w:hanging="359"/>
      </w:pPr>
      <w:r>
        <w:t>3</w:t>
      </w:r>
      <w:r>
        <w:rPr>
          <w:spacing w:val="-8"/>
        </w:rPr>
        <w:t xml:space="preserve"> </w:t>
      </w:r>
      <w:r>
        <w:t>additional</w:t>
      </w:r>
      <w:r>
        <w:rPr>
          <w:spacing w:val="-6"/>
        </w:rPr>
        <w:t xml:space="preserve"> </w:t>
      </w:r>
      <w:r>
        <w:t>linear</w:t>
      </w:r>
      <w:r>
        <w:rPr>
          <w:spacing w:val="-6"/>
        </w:rPr>
        <w:t xml:space="preserve"> </w:t>
      </w:r>
      <w:r>
        <w:t>accelerators</w:t>
      </w:r>
      <w:r>
        <w:rPr>
          <w:spacing w:val="-6"/>
        </w:rPr>
        <w:t xml:space="preserve"> </w:t>
      </w:r>
      <w:r>
        <w:t>(LINACs)</w:t>
      </w:r>
      <w:r>
        <w:rPr>
          <w:spacing w:val="-8"/>
        </w:rPr>
        <w:t xml:space="preserve"> </w:t>
      </w:r>
      <w:r>
        <w:t>(DFCI</w:t>
      </w:r>
      <w:r>
        <w:rPr>
          <w:spacing w:val="-5"/>
        </w:rPr>
        <w:t xml:space="preserve"> </w:t>
      </w:r>
      <w:r>
        <w:t>currently</w:t>
      </w:r>
      <w:r>
        <w:rPr>
          <w:spacing w:val="-6"/>
        </w:rPr>
        <w:t xml:space="preserve"> </w:t>
      </w:r>
      <w:r>
        <w:t>operates</w:t>
      </w:r>
      <w:r>
        <w:rPr>
          <w:spacing w:val="-7"/>
        </w:rPr>
        <w:t xml:space="preserve"> </w:t>
      </w:r>
      <w:r>
        <w:rPr>
          <w:spacing w:val="-5"/>
        </w:rPr>
        <w:t>3)</w:t>
      </w:r>
    </w:p>
    <w:p w14:paraId="1C34E66D" w14:textId="77777777" w:rsidR="004C558F" w:rsidRDefault="00461887">
      <w:pPr>
        <w:pStyle w:val="ListParagraph"/>
        <w:numPr>
          <w:ilvl w:val="0"/>
          <w:numId w:val="12"/>
        </w:numPr>
        <w:tabs>
          <w:tab w:val="left" w:pos="1680"/>
        </w:tabs>
        <w:spacing w:before="35" w:line="273" w:lineRule="auto"/>
        <w:ind w:right="1114" w:hanging="361"/>
      </w:pPr>
      <w:r>
        <w:t>A</w:t>
      </w:r>
      <w:r>
        <w:rPr>
          <w:spacing w:val="-3"/>
        </w:rPr>
        <w:t xml:space="preserve"> </w:t>
      </w:r>
      <w:r>
        <w:t>tunnel</w:t>
      </w:r>
      <w:r>
        <w:rPr>
          <w:spacing w:val="-3"/>
        </w:rPr>
        <w:t xml:space="preserve"> </w:t>
      </w:r>
      <w:r>
        <w:t>under</w:t>
      </w:r>
      <w:r>
        <w:rPr>
          <w:spacing w:val="-3"/>
        </w:rPr>
        <w:t xml:space="preserve"> </w:t>
      </w:r>
      <w:r>
        <w:t>and</w:t>
      </w:r>
      <w:r>
        <w:rPr>
          <w:spacing w:val="-4"/>
        </w:rPr>
        <w:t xml:space="preserve"> </w:t>
      </w:r>
      <w:r>
        <w:t>a</w:t>
      </w:r>
      <w:r>
        <w:rPr>
          <w:spacing w:val="-1"/>
        </w:rPr>
        <w:t xml:space="preserve"> </w:t>
      </w:r>
      <w:r>
        <w:t>bridge</w:t>
      </w:r>
      <w:r>
        <w:rPr>
          <w:spacing w:val="-2"/>
        </w:rPr>
        <w:t xml:space="preserve"> </w:t>
      </w:r>
      <w:r>
        <w:t>over</w:t>
      </w:r>
      <w:r>
        <w:rPr>
          <w:spacing w:val="-3"/>
        </w:rPr>
        <w:t xml:space="preserve"> </w:t>
      </w:r>
      <w:r>
        <w:t>Brookline</w:t>
      </w:r>
      <w:r>
        <w:rPr>
          <w:spacing w:val="-2"/>
        </w:rPr>
        <w:t xml:space="preserve"> </w:t>
      </w:r>
      <w:r>
        <w:t>Avenue</w:t>
      </w:r>
      <w:r>
        <w:rPr>
          <w:spacing w:val="-4"/>
        </w:rPr>
        <w:t xml:space="preserve"> </w:t>
      </w:r>
      <w:r>
        <w:t>connecting</w:t>
      </w:r>
      <w:r>
        <w:rPr>
          <w:spacing w:val="-3"/>
        </w:rPr>
        <w:t xml:space="preserve"> </w:t>
      </w:r>
      <w:r>
        <w:t>the</w:t>
      </w:r>
      <w:r>
        <w:rPr>
          <w:spacing w:val="-2"/>
        </w:rPr>
        <w:t xml:space="preserve"> </w:t>
      </w:r>
      <w:r>
        <w:t>facility</w:t>
      </w:r>
      <w:r>
        <w:rPr>
          <w:spacing w:val="-3"/>
        </w:rPr>
        <w:t xml:space="preserve"> </w:t>
      </w:r>
      <w:r>
        <w:t>to</w:t>
      </w:r>
      <w:r>
        <w:rPr>
          <w:spacing w:val="-4"/>
        </w:rPr>
        <w:t xml:space="preserve"> </w:t>
      </w:r>
      <w:r>
        <w:t>DFCI’s</w:t>
      </w:r>
      <w:r>
        <w:rPr>
          <w:spacing w:val="-2"/>
        </w:rPr>
        <w:t xml:space="preserve"> </w:t>
      </w:r>
      <w:r>
        <w:t>Dana Building</w:t>
      </w:r>
      <w:r>
        <w:rPr>
          <w:spacing w:val="-2"/>
        </w:rPr>
        <w:t xml:space="preserve"> </w:t>
      </w:r>
      <w:r>
        <w:t>and</w:t>
      </w:r>
      <w:r>
        <w:rPr>
          <w:spacing w:val="-3"/>
        </w:rPr>
        <w:t xml:space="preserve"> </w:t>
      </w:r>
      <w:r>
        <w:t>a bridge</w:t>
      </w:r>
      <w:r>
        <w:rPr>
          <w:spacing w:val="-3"/>
        </w:rPr>
        <w:t xml:space="preserve"> </w:t>
      </w:r>
      <w:r>
        <w:t>over</w:t>
      </w:r>
      <w:r>
        <w:rPr>
          <w:spacing w:val="-4"/>
        </w:rPr>
        <w:t xml:space="preserve"> </w:t>
      </w:r>
      <w:r>
        <w:t>Pilgrim</w:t>
      </w:r>
      <w:r>
        <w:rPr>
          <w:spacing w:val="-1"/>
        </w:rPr>
        <w:t xml:space="preserve"> </w:t>
      </w:r>
      <w:r>
        <w:t>Road</w:t>
      </w:r>
      <w:r>
        <w:rPr>
          <w:spacing w:val="-3"/>
        </w:rPr>
        <w:t xml:space="preserve"> </w:t>
      </w:r>
      <w:r>
        <w:t>connecting</w:t>
      </w:r>
      <w:r>
        <w:rPr>
          <w:spacing w:val="-2"/>
        </w:rPr>
        <w:t xml:space="preserve"> </w:t>
      </w:r>
      <w:r>
        <w:t>the</w:t>
      </w:r>
      <w:r>
        <w:rPr>
          <w:spacing w:val="-1"/>
        </w:rPr>
        <w:t xml:space="preserve"> </w:t>
      </w:r>
      <w:r>
        <w:t>facility</w:t>
      </w:r>
      <w:r>
        <w:rPr>
          <w:spacing w:val="-2"/>
        </w:rPr>
        <w:t xml:space="preserve"> </w:t>
      </w:r>
      <w:r>
        <w:t>to</w:t>
      </w:r>
      <w:r>
        <w:rPr>
          <w:spacing w:val="-3"/>
        </w:rPr>
        <w:t xml:space="preserve"> </w:t>
      </w:r>
      <w:r>
        <w:t>BIDMC’s</w:t>
      </w:r>
      <w:r>
        <w:rPr>
          <w:spacing w:val="-1"/>
        </w:rPr>
        <w:t xml:space="preserve"> </w:t>
      </w:r>
      <w:r>
        <w:t>West</w:t>
      </w:r>
      <w:r>
        <w:rPr>
          <w:spacing w:val="-2"/>
        </w:rPr>
        <w:t xml:space="preserve"> </w:t>
      </w:r>
      <w:r>
        <w:t>Campus.</w:t>
      </w:r>
    </w:p>
    <w:p w14:paraId="1C34E66E" w14:textId="77777777" w:rsidR="004C558F" w:rsidRDefault="004C558F">
      <w:pPr>
        <w:pStyle w:val="BodyText"/>
        <w:spacing w:before="39"/>
      </w:pPr>
    </w:p>
    <w:p w14:paraId="1C34E66F" w14:textId="6FFA528C" w:rsidR="004C558F" w:rsidRDefault="00461887">
      <w:pPr>
        <w:pStyle w:val="BodyText"/>
        <w:spacing w:before="1" w:line="276" w:lineRule="auto"/>
        <w:ind w:left="960" w:right="943"/>
        <w:rPr>
          <w:sz w:val="14"/>
        </w:rPr>
      </w:pPr>
      <w:r>
        <w:t>DFCI</w:t>
      </w:r>
      <w:r>
        <w:rPr>
          <w:spacing w:val="-3"/>
        </w:rPr>
        <w:t xml:space="preserve"> </w:t>
      </w:r>
      <w:r>
        <w:t>estimates</w:t>
      </w:r>
      <w:r>
        <w:rPr>
          <w:spacing w:val="-3"/>
        </w:rPr>
        <w:t xml:space="preserve"> </w:t>
      </w:r>
      <w:r>
        <w:t>that</w:t>
      </w:r>
      <w:r>
        <w:rPr>
          <w:spacing w:val="-4"/>
        </w:rPr>
        <w:t xml:space="preserve"> </w:t>
      </w:r>
      <w:r>
        <w:t>the</w:t>
      </w:r>
      <w:r>
        <w:rPr>
          <w:spacing w:val="-3"/>
        </w:rPr>
        <w:t xml:space="preserve"> </w:t>
      </w:r>
      <w:r>
        <w:t>new</w:t>
      </w:r>
      <w:r>
        <w:rPr>
          <w:spacing w:val="-4"/>
        </w:rPr>
        <w:t xml:space="preserve"> </w:t>
      </w:r>
      <w:r>
        <w:t>facility</w:t>
      </w:r>
      <w:r>
        <w:rPr>
          <w:spacing w:val="-4"/>
        </w:rPr>
        <w:t xml:space="preserve"> </w:t>
      </w:r>
      <w:r>
        <w:t>would</w:t>
      </w:r>
      <w:r>
        <w:rPr>
          <w:spacing w:val="-2"/>
        </w:rPr>
        <w:t xml:space="preserve"> </w:t>
      </w:r>
      <w:r>
        <w:t>require</w:t>
      </w:r>
      <w:r>
        <w:rPr>
          <w:spacing w:val="-5"/>
        </w:rPr>
        <w:t xml:space="preserve"> </w:t>
      </w:r>
      <w:r>
        <w:t>approximately</w:t>
      </w:r>
      <w:r>
        <w:rPr>
          <w:spacing w:val="-6"/>
        </w:rPr>
        <w:t xml:space="preserve"> </w:t>
      </w:r>
      <w:r>
        <w:t>2,400</w:t>
      </w:r>
      <w:r>
        <w:rPr>
          <w:spacing w:val="-6"/>
        </w:rPr>
        <w:t xml:space="preserve"> </w:t>
      </w:r>
      <w:r>
        <w:t>new</w:t>
      </w:r>
      <w:r>
        <w:rPr>
          <w:spacing w:val="-5"/>
        </w:rPr>
        <w:t xml:space="preserve"> </w:t>
      </w:r>
      <w:r>
        <w:t>full-time-equivalent workers across both clinical and non-clinical roles and has stated that although this workforce does not currently exist in the market, it expects to meet these staffing needs through new and existing workforce pipelines</w:t>
      </w:r>
      <w:bookmarkStart w:id="73" w:name="_bookmark90"/>
      <w:bookmarkEnd w:id="73"/>
      <w:r>
        <w:t>.</w:t>
      </w:r>
      <w:r w:rsidR="008900B7">
        <w:rPr>
          <w:rStyle w:val="FootnoteReference"/>
        </w:rPr>
        <w:footnoteReference w:id="77"/>
      </w:r>
      <w:r w:rsidR="008900B7">
        <w:rPr>
          <w:sz w:val="14"/>
        </w:rPr>
        <w:t xml:space="preserve"> </w:t>
      </w:r>
    </w:p>
    <w:p w14:paraId="1C34E670" w14:textId="77777777" w:rsidR="004C558F" w:rsidRDefault="004C558F">
      <w:pPr>
        <w:pStyle w:val="BodyText"/>
        <w:spacing w:before="38"/>
      </w:pPr>
    </w:p>
    <w:p w14:paraId="1C34E671" w14:textId="7CB5BE32" w:rsidR="004C558F" w:rsidRDefault="00461887">
      <w:pPr>
        <w:pStyle w:val="BodyText"/>
        <w:spacing w:line="276" w:lineRule="auto"/>
        <w:ind w:left="959" w:right="1034" w:firstLine="720"/>
      </w:pPr>
      <w:r>
        <w:t>The parties expect the proposed affiliation to result in significant shifts in where patients at DFCI, BIDMC, and BWH receive oncology care. With BIDMC planning to discontinue medical oncology</w:t>
      </w:r>
      <w:r>
        <w:rPr>
          <w:spacing w:val="-3"/>
        </w:rPr>
        <w:t xml:space="preserve"> </w:t>
      </w:r>
      <w:r>
        <w:t>at</w:t>
      </w:r>
      <w:r>
        <w:rPr>
          <w:spacing w:val="-3"/>
        </w:rPr>
        <w:t xml:space="preserve"> </w:t>
      </w:r>
      <w:r>
        <w:t>its</w:t>
      </w:r>
      <w:r>
        <w:rPr>
          <w:spacing w:val="-4"/>
        </w:rPr>
        <w:t xml:space="preserve"> </w:t>
      </w:r>
      <w:r>
        <w:t>main</w:t>
      </w:r>
      <w:r>
        <w:rPr>
          <w:spacing w:val="-2"/>
        </w:rPr>
        <w:t xml:space="preserve"> </w:t>
      </w:r>
      <w:r>
        <w:t>campus</w:t>
      </w:r>
      <w:r>
        <w:rPr>
          <w:spacing w:val="-2"/>
        </w:rPr>
        <w:t xml:space="preserve"> </w:t>
      </w:r>
      <w:r>
        <w:t>and</w:t>
      </w:r>
      <w:r>
        <w:rPr>
          <w:spacing w:val="-4"/>
        </w:rPr>
        <w:t xml:space="preserve"> </w:t>
      </w:r>
      <w:r>
        <w:t>HMFP</w:t>
      </w:r>
      <w:r>
        <w:rPr>
          <w:spacing w:val="-3"/>
        </w:rPr>
        <w:t xml:space="preserve"> </w:t>
      </w:r>
      <w:r>
        <w:t>medical</w:t>
      </w:r>
      <w:r>
        <w:rPr>
          <w:spacing w:val="-3"/>
        </w:rPr>
        <w:t xml:space="preserve"> </w:t>
      </w:r>
      <w:r>
        <w:t>oncologists</w:t>
      </w:r>
      <w:r>
        <w:rPr>
          <w:spacing w:val="-2"/>
        </w:rPr>
        <w:t xml:space="preserve"> </w:t>
      </w:r>
      <w:r>
        <w:t>joining</w:t>
      </w:r>
      <w:r>
        <w:rPr>
          <w:spacing w:val="-5"/>
        </w:rPr>
        <w:t xml:space="preserve"> </w:t>
      </w:r>
      <w:r>
        <w:t>DFCI,</w:t>
      </w:r>
      <w:r>
        <w:rPr>
          <w:spacing w:val="-2"/>
        </w:rPr>
        <w:t xml:space="preserve"> </w:t>
      </w:r>
      <w:r>
        <w:t>the</w:t>
      </w:r>
      <w:r>
        <w:rPr>
          <w:spacing w:val="-2"/>
        </w:rPr>
        <w:t xml:space="preserve"> </w:t>
      </w:r>
      <w:r>
        <w:t>parties</w:t>
      </w:r>
      <w:r>
        <w:rPr>
          <w:spacing w:val="-2"/>
        </w:rPr>
        <w:t xml:space="preserve"> </w:t>
      </w:r>
      <w:r>
        <w:t>expect</w:t>
      </w:r>
      <w:r>
        <w:rPr>
          <w:spacing w:val="-3"/>
        </w:rPr>
        <w:t xml:space="preserve"> </w:t>
      </w:r>
      <w:r>
        <w:t>most BIDMC medical oncology patients to transition to DFCI in its new facility.</w:t>
      </w:r>
      <w:r>
        <w:rPr>
          <w:spacing w:val="-33"/>
        </w:rPr>
        <w:t xml:space="preserve"> </w:t>
      </w:r>
      <w:r w:rsidR="008900B7">
        <w:rPr>
          <w:rStyle w:val="FootnoteReference"/>
          <w:spacing w:val="-33"/>
        </w:rPr>
        <w:footnoteReference w:id="78"/>
      </w:r>
      <w:r>
        <w:t>Because DFCI has historically provided substantially all medical oncology services at BWH, the parties also expect</w:t>
      </w:r>
    </w:p>
    <w:p w14:paraId="1C34E672" w14:textId="754B03BD" w:rsidR="004C558F" w:rsidRDefault="004C558F">
      <w:pPr>
        <w:pStyle w:val="BodyText"/>
        <w:spacing w:before="86"/>
        <w:rPr>
          <w:sz w:val="20"/>
        </w:rPr>
      </w:pPr>
    </w:p>
    <w:p w14:paraId="1C34E679" w14:textId="3268B095" w:rsidR="004C558F" w:rsidRDefault="004C558F" w:rsidP="00D975B8">
      <w:pPr>
        <w:ind w:left="960"/>
        <w:rPr>
          <w:sz w:val="20"/>
        </w:rPr>
        <w:sectPr w:rsidR="004C558F">
          <w:pgSz w:w="12240" w:h="15840"/>
          <w:pgMar w:top="1360" w:right="740" w:bottom="720" w:left="480" w:header="0" w:footer="521" w:gutter="0"/>
          <w:cols w:space="720"/>
        </w:sectPr>
      </w:pPr>
      <w:bookmarkStart w:id="74" w:name="_bookmark91"/>
      <w:bookmarkStart w:id="75" w:name="_bookmark92"/>
      <w:bookmarkStart w:id="76" w:name="_bookmark95"/>
      <w:bookmarkEnd w:id="74"/>
      <w:bookmarkEnd w:id="75"/>
      <w:bookmarkEnd w:id="76"/>
    </w:p>
    <w:p w14:paraId="1C34E67A" w14:textId="761E5348" w:rsidR="004C558F" w:rsidRDefault="00461887">
      <w:pPr>
        <w:pStyle w:val="BodyText"/>
        <w:spacing w:before="80" w:line="276" w:lineRule="auto"/>
        <w:ind w:left="960" w:right="1034"/>
        <w:rPr>
          <w:sz w:val="14"/>
        </w:rPr>
      </w:pPr>
      <w:r>
        <w:lastRenderedPageBreak/>
        <w:t>most</w:t>
      </w:r>
      <w:r>
        <w:rPr>
          <w:spacing w:val="-5"/>
        </w:rPr>
        <w:t xml:space="preserve"> </w:t>
      </w:r>
      <w:r>
        <w:t>BWH</w:t>
      </w:r>
      <w:r>
        <w:rPr>
          <w:spacing w:val="-3"/>
        </w:rPr>
        <w:t xml:space="preserve"> </w:t>
      </w:r>
      <w:r>
        <w:t>medical</w:t>
      </w:r>
      <w:r>
        <w:rPr>
          <w:spacing w:val="-3"/>
        </w:rPr>
        <w:t xml:space="preserve"> </w:t>
      </w:r>
      <w:r>
        <w:t>oncology</w:t>
      </w:r>
      <w:r>
        <w:rPr>
          <w:spacing w:val="-3"/>
        </w:rPr>
        <w:t xml:space="preserve"> </w:t>
      </w:r>
      <w:r>
        <w:t>patients</w:t>
      </w:r>
      <w:r>
        <w:rPr>
          <w:spacing w:val="-2"/>
        </w:rPr>
        <w:t xml:space="preserve"> </w:t>
      </w:r>
      <w:r>
        <w:t>to</w:t>
      </w:r>
      <w:r>
        <w:rPr>
          <w:spacing w:val="-4"/>
        </w:rPr>
        <w:t xml:space="preserve"> </w:t>
      </w:r>
      <w:r>
        <w:t>transition</w:t>
      </w:r>
      <w:r>
        <w:rPr>
          <w:spacing w:val="-2"/>
        </w:rPr>
        <w:t xml:space="preserve"> </w:t>
      </w:r>
      <w:r>
        <w:t>to</w:t>
      </w:r>
      <w:r>
        <w:rPr>
          <w:spacing w:val="-4"/>
        </w:rPr>
        <w:t xml:space="preserve"> </w:t>
      </w:r>
      <w:r>
        <w:t>the</w:t>
      </w:r>
      <w:r>
        <w:rPr>
          <w:spacing w:val="-2"/>
        </w:rPr>
        <w:t xml:space="preserve"> </w:t>
      </w:r>
      <w:r>
        <w:t>new</w:t>
      </w:r>
      <w:r>
        <w:rPr>
          <w:spacing w:val="-5"/>
        </w:rPr>
        <w:t xml:space="preserve"> </w:t>
      </w:r>
      <w:r>
        <w:t>DFCI</w:t>
      </w:r>
      <w:r>
        <w:rPr>
          <w:spacing w:val="-2"/>
        </w:rPr>
        <w:t xml:space="preserve"> </w:t>
      </w:r>
      <w:r>
        <w:t>facility,</w:t>
      </w:r>
      <w:r>
        <w:rPr>
          <w:spacing w:val="-2"/>
        </w:rPr>
        <w:t xml:space="preserve"> </w:t>
      </w:r>
      <w:r>
        <w:t>following</w:t>
      </w:r>
      <w:r>
        <w:rPr>
          <w:spacing w:val="-3"/>
        </w:rPr>
        <w:t xml:space="preserve"> </w:t>
      </w:r>
      <w:r>
        <w:t>their</w:t>
      </w:r>
      <w:r>
        <w:rPr>
          <w:spacing w:val="-3"/>
        </w:rPr>
        <w:t xml:space="preserve"> </w:t>
      </w:r>
      <w:r>
        <w:t>medical oncologists.</w:t>
      </w:r>
      <w:r w:rsidR="005150E2">
        <w:rPr>
          <w:rStyle w:val="FootnoteReference"/>
        </w:rPr>
        <w:footnoteReference w:id="79"/>
      </w:r>
      <w:r>
        <w:rPr>
          <w:spacing w:val="21"/>
          <w:position w:val="5"/>
          <w:sz w:val="14"/>
        </w:rPr>
        <w:t xml:space="preserve"> </w:t>
      </w:r>
      <w:r>
        <w:t>The parties</w:t>
      </w:r>
      <w:r>
        <w:rPr>
          <w:spacing w:val="-1"/>
        </w:rPr>
        <w:t xml:space="preserve"> </w:t>
      </w:r>
      <w:r>
        <w:t>also expect a</w:t>
      </w:r>
      <w:r>
        <w:rPr>
          <w:spacing w:val="-1"/>
        </w:rPr>
        <w:t xml:space="preserve"> </w:t>
      </w:r>
      <w:r>
        <w:t>significant shift of surgical</w:t>
      </w:r>
      <w:r>
        <w:rPr>
          <w:spacing w:val="-2"/>
        </w:rPr>
        <w:t xml:space="preserve"> </w:t>
      </w:r>
      <w:r>
        <w:t>oncology care</w:t>
      </w:r>
      <w:r>
        <w:rPr>
          <w:spacing w:val="-1"/>
        </w:rPr>
        <w:t xml:space="preserve"> </w:t>
      </w:r>
      <w:r>
        <w:t>associated</w:t>
      </w:r>
      <w:r>
        <w:rPr>
          <w:spacing w:val="-1"/>
        </w:rPr>
        <w:t xml:space="preserve"> </w:t>
      </w:r>
      <w:r>
        <w:t>with BWH patients to BIDMC, sufficient to fill BIDMC’s inpatient capacity that has historically been used for medical oncology services.</w:t>
      </w:r>
      <w:r w:rsidR="00B2401B">
        <w:rPr>
          <w:rStyle w:val="FootnoteReference"/>
        </w:rPr>
        <w:footnoteReference w:id="80"/>
      </w:r>
      <w:r>
        <w:rPr>
          <w:spacing w:val="32"/>
          <w:position w:val="5"/>
          <w:sz w:val="14"/>
        </w:rPr>
        <w:t xml:space="preserve"> </w:t>
      </w:r>
      <w:r>
        <w:t>The parties expect to attract further patient volume from other providers, including BIDMC patients seeking oncology care from other provider organizations, particularly MGB</w:t>
      </w:r>
      <w:bookmarkStart w:id="77" w:name="_bookmark96"/>
      <w:bookmarkEnd w:id="77"/>
      <w:r>
        <w:t>.</w:t>
      </w:r>
      <w:r w:rsidR="004F7C2B">
        <w:rPr>
          <w:rStyle w:val="FootnoteReference"/>
        </w:rPr>
        <w:footnoteReference w:id="81"/>
      </w:r>
      <w:r w:rsidR="004F7C2B">
        <w:rPr>
          <w:sz w:val="14"/>
        </w:rPr>
        <w:t xml:space="preserve"> </w:t>
      </w:r>
    </w:p>
    <w:p w14:paraId="1C34E67B" w14:textId="77777777" w:rsidR="004C558F" w:rsidRDefault="004C558F">
      <w:pPr>
        <w:pStyle w:val="BodyText"/>
        <w:spacing w:before="38"/>
      </w:pPr>
    </w:p>
    <w:p w14:paraId="1C34E67C" w14:textId="5AD6AB7C" w:rsidR="004C558F" w:rsidRDefault="00461887">
      <w:pPr>
        <w:pStyle w:val="BodyText"/>
        <w:spacing w:line="276" w:lineRule="auto"/>
        <w:ind w:left="960" w:right="1034" w:firstLine="720"/>
        <w:rPr>
          <w:sz w:val="14"/>
        </w:rPr>
      </w:pPr>
      <w:r>
        <w:t>The</w:t>
      </w:r>
      <w:r>
        <w:rPr>
          <w:spacing w:val="-3"/>
        </w:rPr>
        <w:t xml:space="preserve"> </w:t>
      </w:r>
      <w:r>
        <w:t>parties</w:t>
      </w:r>
      <w:r>
        <w:rPr>
          <w:spacing w:val="-5"/>
        </w:rPr>
        <w:t xml:space="preserve"> </w:t>
      </w:r>
      <w:r>
        <w:t>state</w:t>
      </w:r>
      <w:r>
        <w:rPr>
          <w:spacing w:val="-3"/>
        </w:rPr>
        <w:t xml:space="preserve"> </w:t>
      </w:r>
      <w:r>
        <w:t>the</w:t>
      </w:r>
      <w:r>
        <w:rPr>
          <w:spacing w:val="-3"/>
        </w:rPr>
        <w:t xml:space="preserve"> </w:t>
      </w:r>
      <w:r>
        <w:t>clinical</w:t>
      </w:r>
      <w:r>
        <w:rPr>
          <w:spacing w:val="-4"/>
        </w:rPr>
        <w:t xml:space="preserve"> </w:t>
      </w:r>
      <w:r>
        <w:t>affiliation</w:t>
      </w:r>
      <w:r>
        <w:rPr>
          <w:spacing w:val="-3"/>
        </w:rPr>
        <w:t xml:space="preserve"> </w:t>
      </w:r>
      <w:r>
        <w:t>would</w:t>
      </w:r>
      <w:r>
        <w:rPr>
          <w:spacing w:val="-2"/>
        </w:rPr>
        <w:t xml:space="preserve"> </w:t>
      </w:r>
      <w:r>
        <w:t>increase</w:t>
      </w:r>
      <w:r>
        <w:rPr>
          <w:spacing w:val="-3"/>
        </w:rPr>
        <w:t xml:space="preserve"> </w:t>
      </w:r>
      <w:r>
        <w:t>access</w:t>
      </w:r>
      <w:r>
        <w:rPr>
          <w:spacing w:val="-3"/>
        </w:rPr>
        <w:t xml:space="preserve"> </w:t>
      </w:r>
      <w:r>
        <w:t>to</w:t>
      </w:r>
      <w:r>
        <w:rPr>
          <w:spacing w:val="-5"/>
        </w:rPr>
        <w:t xml:space="preserve"> </w:t>
      </w:r>
      <w:r>
        <w:t>high-quality</w:t>
      </w:r>
      <w:r>
        <w:rPr>
          <w:spacing w:val="-4"/>
        </w:rPr>
        <w:t xml:space="preserve"> </w:t>
      </w:r>
      <w:r>
        <w:t>tertiary</w:t>
      </w:r>
      <w:r>
        <w:rPr>
          <w:spacing w:val="-4"/>
        </w:rPr>
        <w:t xml:space="preserve"> </w:t>
      </w:r>
      <w:r>
        <w:t>and quaternary adult oncology services for the highest acuity patients with the most complex diagnoses, treatment</w:t>
      </w:r>
      <w:r>
        <w:rPr>
          <w:spacing w:val="-2"/>
        </w:rPr>
        <w:t xml:space="preserve"> </w:t>
      </w:r>
      <w:r>
        <w:t>of whom is the</w:t>
      </w:r>
      <w:r>
        <w:rPr>
          <w:spacing w:val="-1"/>
        </w:rPr>
        <w:t xml:space="preserve"> </w:t>
      </w:r>
      <w:r>
        <w:t>primary objective for the</w:t>
      </w:r>
      <w:r>
        <w:rPr>
          <w:spacing w:val="-1"/>
        </w:rPr>
        <w:t xml:space="preserve"> </w:t>
      </w:r>
      <w:r>
        <w:t>new</w:t>
      </w:r>
      <w:r>
        <w:rPr>
          <w:spacing w:val="-2"/>
        </w:rPr>
        <w:t xml:space="preserve"> </w:t>
      </w:r>
      <w:r>
        <w:t>DFCI</w:t>
      </w:r>
      <w:r>
        <w:rPr>
          <w:spacing w:val="-2"/>
        </w:rPr>
        <w:t xml:space="preserve"> </w:t>
      </w:r>
      <w:r>
        <w:t>facility.</w:t>
      </w:r>
      <w:r>
        <w:rPr>
          <w:spacing w:val="-36"/>
        </w:rPr>
        <w:t xml:space="preserve"> </w:t>
      </w:r>
      <w:r w:rsidR="00230B40">
        <w:rPr>
          <w:rStyle w:val="FootnoteReference"/>
          <w:spacing w:val="-36"/>
        </w:rPr>
        <w:footnoteReference w:id="82"/>
      </w:r>
      <w:r>
        <w:t>In DFCI’s</w:t>
      </w:r>
      <w:r>
        <w:rPr>
          <w:spacing w:val="-1"/>
        </w:rPr>
        <w:t xml:space="preserve"> </w:t>
      </w:r>
      <w:proofErr w:type="spellStart"/>
      <w:r>
        <w:t>DoN</w:t>
      </w:r>
      <w:proofErr w:type="spellEnd"/>
      <w:r>
        <w:t xml:space="preserve"> submission, DFCI states that “need cannot be met</w:t>
      </w:r>
      <w:r>
        <w:rPr>
          <w:spacing w:val="-2"/>
        </w:rPr>
        <w:t xml:space="preserve"> </w:t>
      </w:r>
      <w:r>
        <w:t>by other hospitals within the Commonwealth because of the highly specialized nature of inpatient oncology care required by [DFCI’s] patient panel</w:t>
      </w:r>
      <w:r>
        <w:rPr>
          <w:spacing w:val="-5"/>
        </w:rPr>
        <w:t xml:space="preserve"> </w:t>
      </w:r>
      <w:r>
        <w:t>and</w:t>
      </w:r>
      <w:r>
        <w:rPr>
          <w:spacing w:val="-1"/>
        </w:rPr>
        <w:t xml:space="preserve"> </w:t>
      </w:r>
      <w:r>
        <w:t>the</w:t>
      </w:r>
      <w:r>
        <w:rPr>
          <w:spacing w:val="-2"/>
        </w:rPr>
        <w:t xml:space="preserve"> </w:t>
      </w:r>
      <w:r>
        <w:t>growing</w:t>
      </w:r>
      <w:r>
        <w:rPr>
          <w:spacing w:val="-5"/>
        </w:rPr>
        <w:t xml:space="preserve"> </w:t>
      </w:r>
      <w:r>
        <w:t>demand</w:t>
      </w:r>
      <w:r>
        <w:rPr>
          <w:spacing w:val="-1"/>
        </w:rPr>
        <w:t xml:space="preserve"> </w:t>
      </w:r>
      <w:r>
        <w:t>for</w:t>
      </w:r>
      <w:r>
        <w:rPr>
          <w:spacing w:val="-3"/>
        </w:rPr>
        <w:t xml:space="preserve"> </w:t>
      </w:r>
      <w:r>
        <w:t>such</w:t>
      </w:r>
      <w:r>
        <w:rPr>
          <w:spacing w:val="-4"/>
        </w:rPr>
        <w:t xml:space="preserve"> </w:t>
      </w:r>
      <w:r>
        <w:t>care,”</w:t>
      </w:r>
      <w:r>
        <w:rPr>
          <w:spacing w:val="-36"/>
        </w:rPr>
        <w:t xml:space="preserve"> </w:t>
      </w:r>
      <w:r w:rsidR="00B935C5">
        <w:rPr>
          <w:rStyle w:val="FootnoteReference"/>
          <w:spacing w:val="-36"/>
        </w:rPr>
        <w:footnoteReference w:id="83"/>
      </w:r>
      <w:r>
        <w:t>and</w:t>
      </w:r>
      <w:r>
        <w:rPr>
          <w:spacing w:val="-4"/>
        </w:rPr>
        <w:t xml:space="preserve"> </w:t>
      </w:r>
      <w:r>
        <w:t>that</w:t>
      </w:r>
      <w:r>
        <w:rPr>
          <w:spacing w:val="-3"/>
        </w:rPr>
        <w:t xml:space="preserve"> </w:t>
      </w:r>
      <w:r>
        <w:t>this</w:t>
      </w:r>
      <w:r>
        <w:rPr>
          <w:spacing w:val="-4"/>
        </w:rPr>
        <w:t xml:space="preserve"> </w:t>
      </w:r>
      <w:r>
        <w:t>level</w:t>
      </w:r>
      <w:r>
        <w:rPr>
          <w:spacing w:val="-3"/>
        </w:rPr>
        <w:t xml:space="preserve"> </w:t>
      </w:r>
      <w:r>
        <w:t>of</w:t>
      </w:r>
      <w:r>
        <w:rPr>
          <w:spacing w:val="-1"/>
        </w:rPr>
        <w:t xml:space="preserve"> </w:t>
      </w:r>
      <w:r>
        <w:t>care</w:t>
      </w:r>
      <w:r>
        <w:rPr>
          <w:spacing w:val="-2"/>
        </w:rPr>
        <w:t xml:space="preserve"> </w:t>
      </w:r>
      <w:r>
        <w:t>is</w:t>
      </w:r>
      <w:r>
        <w:rPr>
          <w:spacing w:val="-4"/>
        </w:rPr>
        <w:t xml:space="preserve"> </w:t>
      </w:r>
      <w:r>
        <w:t>most</w:t>
      </w:r>
      <w:r>
        <w:rPr>
          <w:spacing w:val="-3"/>
        </w:rPr>
        <w:t xml:space="preserve"> </w:t>
      </w:r>
      <w:r>
        <w:t>appropriately provided through “dedicated inpatient cancer beds in a specialty hospital setting.”</w:t>
      </w:r>
      <w:r>
        <w:rPr>
          <w:spacing w:val="-33"/>
        </w:rPr>
        <w:t xml:space="preserve"> </w:t>
      </w:r>
      <w:r w:rsidR="00DB6230">
        <w:rPr>
          <w:rStyle w:val="FootnoteReference"/>
          <w:spacing w:val="-33"/>
        </w:rPr>
        <w:footnoteReference w:id="84"/>
      </w:r>
      <w:r>
        <w:t>DFCI additionally states these beds would increase access to innovative and complex cancer treatments that require hospitalization.</w:t>
      </w:r>
      <w:r>
        <w:rPr>
          <w:spacing w:val="-32"/>
        </w:rPr>
        <w:t xml:space="preserve"> </w:t>
      </w:r>
      <w:r w:rsidR="00DB6230">
        <w:rPr>
          <w:rStyle w:val="FootnoteReference"/>
          <w:spacing w:val="-32"/>
        </w:rPr>
        <w:footnoteReference w:id="85"/>
      </w:r>
      <w:r>
        <w:t>The project, according to DFCI, “will provide patients with improved health outcomes, quality of life and access to cancer care services.”</w:t>
      </w:r>
      <w:r w:rsidR="00DB6230">
        <w:rPr>
          <w:rStyle w:val="FootnoteReference"/>
        </w:rPr>
        <w:footnoteReference w:id="86"/>
      </w:r>
      <w:r w:rsidR="00DB6230">
        <w:rPr>
          <w:sz w:val="14"/>
        </w:rPr>
        <w:t xml:space="preserve"> </w:t>
      </w:r>
    </w:p>
    <w:p w14:paraId="1C34E67D" w14:textId="77777777" w:rsidR="004C558F" w:rsidRDefault="004C558F">
      <w:pPr>
        <w:pStyle w:val="BodyText"/>
        <w:spacing w:before="35"/>
      </w:pPr>
    </w:p>
    <w:p w14:paraId="1C34E67E" w14:textId="77777777" w:rsidR="004C558F" w:rsidRDefault="00461887">
      <w:pPr>
        <w:pStyle w:val="BodyText"/>
        <w:spacing w:line="276" w:lineRule="auto"/>
        <w:ind w:left="960" w:right="702" w:firstLine="720"/>
      </w:pPr>
      <w:r>
        <w:t>The</w:t>
      </w:r>
      <w:r>
        <w:rPr>
          <w:spacing w:val="-2"/>
        </w:rPr>
        <w:t xml:space="preserve"> </w:t>
      </w:r>
      <w:r>
        <w:t>parties</w:t>
      </w:r>
      <w:r>
        <w:rPr>
          <w:spacing w:val="-3"/>
        </w:rPr>
        <w:t xml:space="preserve"> </w:t>
      </w:r>
      <w:r>
        <w:t>have</w:t>
      </w:r>
      <w:r>
        <w:rPr>
          <w:spacing w:val="-3"/>
        </w:rPr>
        <w:t xml:space="preserve"> </w:t>
      </w:r>
      <w:r>
        <w:t>stated</w:t>
      </w:r>
      <w:r>
        <w:rPr>
          <w:spacing w:val="-2"/>
        </w:rPr>
        <w:t xml:space="preserve"> </w:t>
      </w:r>
      <w:r>
        <w:t>to</w:t>
      </w:r>
      <w:r>
        <w:rPr>
          <w:spacing w:val="-3"/>
        </w:rPr>
        <w:t xml:space="preserve"> </w:t>
      </w:r>
      <w:r>
        <w:t>the</w:t>
      </w:r>
      <w:r>
        <w:rPr>
          <w:spacing w:val="-2"/>
        </w:rPr>
        <w:t xml:space="preserve"> </w:t>
      </w:r>
      <w:r>
        <w:t>HPC</w:t>
      </w:r>
      <w:r>
        <w:rPr>
          <w:spacing w:val="-2"/>
        </w:rPr>
        <w:t xml:space="preserve"> </w:t>
      </w:r>
      <w:r>
        <w:t>that</w:t>
      </w:r>
      <w:r>
        <w:rPr>
          <w:spacing w:val="-2"/>
        </w:rPr>
        <w:t xml:space="preserve"> </w:t>
      </w:r>
      <w:r>
        <w:t>they</w:t>
      </w:r>
      <w:r>
        <w:rPr>
          <w:spacing w:val="-4"/>
        </w:rPr>
        <w:t xml:space="preserve"> </w:t>
      </w:r>
      <w:r>
        <w:t>do</w:t>
      </w:r>
      <w:r>
        <w:rPr>
          <w:spacing w:val="-2"/>
        </w:rPr>
        <w:t xml:space="preserve"> </w:t>
      </w:r>
      <w:r>
        <w:t>not</w:t>
      </w:r>
      <w:r>
        <w:rPr>
          <w:spacing w:val="-4"/>
        </w:rPr>
        <w:t xml:space="preserve"> </w:t>
      </w:r>
      <w:r>
        <w:t>anticipate</w:t>
      </w:r>
      <w:r>
        <w:rPr>
          <w:spacing w:val="-3"/>
        </w:rPr>
        <w:t xml:space="preserve"> </w:t>
      </w:r>
      <w:r>
        <w:t>the</w:t>
      </w:r>
      <w:r>
        <w:rPr>
          <w:spacing w:val="-2"/>
        </w:rPr>
        <w:t xml:space="preserve"> </w:t>
      </w:r>
      <w:r>
        <w:t>proposed</w:t>
      </w:r>
      <w:r>
        <w:rPr>
          <w:spacing w:val="-3"/>
        </w:rPr>
        <w:t xml:space="preserve"> </w:t>
      </w:r>
      <w:r>
        <w:t>affiliation</w:t>
      </w:r>
      <w:r>
        <w:rPr>
          <w:spacing w:val="-3"/>
        </w:rPr>
        <w:t xml:space="preserve"> </w:t>
      </w:r>
      <w:r>
        <w:t>will result in changes to DFCI’s existing clinical affiliations outside of the Longwood medical area.</w:t>
      </w:r>
    </w:p>
    <w:p w14:paraId="1C34E67F" w14:textId="37ADD4E1" w:rsidR="004C558F" w:rsidRDefault="00461887">
      <w:pPr>
        <w:pStyle w:val="BodyText"/>
        <w:spacing w:line="276" w:lineRule="auto"/>
        <w:ind w:left="959" w:right="991"/>
      </w:pPr>
      <w:r>
        <w:t>Specifically, DFCI has stated it does not anticipate changes to its clinical affiliations with community hospitals or to the Dana-Farber Cancer Care Collaborative, and that it desires to maintain its relationships</w:t>
      </w:r>
      <w:r>
        <w:rPr>
          <w:spacing w:val="-2"/>
        </w:rPr>
        <w:t xml:space="preserve"> </w:t>
      </w:r>
      <w:r>
        <w:t>with MGB</w:t>
      </w:r>
      <w:r>
        <w:rPr>
          <w:spacing w:val="-2"/>
        </w:rPr>
        <w:t xml:space="preserve"> </w:t>
      </w:r>
      <w:r>
        <w:t>at</w:t>
      </w:r>
      <w:r>
        <w:rPr>
          <w:spacing w:val="-1"/>
        </w:rPr>
        <w:t xml:space="preserve"> </w:t>
      </w:r>
      <w:r>
        <w:t>other</w:t>
      </w:r>
      <w:r>
        <w:rPr>
          <w:spacing w:val="-1"/>
        </w:rPr>
        <w:t xml:space="preserve"> </w:t>
      </w:r>
      <w:r>
        <w:t>outpatient</w:t>
      </w:r>
      <w:r>
        <w:rPr>
          <w:spacing w:val="-1"/>
        </w:rPr>
        <w:t xml:space="preserve"> </w:t>
      </w:r>
      <w:r>
        <w:t>sites. The parties also</w:t>
      </w:r>
      <w:r>
        <w:rPr>
          <w:spacing w:val="-2"/>
        </w:rPr>
        <w:t xml:space="preserve"> </w:t>
      </w:r>
      <w:r>
        <w:t>expect</w:t>
      </w:r>
      <w:r>
        <w:rPr>
          <w:spacing w:val="-1"/>
        </w:rPr>
        <w:t xml:space="preserve"> </w:t>
      </w:r>
      <w:r>
        <w:t>no changes to the Dana-Farber/Harvard Cancer Center research collaborative. MGB has not indicated that it expects changes to its collaborations with DFCI outside of the BWH relationship; however, MGB has</w:t>
      </w:r>
      <w:r>
        <w:rPr>
          <w:spacing w:val="-4"/>
        </w:rPr>
        <w:t xml:space="preserve"> </w:t>
      </w:r>
      <w:r>
        <w:t>stated</w:t>
      </w:r>
      <w:r>
        <w:rPr>
          <w:spacing w:val="-1"/>
        </w:rPr>
        <w:t xml:space="preserve"> </w:t>
      </w:r>
      <w:r>
        <w:t>it</w:t>
      </w:r>
      <w:r>
        <w:rPr>
          <w:spacing w:val="-3"/>
        </w:rPr>
        <w:t xml:space="preserve"> </w:t>
      </w:r>
      <w:r>
        <w:t>intends</w:t>
      </w:r>
      <w:r>
        <w:rPr>
          <w:spacing w:val="-2"/>
        </w:rPr>
        <w:t xml:space="preserve"> </w:t>
      </w:r>
      <w:r>
        <w:t>to</w:t>
      </w:r>
      <w:r>
        <w:rPr>
          <w:spacing w:val="-2"/>
        </w:rPr>
        <w:t xml:space="preserve"> </w:t>
      </w:r>
      <w:r>
        <w:t>continue</w:t>
      </w:r>
      <w:r>
        <w:rPr>
          <w:spacing w:val="-2"/>
        </w:rPr>
        <w:t xml:space="preserve"> </w:t>
      </w:r>
      <w:r>
        <w:t>providing</w:t>
      </w:r>
      <w:r>
        <w:rPr>
          <w:spacing w:val="-3"/>
        </w:rPr>
        <w:t xml:space="preserve"> </w:t>
      </w:r>
      <w:r>
        <w:t>medical</w:t>
      </w:r>
      <w:r>
        <w:rPr>
          <w:spacing w:val="-3"/>
        </w:rPr>
        <w:t xml:space="preserve"> </w:t>
      </w:r>
      <w:r>
        <w:t>oncology</w:t>
      </w:r>
      <w:r>
        <w:rPr>
          <w:spacing w:val="-5"/>
        </w:rPr>
        <w:t xml:space="preserve"> </w:t>
      </w:r>
      <w:r>
        <w:t>care</w:t>
      </w:r>
      <w:r>
        <w:rPr>
          <w:spacing w:val="-4"/>
        </w:rPr>
        <w:t xml:space="preserve"> </w:t>
      </w:r>
      <w:r>
        <w:t>at</w:t>
      </w:r>
      <w:r>
        <w:rPr>
          <w:spacing w:val="-3"/>
        </w:rPr>
        <w:t xml:space="preserve"> </w:t>
      </w:r>
      <w:r>
        <w:t>BWH</w:t>
      </w:r>
      <w:r>
        <w:rPr>
          <w:spacing w:val="-5"/>
        </w:rPr>
        <w:t xml:space="preserve"> </w:t>
      </w:r>
      <w:r>
        <w:t>under</w:t>
      </w:r>
      <w:r>
        <w:rPr>
          <w:spacing w:val="-3"/>
        </w:rPr>
        <w:t xml:space="preserve"> </w:t>
      </w:r>
      <w:r>
        <w:t>its</w:t>
      </w:r>
      <w:r>
        <w:rPr>
          <w:spacing w:val="-1"/>
        </w:rPr>
        <w:t xml:space="preserve"> </w:t>
      </w:r>
      <w:r>
        <w:t>Mass</w:t>
      </w:r>
      <w:r>
        <w:rPr>
          <w:spacing w:val="-4"/>
        </w:rPr>
        <w:t xml:space="preserve"> </w:t>
      </w:r>
      <w:r>
        <w:t>General Brigham Cancer program,</w:t>
      </w:r>
      <w:r>
        <w:rPr>
          <w:spacing w:val="-1"/>
        </w:rPr>
        <w:t xml:space="preserve"> </w:t>
      </w:r>
      <w:r>
        <w:t>a recent unification of oncology care departments at BWH and MGH,</w:t>
      </w:r>
      <w:r w:rsidR="00FC0C1F">
        <w:rPr>
          <w:rStyle w:val="FootnoteReference"/>
        </w:rPr>
        <w:footnoteReference w:id="87"/>
      </w:r>
      <w:r>
        <w:rPr>
          <w:spacing w:val="40"/>
          <w:position w:val="5"/>
          <w:sz w:val="14"/>
        </w:rPr>
        <w:t xml:space="preserve"> </w:t>
      </w:r>
      <w:r>
        <w:t>and it is unclear whether DFCI’s alignment with BILH would impact its other collaborations with MGB in future.</w:t>
      </w:r>
    </w:p>
    <w:p w14:paraId="1C34E680" w14:textId="77777777" w:rsidR="004C558F" w:rsidRDefault="004C558F">
      <w:pPr>
        <w:pStyle w:val="BodyText"/>
        <w:rPr>
          <w:sz w:val="20"/>
        </w:rPr>
      </w:pPr>
    </w:p>
    <w:p w14:paraId="1C34E681" w14:textId="1046FA8F" w:rsidR="004C558F" w:rsidRDefault="004C558F">
      <w:pPr>
        <w:pStyle w:val="BodyText"/>
        <w:spacing w:before="205"/>
        <w:rPr>
          <w:sz w:val="20"/>
        </w:rPr>
      </w:pPr>
    </w:p>
    <w:p w14:paraId="1C34E68B" w14:textId="77777777" w:rsidR="004C558F" w:rsidRDefault="004C558F">
      <w:pPr>
        <w:rPr>
          <w:sz w:val="20"/>
        </w:rPr>
        <w:sectPr w:rsidR="004C558F">
          <w:pgSz w:w="12240" w:h="15840"/>
          <w:pgMar w:top="1360" w:right="740" w:bottom="720" w:left="480" w:header="0" w:footer="521" w:gutter="0"/>
          <w:cols w:space="720"/>
        </w:sectPr>
      </w:pPr>
      <w:bookmarkStart w:id="78" w:name="_bookmark97"/>
      <w:bookmarkStart w:id="79" w:name="_bookmark100"/>
      <w:bookmarkStart w:id="80" w:name="_bookmark104"/>
      <w:bookmarkEnd w:id="78"/>
      <w:bookmarkEnd w:id="79"/>
      <w:bookmarkEnd w:id="80"/>
    </w:p>
    <w:p w14:paraId="1C34E68C" w14:textId="258E05E2" w:rsidR="004C558F" w:rsidRDefault="00461887">
      <w:pPr>
        <w:pStyle w:val="BodyText"/>
        <w:spacing w:before="80" w:line="276" w:lineRule="auto"/>
        <w:ind w:left="959" w:right="1034" w:firstLine="720"/>
        <w:rPr>
          <w:sz w:val="14"/>
        </w:rPr>
      </w:pPr>
      <w:r>
        <w:lastRenderedPageBreak/>
        <w:t>The implementation of the collaboration between DFCI, BIDMC, and HMFP and the building of the</w:t>
      </w:r>
      <w:r>
        <w:rPr>
          <w:spacing w:val="-1"/>
        </w:rPr>
        <w:t xml:space="preserve"> </w:t>
      </w:r>
      <w:r>
        <w:t>new</w:t>
      </w:r>
      <w:r>
        <w:rPr>
          <w:spacing w:val="-2"/>
        </w:rPr>
        <w:t xml:space="preserve"> </w:t>
      </w:r>
      <w:r>
        <w:t>hospital will require several years, according to the parties.</w:t>
      </w:r>
      <w:r>
        <w:rPr>
          <w:spacing w:val="-36"/>
        </w:rPr>
        <w:t xml:space="preserve"> </w:t>
      </w:r>
      <w:r w:rsidR="006A5380">
        <w:rPr>
          <w:rStyle w:val="FootnoteReference"/>
          <w:spacing w:val="-36"/>
        </w:rPr>
        <w:footnoteReference w:id="88"/>
      </w:r>
      <w:r>
        <w:t>DFCI has</w:t>
      </w:r>
      <w:r>
        <w:rPr>
          <w:spacing w:val="-1"/>
        </w:rPr>
        <w:t xml:space="preserve"> </w:t>
      </w:r>
      <w:r>
        <w:t>stated it</w:t>
      </w:r>
      <w:r>
        <w:rPr>
          <w:spacing w:val="-3"/>
        </w:rPr>
        <w:t xml:space="preserve"> </w:t>
      </w:r>
      <w:r>
        <w:t>“anticipates</w:t>
      </w:r>
      <w:r>
        <w:rPr>
          <w:spacing w:val="-2"/>
        </w:rPr>
        <w:t xml:space="preserve"> </w:t>
      </w:r>
      <w:r>
        <w:t>that</w:t>
      </w:r>
      <w:r>
        <w:rPr>
          <w:spacing w:val="-3"/>
        </w:rPr>
        <w:t xml:space="preserve"> </w:t>
      </w:r>
      <w:r>
        <w:t>the</w:t>
      </w:r>
      <w:r>
        <w:rPr>
          <w:spacing w:val="-5"/>
        </w:rPr>
        <w:t xml:space="preserve"> </w:t>
      </w:r>
      <w:r>
        <w:t>proposed</w:t>
      </w:r>
      <w:r>
        <w:rPr>
          <w:spacing w:val="-1"/>
        </w:rPr>
        <w:t xml:space="preserve"> </w:t>
      </w:r>
      <w:r>
        <w:t>hospital</w:t>
      </w:r>
      <w:r>
        <w:rPr>
          <w:spacing w:val="-3"/>
        </w:rPr>
        <w:t xml:space="preserve"> </w:t>
      </w:r>
      <w:r>
        <w:t>would</w:t>
      </w:r>
      <w:r>
        <w:rPr>
          <w:spacing w:val="-1"/>
        </w:rPr>
        <w:t xml:space="preserve"> </w:t>
      </w:r>
      <w:r>
        <w:t>open</w:t>
      </w:r>
      <w:r>
        <w:rPr>
          <w:spacing w:val="-2"/>
        </w:rPr>
        <w:t xml:space="preserve"> </w:t>
      </w:r>
      <w:r>
        <w:t>approximately</w:t>
      </w:r>
      <w:r>
        <w:rPr>
          <w:spacing w:val="-5"/>
        </w:rPr>
        <w:t xml:space="preserve"> </w:t>
      </w:r>
      <w:r>
        <w:t>four</w:t>
      </w:r>
      <w:r>
        <w:rPr>
          <w:spacing w:val="-3"/>
        </w:rPr>
        <w:t xml:space="preserve"> </w:t>
      </w:r>
      <w:r>
        <w:t>years</w:t>
      </w:r>
      <w:r>
        <w:rPr>
          <w:spacing w:val="-4"/>
        </w:rPr>
        <w:t xml:space="preserve"> </w:t>
      </w:r>
      <w:r>
        <w:t>from</w:t>
      </w:r>
      <w:r>
        <w:rPr>
          <w:spacing w:val="-2"/>
        </w:rPr>
        <w:t xml:space="preserve"> </w:t>
      </w:r>
      <w:r>
        <w:t>the</w:t>
      </w:r>
      <w:r>
        <w:rPr>
          <w:spacing w:val="-2"/>
        </w:rPr>
        <w:t xml:space="preserve"> </w:t>
      </w:r>
      <w:r>
        <w:t>receipt</w:t>
      </w:r>
      <w:r>
        <w:rPr>
          <w:spacing w:val="-3"/>
        </w:rPr>
        <w:t xml:space="preserve"> </w:t>
      </w:r>
      <w:r>
        <w:t xml:space="preserve">of required regulatory approvals and completion of demolition of the existing building at 1 Joslin </w:t>
      </w:r>
      <w:r>
        <w:rPr>
          <w:spacing w:val="-2"/>
        </w:rPr>
        <w:t>Place.”</w:t>
      </w:r>
      <w:r w:rsidR="0043081E">
        <w:rPr>
          <w:rStyle w:val="FootnoteReference"/>
          <w:spacing w:val="-2"/>
        </w:rPr>
        <w:footnoteReference w:id="89"/>
      </w:r>
      <w:r w:rsidR="0043081E">
        <w:rPr>
          <w:sz w:val="14"/>
        </w:rPr>
        <w:t xml:space="preserve"> </w:t>
      </w:r>
    </w:p>
    <w:p w14:paraId="1C34E68D" w14:textId="77777777" w:rsidR="004C558F" w:rsidRDefault="004C558F">
      <w:pPr>
        <w:pStyle w:val="BodyText"/>
        <w:spacing w:before="198"/>
      </w:pPr>
    </w:p>
    <w:p w14:paraId="1C34E68E" w14:textId="77777777" w:rsidR="004C558F" w:rsidRDefault="00461887">
      <w:pPr>
        <w:pStyle w:val="ListParagraph"/>
        <w:numPr>
          <w:ilvl w:val="1"/>
          <w:numId w:val="16"/>
        </w:numPr>
        <w:tabs>
          <w:tab w:val="left" w:pos="959"/>
        </w:tabs>
        <w:ind w:left="959" w:hanging="359"/>
        <w:rPr>
          <w:rFonts w:ascii="Franklin Gothic Medium"/>
          <w:color w:val="063656"/>
          <w:sz w:val="28"/>
        </w:rPr>
      </w:pPr>
      <w:bookmarkStart w:id="81" w:name="C._Regulatory_Oversight"/>
      <w:bookmarkEnd w:id="81"/>
      <w:r>
        <w:rPr>
          <w:rFonts w:ascii="Franklin Gothic Medium"/>
          <w:color w:val="063656"/>
          <w:sz w:val="28"/>
        </w:rPr>
        <w:t>Regulatory</w:t>
      </w:r>
      <w:r>
        <w:rPr>
          <w:rFonts w:ascii="Franklin Gothic Medium"/>
          <w:color w:val="063656"/>
          <w:spacing w:val="-6"/>
          <w:sz w:val="28"/>
        </w:rPr>
        <w:t xml:space="preserve"> </w:t>
      </w:r>
      <w:r>
        <w:rPr>
          <w:rFonts w:ascii="Franklin Gothic Medium"/>
          <w:color w:val="063656"/>
          <w:spacing w:val="-2"/>
          <w:sz w:val="28"/>
        </w:rPr>
        <w:t>Oversight</w:t>
      </w:r>
    </w:p>
    <w:p w14:paraId="1C34E68F" w14:textId="77777777" w:rsidR="004C558F" w:rsidRDefault="004C558F">
      <w:pPr>
        <w:pStyle w:val="BodyText"/>
        <w:spacing w:before="96"/>
        <w:rPr>
          <w:rFonts w:ascii="Franklin Gothic Medium"/>
          <w:sz w:val="28"/>
        </w:rPr>
      </w:pPr>
    </w:p>
    <w:p w14:paraId="1C34E690" w14:textId="331A95B3" w:rsidR="004C558F" w:rsidRDefault="00461887">
      <w:pPr>
        <w:pStyle w:val="BodyText"/>
        <w:spacing w:before="1" w:line="276" w:lineRule="auto"/>
        <w:ind w:left="959" w:right="1034" w:firstLine="720"/>
      </w:pPr>
      <w:r>
        <w:t>In addition to the HPC’s review of the proposed transaction, DFCI is required to obtain a Determination of Need (</w:t>
      </w:r>
      <w:proofErr w:type="spellStart"/>
      <w:r>
        <w:t>DoN</w:t>
      </w:r>
      <w:proofErr w:type="spellEnd"/>
      <w:r>
        <w:t xml:space="preserve">) from the Massachusetts Department of Public Health (DPH) for the construction of its proposed new hospital. Under its </w:t>
      </w:r>
      <w:proofErr w:type="spellStart"/>
      <w:r>
        <w:t>DoN</w:t>
      </w:r>
      <w:proofErr w:type="spellEnd"/>
      <w:r>
        <w:t xml:space="preserve"> authority, DPH evaluates proposed projects on a set of factors including but not limited to demonstrated need by the applicant’s patient</w:t>
      </w:r>
      <w:r>
        <w:rPr>
          <w:spacing w:val="-3"/>
        </w:rPr>
        <w:t xml:space="preserve"> </w:t>
      </w:r>
      <w:r>
        <w:t>panel,</w:t>
      </w:r>
      <w:r>
        <w:rPr>
          <w:spacing w:val="-5"/>
        </w:rPr>
        <w:t xml:space="preserve"> </w:t>
      </w:r>
      <w:r>
        <w:t>a</w:t>
      </w:r>
      <w:r>
        <w:rPr>
          <w:spacing w:val="-1"/>
        </w:rPr>
        <w:t xml:space="preserve"> </w:t>
      </w:r>
      <w:r>
        <w:t>showing</w:t>
      </w:r>
      <w:r>
        <w:rPr>
          <w:spacing w:val="-3"/>
        </w:rPr>
        <w:t xml:space="preserve"> </w:t>
      </w:r>
      <w:r>
        <w:t>that</w:t>
      </w:r>
      <w:r>
        <w:rPr>
          <w:spacing w:val="-3"/>
        </w:rPr>
        <w:t xml:space="preserve"> </w:t>
      </w:r>
      <w:r>
        <w:t>the</w:t>
      </w:r>
      <w:r>
        <w:rPr>
          <w:spacing w:val="-4"/>
        </w:rPr>
        <w:t xml:space="preserve"> </w:t>
      </w:r>
      <w:r>
        <w:t>project</w:t>
      </w:r>
      <w:r>
        <w:rPr>
          <w:spacing w:val="-3"/>
        </w:rPr>
        <w:t xml:space="preserve"> </w:t>
      </w:r>
      <w:r>
        <w:t>will</w:t>
      </w:r>
      <w:r>
        <w:rPr>
          <w:spacing w:val="-5"/>
        </w:rPr>
        <w:t xml:space="preserve"> </w:t>
      </w:r>
      <w:r>
        <w:t>compete</w:t>
      </w:r>
      <w:r>
        <w:rPr>
          <w:spacing w:val="-2"/>
        </w:rPr>
        <w:t xml:space="preserve"> </w:t>
      </w:r>
      <w:r>
        <w:t>on</w:t>
      </w:r>
      <w:r>
        <w:rPr>
          <w:spacing w:val="-2"/>
        </w:rPr>
        <w:t xml:space="preserve"> </w:t>
      </w:r>
      <w:r>
        <w:t>price</w:t>
      </w:r>
      <w:r>
        <w:rPr>
          <w:spacing w:val="-4"/>
        </w:rPr>
        <w:t xml:space="preserve"> </w:t>
      </w:r>
      <w:r>
        <w:t>and</w:t>
      </w:r>
      <w:r>
        <w:rPr>
          <w:spacing w:val="-1"/>
        </w:rPr>
        <w:t xml:space="preserve"> </w:t>
      </w:r>
      <w:r>
        <w:t>other</w:t>
      </w:r>
      <w:r>
        <w:rPr>
          <w:spacing w:val="-3"/>
        </w:rPr>
        <w:t xml:space="preserve"> </w:t>
      </w:r>
      <w:r>
        <w:t>measures</w:t>
      </w:r>
      <w:r>
        <w:rPr>
          <w:spacing w:val="-4"/>
        </w:rPr>
        <w:t xml:space="preserve"> </w:t>
      </w:r>
      <w:r>
        <w:t>of</w:t>
      </w:r>
      <w:r>
        <w:rPr>
          <w:spacing w:val="-4"/>
        </w:rPr>
        <w:t xml:space="preserve"> </w:t>
      </w:r>
      <w:r>
        <w:t>health</w:t>
      </w:r>
      <w:r>
        <w:rPr>
          <w:spacing w:val="-2"/>
        </w:rPr>
        <w:t xml:space="preserve"> </w:t>
      </w:r>
      <w:r>
        <w:t>care spending, and demonstration that the project will contribute to the Commonwealth’s goals for cost containment, improved public health outcomes, and delivery system transformation.</w:t>
      </w:r>
      <w:r>
        <w:rPr>
          <w:spacing w:val="-33"/>
        </w:rPr>
        <w:t xml:space="preserve"> </w:t>
      </w:r>
      <w:r w:rsidR="00FE050D">
        <w:rPr>
          <w:rStyle w:val="FootnoteReference"/>
          <w:spacing w:val="-33"/>
        </w:rPr>
        <w:footnoteReference w:id="90"/>
      </w:r>
      <w:r>
        <w:t>DPH staff review proposed projects and provide staff recommendations to the Public Health Council, which then votes to approve proposed projects and may set conditions for approval.</w:t>
      </w:r>
    </w:p>
    <w:p w14:paraId="1C34E691" w14:textId="77777777" w:rsidR="004C558F" w:rsidRDefault="004C558F">
      <w:pPr>
        <w:pStyle w:val="BodyText"/>
        <w:spacing w:before="36"/>
      </w:pPr>
    </w:p>
    <w:p w14:paraId="1C34E692" w14:textId="0008506C" w:rsidR="004C558F" w:rsidRDefault="00461887">
      <w:pPr>
        <w:pStyle w:val="BodyText"/>
        <w:spacing w:line="276" w:lineRule="auto"/>
        <w:ind w:left="959" w:right="963" w:firstLine="720"/>
      </w:pPr>
      <w:r>
        <w:t xml:space="preserve">On February 2, 2024, the </w:t>
      </w:r>
      <w:proofErr w:type="spellStart"/>
      <w:r>
        <w:t>DoN</w:t>
      </w:r>
      <w:proofErr w:type="spellEnd"/>
      <w:r>
        <w:t xml:space="preserve"> program notified DFCI that it was requiring</w:t>
      </w:r>
      <w:r>
        <w:rPr>
          <w:spacing w:val="-1"/>
        </w:rPr>
        <w:t xml:space="preserve"> </w:t>
      </w:r>
      <w:r>
        <w:t>an independent cost-analysis (ICA) of the proposed new DFCI hospital project, as authorized under its statute to demonstrate that a proposed project is “consistent with the commonwealth’s efforts to meet the health care cost-containment goals established by the [health policy] commission”.</w:t>
      </w:r>
      <w:r w:rsidR="00181A07">
        <w:rPr>
          <w:rStyle w:val="FootnoteReference"/>
        </w:rPr>
        <w:footnoteReference w:id="91"/>
      </w:r>
      <w:r>
        <w:rPr>
          <w:spacing w:val="24"/>
          <w:position w:val="5"/>
          <w:sz w:val="14"/>
        </w:rPr>
        <w:t xml:space="preserve"> </w:t>
      </w:r>
      <w:r>
        <w:t>A third-party vendor</w:t>
      </w:r>
      <w:r w:rsidR="002F4486">
        <w:rPr>
          <w:rStyle w:val="FootnoteReference"/>
        </w:rPr>
        <w:footnoteReference w:id="92"/>
      </w:r>
      <w:r>
        <w:rPr>
          <w:spacing w:val="31"/>
          <w:position w:val="5"/>
          <w:sz w:val="14"/>
        </w:rPr>
        <w:t xml:space="preserve"> </w:t>
      </w:r>
      <w:r>
        <w:t>was engaged to conduct the analyses, at DFCI’s expense. The ICA report was accepted</w:t>
      </w:r>
      <w:r>
        <w:rPr>
          <w:spacing w:val="40"/>
        </w:rPr>
        <w:t xml:space="preserve"> </w:t>
      </w:r>
      <w:r>
        <w:t>by DPH on January 14, 2025.</w:t>
      </w:r>
      <w:r>
        <w:rPr>
          <w:spacing w:val="-33"/>
        </w:rPr>
        <w:t xml:space="preserve"> </w:t>
      </w:r>
      <w:r w:rsidR="009E3BB0">
        <w:rPr>
          <w:rStyle w:val="FootnoteReference"/>
          <w:spacing w:val="-33"/>
        </w:rPr>
        <w:footnoteReference w:id="93"/>
      </w:r>
      <w:r>
        <w:t>The ICA provides assessments of current utilization of inpatient oncology care in the Commonwealth, a forecast of future inpatient utilization, scenarios of how discharges</w:t>
      </w:r>
      <w:r>
        <w:rPr>
          <w:spacing w:val="-2"/>
        </w:rPr>
        <w:t xml:space="preserve"> </w:t>
      </w:r>
      <w:r>
        <w:t>might</w:t>
      </w:r>
      <w:r>
        <w:rPr>
          <w:spacing w:val="-3"/>
        </w:rPr>
        <w:t xml:space="preserve"> </w:t>
      </w:r>
      <w:r>
        <w:t>shift</w:t>
      </w:r>
      <w:r>
        <w:rPr>
          <w:spacing w:val="-5"/>
        </w:rPr>
        <w:t xml:space="preserve"> </w:t>
      </w:r>
      <w:r>
        <w:t>as</w:t>
      </w:r>
      <w:r>
        <w:rPr>
          <w:spacing w:val="-4"/>
        </w:rPr>
        <w:t xml:space="preserve"> </w:t>
      </w:r>
      <w:r>
        <w:t>a</w:t>
      </w:r>
      <w:r>
        <w:rPr>
          <w:spacing w:val="-1"/>
        </w:rPr>
        <w:t xml:space="preserve"> </w:t>
      </w:r>
      <w:r>
        <w:t>result</w:t>
      </w:r>
      <w:r>
        <w:rPr>
          <w:spacing w:val="-3"/>
        </w:rPr>
        <w:t xml:space="preserve"> </w:t>
      </w:r>
      <w:r>
        <w:t>of</w:t>
      </w:r>
      <w:r>
        <w:rPr>
          <w:spacing w:val="-1"/>
        </w:rPr>
        <w:t xml:space="preserve"> </w:t>
      </w:r>
      <w:r>
        <w:t>the</w:t>
      </w:r>
      <w:r>
        <w:rPr>
          <w:spacing w:val="-2"/>
        </w:rPr>
        <w:t xml:space="preserve"> </w:t>
      </w:r>
      <w:r>
        <w:t>proposed</w:t>
      </w:r>
      <w:r>
        <w:rPr>
          <w:spacing w:val="-4"/>
        </w:rPr>
        <w:t xml:space="preserve"> </w:t>
      </w:r>
      <w:r>
        <w:t>affiliation,</w:t>
      </w:r>
      <w:r>
        <w:rPr>
          <w:spacing w:val="-5"/>
        </w:rPr>
        <w:t xml:space="preserve"> </w:t>
      </w:r>
      <w:r>
        <w:t>an</w:t>
      </w:r>
      <w:r>
        <w:rPr>
          <w:spacing w:val="-4"/>
        </w:rPr>
        <w:t xml:space="preserve"> </w:t>
      </w:r>
      <w:r>
        <w:t>examination</w:t>
      </w:r>
      <w:r>
        <w:rPr>
          <w:spacing w:val="-2"/>
        </w:rPr>
        <w:t xml:space="preserve"> </w:t>
      </w:r>
      <w:r>
        <w:t>of</w:t>
      </w:r>
      <w:r>
        <w:rPr>
          <w:spacing w:val="-1"/>
        </w:rPr>
        <w:t xml:space="preserve"> </w:t>
      </w:r>
      <w:r>
        <w:t>prices</w:t>
      </w:r>
      <w:r>
        <w:rPr>
          <w:spacing w:val="-4"/>
        </w:rPr>
        <w:t xml:space="preserve"> </w:t>
      </w:r>
      <w:r>
        <w:t>for</w:t>
      </w:r>
      <w:r>
        <w:rPr>
          <w:spacing w:val="-3"/>
        </w:rPr>
        <w:t xml:space="preserve"> </w:t>
      </w:r>
      <w:r>
        <w:t>inpatient and certain outpatient service lines, potential changes in inpatient prices as a result of the proposed transaction,</w:t>
      </w:r>
      <w:r>
        <w:rPr>
          <w:spacing w:val="-2"/>
        </w:rPr>
        <w:t xml:space="preserve"> </w:t>
      </w:r>
      <w:r>
        <w:t>and</w:t>
      </w:r>
      <w:r>
        <w:rPr>
          <w:spacing w:val="-1"/>
        </w:rPr>
        <w:t xml:space="preserve"> </w:t>
      </w:r>
      <w:r>
        <w:t>projections of changes in</w:t>
      </w:r>
      <w:r>
        <w:rPr>
          <w:spacing w:val="-1"/>
        </w:rPr>
        <w:t xml:space="preserve"> </w:t>
      </w:r>
      <w:r>
        <w:t>medical</w:t>
      </w:r>
      <w:r>
        <w:rPr>
          <w:spacing w:val="-2"/>
        </w:rPr>
        <w:t xml:space="preserve"> </w:t>
      </w:r>
      <w:r>
        <w:t>spending under various</w:t>
      </w:r>
      <w:r>
        <w:rPr>
          <w:spacing w:val="-1"/>
        </w:rPr>
        <w:t xml:space="preserve"> </w:t>
      </w:r>
      <w:r>
        <w:t>scenarios</w:t>
      </w:r>
      <w:r>
        <w:rPr>
          <w:spacing w:val="-1"/>
        </w:rPr>
        <w:t xml:space="preserve"> </w:t>
      </w:r>
      <w:r>
        <w:t xml:space="preserve">as a result of the proposed transaction. Although many of the ICA’s methodologies appear </w:t>
      </w:r>
      <w:proofErr w:type="gramStart"/>
      <w:r>
        <w:t>similar to</w:t>
      </w:r>
      <w:proofErr w:type="gramEnd"/>
      <w:r>
        <w:t xml:space="preserve"> those used by the HPC and many findings are directionally consistent with the findings in this report, various differences in assumptions and methodologies lead to differences in results.</w:t>
      </w:r>
    </w:p>
    <w:p w14:paraId="1C34E693" w14:textId="39764855" w:rsidR="004C558F" w:rsidRDefault="00461887">
      <w:pPr>
        <w:pStyle w:val="BodyText"/>
        <w:spacing w:line="276" w:lineRule="auto"/>
        <w:ind w:left="959" w:right="991"/>
        <w:rPr>
          <w:sz w:val="14"/>
        </w:rPr>
      </w:pPr>
      <w:r>
        <w:t>Additionally, the HPC includes analyses of certain elements of the proposed transaction, particularly regarding outpatient services, not addressed in the ICA. We have included comparisons</w:t>
      </w:r>
      <w:r>
        <w:rPr>
          <w:spacing w:val="-3"/>
        </w:rPr>
        <w:t xml:space="preserve"> </w:t>
      </w:r>
      <w:r>
        <w:t>to</w:t>
      </w:r>
      <w:r>
        <w:rPr>
          <w:spacing w:val="-3"/>
        </w:rPr>
        <w:t xml:space="preserve"> </w:t>
      </w:r>
      <w:r>
        <w:t>the</w:t>
      </w:r>
      <w:r>
        <w:rPr>
          <w:spacing w:val="-3"/>
        </w:rPr>
        <w:t xml:space="preserve"> </w:t>
      </w:r>
      <w:r>
        <w:t>ICA’s</w:t>
      </w:r>
      <w:r>
        <w:rPr>
          <w:spacing w:val="-7"/>
        </w:rPr>
        <w:t xml:space="preserve"> </w:t>
      </w:r>
      <w:r>
        <w:t>methodologies</w:t>
      </w:r>
      <w:r>
        <w:rPr>
          <w:spacing w:val="-5"/>
        </w:rPr>
        <w:t xml:space="preserve"> </w:t>
      </w:r>
      <w:r>
        <w:t>and</w:t>
      </w:r>
      <w:r>
        <w:rPr>
          <w:spacing w:val="-3"/>
        </w:rPr>
        <w:t xml:space="preserve"> </w:t>
      </w:r>
      <w:r>
        <w:t>findings,</w:t>
      </w:r>
      <w:r>
        <w:rPr>
          <w:spacing w:val="-3"/>
        </w:rPr>
        <w:t xml:space="preserve"> </w:t>
      </w:r>
      <w:r>
        <w:t>where</w:t>
      </w:r>
      <w:r>
        <w:rPr>
          <w:spacing w:val="-3"/>
        </w:rPr>
        <w:t xml:space="preserve"> </w:t>
      </w:r>
      <w:r>
        <w:t>applicable,</w:t>
      </w:r>
      <w:r>
        <w:rPr>
          <w:spacing w:val="-3"/>
        </w:rPr>
        <w:t xml:space="preserve"> </w:t>
      </w:r>
      <w:r>
        <w:t>throughout</w:t>
      </w:r>
      <w:r>
        <w:rPr>
          <w:spacing w:val="-4"/>
        </w:rPr>
        <w:t xml:space="preserve"> </w:t>
      </w:r>
      <w:r>
        <w:t>this</w:t>
      </w:r>
      <w:r>
        <w:rPr>
          <w:spacing w:val="-3"/>
        </w:rPr>
        <w:t xml:space="preserve"> </w:t>
      </w:r>
      <w:r>
        <w:t>report. MGB provided comments on the ICA, including criticisms of its methodologies and findings.</w:t>
      </w:r>
      <w:r>
        <w:rPr>
          <w:spacing w:val="-33"/>
        </w:rPr>
        <w:t xml:space="preserve"> </w:t>
      </w:r>
      <w:r w:rsidR="009E3BB0">
        <w:rPr>
          <w:rStyle w:val="FootnoteReference"/>
          <w:spacing w:val="-33"/>
        </w:rPr>
        <w:footnoteReference w:id="94"/>
      </w:r>
    </w:p>
    <w:p w14:paraId="1C34E694" w14:textId="6D3B222D" w:rsidR="004C558F" w:rsidRDefault="004C558F">
      <w:pPr>
        <w:pStyle w:val="BodyText"/>
        <w:spacing w:before="206"/>
        <w:rPr>
          <w:sz w:val="20"/>
        </w:rPr>
      </w:pPr>
    </w:p>
    <w:p w14:paraId="1C34E69C" w14:textId="77777777" w:rsidR="004C558F" w:rsidRDefault="004C558F">
      <w:pPr>
        <w:rPr>
          <w:sz w:val="20"/>
        </w:rPr>
        <w:sectPr w:rsidR="004C558F">
          <w:pgSz w:w="12240" w:h="15840"/>
          <w:pgMar w:top="1360" w:right="740" w:bottom="720" w:left="480" w:header="0" w:footer="521" w:gutter="0"/>
          <w:cols w:space="720"/>
        </w:sectPr>
      </w:pPr>
      <w:bookmarkStart w:id="82" w:name="_bookmark106"/>
      <w:bookmarkStart w:id="83" w:name="_bookmark108"/>
      <w:bookmarkStart w:id="84" w:name="_bookmark111"/>
      <w:bookmarkEnd w:id="82"/>
      <w:bookmarkEnd w:id="83"/>
      <w:bookmarkEnd w:id="84"/>
    </w:p>
    <w:p w14:paraId="1C34E69D" w14:textId="6E049ACF" w:rsidR="004C558F" w:rsidRDefault="00461887">
      <w:pPr>
        <w:pStyle w:val="BodyText"/>
        <w:spacing w:before="80" w:line="276" w:lineRule="auto"/>
        <w:ind w:left="960" w:right="998" w:firstLine="720"/>
        <w:rPr>
          <w:sz w:val="14"/>
        </w:rPr>
      </w:pPr>
      <w:r>
        <w:lastRenderedPageBreak/>
        <w:t>The</w:t>
      </w:r>
      <w:r>
        <w:rPr>
          <w:spacing w:val="-1"/>
        </w:rPr>
        <w:t xml:space="preserve"> </w:t>
      </w:r>
      <w:proofErr w:type="spellStart"/>
      <w:r>
        <w:t>DoN</w:t>
      </w:r>
      <w:proofErr w:type="spellEnd"/>
      <w:r>
        <w:t xml:space="preserve"> program published its</w:t>
      </w:r>
      <w:r>
        <w:rPr>
          <w:spacing w:val="-1"/>
        </w:rPr>
        <w:t xml:space="preserve"> </w:t>
      </w:r>
      <w:r>
        <w:t>staff report on</w:t>
      </w:r>
      <w:r>
        <w:rPr>
          <w:spacing w:val="-1"/>
        </w:rPr>
        <w:t xml:space="preserve"> </w:t>
      </w:r>
      <w:r>
        <w:t>DFCI’s application</w:t>
      </w:r>
      <w:r>
        <w:rPr>
          <w:spacing w:val="-1"/>
        </w:rPr>
        <w:t xml:space="preserve"> </w:t>
      </w:r>
      <w:r>
        <w:t>on</w:t>
      </w:r>
      <w:r>
        <w:rPr>
          <w:spacing w:val="-1"/>
        </w:rPr>
        <w:t xml:space="preserve"> </w:t>
      </w:r>
      <w:r>
        <w:t>February</w:t>
      </w:r>
      <w:r>
        <w:rPr>
          <w:spacing w:val="-2"/>
        </w:rPr>
        <w:t xml:space="preserve"> </w:t>
      </w:r>
      <w:r>
        <w:t>18, 2025.</w:t>
      </w:r>
      <w:r>
        <w:rPr>
          <w:spacing w:val="-36"/>
        </w:rPr>
        <w:t xml:space="preserve"> </w:t>
      </w:r>
      <w:r w:rsidR="009562E3">
        <w:rPr>
          <w:rStyle w:val="FootnoteReference"/>
          <w:spacing w:val="-36"/>
        </w:rPr>
        <w:footnoteReference w:id="95"/>
      </w:r>
      <w:r>
        <w:t>The staff report recommends approval of the project by the Public Health Council with conditions. The proposed conditions include reporting for five years after the completion of the new DFCI hospital</w:t>
      </w:r>
      <w:r>
        <w:rPr>
          <w:spacing w:val="-4"/>
        </w:rPr>
        <w:t xml:space="preserve"> </w:t>
      </w:r>
      <w:r>
        <w:t>on</w:t>
      </w:r>
      <w:r>
        <w:rPr>
          <w:spacing w:val="-5"/>
        </w:rPr>
        <w:t xml:space="preserve"> </w:t>
      </w:r>
      <w:r>
        <w:t>efforts</w:t>
      </w:r>
      <w:r>
        <w:rPr>
          <w:spacing w:val="-3"/>
        </w:rPr>
        <w:t xml:space="preserve"> </w:t>
      </w:r>
      <w:r>
        <w:t>to</w:t>
      </w:r>
      <w:r>
        <w:rPr>
          <w:spacing w:val="-5"/>
        </w:rPr>
        <w:t xml:space="preserve"> </w:t>
      </w:r>
      <w:r>
        <w:t>improve</w:t>
      </w:r>
      <w:r>
        <w:rPr>
          <w:spacing w:val="-3"/>
        </w:rPr>
        <w:t xml:space="preserve"> </w:t>
      </w:r>
      <w:r>
        <w:t>access</w:t>
      </w:r>
      <w:r>
        <w:rPr>
          <w:spacing w:val="-3"/>
        </w:rPr>
        <w:t xml:space="preserve"> </w:t>
      </w:r>
      <w:r>
        <w:t>to</w:t>
      </w:r>
      <w:r>
        <w:rPr>
          <w:spacing w:val="-3"/>
        </w:rPr>
        <w:t xml:space="preserve"> </w:t>
      </w:r>
      <w:r>
        <w:t>care;</w:t>
      </w:r>
      <w:r>
        <w:rPr>
          <w:spacing w:val="-3"/>
        </w:rPr>
        <w:t xml:space="preserve"> </w:t>
      </w:r>
      <w:r>
        <w:t>inpatient</w:t>
      </w:r>
      <w:r>
        <w:rPr>
          <w:spacing w:val="-4"/>
        </w:rPr>
        <w:t xml:space="preserve"> </w:t>
      </w:r>
      <w:r>
        <w:t>revenue,</w:t>
      </w:r>
      <w:r>
        <w:rPr>
          <w:spacing w:val="-3"/>
        </w:rPr>
        <w:t xml:space="preserve"> </w:t>
      </w:r>
      <w:r>
        <w:t>expenses,</w:t>
      </w:r>
      <w:r>
        <w:rPr>
          <w:spacing w:val="-5"/>
        </w:rPr>
        <w:t xml:space="preserve"> </w:t>
      </w:r>
      <w:r>
        <w:t>discharges,</w:t>
      </w:r>
      <w:r>
        <w:rPr>
          <w:spacing w:val="-6"/>
        </w:rPr>
        <w:t xml:space="preserve"> </w:t>
      </w:r>
      <w:r>
        <w:t>acuity,</w:t>
      </w:r>
      <w:r>
        <w:rPr>
          <w:spacing w:val="-3"/>
        </w:rPr>
        <w:t xml:space="preserve"> </w:t>
      </w:r>
      <w:r>
        <w:t>and demographics; quality and patient experience measures; radiation therapy patient volume; and source of admissions.</w:t>
      </w:r>
      <w:r w:rsidR="000D12C4">
        <w:rPr>
          <w:rStyle w:val="FootnoteReference"/>
        </w:rPr>
        <w:footnoteReference w:id="96"/>
      </w:r>
      <w:r>
        <w:rPr>
          <w:spacing w:val="33"/>
          <w:position w:val="5"/>
          <w:sz w:val="14"/>
        </w:rPr>
        <w:t xml:space="preserve"> </w:t>
      </w:r>
      <w:r>
        <w:t>The report also recommends a condition for monitoring the annual</w:t>
      </w:r>
      <w:r>
        <w:rPr>
          <w:spacing w:val="40"/>
        </w:rPr>
        <w:t xml:space="preserve"> </w:t>
      </w:r>
      <w:r>
        <w:t>growth in DFCI’s inpatient revenue per case mix adjusted discharge.</w:t>
      </w:r>
      <w:r>
        <w:rPr>
          <w:spacing w:val="-34"/>
        </w:rPr>
        <w:t xml:space="preserve"> </w:t>
      </w:r>
      <w:r w:rsidR="00F80BDA">
        <w:rPr>
          <w:rStyle w:val="FootnoteReference"/>
          <w:spacing w:val="-34"/>
        </w:rPr>
        <w:footnoteReference w:id="97"/>
      </w:r>
      <w:r>
        <w:t xml:space="preserve">The Council is expected to vote on the application at its meeting on March 20, 2025, and may accept, reject, or modify the recommendations in the staff report. If approved, the </w:t>
      </w:r>
      <w:proofErr w:type="spellStart"/>
      <w:r>
        <w:t>DoN</w:t>
      </w:r>
      <w:proofErr w:type="spellEnd"/>
      <w:r>
        <w:t xml:space="preserve"> may not go into effect until 30 days following the issuance of the HPC’s final CMIR report on the proposed transaction, and DPH may rescind or amend an approved </w:t>
      </w:r>
      <w:proofErr w:type="spellStart"/>
      <w:r>
        <w:t>DoN</w:t>
      </w:r>
      <w:proofErr w:type="spellEnd"/>
      <w:r>
        <w:t xml:space="preserve"> based upon information in the HPC’s CMIR reports as it relates to compliance with the </w:t>
      </w:r>
      <w:proofErr w:type="spellStart"/>
      <w:r>
        <w:t>DoN</w:t>
      </w:r>
      <w:proofErr w:type="spellEnd"/>
      <w:r>
        <w:t xml:space="preserve"> factors.</w:t>
      </w:r>
      <w:r w:rsidR="00F80BDA">
        <w:rPr>
          <w:rStyle w:val="FootnoteReference"/>
        </w:rPr>
        <w:footnoteReference w:id="98"/>
      </w:r>
      <w:r w:rsidR="00F80BDA">
        <w:rPr>
          <w:sz w:val="14"/>
        </w:rPr>
        <w:t xml:space="preserve"> </w:t>
      </w:r>
    </w:p>
    <w:p w14:paraId="1C34E69E" w14:textId="77777777" w:rsidR="004C558F" w:rsidRDefault="004C558F">
      <w:pPr>
        <w:pStyle w:val="BodyText"/>
      </w:pPr>
    </w:p>
    <w:p w14:paraId="1C34E69F" w14:textId="77777777" w:rsidR="004C558F" w:rsidRDefault="004C558F">
      <w:pPr>
        <w:pStyle w:val="BodyText"/>
        <w:spacing w:before="148"/>
      </w:pPr>
    </w:p>
    <w:p w14:paraId="1C34E6A0" w14:textId="77777777" w:rsidR="004C558F" w:rsidRDefault="00461887">
      <w:pPr>
        <w:pStyle w:val="Heading1"/>
        <w:numPr>
          <w:ilvl w:val="0"/>
          <w:numId w:val="16"/>
        </w:numPr>
        <w:tabs>
          <w:tab w:val="left" w:pos="960"/>
        </w:tabs>
        <w:spacing w:before="0" w:line="276" w:lineRule="auto"/>
        <w:ind w:right="1009" w:hanging="721"/>
        <w:jc w:val="left"/>
      </w:pPr>
      <w:bookmarkStart w:id="85" w:name="III._Analysis_of_the_Parties’_Past_Perfo"/>
      <w:bookmarkStart w:id="86" w:name="_bookmark113"/>
      <w:bookmarkEnd w:id="85"/>
      <w:bookmarkEnd w:id="86"/>
      <w:r>
        <w:rPr>
          <w:color w:val="084875"/>
        </w:rPr>
        <w:t>ANALYSIS</w:t>
      </w:r>
      <w:r>
        <w:rPr>
          <w:color w:val="084875"/>
          <w:spacing w:val="-7"/>
        </w:rPr>
        <w:t xml:space="preserve"> </w:t>
      </w:r>
      <w:r>
        <w:rPr>
          <w:color w:val="084875"/>
        </w:rPr>
        <w:t>OF</w:t>
      </w:r>
      <w:r>
        <w:rPr>
          <w:color w:val="084875"/>
          <w:spacing w:val="-8"/>
        </w:rPr>
        <w:t xml:space="preserve"> </w:t>
      </w:r>
      <w:r>
        <w:rPr>
          <w:color w:val="084875"/>
        </w:rPr>
        <w:t>THE</w:t>
      </w:r>
      <w:r>
        <w:rPr>
          <w:color w:val="084875"/>
          <w:spacing w:val="-8"/>
        </w:rPr>
        <w:t xml:space="preserve"> </w:t>
      </w:r>
      <w:r>
        <w:rPr>
          <w:color w:val="084875"/>
        </w:rPr>
        <w:t>PARTIES’</w:t>
      </w:r>
      <w:r>
        <w:rPr>
          <w:color w:val="084875"/>
          <w:spacing w:val="-7"/>
        </w:rPr>
        <w:t xml:space="preserve"> </w:t>
      </w:r>
      <w:r>
        <w:rPr>
          <w:color w:val="084875"/>
        </w:rPr>
        <w:t>PAST</w:t>
      </w:r>
      <w:r>
        <w:rPr>
          <w:color w:val="084875"/>
          <w:spacing w:val="-6"/>
        </w:rPr>
        <w:t xml:space="preserve"> </w:t>
      </w:r>
      <w:r>
        <w:rPr>
          <w:color w:val="084875"/>
        </w:rPr>
        <w:t>PERFORMANCE</w:t>
      </w:r>
      <w:r>
        <w:rPr>
          <w:color w:val="084875"/>
          <w:spacing w:val="-4"/>
        </w:rPr>
        <w:t xml:space="preserve"> </w:t>
      </w:r>
      <w:r>
        <w:rPr>
          <w:color w:val="084875"/>
        </w:rPr>
        <w:t>AND</w:t>
      </w:r>
      <w:r>
        <w:rPr>
          <w:color w:val="084875"/>
          <w:spacing w:val="-9"/>
        </w:rPr>
        <w:t xml:space="preserve"> </w:t>
      </w:r>
      <w:r>
        <w:rPr>
          <w:color w:val="084875"/>
        </w:rPr>
        <w:t>IMPACTS OF THE PROPOSED TRANSACTION</w:t>
      </w:r>
    </w:p>
    <w:p w14:paraId="1C34E6A1" w14:textId="77777777" w:rsidR="004C558F" w:rsidRDefault="004C558F">
      <w:pPr>
        <w:pStyle w:val="BodyText"/>
        <w:spacing w:before="3"/>
        <w:rPr>
          <w:rFonts w:ascii="Franklin Gothic Demi"/>
          <w:b/>
          <w:sz w:val="32"/>
        </w:rPr>
      </w:pPr>
    </w:p>
    <w:p w14:paraId="1C34E6A2" w14:textId="77777777" w:rsidR="004C558F" w:rsidRDefault="00461887">
      <w:pPr>
        <w:pStyle w:val="BodyText"/>
        <w:spacing w:line="276" w:lineRule="auto"/>
        <w:ind w:left="960" w:right="1034" w:firstLine="720"/>
      </w:pPr>
      <w:r>
        <w:t>The</w:t>
      </w:r>
      <w:r>
        <w:rPr>
          <w:spacing w:val="-4"/>
        </w:rPr>
        <w:t xml:space="preserve"> </w:t>
      </w:r>
      <w:r>
        <w:t>HPC’s</w:t>
      </w:r>
      <w:r>
        <w:rPr>
          <w:spacing w:val="-4"/>
        </w:rPr>
        <w:t xml:space="preserve"> </w:t>
      </w:r>
      <w:r>
        <w:t>analysis</w:t>
      </w:r>
      <w:r>
        <w:rPr>
          <w:spacing w:val="-4"/>
        </w:rPr>
        <w:t xml:space="preserve"> </w:t>
      </w:r>
      <w:r>
        <w:t>of</w:t>
      </w:r>
      <w:r>
        <w:rPr>
          <w:spacing w:val="-3"/>
        </w:rPr>
        <w:t xml:space="preserve"> </w:t>
      </w:r>
      <w:r>
        <w:t>a</w:t>
      </w:r>
      <w:r>
        <w:rPr>
          <w:spacing w:val="-5"/>
        </w:rPr>
        <w:t xml:space="preserve"> </w:t>
      </w:r>
      <w:r>
        <w:t>proposed</w:t>
      </w:r>
      <w:r>
        <w:rPr>
          <w:spacing w:val="-3"/>
        </w:rPr>
        <w:t xml:space="preserve"> </w:t>
      </w:r>
      <w:r>
        <w:t>transaction</w:t>
      </w:r>
      <w:r>
        <w:rPr>
          <w:spacing w:val="-4"/>
        </w:rPr>
        <w:t xml:space="preserve"> </w:t>
      </w:r>
      <w:r>
        <w:t>includes</w:t>
      </w:r>
      <w:r>
        <w:rPr>
          <w:spacing w:val="-4"/>
        </w:rPr>
        <w:t xml:space="preserve"> </w:t>
      </w:r>
      <w:r>
        <w:t>assessments</w:t>
      </w:r>
      <w:r>
        <w:rPr>
          <w:spacing w:val="-4"/>
        </w:rPr>
        <w:t xml:space="preserve"> </w:t>
      </w:r>
      <w:r>
        <w:t>of</w:t>
      </w:r>
      <w:r>
        <w:rPr>
          <w:spacing w:val="-3"/>
        </w:rPr>
        <w:t xml:space="preserve"> </w:t>
      </w:r>
      <w:r>
        <w:t>potential</w:t>
      </w:r>
      <w:r>
        <w:rPr>
          <w:spacing w:val="-4"/>
        </w:rPr>
        <w:t xml:space="preserve"> </w:t>
      </w:r>
      <w:r>
        <w:t>impacts on costs and market functioning, care delivery and quality, and access to and equity of care. In the following</w:t>
      </w:r>
      <w:r>
        <w:rPr>
          <w:spacing w:val="-3"/>
        </w:rPr>
        <w:t xml:space="preserve"> </w:t>
      </w:r>
      <w:r>
        <w:t>sections we</w:t>
      </w:r>
      <w:r>
        <w:rPr>
          <w:spacing w:val="-2"/>
        </w:rPr>
        <w:t xml:space="preserve"> </w:t>
      </w:r>
      <w:r>
        <w:t>examine the parties’ baseline performance in each</w:t>
      </w:r>
      <w:r>
        <w:rPr>
          <w:spacing w:val="-2"/>
        </w:rPr>
        <w:t xml:space="preserve"> </w:t>
      </w:r>
      <w:r>
        <w:t>of these</w:t>
      </w:r>
      <w:r>
        <w:rPr>
          <w:spacing w:val="-2"/>
        </w:rPr>
        <w:t xml:space="preserve"> </w:t>
      </w:r>
      <w:r>
        <w:t>areas and then assess the potential impacts of the proposed transaction based on this past performance and the parties’ stated plans and commitments.</w:t>
      </w:r>
    </w:p>
    <w:p w14:paraId="1C34E6A3" w14:textId="77777777" w:rsidR="004C558F" w:rsidRDefault="004C558F">
      <w:pPr>
        <w:pStyle w:val="BodyText"/>
        <w:spacing w:before="198"/>
      </w:pPr>
    </w:p>
    <w:p w14:paraId="1C34E6A4" w14:textId="77777777" w:rsidR="004C558F" w:rsidRDefault="00461887">
      <w:pPr>
        <w:pStyle w:val="Heading2"/>
        <w:numPr>
          <w:ilvl w:val="1"/>
          <w:numId w:val="16"/>
        </w:numPr>
        <w:tabs>
          <w:tab w:val="left" w:pos="958"/>
        </w:tabs>
        <w:ind w:left="958" w:hanging="358"/>
        <w:rPr>
          <w:color w:val="063656"/>
        </w:rPr>
      </w:pPr>
      <w:bookmarkStart w:id="87" w:name="A._Costs_and_Market_Functioning"/>
      <w:bookmarkStart w:id="88" w:name="_bookmark114"/>
      <w:bookmarkEnd w:id="87"/>
      <w:bookmarkEnd w:id="88"/>
      <w:r>
        <w:rPr>
          <w:color w:val="063656"/>
        </w:rPr>
        <w:t>Costs</w:t>
      </w:r>
      <w:r>
        <w:rPr>
          <w:color w:val="063656"/>
          <w:spacing w:val="-4"/>
        </w:rPr>
        <w:t xml:space="preserve"> </w:t>
      </w:r>
      <w:r>
        <w:rPr>
          <w:color w:val="063656"/>
        </w:rPr>
        <w:t>and</w:t>
      </w:r>
      <w:r>
        <w:rPr>
          <w:color w:val="063656"/>
          <w:spacing w:val="-4"/>
        </w:rPr>
        <w:t xml:space="preserve"> </w:t>
      </w:r>
      <w:r>
        <w:rPr>
          <w:color w:val="063656"/>
        </w:rPr>
        <w:t>Market</w:t>
      </w:r>
      <w:r>
        <w:rPr>
          <w:color w:val="063656"/>
          <w:spacing w:val="-2"/>
        </w:rPr>
        <w:t xml:space="preserve"> Functioning</w:t>
      </w:r>
    </w:p>
    <w:p w14:paraId="1C34E6A5" w14:textId="77777777" w:rsidR="004C558F" w:rsidRDefault="00461887">
      <w:pPr>
        <w:pStyle w:val="BodyText"/>
        <w:spacing w:before="129" w:line="273" w:lineRule="auto"/>
        <w:ind w:left="959" w:right="702" w:firstLine="720"/>
      </w:pPr>
      <w:r>
        <w:t>The</w:t>
      </w:r>
      <w:r>
        <w:rPr>
          <w:spacing w:val="-2"/>
        </w:rPr>
        <w:t xml:space="preserve"> </w:t>
      </w:r>
      <w:r>
        <w:t>law</w:t>
      </w:r>
      <w:r>
        <w:rPr>
          <w:spacing w:val="-3"/>
        </w:rPr>
        <w:t xml:space="preserve"> </w:t>
      </w:r>
      <w:r>
        <w:t>governing</w:t>
      </w:r>
      <w:r>
        <w:rPr>
          <w:spacing w:val="-3"/>
        </w:rPr>
        <w:t xml:space="preserve"> </w:t>
      </w:r>
      <w:r>
        <w:t>CMIRs</w:t>
      </w:r>
      <w:r>
        <w:rPr>
          <w:spacing w:val="-4"/>
        </w:rPr>
        <w:t xml:space="preserve"> </w:t>
      </w:r>
      <w:r>
        <w:t>directs</w:t>
      </w:r>
      <w:r>
        <w:rPr>
          <w:spacing w:val="-2"/>
        </w:rPr>
        <w:t xml:space="preserve"> </w:t>
      </w:r>
      <w:r>
        <w:t>the</w:t>
      </w:r>
      <w:r>
        <w:rPr>
          <w:spacing w:val="-2"/>
        </w:rPr>
        <w:t xml:space="preserve"> </w:t>
      </w:r>
      <w:r>
        <w:t>HPC</w:t>
      </w:r>
      <w:r>
        <w:rPr>
          <w:spacing w:val="-3"/>
        </w:rPr>
        <w:t xml:space="preserve"> </w:t>
      </w:r>
      <w:r>
        <w:t>to</w:t>
      </w:r>
      <w:r>
        <w:rPr>
          <w:spacing w:val="-2"/>
        </w:rPr>
        <w:t xml:space="preserve"> </w:t>
      </w:r>
      <w:r>
        <w:t>examine</w:t>
      </w:r>
      <w:r>
        <w:rPr>
          <w:spacing w:val="-2"/>
        </w:rPr>
        <w:t xml:space="preserve"> </w:t>
      </w:r>
      <w:r>
        <w:t>different</w:t>
      </w:r>
      <w:r>
        <w:rPr>
          <w:spacing w:val="-3"/>
        </w:rPr>
        <w:t xml:space="preserve"> </w:t>
      </w:r>
      <w:r>
        <w:t>measures</w:t>
      </w:r>
      <w:r>
        <w:rPr>
          <w:spacing w:val="-4"/>
        </w:rPr>
        <w:t xml:space="preserve"> </w:t>
      </w:r>
      <w:r>
        <w:t>of</w:t>
      </w:r>
      <w:r>
        <w:rPr>
          <w:spacing w:val="-2"/>
        </w:rPr>
        <w:t xml:space="preserve"> </w:t>
      </w:r>
      <w:r>
        <w:t>the</w:t>
      </w:r>
      <w:r>
        <w:rPr>
          <w:spacing w:val="-2"/>
        </w:rPr>
        <w:t xml:space="preserve"> </w:t>
      </w:r>
      <w:r>
        <w:t>parties’ respective cost and market position, including their size, prices, health status adjusted total</w:t>
      </w:r>
    </w:p>
    <w:p w14:paraId="1C34E6A6" w14:textId="77777777" w:rsidR="004C558F" w:rsidRDefault="004C558F">
      <w:pPr>
        <w:pStyle w:val="BodyText"/>
        <w:rPr>
          <w:sz w:val="20"/>
        </w:rPr>
      </w:pPr>
    </w:p>
    <w:p w14:paraId="1C34E6A7" w14:textId="77777777" w:rsidR="004C558F" w:rsidRDefault="004C558F">
      <w:pPr>
        <w:pStyle w:val="BodyText"/>
        <w:rPr>
          <w:sz w:val="20"/>
        </w:rPr>
      </w:pPr>
    </w:p>
    <w:p w14:paraId="1C34E6A8" w14:textId="2BCBAE61" w:rsidR="004C558F" w:rsidRDefault="004C558F">
      <w:pPr>
        <w:pStyle w:val="BodyText"/>
        <w:spacing w:before="109"/>
        <w:rPr>
          <w:sz w:val="20"/>
        </w:rPr>
      </w:pPr>
    </w:p>
    <w:p w14:paraId="1C34E6AD" w14:textId="33610363" w:rsidR="004C558F" w:rsidRDefault="004C558F" w:rsidP="002F5AFE">
      <w:pPr>
        <w:ind w:left="960"/>
        <w:rPr>
          <w:sz w:val="20"/>
        </w:rPr>
        <w:sectPr w:rsidR="004C558F">
          <w:pgSz w:w="12240" w:h="15840"/>
          <w:pgMar w:top="1360" w:right="740" w:bottom="720" w:left="480" w:header="0" w:footer="521" w:gutter="0"/>
          <w:cols w:space="720"/>
        </w:sectPr>
      </w:pPr>
      <w:bookmarkStart w:id="89" w:name="_bookmark115"/>
      <w:bookmarkStart w:id="90" w:name="_bookmark118"/>
      <w:bookmarkEnd w:id="89"/>
      <w:bookmarkEnd w:id="90"/>
    </w:p>
    <w:p w14:paraId="1C34E6AE" w14:textId="7186DDC9" w:rsidR="004C558F" w:rsidRDefault="00461887">
      <w:pPr>
        <w:pStyle w:val="BodyText"/>
        <w:spacing w:before="80" w:line="276" w:lineRule="auto"/>
        <w:ind w:left="959" w:right="702"/>
      </w:pPr>
      <w:r>
        <w:lastRenderedPageBreak/>
        <w:t>medical expenses, and market shares.</w:t>
      </w:r>
      <w:r>
        <w:rPr>
          <w:spacing w:val="-33"/>
        </w:rPr>
        <w:t xml:space="preserve"> </w:t>
      </w:r>
      <w:r w:rsidR="002F5AFE">
        <w:rPr>
          <w:rStyle w:val="FootnoteReference"/>
          <w:spacing w:val="-33"/>
        </w:rPr>
        <w:footnoteReference w:id="99"/>
      </w:r>
      <w:r>
        <w:t>The HPC examined the parties’ performance on these measures</w:t>
      </w:r>
      <w:r>
        <w:rPr>
          <w:spacing w:val="-2"/>
        </w:rPr>
        <w:t xml:space="preserve"> </w:t>
      </w:r>
      <w:r>
        <w:t>over</w:t>
      </w:r>
      <w:r>
        <w:rPr>
          <w:spacing w:val="-3"/>
        </w:rPr>
        <w:t xml:space="preserve"> </w:t>
      </w:r>
      <w:r>
        <w:t>time</w:t>
      </w:r>
      <w:r>
        <w:rPr>
          <w:spacing w:val="-4"/>
        </w:rPr>
        <w:t xml:space="preserve"> </w:t>
      </w:r>
      <w:r>
        <w:t>and</w:t>
      </w:r>
      <w:r>
        <w:rPr>
          <w:spacing w:val="-1"/>
        </w:rPr>
        <w:t xml:space="preserve"> </w:t>
      </w:r>
      <w:proofErr w:type="gramStart"/>
      <w:r>
        <w:t>compared</w:t>
      </w:r>
      <w:proofErr w:type="gramEnd"/>
      <w:r>
        <w:rPr>
          <w:spacing w:val="-1"/>
        </w:rPr>
        <w:t xml:space="preserve"> </w:t>
      </w:r>
      <w:r>
        <w:t>to</w:t>
      </w:r>
      <w:r>
        <w:rPr>
          <w:spacing w:val="-4"/>
        </w:rPr>
        <w:t xml:space="preserve"> </w:t>
      </w:r>
      <w:r>
        <w:t>other</w:t>
      </w:r>
      <w:r>
        <w:rPr>
          <w:spacing w:val="-3"/>
        </w:rPr>
        <w:t xml:space="preserve"> </w:t>
      </w:r>
      <w:r>
        <w:t>providers</w:t>
      </w:r>
      <w:r>
        <w:rPr>
          <w:spacing w:val="-2"/>
        </w:rPr>
        <w:t xml:space="preserve"> </w:t>
      </w:r>
      <w:r>
        <w:t>to</w:t>
      </w:r>
      <w:r>
        <w:rPr>
          <w:spacing w:val="-2"/>
        </w:rPr>
        <w:t xml:space="preserve"> </w:t>
      </w:r>
      <w:r>
        <w:t>establish</w:t>
      </w:r>
      <w:r>
        <w:rPr>
          <w:spacing w:val="-4"/>
        </w:rPr>
        <w:t xml:space="preserve"> </w:t>
      </w:r>
      <w:r>
        <w:t>a</w:t>
      </w:r>
      <w:r>
        <w:rPr>
          <w:spacing w:val="-1"/>
        </w:rPr>
        <w:t xml:space="preserve"> </w:t>
      </w:r>
      <w:r>
        <w:t>profile</w:t>
      </w:r>
      <w:r>
        <w:rPr>
          <w:spacing w:val="-4"/>
        </w:rPr>
        <w:t xml:space="preserve"> </w:t>
      </w:r>
      <w:r>
        <w:t>of</w:t>
      </w:r>
      <w:r>
        <w:rPr>
          <w:spacing w:val="-1"/>
        </w:rPr>
        <w:t xml:space="preserve"> </w:t>
      </w:r>
      <w:r>
        <w:t>the</w:t>
      </w:r>
      <w:r>
        <w:rPr>
          <w:spacing w:val="-2"/>
        </w:rPr>
        <w:t xml:space="preserve"> </w:t>
      </w:r>
      <w:r>
        <w:t>parties’</w:t>
      </w:r>
      <w:r>
        <w:rPr>
          <w:spacing w:val="-2"/>
        </w:rPr>
        <w:t xml:space="preserve"> </w:t>
      </w:r>
      <w:r>
        <w:t>baseline performance leading up to the proposed transaction. The HPC then combined the parties’ performance to</w:t>
      </w:r>
      <w:r>
        <w:rPr>
          <w:spacing w:val="-1"/>
        </w:rPr>
        <w:t xml:space="preserve"> </w:t>
      </w:r>
      <w:r>
        <w:t>date with</w:t>
      </w:r>
      <w:r>
        <w:rPr>
          <w:spacing w:val="-1"/>
        </w:rPr>
        <w:t xml:space="preserve"> </w:t>
      </w:r>
      <w:r>
        <w:t>details of the transaction</w:t>
      </w:r>
      <w:r>
        <w:rPr>
          <w:spacing w:val="-4"/>
        </w:rPr>
        <w:t xml:space="preserve"> </w:t>
      </w:r>
      <w:r>
        <w:t>and</w:t>
      </w:r>
      <w:r>
        <w:rPr>
          <w:spacing w:val="-1"/>
        </w:rPr>
        <w:t xml:space="preserve"> </w:t>
      </w:r>
      <w:r>
        <w:t>the parties’ goals</w:t>
      </w:r>
      <w:r>
        <w:rPr>
          <w:spacing w:val="-1"/>
        </w:rPr>
        <w:t xml:space="preserve"> </w:t>
      </w:r>
      <w:r>
        <w:t>and</w:t>
      </w:r>
      <w:r>
        <w:rPr>
          <w:spacing w:val="-1"/>
        </w:rPr>
        <w:t xml:space="preserve"> </w:t>
      </w:r>
      <w:r>
        <w:t>plans to project the likely impacts of the transaction on health care spending and market functioning.</w:t>
      </w:r>
      <w:r>
        <w:rPr>
          <w:spacing w:val="-33"/>
        </w:rPr>
        <w:t xml:space="preserve"> </w:t>
      </w:r>
      <w:r w:rsidR="001A72CF">
        <w:rPr>
          <w:rStyle w:val="FootnoteReference"/>
          <w:spacing w:val="-33"/>
        </w:rPr>
        <w:footnoteReference w:id="100"/>
      </w:r>
      <w:r>
        <w:t>The HPC’s findings are summarized below.</w:t>
      </w:r>
    </w:p>
    <w:p w14:paraId="1C34E6AF" w14:textId="77777777" w:rsidR="004C558F" w:rsidRDefault="004C558F">
      <w:pPr>
        <w:pStyle w:val="BodyText"/>
        <w:spacing w:before="37"/>
      </w:pPr>
    </w:p>
    <w:p w14:paraId="1C34E6B0" w14:textId="77777777" w:rsidR="004C558F" w:rsidRDefault="00461887">
      <w:pPr>
        <w:pStyle w:val="BodyText"/>
        <w:spacing w:before="1"/>
        <w:ind w:left="959"/>
      </w:pPr>
      <w:r>
        <w:rPr>
          <w:u w:val="single"/>
        </w:rPr>
        <w:t>Cost</w:t>
      </w:r>
      <w:r>
        <w:rPr>
          <w:spacing w:val="-4"/>
          <w:u w:val="single"/>
        </w:rPr>
        <w:t xml:space="preserve"> </w:t>
      </w:r>
      <w:r>
        <w:rPr>
          <w:u w:val="single"/>
        </w:rPr>
        <w:t>and</w:t>
      </w:r>
      <w:r>
        <w:rPr>
          <w:spacing w:val="-4"/>
          <w:u w:val="single"/>
        </w:rPr>
        <w:t xml:space="preserve"> </w:t>
      </w:r>
      <w:r>
        <w:rPr>
          <w:u w:val="single"/>
        </w:rPr>
        <w:t>Market</w:t>
      </w:r>
      <w:r>
        <w:rPr>
          <w:spacing w:val="-3"/>
          <w:u w:val="single"/>
        </w:rPr>
        <w:t xml:space="preserve"> </w:t>
      </w:r>
      <w:r>
        <w:rPr>
          <w:spacing w:val="-2"/>
          <w:u w:val="single"/>
        </w:rPr>
        <w:t>Profile:</w:t>
      </w:r>
    </w:p>
    <w:p w14:paraId="1C34E6B1" w14:textId="77777777" w:rsidR="004C558F" w:rsidRDefault="00461887">
      <w:pPr>
        <w:pStyle w:val="ListParagraph"/>
        <w:numPr>
          <w:ilvl w:val="0"/>
          <w:numId w:val="11"/>
        </w:numPr>
        <w:tabs>
          <w:tab w:val="left" w:pos="1680"/>
        </w:tabs>
        <w:spacing w:before="96" w:line="273" w:lineRule="auto"/>
        <w:ind w:right="1231"/>
      </w:pPr>
      <w:r>
        <w:t>DFCI</w:t>
      </w:r>
      <w:r>
        <w:rPr>
          <w:spacing w:val="-5"/>
        </w:rPr>
        <w:t xml:space="preserve"> </w:t>
      </w:r>
      <w:r>
        <w:t>and</w:t>
      </w:r>
      <w:r>
        <w:rPr>
          <w:spacing w:val="-2"/>
        </w:rPr>
        <w:t xml:space="preserve"> </w:t>
      </w:r>
      <w:r>
        <w:t>BIDMC</w:t>
      </w:r>
      <w:r>
        <w:rPr>
          <w:spacing w:val="-4"/>
        </w:rPr>
        <w:t xml:space="preserve"> </w:t>
      </w:r>
      <w:r>
        <w:t>both</w:t>
      </w:r>
      <w:r>
        <w:rPr>
          <w:spacing w:val="-4"/>
        </w:rPr>
        <w:t xml:space="preserve"> </w:t>
      </w:r>
      <w:r>
        <w:t>serve</w:t>
      </w:r>
      <w:r>
        <w:rPr>
          <w:spacing w:val="-3"/>
        </w:rPr>
        <w:t xml:space="preserve"> </w:t>
      </w:r>
      <w:r>
        <w:t>patients</w:t>
      </w:r>
      <w:r>
        <w:rPr>
          <w:spacing w:val="-3"/>
        </w:rPr>
        <w:t xml:space="preserve"> </w:t>
      </w:r>
      <w:r>
        <w:t>primarily</w:t>
      </w:r>
      <w:r>
        <w:rPr>
          <w:spacing w:val="-5"/>
        </w:rPr>
        <w:t xml:space="preserve"> </w:t>
      </w:r>
      <w:r>
        <w:t>from</w:t>
      </w:r>
      <w:r>
        <w:rPr>
          <w:spacing w:val="-4"/>
        </w:rPr>
        <w:t xml:space="preserve"> </w:t>
      </w:r>
      <w:r>
        <w:t>across</w:t>
      </w:r>
      <w:r>
        <w:rPr>
          <w:spacing w:val="-5"/>
        </w:rPr>
        <w:t xml:space="preserve"> </w:t>
      </w:r>
      <w:r>
        <w:t>eastern</w:t>
      </w:r>
      <w:r>
        <w:rPr>
          <w:spacing w:val="-4"/>
        </w:rPr>
        <w:t xml:space="preserve"> </w:t>
      </w:r>
      <w:r>
        <w:t>Massachusetts,</w:t>
      </w:r>
      <w:r>
        <w:rPr>
          <w:spacing w:val="-3"/>
        </w:rPr>
        <w:t xml:space="preserve"> </w:t>
      </w:r>
      <w:r>
        <w:t>with DFCI having a larger geographic reach.</w:t>
      </w:r>
    </w:p>
    <w:p w14:paraId="1C34E6B2" w14:textId="77777777" w:rsidR="004C558F" w:rsidRDefault="00461887">
      <w:pPr>
        <w:pStyle w:val="ListParagraph"/>
        <w:numPr>
          <w:ilvl w:val="0"/>
          <w:numId w:val="11"/>
        </w:numPr>
        <w:tabs>
          <w:tab w:val="left" w:pos="1680"/>
        </w:tabs>
        <w:spacing w:before="61" w:line="273" w:lineRule="auto"/>
        <w:ind w:right="1266"/>
      </w:pPr>
      <w:r>
        <w:t>MGB (in conjunction with DFCI) and BILH are the two largest providers of inpatient and outpatient</w:t>
      </w:r>
      <w:r>
        <w:rPr>
          <w:spacing w:val="-6"/>
        </w:rPr>
        <w:t xml:space="preserve"> </w:t>
      </w:r>
      <w:r>
        <w:t>oncology</w:t>
      </w:r>
      <w:r>
        <w:rPr>
          <w:spacing w:val="-4"/>
        </w:rPr>
        <w:t xml:space="preserve"> </w:t>
      </w:r>
      <w:r>
        <w:t>services</w:t>
      </w:r>
      <w:r>
        <w:rPr>
          <w:spacing w:val="-3"/>
        </w:rPr>
        <w:t xml:space="preserve"> </w:t>
      </w:r>
      <w:r>
        <w:t>in</w:t>
      </w:r>
      <w:r>
        <w:rPr>
          <w:spacing w:val="-3"/>
        </w:rPr>
        <w:t xml:space="preserve"> </w:t>
      </w:r>
      <w:r>
        <w:t>their</w:t>
      </w:r>
      <w:r>
        <w:rPr>
          <w:spacing w:val="-4"/>
        </w:rPr>
        <w:t xml:space="preserve"> </w:t>
      </w:r>
      <w:r>
        <w:t>service</w:t>
      </w:r>
      <w:r>
        <w:rPr>
          <w:spacing w:val="-5"/>
        </w:rPr>
        <w:t xml:space="preserve"> </w:t>
      </w:r>
      <w:r>
        <w:t>areas</w:t>
      </w:r>
      <w:r>
        <w:rPr>
          <w:spacing w:val="-5"/>
        </w:rPr>
        <w:t xml:space="preserve"> </w:t>
      </w:r>
      <w:r>
        <w:t>and</w:t>
      </w:r>
      <w:r>
        <w:rPr>
          <w:spacing w:val="-2"/>
        </w:rPr>
        <w:t xml:space="preserve"> </w:t>
      </w:r>
      <w:r>
        <w:t>in</w:t>
      </w:r>
      <w:r>
        <w:rPr>
          <w:spacing w:val="-3"/>
        </w:rPr>
        <w:t xml:space="preserve"> </w:t>
      </w:r>
      <w:r>
        <w:t>the</w:t>
      </w:r>
      <w:r>
        <w:rPr>
          <w:spacing w:val="-3"/>
        </w:rPr>
        <w:t xml:space="preserve"> </w:t>
      </w:r>
      <w:r>
        <w:t>Commonwealth</w:t>
      </w:r>
      <w:r>
        <w:rPr>
          <w:spacing w:val="-5"/>
        </w:rPr>
        <w:t xml:space="preserve"> </w:t>
      </w:r>
      <w:r>
        <w:t>generally.</w:t>
      </w:r>
    </w:p>
    <w:p w14:paraId="1C34E6B3" w14:textId="77777777" w:rsidR="004C558F" w:rsidRDefault="00461887">
      <w:pPr>
        <w:pStyle w:val="ListParagraph"/>
        <w:numPr>
          <w:ilvl w:val="0"/>
          <w:numId w:val="11"/>
        </w:numPr>
        <w:tabs>
          <w:tab w:val="left" w:pos="1680"/>
        </w:tabs>
        <w:spacing w:before="63" w:line="273" w:lineRule="auto"/>
        <w:ind w:right="966" w:hanging="360"/>
      </w:pPr>
      <w:r>
        <w:t xml:space="preserve">DFCI and BIDMC commercial prices for </w:t>
      </w:r>
      <w:r>
        <w:rPr>
          <w:i/>
        </w:rPr>
        <w:t xml:space="preserve">inpatient </w:t>
      </w:r>
      <w:r>
        <w:t>medical and surgical oncology services, respectively,</w:t>
      </w:r>
      <w:r>
        <w:rPr>
          <w:spacing w:val="-2"/>
        </w:rPr>
        <w:t xml:space="preserve"> </w:t>
      </w:r>
      <w:r>
        <w:t>are</w:t>
      </w:r>
      <w:r>
        <w:rPr>
          <w:spacing w:val="-2"/>
        </w:rPr>
        <w:t xml:space="preserve"> </w:t>
      </w:r>
      <w:r>
        <w:t>generally</w:t>
      </w:r>
      <w:r>
        <w:rPr>
          <w:spacing w:val="-5"/>
        </w:rPr>
        <w:t xml:space="preserve"> </w:t>
      </w:r>
      <w:r>
        <w:t>lower</w:t>
      </w:r>
      <w:r>
        <w:rPr>
          <w:spacing w:val="-3"/>
        </w:rPr>
        <w:t xml:space="preserve"> </w:t>
      </w:r>
      <w:r>
        <w:t>than</w:t>
      </w:r>
      <w:r>
        <w:rPr>
          <w:spacing w:val="-2"/>
        </w:rPr>
        <w:t xml:space="preserve"> </w:t>
      </w:r>
      <w:r>
        <w:t>prices</w:t>
      </w:r>
      <w:r>
        <w:rPr>
          <w:spacing w:val="-2"/>
        </w:rPr>
        <w:t xml:space="preserve"> </w:t>
      </w:r>
      <w:r>
        <w:t>for</w:t>
      </w:r>
      <w:r>
        <w:rPr>
          <w:spacing w:val="-3"/>
        </w:rPr>
        <w:t xml:space="preserve"> </w:t>
      </w:r>
      <w:r>
        <w:t>the</w:t>
      </w:r>
      <w:r>
        <w:rPr>
          <w:spacing w:val="-4"/>
        </w:rPr>
        <w:t xml:space="preserve"> </w:t>
      </w:r>
      <w:r>
        <w:t>same</w:t>
      </w:r>
      <w:r>
        <w:rPr>
          <w:spacing w:val="-2"/>
        </w:rPr>
        <w:t xml:space="preserve"> </w:t>
      </w:r>
      <w:r>
        <w:t>services</w:t>
      </w:r>
      <w:r>
        <w:rPr>
          <w:spacing w:val="-4"/>
        </w:rPr>
        <w:t xml:space="preserve"> </w:t>
      </w:r>
      <w:r>
        <w:t>at</w:t>
      </w:r>
      <w:r>
        <w:rPr>
          <w:spacing w:val="-3"/>
        </w:rPr>
        <w:t xml:space="preserve"> </w:t>
      </w:r>
      <w:r>
        <w:t>BWH,</w:t>
      </w:r>
      <w:r>
        <w:rPr>
          <w:spacing w:val="-2"/>
        </w:rPr>
        <w:t xml:space="preserve"> </w:t>
      </w:r>
      <w:r>
        <w:t>but</w:t>
      </w:r>
      <w:r>
        <w:rPr>
          <w:spacing w:val="-3"/>
        </w:rPr>
        <w:t xml:space="preserve"> </w:t>
      </w:r>
      <w:r>
        <w:t>higher</w:t>
      </w:r>
      <w:r>
        <w:rPr>
          <w:spacing w:val="-3"/>
        </w:rPr>
        <w:t xml:space="preserve"> </w:t>
      </w:r>
      <w:r>
        <w:t>than those of some other hospitals.</w:t>
      </w:r>
    </w:p>
    <w:p w14:paraId="1C34E6B4" w14:textId="77777777" w:rsidR="004C558F" w:rsidRDefault="00461887">
      <w:pPr>
        <w:pStyle w:val="ListParagraph"/>
        <w:numPr>
          <w:ilvl w:val="0"/>
          <w:numId w:val="11"/>
        </w:numPr>
        <w:tabs>
          <w:tab w:val="left" w:pos="1680"/>
        </w:tabs>
        <w:spacing w:before="63" w:line="273" w:lineRule="auto"/>
        <w:ind w:right="1040"/>
      </w:pPr>
      <w:r>
        <w:t>DFCI</w:t>
      </w:r>
      <w:r>
        <w:rPr>
          <w:spacing w:val="-5"/>
        </w:rPr>
        <w:t xml:space="preserve"> </w:t>
      </w:r>
      <w:r>
        <w:t>commercial</w:t>
      </w:r>
      <w:r>
        <w:rPr>
          <w:spacing w:val="-5"/>
        </w:rPr>
        <w:t xml:space="preserve"> </w:t>
      </w:r>
      <w:r>
        <w:rPr>
          <w:i/>
        </w:rPr>
        <w:t>outpatient</w:t>
      </w:r>
      <w:r>
        <w:rPr>
          <w:i/>
          <w:spacing w:val="-3"/>
        </w:rPr>
        <w:t xml:space="preserve"> </w:t>
      </w:r>
      <w:r>
        <w:t>prices</w:t>
      </w:r>
      <w:r>
        <w:rPr>
          <w:spacing w:val="-2"/>
        </w:rPr>
        <w:t xml:space="preserve"> </w:t>
      </w:r>
      <w:r>
        <w:t>are</w:t>
      </w:r>
      <w:r>
        <w:rPr>
          <w:spacing w:val="-2"/>
        </w:rPr>
        <w:t xml:space="preserve"> </w:t>
      </w:r>
      <w:r>
        <w:t>generally</w:t>
      </w:r>
      <w:r>
        <w:rPr>
          <w:spacing w:val="-5"/>
        </w:rPr>
        <w:t xml:space="preserve"> </w:t>
      </w:r>
      <w:r>
        <w:t>higher</w:t>
      </w:r>
      <w:r>
        <w:rPr>
          <w:spacing w:val="-3"/>
        </w:rPr>
        <w:t xml:space="preserve"> </w:t>
      </w:r>
      <w:r>
        <w:t>than</w:t>
      </w:r>
      <w:r>
        <w:rPr>
          <w:spacing w:val="-2"/>
        </w:rPr>
        <w:t xml:space="preserve"> </w:t>
      </w:r>
      <w:r>
        <w:t>outpatient</w:t>
      </w:r>
      <w:r>
        <w:rPr>
          <w:spacing w:val="-5"/>
        </w:rPr>
        <w:t xml:space="preserve"> </w:t>
      </w:r>
      <w:r>
        <w:t>oncology</w:t>
      </w:r>
      <w:r>
        <w:rPr>
          <w:spacing w:val="-3"/>
        </w:rPr>
        <w:t xml:space="preserve"> </w:t>
      </w:r>
      <w:r>
        <w:t>prices</w:t>
      </w:r>
      <w:r>
        <w:rPr>
          <w:spacing w:val="-4"/>
        </w:rPr>
        <w:t xml:space="preserve"> </w:t>
      </w:r>
      <w:r>
        <w:t>of other Massachusetts hospitals, while BIDMC’s are generally moderate.</w:t>
      </w:r>
    </w:p>
    <w:p w14:paraId="1C34E6B5" w14:textId="77777777" w:rsidR="004C558F" w:rsidRDefault="004C558F">
      <w:pPr>
        <w:pStyle w:val="BodyText"/>
        <w:spacing w:before="159"/>
      </w:pPr>
    </w:p>
    <w:p w14:paraId="1C34E6B6" w14:textId="77777777" w:rsidR="004C558F" w:rsidRDefault="00461887">
      <w:pPr>
        <w:pStyle w:val="BodyText"/>
        <w:spacing w:before="1"/>
        <w:ind w:left="960"/>
      </w:pPr>
      <w:r>
        <w:rPr>
          <w:u w:val="single"/>
        </w:rPr>
        <w:t>Cost</w:t>
      </w:r>
      <w:r>
        <w:rPr>
          <w:spacing w:val="-4"/>
          <w:u w:val="single"/>
        </w:rPr>
        <w:t xml:space="preserve"> </w:t>
      </w:r>
      <w:r>
        <w:rPr>
          <w:u w:val="single"/>
        </w:rPr>
        <w:t>and</w:t>
      </w:r>
      <w:r>
        <w:rPr>
          <w:spacing w:val="-4"/>
          <w:u w:val="single"/>
        </w:rPr>
        <w:t xml:space="preserve"> </w:t>
      </w:r>
      <w:r>
        <w:rPr>
          <w:u w:val="single"/>
        </w:rPr>
        <w:t>Market</w:t>
      </w:r>
      <w:r>
        <w:rPr>
          <w:spacing w:val="-3"/>
          <w:u w:val="single"/>
        </w:rPr>
        <w:t xml:space="preserve"> </w:t>
      </w:r>
      <w:r>
        <w:rPr>
          <w:spacing w:val="-2"/>
          <w:u w:val="single"/>
        </w:rPr>
        <w:t>Impact:</w:t>
      </w:r>
    </w:p>
    <w:p w14:paraId="1C34E6B7" w14:textId="77777777" w:rsidR="004C558F" w:rsidRDefault="00461887">
      <w:pPr>
        <w:pStyle w:val="ListParagraph"/>
        <w:numPr>
          <w:ilvl w:val="0"/>
          <w:numId w:val="11"/>
        </w:numPr>
        <w:tabs>
          <w:tab w:val="left" w:pos="1680"/>
        </w:tabs>
        <w:spacing w:before="96" w:line="276" w:lineRule="auto"/>
        <w:ind w:right="1119"/>
      </w:pPr>
      <w:r>
        <w:t>The</w:t>
      </w:r>
      <w:r>
        <w:rPr>
          <w:spacing w:val="-2"/>
        </w:rPr>
        <w:t xml:space="preserve"> </w:t>
      </w:r>
      <w:r>
        <w:t>proposed</w:t>
      </w:r>
      <w:r>
        <w:rPr>
          <w:spacing w:val="-1"/>
        </w:rPr>
        <w:t xml:space="preserve"> </w:t>
      </w:r>
      <w:r>
        <w:t>transaction</w:t>
      </w:r>
      <w:r>
        <w:rPr>
          <w:spacing w:val="-4"/>
        </w:rPr>
        <w:t xml:space="preserve"> </w:t>
      </w:r>
      <w:r>
        <w:t>and</w:t>
      </w:r>
      <w:r>
        <w:rPr>
          <w:spacing w:val="-4"/>
        </w:rPr>
        <w:t xml:space="preserve"> </w:t>
      </w:r>
      <w:r>
        <w:t>the</w:t>
      </w:r>
      <w:r>
        <w:rPr>
          <w:spacing w:val="-2"/>
        </w:rPr>
        <w:t xml:space="preserve"> </w:t>
      </w:r>
      <w:r>
        <w:t>construction</w:t>
      </w:r>
      <w:r>
        <w:rPr>
          <w:spacing w:val="-4"/>
        </w:rPr>
        <w:t xml:space="preserve"> </w:t>
      </w:r>
      <w:r>
        <w:t>of</w:t>
      </w:r>
      <w:r>
        <w:rPr>
          <w:spacing w:val="-1"/>
        </w:rPr>
        <w:t xml:space="preserve"> </w:t>
      </w:r>
      <w:r>
        <w:t>the</w:t>
      </w:r>
      <w:r>
        <w:rPr>
          <w:spacing w:val="-2"/>
        </w:rPr>
        <w:t xml:space="preserve"> </w:t>
      </w:r>
      <w:r>
        <w:t>new</w:t>
      </w:r>
      <w:r>
        <w:rPr>
          <w:spacing w:val="-5"/>
        </w:rPr>
        <w:t xml:space="preserve"> </w:t>
      </w:r>
      <w:r>
        <w:t>DFCI</w:t>
      </w:r>
      <w:r>
        <w:rPr>
          <w:spacing w:val="-5"/>
        </w:rPr>
        <w:t xml:space="preserve"> </w:t>
      </w:r>
      <w:r>
        <w:t>facility</w:t>
      </w:r>
      <w:r>
        <w:rPr>
          <w:spacing w:val="-3"/>
        </w:rPr>
        <w:t xml:space="preserve"> </w:t>
      </w:r>
      <w:r>
        <w:t>would</w:t>
      </w:r>
      <w:r>
        <w:rPr>
          <w:spacing w:val="-1"/>
        </w:rPr>
        <w:t xml:space="preserve"> </w:t>
      </w:r>
      <w:r>
        <w:t>likely</w:t>
      </w:r>
      <w:r>
        <w:rPr>
          <w:spacing w:val="-3"/>
        </w:rPr>
        <w:t xml:space="preserve"> </w:t>
      </w:r>
      <w:r>
        <w:t>result in large shifts in oncology volume from BIDMC, BWH, and other oncology providers to DFCI. BIDMC would also likely gain surgical oncology volume.</w:t>
      </w:r>
    </w:p>
    <w:p w14:paraId="1C34E6B8" w14:textId="77777777" w:rsidR="004C558F" w:rsidRDefault="00461887">
      <w:pPr>
        <w:pStyle w:val="ListParagraph"/>
        <w:numPr>
          <w:ilvl w:val="0"/>
          <w:numId w:val="11"/>
        </w:numPr>
        <w:tabs>
          <w:tab w:val="left" w:pos="1680"/>
        </w:tabs>
        <w:spacing w:before="57" w:line="273" w:lineRule="auto"/>
        <w:ind w:right="1714"/>
      </w:pPr>
      <w:r>
        <w:t>For</w:t>
      </w:r>
      <w:r>
        <w:rPr>
          <w:spacing w:val="-4"/>
        </w:rPr>
        <w:t xml:space="preserve"> </w:t>
      </w:r>
      <w:r>
        <w:t>commercial</w:t>
      </w:r>
      <w:r>
        <w:rPr>
          <w:spacing w:val="-4"/>
        </w:rPr>
        <w:t xml:space="preserve"> </w:t>
      </w:r>
      <w:r>
        <w:t>insurers,</w:t>
      </w:r>
      <w:r>
        <w:rPr>
          <w:spacing w:val="-6"/>
        </w:rPr>
        <w:t xml:space="preserve"> </w:t>
      </w:r>
      <w:r>
        <w:t>inpatient</w:t>
      </w:r>
      <w:r>
        <w:rPr>
          <w:spacing w:val="-4"/>
        </w:rPr>
        <w:t xml:space="preserve"> </w:t>
      </w:r>
      <w:r>
        <w:t>care</w:t>
      </w:r>
      <w:r>
        <w:rPr>
          <w:spacing w:val="-5"/>
        </w:rPr>
        <w:t xml:space="preserve"> </w:t>
      </w:r>
      <w:r>
        <w:t>shifting</w:t>
      </w:r>
      <w:r>
        <w:rPr>
          <w:spacing w:val="-4"/>
        </w:rPr>
        <w:t xml:space="preserve"> </w:t>
      </w:r>
      <w:r>
        <w:t>to</w:t>
      </w:r>
      <w:r>
        <w:rPr>
          <w:spacing w:val="-5"/>
        </w:rPr>
        <w:t xml:space="preserve"> </w:t>
      </w:r>
      <w:r>
        <w:t>DFCI</w:t>
      </w:r>
      <w:r>
        <w:rPr>
          <w:spacing w:val="-3"/>
        </w:rPr>
        <w:t xml:space="preserve"> </w:t>
      </w:r>
      <w:r>
        <w:t>would</w:t>
      </w:r>
      <w:r>
        <w:rPr>
          <w:spacing w:val="-2"/>
        </w:rPr>
        <w:t xml:space="preserve"> </w:t>
      </w:r>
      <w:r>
        <w:t>likely</w:t>
      </w:r>
      <w:r>
        <w:rPr>
          <w:spacing w:val="-4"/>
        </w:rPr>
        <w:t xml:space="preserve"> </w:t>
      </w:r>
      <w:r>
        <w:t>reduce</w:t>
      </w:r>
      <w:r>
        <w:rPr>
          <w:spacing w:val="-3"/>
        </w:rPr>
        <w:t xml:space="preserve"> </w:t>
      </w:r>
      <w:r>
        <w:t>annual commercial spending by $18.5 million to $23 million at current prices.</w:t>
      </w:r>
    </w:p>
    <w:p w14:paraId="1C34E6B9" w14:textId="77777777" w:rsidR="004C558F" w:rsidRDefault="00461887">
      <w:pPr>
        <w:pStyle w:val="ListParagraph"/>
        <w:numPr>
          <w:ilvl w:val="0"/>
          <w:numId w:val="11"/>
        </w:numPr>
        <w:tabs>
          <w:tab w:val="left" w:pos="1680"/>
        </w:tabs>
        <w:spacing w:before="61" w:line="276" w:lineRule="auto"/>
        <w:ind w:right="1371"/>
      </w:pPr>
      <w:r>
        <w:t>Backfill</w:t>
      </w:r>
      <w:r>
        <w:rPr>
          <w:spacing w:val="-3"/>
        </w:rPr>
        <w:t xml:space="preserve"> </w:t>
      </w:r>
      <w:r>
        <w:t>of</w:t>
      </w:r>
      <w:r>
        <w:rPr>
          <w:spacing w:val="-1"/>
        </w:rPr>
        <w:t xml:space="preserve"> </w:t>
      </w:r>
      <w:r>
        <w:t>newly</w:t>
      </w:r>
      <w:r>
        <w:rPr>
          <w:spacing w:val="-3"/>
        </w:rPr>
        <w:t xml:space="preserve"> </w:t>
      </w:r>
      <w:r>
        <w:t>available</w:t>
      </w:r>
      <w:r>
        <w:rPr>
          <w:spacing w:val="-4"/>
        </w:rPr>
        <w:t xml:space="preserve"> </w:t>
      </w:r>
      <w:r>
        <w:t>inpatient</w:t>
      </w:r>
      <w:r>
        <w:rPr>
          <w:spacing w:val="-3"/>
        </w:rPr>
        <w:t xml:space="preserve"> </w:t>
      </w:r>
      <w:r>
        <w:t>capacity</w:t>
      </w:r>
      <w:r>
        <w:rPr>
          <w:spacing w:val="-3"/>
        </w:rPr>
        <w:t xml:space="preserve"> </w:t>
      </w:r>
      <w:r>
        <w:t>at</w:t>
      </w:r>
      <w:r>
        <w:rPr>
          <w:spacing w:val="-5"/>
        </w:rPr>
        <w:t xml:space="preserve"> </w:t>
      </w:r>
      <w:r>
        <w:t>BIDMC</w:t>
      </w:r>
      <w:r>
        <w:rPr>
          <w:spacing w:val="-3"/>
        </w:rPr>
        <w:t xml:space="preserve"> </w:t>
      </w:r>
      <w:r>
        <w:t>would</w:t>
      </w:r>
      <w:r>
        <w:rPr>
          <w:spacing w:val="-4"/>
        </w:rPr>
        <w:t xml:space="preserve"> </w:t>
      </w:r>
      <w:r>
        <w:t>also</w:t>
      </w:r>
      <w:r>
        <w:rPr>
          <w:spacing w:val="-2"/>
        </w:rPr>
        <w:t xml:space="preserve"> </w:t>
      </w:r>
      <w:r>
        <w:t>likely</w:t>
      </w:r>
      <w:r>
        <w:rPr>
          <w:spacing w:val="-3"/>
        </w:rPr>
        <w:t xml:space="preserve"> </w:t>
      </w:r>
      <w:r>
        <w:t>reduce</w:t>
      </w:r>
      <w:r>
        <w:rPr>
          <w:spacing w:val="-4"/>
        </w:rPr>
        <w:t xml:space="preserve"> </w:t>
      </w:r>
      <w:r>
        <w:t>annual commercial spending by $3.5 to $5.3 million, while backfill of capacity at BWH would likely increase commercial spending by $4.2 to $15.9 million.</w:t>
      </w:r>
    </w:p>
    <w:p w14:paraId="1C34E6BA" w14:textId="77777777" w:rsidR="004C558F" w:rsidRDefault="00461887">
      <w:pPr>
        <w:pStyle w:val="ListParagraph"/>
        <w:numPr>
          <w:ilvl w:val="0"/>
          <w:numId w:val="11"/>
        </w:numPr>
        <w:tabs>
          <w:tab w:val="left" w:pos="1680"/>
        </w:tabs>
        <w:spacing w:before="57" w:line="276" w:lineRule="auto"/>
        <w:ind w:right="1130"/>
      </w:pPr>
      <w:r>
        <w:t>Most</w:t>
      </w:r>
      <w:r>
        <w:rPr>
          <w:spacing w:val="-3"/>
        </w:rPr>
        <w:t xml:space="preserve"> </w:t>
      </w:r>
      <w:r>
        <w:t>shifts</w:t>
      </w:r>
      <w:r>
        <w:rPr>
          <w:spacing w:val="-2"/>
        </w:rPr>
        <w:t xml:space="preserve"> </w:t>
      </w:r>
      <w:r>
        <w:t>in</w:t>
      </w:r>
      <w:r>
        <w:rPr>
          <w:spacing w:val="-2"/>
        </w:rPr>
        <w:t xml:space="preserve"> </w:t>
      </w:r>
      <w:r>
        <w:t>hospital</w:t>
      </w:r>
      <w:r>
        <w:rPr>
          <w:spacing w:val="-5"/>
        </w:rPr>
        <w:t xml:space="preserve"> </w:t>
      </w:r>
      <w:r>
        <w:t>outpatient</w:t>
      </w:r>
      <w:r>
        <w:rPr>
          <w:spacing w:val="-3"/>
        </w:rPr>
        <w:t xml:space="preserve"> </w:t>
      </w:r>
      <w:r>
        <w:t>care</w:t>
      </w:r>
      <w:r>
        <w:rPr>
          <w:spacing w:val="-2"/>
        </w:rPr>
        <w:t xml:space="preserve"> </w:t>
      </w:r>
      <w:proofErr w:type="gramStart"/>
      <w:r>
        <w:t>as</w:t>
      </w:r>
      <w:r>
        <w:rPr>
          <w:spacing w:val="-2"/>
        </w:rPr>
        <w:t xml:space="preserve"> </w:t>
      </w:r>
      <w:r>
        <w:t>a</w:t>
      </w:r>
      <w:r>
        <w:rPr>
          <w:spacing w:val="-1"/>
        </w:rPr>
        <w:t xml:space="preserve"> </w:t>
      </w:r>
      <w:r>
        <w:t>result</w:t>
      </w:r>
      <w:r>
        <w:rPr>
          <w:spacing w:val="-5"/>
        </w:rPr>
        <w:t xml:space="preserve"> </w:t>
      </w:r>
      <w:r>
        <w:t>of</w:t>
      </w:r>
      <w:proofErr w:type="gramEnd"/>
      <w:r>
        <w:rPr>
          <w:spacing w:val="-4"/>
        </w:rPr>
        <w:t xml:space="preserve"> </w:t>
      </w:r>
      <w:r>
        <w:t>the</w:t>
      </w:r>
      <w:r>
        <w:rPr>
          <w:spacing w:val="-2"/>
        </w:rPr>
        <w:t xml:space="preserve"> </w:t>
      </w:r>
      <w:r>
        <w:t>transaction</w:t>
      </w:r>
      <w:r>
        <w:rPr>
          <w:spacing w:val="-2"/>
        </w:rPr>
        <w:t xml:space="preserve"> </w:t>
      </w:r>
      <w:r>
        <w:t>would</w:t>
      </w:r>
      <w:r>
        <w:rPr>
          <w:spacing w:val="-2"/>
        </w:rPr>
        <w:t xml:space="preserve"> </w:t>
      </w:r>
      <w:r>
        <w:t>likely</w:t>
      </w:r>
      <w:r>
        <w:rPr>
          <w:spacing w:val="-3"/>
        </w:rPr>
        <w:t xml:space="preserve"> </w:t>
      </w:r>
      <w:r>
        <w:t>increase commercial spending, especially shifts in outpatient medical oncology given DFCI’s high prices for hospital-administered oncologic drugs. In total these shifts would be likely to increase annual commercial outpatient spending by an estimated $39 million; $26.5</w:t>
      </w:r>
    </w:p>
    <w:p w14:paraId="1C34E6BB" w14:textId="77777777" w:rsidR="004C558F" w:rsidRDefault="004C558F">
      <w:pPr>
        <w:pStyle w:val="BodyText"/>
        <w:rPr>
          <w:sz w:val="20"/>
        </w:rPr>
      </w:pPr>
    </w:p>
    <w:p w14:paraId="1C34E6BC" w14:textId="77777777" w:rsidR="004C558F" w:rsidRDefault="004C558F">
      <w:pPr>
        <w:pStyle w:val="BodyText"/>
        <w:rPr>
          <w:sz w:val="20"/>
        </w:rPr>
      </w:pPr>
    </w:p>
    <w:p w14:paraId="1C34E6BD" w14:textId="3BEEE25A" w:rsidR="004C558F" w:rsidRDefault="004C558F">
      <w:pPr>
        <w:pStyle w:val="BodyText"/>
        <w:spacing w:before="5"/>
        <w:rPr>
          <w:sz w:val="20"/>
        </w:rPr>
      </w:pPr>
    </w:p>
    <w:p w14:paraId="1C34E6C0" w14:textId="77777777" w:rsidR="004C558F" w:rsidRDefault="004C558F">
      <w:pPr>
        <w:rPr>
          <w:sz w:val="20"/>
        </w:rPr>
        <w:sectPr w:rsidR="004C558F">
          <w:pgSz w:w="12240" w:h="15840"/>
          <w:pgMar w:top="1360" w:right="740" w:bottom="720" w:left="480" w:header="0" w:footer="521" w:gutter="0"/>
          <w:cols w:space="720"/>
        </w:sectPr>
      </w:pPr>
      <w:bookmarkStart w:id="92" w:name="_bookmark119"/>
      <w:bookmarkEnd w:id="92"/>
    </w:p>
    <w:p w14:paraId="1C34E6C1" w14:textId="77777777" w:rsidR="004C558F" w:rsidRDefault="00461887">
      <w:pPr>
        <w:pStyle w:val="BodyText"/>
        <w:spacing w:before="80" w:line="276" w:lineRule="auto"/>
        <w:ind w:left="1680" w:right="752"/>
      </w:pPr>
      <w:proofErr w:type="spellStart"/>
      <w:r>
        <w:lastRenderedPageBreak/>
        <w:t>million</w:t>
      </w:r>
      <w:proofErr w:type="spellEnd"/>
      <w:r>
        <w:rPr>
          <w:spacing w:val="-3"/>
        </w:rPr>
        <w:t xml:space="preserve"> </w:t>
      </w:r>
      <w:r>
        <w:t>of</w:t>
      </w:r>
      <w:r>
        <w:rPr>
          <w:spacing w:val="-2"/>
        </w:rPr>
        <w:t xml:space="preserve"> </w:t>
      </w:r>
      <w:r>
        <w:t>this</w:t>
      </w:r>
      <w:r>
        <w:rPr>
          <w:spacing w:val="-3"/>
        </w:rPr>
        <w:t xml:space="preserve"> </w:t>
      </w:r>
      <w:r>
        <w:t>spending</w:t>
      </w:r>
      <w:r>
        <w:rPr>
          <w:spacing w:val="-4"/>
        </w:rPr>
        <w:t xml:space="preserve"> </w:t>
      </w:r>
      <w:r>
        <w:t>increase</w:t>
      </w:r>
      <w:r>
        <w:rPr>
          <w:spacing w:val="-3"/>
        </w:rPr>
        <w:t xml:space="preserve"> </w:t>
      </w:r>
      <w:r>
        <w:t>would</w:t>
      </w:r>
      <w:r>
        <w:rPr>
          <w:spacing w:val="-2"/>
        </w:rPr>
        <w:t xml:space="preserve"> </w:t>
      </w:r>
      <w:r>
        <w:t>be</w:t>
      </w:r>
      <w:r>
        <w:rPr>
          <w:spacing w:val="-5"/>
        </w:rPr>
        <w:t xml:space="preserve"> </w:t>
      </w:r>
      <w:r>
        <w:t>due</w:t>
      </w:r>
      <w:r>
        <w:rPr>
          <w:spacing w:val="-3"/>
        </w:rPr>
        <w:t xml:space="preserve"> </w:t>
      </w:r>
      <w:r>
        <w:t>to</w:t>
      </w:r>
      <w:r>
        <w:rPr>
          <w:spacing w:val="-3"/>
        </w:rPr>
        <w:t xml:space="preserve"> </w:t>
      </w:r>
      <w:r>
        <w:t>higher</w:t>
      </w:r>
      <w:r>
        <w:rPr>
          <w:spacing w:val="-4"/>
        </w:rPr>
        <w:t xml:space="preserve"> </w:t>
      </w:r>
      <w:r>
        <w:t>commercial</w:t>
      </w:r>
      <w:r>
        <w:rPr>
          <w:spacing w:val="-4"/>
        </w:rPr>
        <w:t xml:space="preserve"> </w:t>
      </w:r>
      <w:r>
        <w:t>prices</w:t>
      </w:r>
      <w:r>
        <w:rPr>
          <w:spacing w:val="-3"/>
        </w:rPr>
        <w:t xml:space="preserve"> </w:t>
      </w:r>
      <w:r>
        <w:t>for</w:t>
      </w:r>
      <w:r>
        <w:rPr>
          <w:spacing w:val="-4"/>
        </w:rPr>
        <w:t xml:space="preserve"> </w:t>
      </w:r>
      <w:r>
        <w:t>oncologic drugs at DFCI.</w:t>
      </w:r>
    </w:p>
    <w:p w14:paraId="1C34E6C2" w14:textId="77777777" w:rsidR="004C558F" w:rsidRDefault="00461887">
      <w:pPr>
        <w:pStyle w:val="ListParagraph"/>
        <w:numPr>
          <w:ilvl w:val="0"/>
          <w:numId w:val="11"/>
        </w:numPr>
        <w:tabs>
          <w:tab w:val="left" w:pos="1680"/>
        </w:tabs>
        <w:spacing w:before="59" w:line="276" w:lineRule="auto"/>
        <w:ind w:right="1100"/>
      </w:pPr>
      <w:r>
        <w:t xml:space="preserve">Medicare spending may also increase </w:t>
      </w:r>
      <w:proofErr w:type="gramStart"/>
      <w:r>
        <w:t>as a result of</w:t>
      </w:r>
      <w:proofErr w:type="gramEnd"/>
      <w:r>
        <w:t xml:space="preserve"> the transaction. At current rates, shifts of inpatient care to DFCI would reduce Medicare spending by approximately $5.7 million</w:t>
      </w:r>
      <w:r>
        <w:rPr>
          <w:spacing w:val="-3"/>
        </w:rPr>
        <w:t xml:space="preserve"> </w:t>
      </w:r>
      <w:r>
        <w:t>to</w:t>
      </w:r>
      <w:r>
        <w:rPr>
          <w:spacing w:val="-3"/>
        </w:rPr>
        <w:t xml:space="preserve"> </w:t>
      </w:r>
      <w:r>
        <w:t>$9.1</w:t>
      </w:r>
      <w:r>
        <w:rPr>
          <w:spacing w:val="-3"/>
        </w:rPr>
        <w:t xml:space="preserve"> </w:t>
      </w:r>
      <w:r>
        <w:t>million.</w:t>
      </w:r>
      <w:r>
        <w:rPr>
          <w:spacing w:val="-3"/>
        </w:rPr>
        <w:t xml:space="preserve"> </w:t>
      </w:r>
      <w:r>
        <w:t>However,</w:t>
      </w:r>
      <w:r>
        <w:rPr>
          <w:spacing w:val="-3"/>
        </w:rPr>
        <w:t xml:space="preserve"> </w:t>
      </w:r>
      <w:r>
        <w:t>DFCI’s</w:t>
      </w:r>
      <w:r>
        <w:rPr>
          <w:spacing w:val="-3"/>
        </w:rPr>
        <w:t xml:space="preserve"> </w:t>
      </w:r>
      <w:r>
        <w:t>inpatient</w:t>
      </w:r>
      <w:r>
        <w:rPr>
          <w:spacing w:val="-4"/>
        </w:rPr>
        <w:t xml:space="preserve"> </w:t>
      </w:r>
      <w:r>
        <w:t>reimbursement</w:t>
      </w:r>
      <w:r>
        <w:rPr>
          <w:spacing w:val="-4"/>
        </w:rPr>
        <w:t xml:space="preserve"> </w:t>
      </w:r>
      <w:r>
        <w:t>from</w:t>
      </w:r>
      <w:r>
        <w:rPr>
          <w:spacing w:val="-5"/>
        </w:rPr>
        <w:t xml:space="preserve"> </w:t>
      </w:r>
      <w:r>
        <w:t>Medicare</w:t>
      </w:r>
      <w:r>
        <w:rPr>
          <w:spacing w:val="-3"/>
        </w:rPr>
        <w:t xml:space="preserve"> </w:t>
      </w:r>
      <w:r>
        <w:t>is</w:t>
      </w:r>
      <w:r>
        <w:rPr>
          <w:spacing w:val="-3"/>
        </w:rPr>
        <w:t xml:space="preserve"> </w:t>
      </w:r>
      <w:r>
        <w:t xml:space="preserve">based on its costs per patient, meaning that to the extent its costs per patient increase in the newly constructed hospital, its Medicare reimbursement rate would also increase, reducing any savings or potentially increasing spending. Shifts of outpatient Medicare volume to DFCI are likely to further increase spending, likely </w:t>
      </w:r>
      <w:proofErr w:type="gramStart"/>
      <w:r>
        <w:t>in excess of</w:t>
      </w:r>
      <w:proofErr w:type="gramEnd"/>
      <w:r>
        <w:t xml:space="preserve"> $10 million </w:t>
      </w:r>
      <w:r>
        <w:rPr>
          <w:spacing w:val="-2"/>
        </w:rPr>
        <w:t>annually.</w:t>
      </w:r>
    </w:p>
    <w:p w14:paraId="1C34E6C3" w14:textId="77777777" w:rsidR="004C558F" w:rsidRDefault="00461887">
      <w:pPr>
        <w:pStyle w:val="ListParagraph"/>
        <w:numPr>
          <w:ilvl w:val="0"/>
          <w:numId w:val="11"/>
        </w:numPr>
        <w:tabs>
          <w:tab w:val="left" w:pos="1680"/>
        </w:tabs>
        <w:spacing w:before="55" w:line="276" w:lineRule="auto"/>
        <w:ind w:right="1264"/>
      </w:pPr>
      <w:r>
        <w:t>These</w:t>
      </w:r>
      <w:r>
        <w:rPr>
          <w:spacing w:val="-4"/>
        </w:rPr>
        <w:t xml:space="preserve"> </w:t>
      </w:r>
      <w:r>
        <w:t>spending</w:t>
      </w:r>
      <w:r>
        <w:rPr>
          <w:spacing w:val="-3"/>
        </w:rPr>
        <w:t xml:space="preserve"> </w:t>
      </w:r>
      <w:r>
        <w:t>impacts</w:t>
      </w:r>
      <w:r>
        <w:rPr>
          <w:spacing w:val="-2"/>
        </w:rPr>
        <w:t xml:space="preserve"> </w:t>
      </w:r>
      <w:r>
        <w:t>reflect</w:t>
      </w:r>
      <w:r>
        <w:rPr>
          <w:spacing w:val="-3"/>
        </w:rPr>
        <w:t xml:space="preserve"> </w:t>
      </w:r>
      <w:r>
        <w:t>current</w:t>
      </w:r>
      <w:r>
        <w:rPr>
          <w:spacing w:val="-3"/>
        </w:rPr>
        <w:t xml:space="preserve"> </w:t>
      </w:r>
      <w:r>
        <w:t>pricing.</w:t>
      </w:r>
      <w:r>
        <w:rPr>
          <w:spacing w:val="-2"/>
        </w:rPr>
        <w:t xml:space="preserve"> </w:t>
      </w:r>
      <w:r>
        <w:t>Any</w:t>
      </w:r>
      <w:r>
        <w:rPr>
          <w:spacing w:val="-5"/>
        </w:rPr>
        <w:t xml:space="preserve"> </w:t>
      </w:r>
      <w:r>
        <w:t>increases</w:t>
      </w:r>
      <w:r>
        <w:rPr>
          <w:spacing w:val="-2"/>
        </w:rPr>
        <w:t xml:space="preserve"> </w:t>
      </w:r>
      <w:r>
        <w:t>in</w:t>
      </w:r>
      <w:r>
        <w:rPr>
          <w:spacing w:val="-2"/>
        </w:rPr>
        <w:t xml:space="preserve"> </w:t>
      </w:r>
      <w:r>
        <w:t>the</w:t>
      </w:r>
      <w:r>
        <w:rPr>
          <w:spacing w:val="-4"/>
        </w:rPr>
        <w:t xml:space="preserve"> </w:t>
      </w:r>
      <w:r>
        <w:t>parties’</w:t>
      </w:r>
      <w:r>
        <w:rPr>
          <w:spacing w:val="-5"/>
        </w:rPr>
        <w:t xml:space="preserve"> </w:t>
      </w:r>
      <w:r>
        <w:t>prices</w:t>
      </w:r>
      <w:r>
        <w:rPr>
          <w:spacing w:val="-2"/>
        </w:rPr>
        <w:t xml:space="preserve"> </w:t>
      </w:r>
      <w:proofErr w:type="gramStart"/>
      <w:r>
        <w:t>as</w:t>
      </w:r>
      <w:r>
        <w:rPr>
          <w:spacing w:val="-2"/>
        </w:rPr>
        <w:t xml:space="preserve"> </w:t>
      </w:r>
      <w:r>
        <w:t>a result of</w:t>
      </w:r>
      <w:proofErr w:type="gramEnd"/>
      <w:r>
        <w:t xml:space="preserve"> the proposed transaction would reduce savings or increase spending. Commitments to limit</w:t>
      </w:r>
      <w:r>
        <w:rPr>
          <w:spacing w:val="-1"/>
        </w:rPr>
        <w:t xml:space="preserve"> </w:t>
      </w:r>
      <w:r>
        <w:t>future rate increases</w:t>
      </w:r>
      <w:r>
        <w:rPr>
          <w:spacing w:val="-2"/>
        </w:rPr>
        <w:t xml:space="preserve"> </w:t>
      </w:r>
      <w:r>
        <w:t>and address</w:t>
      </w:r>
      <w:r>
        <w:rPr>
          <w:spacing w:val="-2"/>
        </w:rPr>
        <w:t xml:space="preserve"> </w:t>
      </w:r>
      <w:r>
        <w:t>DFCI’s</w:t>
      </w:r>
      <w:r>
        <w:rPr>
          <w:spacing w:val="-2"/>
        </w:rPr>
        <w:t xml:space="preserve"> </w:t>
      </w:r>
      <w:r>
        <w:t>already</w:t>
      </w:r>
      <w:r>
        <w:rPr>
          <w:spacing w:val="-1"/>
        </w:rPr>
        <w:t xml:space="preserve"> </w:t>
      </w:r>
      <w:r>
        <w:t>high outpatient prices may help to mitigate these concerns.</w:t>
      </w:r>
    </w:p>
    <w:p w14:paraId="1C34E6C4" w14:textId="77777777" w:rsidR="004C558F" w:rsidRDefault="004C558F">
      <w:pPr>
        <w:pStyle w:val="BodyText"/>
        <w:spacing w:before="94"/>
      </w:pPr>
    </w:p>
    <w:p w14:paraId="1C34E6C5" w14:textId="77777777" w:rsidR="004C558F" w:rsidRDefault="00461887">
      <w:pPr>
        <w:pStyle w:val="BodyText"/>
        <w:spacing w:before="1"/>
        <w:ind w:left="960"/>
      </w:pPr>
      <w:r>
        <w:t>The</w:t>
      </w:r>
      <w:r>
        <w:rPr>
          <w:spacing w:val="-7"/>
        </w:rPr>
        <w:t xml:space="preserve"> </w:t>
      </w:r>
      <w:r>
        <w:t>remainder</w:t>
      </w:r>
      <w:r>
        <w:rPr>
          <w:spacing w:val="-5"/>
        </w:rPr>
        <w:t xml:space="preserve"> </w:t>
      </w:r>
      <w:r>
        <w:t>of</w:t>
      </w:r>
      <w:r>
        <w:rPr>
          <w:spacing w:val="-4"/>
        </w:rPr>
        <w:t xml:space="preserve"> </w:t>
      </w:r>
      <w:r>
        <w:t>this</w:t>
      </w:r>
      <w:r>
        <w:rPr>
          <w:spacing w:val="-6"/>
        </w:rPr>
        <w:t xml:space="preserve"> </w:t>
      </w:r>
      <w:r>
        <w:t>section</w:t>
      </w:r>
      <w:r>
        <w:rPr>
          <w:spacing w:val="-5"/>
        </w:rPr>
        <w:t xml:space="preserve"> </w:t>
      </w:r>
      <w:r>
        <w:t>discusses</w:t>
      </w:r>
      <w:r>
        <w:rPr>
          <w:spacing w:val="-4"/>
        </w:rPr>
        <w:t xml:space="preserve"> </w:t>
      </w:r>
      <w:r>
        <w:t>these</w:t>
      </w:r>
      <w:r>
        <w:rPr>
          <w:spacing w:val="-5"/>
        </w:rPr>
        <w:t xml:space="preserve"> </w:t>
      </w:r>
      <w:r>
        <w:t>findings</w:t>
      </w:r>
      <w:r>
        <w:rPr>
          <w:spacing w:val="-5"/>
        </w:rPr>
        <w:t xml:space="preserve"> </w:t>
      </w:r>
      <w:r>
        <w:t>in</w:t>
      </w:r>
      <w:r>
        <w:rPr>
          <w:spacing w:val="-4"/>
        </w:rPr>
        <w:t xml:space="preserve"> </w:t>
      </w:r>
      <w:r>
        <w:t>greater</w:t>
      </w:r>
      <w:r>
        <w:rPr>
          <w:spacing w:val="-5"/>
        </w:rPr>
        <w:t xml:space="preserve"> </w:t>
      </w:r>
      <w:r>
        <w:rPr>
          <w:spacing w:val="-2"/>
        </w:rPr>
        <w:t>depth.</w:t>
      </w:r>
    </w:p>
    <w:p w14:paraId="1C34E6C6" w14:textId="77777777" w:rsidR="004C558F" w:rsidRDefault="004C558F">
      <w:pPr>
        <w:pStyle w:val="BodyText"/>
        <w:spacing w:before="233"/>
      </w:pPr>
    </w:p>
    <w:p w14:paraId="1C34E6C7" w14:textId="77777777" w:rsidR="004C558F" w:rsidRDefault="00461887">
      <w:pPr>
        <w:pStyle w:val="Heading3"/>
        <w:numPr>
          <w:ilvl w:val="2"/>
          <w:numId w:val="16"/>
        </w:numPr>
        <w:tabs>
          <w:tab w:val="left" w:pos="958"/>
          <w:tab w:val="left" w:pos="960"/>
        </w:tabs>
        <w:spacing w:line="242" w:lineRule="auto"/>
        <w:ind w:left="960" w:right="2688" w:hanging="361"/>
        <w:rPr>
          <w:color w:val="042339"/>
        </w:rPr>
      </w:pPr>
      <w:bookmarkStart w:id="93" w:name="1._DFCI_and_BIDMC_both_serve_patients_pr"/>
      <w:bookmarkEnd w:id="93"/>
      <w:r>
        <w:rPr>
          <w:color w:val="042339"/>
        </w:rPr>
        <w:t>DFCI</w:t>
      </w:r>
      <w:r>
        <w:rPr>
          <w:color w:val="042339"/>
          <w:spacing w:val="-4"/>
        </w:rPr>
        <w:t xml:space="preserve"> </w:t>
      </w:r>
      <w:r>
        <w:rPr>
          <w:color w:val="042339"/>
        </w:rPr>
        <w:t>and</w:t>
      </w:r>
      <w:r>
        <w:rPr>
          <w:color w:val="042339"/>
          <w:spacing w:val="-5"/>
        </w:rPr>
        <w:t xml:space="preserve"> </w:t>
      </w:r>
      <w:r>
        <w:rPr>
          <w:color w:val="042339"/>
        </w:rPr>
        <w:t>BIDMC</w:t>
      </w:r>
      <w:r>
        <w:rPr>
          <w:color w:val="042339"/>
          <w:spacing w:val="-4"/>
        </w:rPr>
        <w:t xml:space="preserve"> </w:t>
      </w:r>
      <w:r>
        <w:rPr>
          <w:color w:val="042339"/>
        </w:rPr>
        <w:t>both</w:t>
      </w:r>
      <w:r>
        <w:rPr>
          <w:color w:val="042339"/>
          <w:spacing w:val="-4"/>
        </w:rPr>
        <w:t xml:space="preserve"> </w:t>
      </w:r>
      <w:r>
        <w:rPr>
          <w:color w:val="042339"/>
        </w:rPr>
        <w:t>serve</w:t>
      </w:r>
      <w:r>
        <w:rPr>
          <w:color w:val="042339"/>
          <w:spacing w:val="-4"/>
        </w:rPr>
        <w:t xml:space="preserve"> </w:t>
      </w:r>
      <w:r>
        <w:rPr>
          <w:color w:val="042339"/>
        </w:rPr>
        <w:t>patients</w:t>
      </w:r>
      <w:r>
        <w:rPr>
          <w:color w:val="042339"/>
          <w:spacing w:val="-5"/>
        </w:rPr>
        <w:t xml:space="preserve"> </w:t>
      </w:r>
      <w:r>
        <w:rPr>
          <w:color w:val="042339"/>
        </w:rPr>
        <w:t>primarily</w:t>
      </w:r>
      <w:r>
        <w:rPr>
          <w:color w:val="042339"/>
          <w:spacing w:val="-4"/>
        </w:rPr>
        <w:t xml:space="preserve"> </w:t>
      </w:r>
      <w:r>
        <w:rPr>
          <w:color w:val="042339"/>
        </w:rPr>
        <w:t>from</w:t>
      </w:r>
      <w:r>
        <w:rPr>
          <w:color w:val="042339"/>
          <w:spacing w:val="-5"/>
        </w:rPr>
        <w:t xml:space="preserve"> </w:t>
      </w:r>
      <w:r>
        <w:rPr>
          <w:color w:val="042339"/>
        </w:rPr>
        <w:t>across</w:t>
      </w:r>
      <w:r>
        <w:rPr>
          <w:color w:val="042339"/>
          <w:spacing w:val="-5"/>
        </w:rPr>
        <w:t xml:space="preserve"> </w:t>
      </w:r>
      <w:r>
        <w:rPr>
          <w:color w:val="042339"/>
        </w:rPr>
        <w:t>eastern Massachusetts, with DFCI having a larger geographic reach.</w:t>
      </w:r>
    </w:p>
    <w:p w14:paraId="1C34E6C8" w14:textId="4C8D2CFE" w:rsidR="004C558F" w:rsidRDefault="00461887">
      <w:pPr>
        <w:pStyle w:val="BodyText"/>
        <w:spacing w:before="77" w:line="276" w:lineRule="auto"/>
        <w:ind w:left="959" w:right="991" w:firstLine="720"/>
      </w:pPr>
      <w:r>
        <w:t>The HPC examined the parties’ market shares both statewide and within their primary service areas (PSAs).</w:t>
      </w:r>
      <w:r w:rsidR="00342C97">
        <w:rPr>
          <w:rStyle w:val="FootnoteReference"/>
        </w:rPr>
        <w:footnoteReference w:id="101"/>
      </w:r>
      <w:r>
        <w:rPr>
          <w:spacing w:val="-32"/>
        </w:rPr>
        <w:t xml:space="preserve"> </w:t>
      </w:r>
      <w:r>
        <w:t>Statewide market shares illustrate the parties’ overall importance in Massachusetts, while shares and market concentration in primary service areas illustrate the parties’ importance in those areas where most of their patients reside.</w:t>
      </w:r>
      <w:r>
        <w:rPr>
          <w:spacing w:val="-33"/>
        </w:rPr>
        <w:t xml:space="preserve"> </w:t>
      </w:r>
      <w:r w:rsidR="007E3035">
        <w:rPr>
          <w:rStyle w:val="FootnoteReference"/>
          <w:spacing w:val="-33"/>
        </w:rPr>
        <w:footnoteReference w:id="102"/>
      </w:r>
      <w:proofErr w:type="gramStart"/>
      <w:r>
        <w:t>In order to</w:t>
      </w:r>
      <w:proofErr w:type="gramEnd"/>
      <w:r>
        <w:t xml:space="preserve"> assess DFCI’s PSA for inpatient care, the HPC included all medical oncology discharges from DFCI- licensed</w:t>
      </w:r>
      <w:r>
        <w:rPr>
          <w:spacing w:val="-2"/>
        </w:rPr>
        <w:t xml:space="preserve"> </w:t>
      </w:r>
      <w:r>
        <w:t>beds</w:t>
      </w:r>
      <w:r>
        <w:rPr>
          <w:spacing w:val="-4"/>
        </w:rPr>
        <w:t xml:space="preserve"> </w:t>
      </w:r>
      <w:r>
        <w:t>as</w:t>
      </w:r>
      <w:r>
        <w:rPr>
          <w:spacing w:val="-4"/>
        </w:rPr>
        <w:t xml:space="preserve"> </w:t>
      </w:r>
      <w:r>
        <w:t>well</w:t>
      </w:r>
      <w:r>
        <w:rPr>
          <w:spacing w:val="-3"/>
        </w:rPr>
        <w:t xml:space="preserve"> </w:t>
      </w:r>
      <w:r>
        <w:t>as</w:t>
      </w:r>
      <w:r>
        <w:rPr>
          <w:spacing w:val="-4"/>
        </w:rPr>
        <w:t xml:space="preserve"> </w:t>
      </w:r>
      <w:r>
        <w:t>BWH-licensed</w:t>
      </w:r>
      <w:r>
        <w:rPr>
          <w:spacing w:val="-2"/>
        </w:rPr>
        <w:t xml:space="preserve"> </w:t>
      </w:r>
      <w:r>
        <w:t>beds,</w:t>
      </w:r>
      <w:r>
        <w:rPr>
          <w:spacing w:val="-2"/>
        </w:rPr>
        <w:t xml:space="preserve"> </w:t>
      </w:r>
      <w:r>
        <w:t>since</w:t>
      </w:r>
      <w:r>
        <w:rPr>
          <w:spacing w:val="-4"/>
        </w:rPr>
        <w:t xml:space="preserve"> </w:t>
      </w:r>
      <w:r>
        <w:t>DFCI</w:t>
      </w:r>
      <w:r>
        <w:rPr>
          <w:spacing w:val="-2"/>
        </w:rPr>
        <w:t xml:space="preserve"> </w:t>
      </w:r>
      <w:r>
        <w:t>physicians</w:t>
      </w:r>
      <w:r>
        <w:rPr>
          <w:spacing w:val="-2"/>
        </w:rPr>
        <w:t xml:space="preserve"> </w:t>
      </w:r>
      <w:r>
        <w:t>provide</w:t>
      </w:r>
      <w:r>
        <w:rPr>
          <w:spacing w:val="-2"/>
        </w:rPr>
        <w:t xml:space="preserve"> </w:t>
      </w:r>
      <w:r>
        <w:t>medical</w:t>
      </w:r>
      <w:r>
        <w:rPr>
          <w:spacing w:val="-5"/>
        </w:rPr>
        <w:t xml:space="preserve"> </w:t>
      </w:r>
      <w:r>
        <w:t>oncology</w:t>
      </w:r>
      <w:r>
        <w:rPr>
          <w:spacing w:val="-3"/>
        </w:rPr>
        <w:t xml:space="preserve"> </w:t>
      </w:r>
      <w:r>
        <w:t>care</w:t>
      </w:r>
    </w:p>
    <w:p w14:paraId="1C34E6C9" w14:textId="0DE8FB22" w:rsidR="004C558F" w:rsidRDefault="004C558F">
      <w:pPr>
        <w:pStyle w:val="BodyText"/>
        <w:spacing w:before="2"/>
        <w:rPr>
          <w:sz w:val="17"/>
        </w:rPr>
      </w:pPr>
    </w:p>
    <w:p w14:paraId="1C34E6D0" w14:textId="70C42DAE" w:rsidR="004C558F" w:rsidRDefault="00461887">
      <w:pPr>
        <w:pStyle w:val="BodyText"/>
        <w:spacing w:before="80" w:line="276" w:lineRule="auto"/>
        <w:ind w:left="960" w:right="891"/>
      </w:pPr>
      <w:bookmarkStart w:id="94" w:name="_bookmark121"/>
      <w:bookmarkEnd w:id="94"/>
      <w:r>
        <w:lastRenderedPageBreak/>
        <w:t>to</w:t>
      </w:r>
      <w:r>
        <w:rPr>
          <w:spacing w:val="-1"/>
        </w:rPr>
        <w:t xml:space="preserve"> </w:t>
      </w:r>
      <w:r>
        <w:t>BWH</w:t>
      </w:r>
      <w:r>
        <w:rPr>
          <w:spacing w:val="-2"/>
        </w:rPr>
        <w:t xml:space="preserve"> </w:t>
      </w:r>
      <w:r>
        <w:t>patients.</w:t>
      </w:r>
      <w:r w:rsidR="006E5ECA">
        <w:rPr>
          <w:rStyle w:val="FootnoteReference"/>
        </w:rPr>
        <w:footnoteReference w:id="103"/>
      </w:r>
      <w:r>
        <w:rPr>
          <w:spacing w:val="19"/>
          <w:position w:val="5"/>
          <w:sz w:val="14"/>
        </w:rPr>
        <w:t xml:space="preserve"> </w:t>
      </w:r>
      <w:r>
        <w:t>DFCI</w:t>
      </w:r>
      <w:r>
        <w:rPr>
          <w:spacing w:val="-4"/>
        </w:rPr>
        <w:t xml:space="preserve"> </w:t>
      </w:r>
      <w:r>
        <w:t>and BWH</w:t>
      </w:r>
      <w:r>
        <w:rPr>
          <w:spacing w:val="-4"/>
        </w:rPr>
        <w:t xml:space="preserve"> </w:t>
      </w:r>
      <w:r>
        <w:t>combined draw</w:t>
      </w:r>
      <w:r>
        <w:rPr>
          <w:spacing w:val="-2"/>
        </w:rPr>
        <w:t xml:space="preserve"> </w:t>
      </w:r>
      <w:r>
        <w:t>patients</w:t>
      </w:r>
      <w:r>
        <w:rPr>
          <w:spacing w:val="-1"/>
        </w:rPr>
        <w:t xml:space="preserve"> </w:t>
      </w:r>
      <w:r>
        <w:t>from</w:t>
      </w:r>
      <w:r>
        <w:rPr>
          <w:spacing w:val="-1"/>
        </w:rPr>
        <w:t xml:space="preserve"> </w:t>
      </w:r>
      <w:r>
        <w:t>across</w:t>
      </w:r>
      <w:r>
        <w:rPr>
          <w:spacing w:val="-3"/>
        </w:rPr>
        <w:t xml:space="preserve"> </w:t>
      </w:r>
      <w:r>
        <w:t>Massachusetts</w:t>
      </w:r>
      <w:r>
        <w:rPr>
          <w:spacing w:val="-1"/>
        </w:rPr>
        <w:t xml:space="preserve"> </w:t>
      </w:r>
      <w:r>
        <w:t>and</w:t>
      </w:r>
      <w:r>
        <w:rPr>
          <w:spacing w:val="-3"/>
        </w:rPr>
        <w:t xml:space="preserve"> </w:t>
      </w:r>
      <w:r>
        <w:t>from other states, but their PSA, the set of zip codes from which they draw 75% of their inpatient commercial oncology discharges for Massachusetts patients, covers most of eastern Massachusetts and extends into central Massachusetts as shown in Figure III.A.1. BIDMC’s commercial inpatient oncology PSA is smaller but also covers a large portion of eastern Massachusetts and part of central Massachusetts.</w:t>
      </w:r>
    </w:p>
    <w:p w14:paraId="1C34E6D1" w14:textId="77777777" w:rsidR="004C558F" w:rsidRDefault="004C558F">
      <w:pPr>
        <w:pStyle w:val="BodyText"/>
        <w:spacing w:before="38"/>
      </w:pPr>
    </w:p>
    <w:p w14:paraId="1C34E6D2" w14:textId="77777777" w:rsidR="004C558F" w:rsidRDefault="00461887">
      <w:pPr>
        <w:pStyle w:val="BodyText"/>
        <w:ind w:left="2464"/>
      </w:pPr>
      <w:r>
        <w:t>Figure</w:t>
      </w:r>
      <w:r>
        <w:rPr>
          <w:spacing w:val="-7"/>
        </w:rPr>
        <w:t xml:space="preserve"> </w:t>
      </w:r>
      <w:r>
        <w:t>III.A.1:</w:t>
      </w:r>
      <w:r>
        <w:rPr>
          <w:spacing w:val="-5"/>
        </w:rPr>
        <w:t xml:space="preserve"> </w:t>
      </w:r>
      <w:r>
        <w:t>2022</w:t>
      </w:r>
      <w:r>
        <w:rPr>
          <w:spacing w:val="-4"/>
        </w:rPr>
        <w:t xml:space="preserve"> </w:t>
      </w:r>
      <w:r>
        <w:t>Commercial</w:t>
      </w:r>
      <w:r>
        <w:rPr>
          <w:spacing w:val="-5"/>
        </w:rPr>
        <w:t xml:space="preserve"> </w:t>
      </w:r>
      <w:r>
        <w:t>Inpatient</w:t>
      </w:r>
      <w:r>
        <w:rPr>
          <w:spacing w:val="-5"/>
        </w:rPr>
        <w:t xml:space="preserve"> </w:t>
      </w:r>
      <w:r>
        <w:t>Oncology</w:t>
      </w:r>
      <w:r>
        <w:rPr>
          <w:spacing w:val="-6"/>
        </w:rPr>
        <w:t xml:space="preserve"> </w:t>
      </w:r>
      <w:r>
        <w:t>Primary</w:t>
      </w:r>
      <w:r>
        <w:rPr>
          <w:spacing w:val="-5"/>
        </w:rPr>
        <w:t xml:space="preserve"> </w:t>
      </w:r>
      <w:r>
        <w:t>Service</w:t>
      </w:r>
      <w:r>
        <w:rPr>
          <w:spacing w:val="-4"/>
        </w:rPr>
        <w:t xml:space="preserve"> </w:t>
      </w:r>
      <w:r>
        <w:rPr>
          <w:spacing w:val="-2"/>
        </w:rPr>
        <w:t>Areas</w:t>
      </w:r>
    </w:p>
    <w:p w14:paraId="1C34E6D3" w14:textId="77777777" w:rsidR="004C558F" w:rsidRDefault="00461887">
      <w:pPr>
        <w:pStyle w:val="BodyText"/>
        <w:spacing w:before="4"/>
        <w:rPr>
          <w:sz w:val="10"/>
        </w:rPr>
      </w:pPr>
      <w:r>
        <w:rPr>
          <w:noProof/>
        </w:rPr>
        <mc:AlternateContent>
          <mc:Choice Requires="wpg">
            <w:drawing>
              <wp:anchor distT="0" distB="0" distL="0" distR="0" simplePos="0" relativeHeight="251650048" behindDoc="1" locked="0" layoutInCell="1" allowOverlap="1" wp14:anchorId="1C34F0E6" wp14:editId="6C39C991">
                <wp:simplePos x="0" y="0"/>
                <wp:positionH relativeFrom="page">
                  <wp:posOffset>1114425</wp:posOffset>
                </wp:positionH>
                <wp:positionV relativeFrom="paragraph">
                  <wp:posOffset>90170</wp:posOffset>
                </wp:positionV>
                <wp:extent cx="5165725" cy="4704080"/>
                <wp:effectExtent l="0" t="0" r="0" b="1270"/>
                <wp:wrapTopAndBottom/>
                <wp:docPr id="52" name="Group 52" descr="Map of Massachusetts - BIDMC vs DFCI &amp; BWH Combined 2022 Commercial Inpatient Oncology Primary Service Are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725" cy="4704080"/>
                          <a:chOff x="0" y="0"/>
                          <a:chExt cx="5165725" cy="4704080"/>
                        </a:xfrm>
                      </wpg:grpSpPr>
                      <pic:pic xmlns:pic="http://schemas.openxmlformats.org/drawingml/2006/picture">
                        <pic:nvPicPr>
                          <pic:cNvPr id="53" name="Image 53"/>
                          <pic:cNvPicPr/>
                        </pic:nvPicPr>
                        <pic:blipFill>
                          <a:blip r:embed="rId30" cstate="print"/>
                          <a:stretch>
                            <a:fillRect/>
                          </a:stretch>
                        </pic:blipFill>
                        <pic:spPr>
                          <a:xfrm>
                            <a:off x="0" y="0"/>
                            <a:ext cx="4703652" cy="4704077"/>
                          </a:xfrm>
                          <a:prstGeom prst="rect">
                            <a:avLst/>
                          </a:prstGeom>
                        </pic:spPr>
                      </pic:pic>
                      <pic:pic xmlns:pic="http://schemas.openxmlformats.org/drawingml/2006/picture">
                        <pic:nvPicPr>
                          <pic:cNvPr id="54" name="Image 54"/>
                          <pic:cNvPicPr/>
                        </pic:nvPicPr>
                        <pic:blipFill>
                          <a:blip r:embed="rId31" cstate="print"/>
                          <a:stretch>
                            <a:fillRect/>
                          </a:stretch>
                        </pic:blipFill>
                        <pic:spPr>
                          <a:xfrm>
                            <a:off x="3810982" y="2200736"/>
                            <a:ext cx="1354183" cy="309478"/>
                          </a:xfrm>
                          <a:prstGeom prst="rect">
                            <a:avLst/>
                          </a:prstGeom>
                        </pic:spPr>
                      </pic:pic>
                    </wpg:wgp>
                  </a:graphicData>
                </a:graphic>
              </wp:anchor>
            </w:drawing>
          </mc:Choice>
          <mc:Fallback>
            <w:pict>
              <v:group w14:anchorId="11FA3DCA" id="Group 52" o:spid="_x0000_s1026" alt="Map of Massachusetts - BIDMC vs DFCI &amp; BWH Combined 2022 Commercial Inpatient Oncology Primary Service Areas" style="position:absolute;margin-left:87.75pt;margin-top:7.1pt;width:406.75pt;height:370.4pt;z-index:-251666432;mso-wrap-distance-left:0;mso-wrap-distance-right:0;mso-position-horizontal-relative:page" coordsize="51657,470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">
                <v:shape id="Image 53" o:spid="_x0000_s1027" type="#_x0000_t75" style="position:absolute;width:47036;height:4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">
                  <v:imagedata r:id="rId32" o:title=""/>
                </v:shape>
                <v:shape id="Image 54" o:spid="_x0000_s1028" type="#_x0000_t75" style="position:absolute;left:38109;top:22007;width:13542;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">
                  <v:imagedata r:id="rId33" o:title=""/>
                </v:shape>
                <w10:wrap type="topAndBottom" anchorx="page"/>
              </v:group>
            </w:pict>
          </mc:Fallback>
        </mc:AlternateContent>
      </w:r>
    </w:p>
    <w:p w14:paraId="1C34E6D4" w14:textId="77777777" w:rsidR="004C558F" w:rsidRDefault="00461887">
      <w:pPr>
        <w:spacing w:before="2"/>
        <w:ind w:left="960"/>
        <w:rPr>
          <w:sz w:val="20"/>
        </w:rPr>
      </w:pPr>
      <w:r>
        <w:rPr>
          <w:sz w:val="20"/>
        </w:rPr>
        <w:t>Source:</w:t>
      </w:r>
      <w:r>
        <w:rPr>
          <w:spacing w:val="-5"/>
          <w:sz w:val="20"/>
        </w:rPr>
        <w:t xml:space="preserve"> </w:t>
      </w:r>
      <w:r>
        <w:rPr>
          <w:sz w:val="20"/>
        </w:rPr>
        <w:t>HPC</w:t>
      </w:r>
      <w:r>
        <w:rPr>
          <w:spacing w:val="-6"/>
          <w:sz w:val="20"/>
        </w:rPr>
        <w:t xml:space="preserve"> </w:t>
      </w:r>
      <w:r>
        <w:rPr>
          <w:sz w:val="20"/>
        </w:rPr>
        <w:t>analysis</w:t>
      </w:r>
      <w:r>
        <w:rPr>
          <w:spacing w:val="-5"/>
          <w:sz w:val="20"/>
        </w:rPr>
        <w:t xml:space="preserve"> </w:t>
      </w:r>
      <w:r>
        <w:rPr>
          <w:sz w:val="20"/>
        </w:rPr>
        <w:t>of</w:t>
      </w:r>
      <w:r>
        <w:rPr>
          <w:spacing w:val="-6"/>
          <w:sz w:val="20"/>
        </w:rPr>
        <w:t xml:space="preserve"> </w:t>
      </w:r>
      <w:r>
        <w:rPr>
          <w:sz w:val="20"/>
        </w:rPr>
        <w:t>2022</w:t>
      </w:r>
      <w:r>
        <w:rPr>
          <w:spacing w:val="-5"/>
          <w:sz w:val="20"/>
        </w:rPr>
        <w:t xml:space="preserve"> </w:t>
      </w:r>
      <w:r>
        <w:rPr>
          <w:sz w:val="20"/>
        </w:rPr>
        <w:t>CHIA</w:t>
      </w:r>
      <w:r>
        <w:rPr>
          <w:spacing w:val="-6"/>
          <w:sz w:val="20"/>
        </w:rPr>
        <w:t xml:space="preserve"> </w:t>
      </w:r>
      <w:r>
        <w:rPr>
          <w:sz w:val="20"/>
        </w:rPr>
        <w:t>hospital</w:t>
      </w:r>
      <w:r>
        <w:rPr>
          <w:spacing w:val="-6"/>
          <w:sz w:val="20"/>
        </w:rPr>
        <w:t xml:space="preserve"> </w:t>
      </w:r>
      <w:r>
        <w:rPr>
          <w:sz w:val="20"/>
        </w:rPr>
        <w:t>discharge</w:t>
      </w:r>
      <w:r>
        <w:rPr>
          <w:spacing w:val="-7"/>
          <w:sz w:val="20"/>
        </w:rPr>
        <w:t xml:space="preserve"> </w:t>
      </w:r>
      <w:r>
        <w:rPr>
          <w:spacing w:val="-4"/>
          <w:sz w:val="20"/>
        </w:rPr>
        <w:t>data</w:t>
      </w:r>
    </w:p>
    <w:p w14:paraId="1C34E6D5" w14:textId="77777777" w:rsidR="004C558F" w:rsidRDefault="00461887">
      <w:pPr>
        <w:spacing w:before="35" w:line="276" w:lineRule="auto"/>
        <w:ind w:left="960" w:right="891" w:hanging="1"/>
        <w:rPr>
          <w:sz w:val="20"/>
        </w:rPr>
      </w:pPr>
      <w:r>
        <w:rPr>
          <w:sz w:val="20"/>
        </w:rPr>
        <w:t>Notes: PSAs include ZIP codes from which the hospitals drew 75% of adult oncology discharges for Massachusetts</w:t>
      </w:r>
      <w:r>
        <w:rPr>
          <w:spacing w:val="-3"/>
          <w:sz w:val="20"/>
        </w:rPr>
        <w:t xml:space="preserve"> </w:t>
      </w:r>
      <w:r>
        <w:rPr>
          <w:sz w:val="20"/>
        </w:rPr>
        <w:t>residents.</w:t>
      </w:r>
      <w:r>
        <w:rPr>
          <w:spacing w:val="-3"/>
          <w:sz w:val="20"/>
        </w:rPr>
        <w:t xml:space="preserve"> </w:t>
      </w:r>
      <w:r>
        <w:rPr>
          <w:sz w:val="20"/>
        </w:rPr>
        <w:t>DFCI+BWH’s</w:t>
      </w:r>
      <w:r>
        <w:rPr>
          <w:spacing w:val="-3"/>
          <w:sz w:val="20"/>
        </w:rPr>
        <w:t xml:space="preserve"> </w:t>
      </w:r>
      <w:r>
        <w:rPr>
          <w:sz w:val="20"/>
        </w:rPr>
        <w:t>combined</w:t>
      </w:r>
      <w:r>
        <w:rPr>
          <w:spacing w:val="-3"/>
          <w:sz w:val="20"/>
        </w:rPr>
        <w:t xml:space="preserve"> </w:t>
      </w:r>
      <w:r>
        <w:rPr>
          <w:sz w:val="20"/>
        </w:rPr>
        <w:t>PSA</w:t>
      </w:r>
      <w:r>
        <w:rPr>
          <w:spacing w:val="-5"/>
          <w:sz w:val="20"/>
        </w:rPr>
        <w:t xml:space="preserve"> </w:t>
      </w:r>
      <w:r>
        <w:rPr>
          <w:sz w:val="20"/>
        </w:rPr>
        <w:t>includes</w:t>
      </w:r>
      <w:r>
        <w:rPr>
          <w:spacing w:val="-3"/>
          <w:sz w:val="20"/>
        </w:rPr>
        <w:t xml:space="preserve"> </w:t>
      </w:r>
      <w:r>
        <w:rPr>
          <w:sz w:val="20"/>
        </w:rPr>
        <w:t>all</w:t>
      </w:r>
      <w:r>
        <w:rPr>
          <w:spacing w:val="-4"/>
          <w:sz w:val="20"/>
        </w:rPr>
        <w:t xml:space="preserve"> </w:t>
      </w:r>
      <w:r>
        <w:rPr>
          <w:sz w:val="20"/>
        </w:rPr>
        <w:t>zip</w:t>
      </w:r>
      <w:r>
        <w:rPr>
          <w:spacing w:val="-5"/>
          <w:sz w:val="20"/>
        </w:rPr>
        <w:t xml:space="preserve"> </w:t>
      </w:r>
      <w:r>
        <w:rPr>
          <w:sz w:val="20"/>
        </w:rPr>
        <w:t>codes</w:t>
      </w:r>
      <w:r>
        <w:rPr>
          <w:spacing w:val="-3"/>
          <w:sz w:val="20"/>
        </w:rPr>
        <w:t xml:space="preserve"> </w:t>
      </w:r>
      <w:r>
        <w:rPr>
          <w:sz w:val="20"/>
        </w:rPr>
        <w:t>in</w:t>
      </w:r>
      <w:r>
        <w:rPr>
          <w:spacing w:val="-4"/>
          <w:sz w:val="20"/>
        </w:rPr>
        <w:t xml:space="preserve"> </w:t>
      </w:r>
      <w:r>
        <w:rPr>
          <w:sz w:val="20"/>
        </w:rPr>
        <w:t>BIDMC’s</w:t>
      </w:r>
      <w:r>
        <w:rPr>
          <w:spacing w:val="-3"/>
          <w:sz w:val="20"/>
        </w:rPr>
        <w:t xml:space="preserve"> </w:t>
      </w:r>
      <w:r>
        <w:rPr>
          <w:sz w:val="20"/>
        </w:rPr>
        <w:t>PSA</w:t>
      </w:r>
      <w:r>
        <w:rPr>
          <w:spacing w:val="-5"/>
          <w:sz w:val="20"/>
        </w:rPr>
        <w:t xml:space="preserve"> </w:t>
      </w:r>
      <w:r>
        <w:rPr>
          <w:sz w:val="20"/>
        </w:rPr>
        <w:t>except</w:t>
      </w:r>
      <w:r>
        <w:rPr>
          <w:spacing w:val="-3"/>
          <w:sz w:val="20"/>
        </w:rPr>
        <w:t xml:space="preserve"> </w:t>
      </w:r>
      <w:r>
        <w:rPr>
          <w:sz w:val="20"/>
        </w:rPr>
        <w:t>01922 and 01969.</w:t>
      </w:r>
    </w:p>
    <w:p w14:paraId="1C34E6D6" w14:textId="77777777" w:rsidR="004C558F" w:rsidRDefault="004C558F">
      <w:pPr>
        <w:pStyle w:val="BodyText"/>
        <w:rPr>
          <w:sz w:val="20"/>
        </w:rPr>
      </w:pPr>
    </w:p>
    <w:p w14:paraId="1C34E6D7" w14:textId="77777777" w:rsidR="004C558F" w:rsidRDefault="004C558F">
      <w:pPr>
        <w:pStyle w:val="BodyText"/>
        <w:rPr>
          <w:sz w:val="20"/>
        </w:rPr>
      </w:pPr>
    </w:p>
    <w:p w14:paraId="1C34E6D8" w14:textId="77777777" w:rsidR="004C558F" w:rsidRDefault="004C558F">
      <w:pPr>
        <w:pStyle w:val="BodyText"/>
        <w:rPr>
          <w:sz w:val="20"/>
        </w:rPr>
      </w:pPr>
    </w:p>
    <w:p w14:paraId="1C34E6D9" w14:textId="384AD7E4" w:rsidR="004C558F" w:rsidRDefault="004C558F">
      <w:pPr>
        <w:pStyle w:val="BodyText"/>
        <w:spacing w:before="162"/>
        <w:rPr>
          <w:sz w:val="20"/>
        </w:rPr>
      </w:pPr>
    </w:p>
    <w:p w14:paraId="1C34E6DB" w14:textId="77777777" w:rsidR="004C558F" w:rsidRDefault="004C558F">
      <w:pPr>
        <w:rPr>
          <w:sz w:val="20"/>
        </w:rPr>
        <w:sectPr w:rsidR="004C558F">
          <w:pgSz w:w="12240" w:h="15840"/>
          <w:pgMar w:top="1360" w:right="740" w:bottom="720" w:left="480" w:header="0" w:footer="521" w:gutter="0"/>
          <w:cols w:space="720"/>
        </w:sectPr>
      </w:pPr>
      <w:bookmarkStart w:id="95" w:name="_bookmark123"/>
      <w:bookmarkEnd w:id="95"/>
    </w:p>
    <w:p w14:paraId="1C34E6DC" w14:textId="77777777" w:rsidR="004C558F" w:rsidRDefault="00461887">
      <w:pPr>
        <w:pStyle w:val="Heading3"/>
        <w:numPr>
          <w:ilvl w:val="2"/>
          <w:numId w:val="16"/>
        </w:numPr>
        <w:tabs>
          <w:tab w:val="left" w:pos="958"/>
          <w:tab w:val="left" w:pos="960"/>
        </w:tabs>
        <w:spacing w:before="77" w:line="242" w:lineRule="auto"/>
        <w:ind w:left="960" w:right="969" w:hanging="361"/>
        <w:jc w:val="both"/>
        <w:rPr>
          <w:color w:val="042339"/>
        </w:rPr>
      </w:pPr>
      <w:bookmarkStart w:id="96" w:name="2._MGB_(in_conjunction_with_DFCI)_and_BI"/>
      <w:bookmarkEnd w:id="96"/>
      <w:r>
        <w:rPr>
          <w:color w:val="042339"/>
        </w:rPr>
        <w:lastRenderedPageBreak/>
        <w:t>MGB</w:t>
      </w:r>
      <w:r>
        <w:rPr>
          <w:color w:val="042339"/>
          <w:spacing w:val="-3"/>
        </w:rPr>
        <w:t xml:space="preserve"> </w:t>
      </w:r>
      <w:r>
        <w:rPr>
          <w:color w:val="042339"/>
        </w:rPr>
        <w:t>(in</w:t>
      </w:r>
      <w:r>
        <w:rPr>
          <w:color w:val="042339"/>
          <w:spacing w:val="-2"/>
        </w:rPr>
        <w:t xml:space="preserve"> </w:t>
      </w:r>
      <w:r>
        <w:rPr>
          <w:color w:val="042339"/>
        </w:rPr>
        <w:t>conjunction</w:t>
      </w:r>
      <w:r>
        <w:rPr>
          <w:color w:val="042339"/>
          <w:spacing w:val="-2"/>
        </w:rPr>
        <w:t xml:space="preserve"> </w:t>
      </w:r>
      <w:r>
        <w:rPr>
          <w:color w:val="042339"/>
        </w:rPr>
        <w:t>with</w:t>
      </w:r>
      <w:r>
        <w:rPr>
          <w:color w:val="042339"/>
          <w:spacing w:val="-3"/>
        </w:rPr>
        <w:t xml:space="preserve"> </w:t>
      </w:r>
      <w:r>
        <w:rPr>
          <w:color w:val="042339"/>
        </w:rPr>
        <w:t>DFCI)</w:t>
      </w:r>
      <w:r>
        <w:rPr>
          <w:color w:val="042339"/>
          <w:spacing w:val="-3"/>
        </w:rPr>
        <w:t xml:space="preserve"> </w:t>
      </w:r>
      <w:r>
        <w:rPr>
          <w:color w:val="042339"/>
        </w:rPr>
        <w:t>and</w:t>
      </w:r>
      <w:r>
        <w:rPr>
          <w:color w:val="042339"/>
          <w:spacing w:val="-4"/>
        </w:rPr>
        <w:t xml:space="preserve"> </w:t>
      </w:r>
      <w:r>
        <w:rPr>
          <w:color w:val="042339"/>
        </w:rPr>
        <w:t>BILH</w:t>
      </w:r>
      <w:r>
        <w:rPr>
          <w:color w:val="042339"/>
          <w:spacing w:val="-2"/>
        </w:rPr>
        <w:t xml:space="preserve"> </w:t>
      </w:r>
      <w:r>
        <w:rPr>
          <w:color w:val="042339"/>
        </w:rPr>
        <w:t>are</w:t>
      </w:r>
      <w:r>
        <w:rPr>
          <w:color w:val="042339"/>
          <w:spacing w:val="-3"/>
        </w:rPr>
        <w:t xml:space="preserve"> </w:t>
      </w:r>
      <w:r>
        <w:rPr>
          <w:color w:val="042339"/>
        </w:rPr>
        <w:t>the</w:t>
      </w:r>
      <w:r>
        <w:rPr>
          <w:color w:val="042339"/>
          <w:spacing w:val="-3"/>
        </w:rPr>
        <w:t xml:space="preserve"> </w:t>
      </w:r>
      <w:r>
        <w:rPr>
          <w:color w:val="042339"/>
        </w:rPr>
        <w:t>two</w:t>
      </w:r>
      <w:r>
        <w:rPr>
          <w:color w:val="042339"/>
          <w:spacing w:val="-4"/>
        </w:rPr>
        <w:t xml:space="preserve"> </w:t>
      </w:r>
      <w:r>
        <w:rPr>
          <w:color w:val="042339"/>
        </w:rPr>
        <w:t>largest</w:t>
      </w:r>
      <w:r>
        <w:rPr>
          <w:color w:val="042339"/>
          <w:spacing w:val="-1"/>
        </w:rPr>
        <w:t xml:space="preserve"> </w:t>
      </w:r>
      <w:r>
        <w:rPr>
          <w:color w:val="042339"/>
        </w:rPr>
        <w:t>providers</w:t>
      </w:r>
      <w:r>
        <w:rPr>
          <w:color w:val="042339"/>
          <w:spacing w:val="-4"/>
        </w:rPr>
        <w:t xml:space="preserve"> </w:t>
      </w:r>
      <w:r>
        <w:rPr>
          <w:color w:val="042339"/>
        </w:rPr>
        <w:t>of</w:t>
      </w:r>
      <w:r>
        <w:rPr>
          <w:color w:val="042339"/>
          <w:spacing w:val="-4"/>
        </w:rPr>
        <w:t xml:space="preserve"> </w:t>
      </w:r>
      <w:r>
        <w:rPr>
          <w:color w:val="042339"/>
        </w:rPr>
        <w:t>inpatient and</w:t>
      </w:r>
      <w:r>
        <w:rPr>
          <w:color w:val="042339"/>
          <w:spacing w:val="-1"/>
        </w:rPr>
        <w:t xml:space="preserve"> </w:t>
      </w:r>
      <w:r>
        <w:rPr>
          <w:color w:val="042339"/>
        </w:rPr>
        <w:t>outpatient oncology services in their service areas and</w:t>
      </w:r>
      <w:r>
        <w:rPr>
          <w:color w:val="042339"/>
          <w:spacing w:val="-1"/>
        </w:rPr>
        <w:t xml:space="preserve"> </w:t>
      </w:r>
      <w:r>
        <w:rPr>
          <w:color w:val="042339"/>
        </w:rPr>
        <w:t xml:space="preserve">in the Commonwealth </w:t>
      </w:r>
      <w:r>
        <w:rPr>
          <w:color w:val="042339"/>
          <w:spacing w:val="-2"/>
        </w:rPr>
        <w:t>generally.</w:t>
      </w:r>
    </w:p>
    <w:p w14:paraId="1C34E6DD" w14:textId="77777777" w:rsidR="004C558F" w:rsidRDefault="00461887">
      <w:pPr>
        <w:pStyle w:val="BodyText"/>
        <w:spacing w:before="74" w:line="276" w:lineRule="auto"/>
        <w:ind w:left="959" w:right="1092" w:firstLine="720"/>
      </w:pPr>
      <w:r>
        <w:t>Comparisons</w:t>
      </w:r>
      <w:r>
        <w:rPr>
          <w:spacing w:val="-3"/>
        </w:rPr>
        <w:t xml:space="preserve"> </w:t>
      </w:r>
      <w:r>
        <w:t>of</w:t>
      </w:r>
      <w:r>
        <w:rPr>
          <w:spacing w:val="-2"/>
        </w:rPr>
        <w:t xml:space="preserve"> </w:t>
      </w:r>
      <w:r>
        <w:t>providers’</w:t>
      </w:r>
      <w:r>
        <w:rPr>
          <w:spacing w:val="-6"/>
        </w:rPr>
        <w:t xml:space="preserve"> </w:t>
      </w:r>
      <w:r>
        <w:t>market</w:t>
      </w:r>
      <w:r>
        <w:rPr>
          <w:spacing w:val="-4"/>
        </w:rPr>
        <w:t xml:space="preserve"> </w:t>
      </w:r>
      <w:r>
        <w:t>shares</w:t>
      </w:r>
      <w:r>
        <w:rPr>
          <w:spacing w:val="-5"/>
        </w:rPr>
        <w:t xml:space="preserve"> </w:t>
      </w:r>
      <w:r>
        <w:t>show</w:t>
      </w:r>
      <w:r>
        <w:rPr>
          <w:spacing w:val="-4"/>
        </w:rPr>
        <w:t xml:space="preserve"> </w:t>
      </w:r>
      <w:r>
        <w:t>their</w:t>
      </w:r>
      <w:r>
        <w:rPr>
          <w:spacing w:val="-6"/>
        </w:rPr>
        <w:t xml:space="preserve"> </w:t>
      </w:r>
      <w:r>
        <w:t>relative</w:t>
      </w:r>
      <w:r>
        <w:rPr>
          <w:spacing w:val="-3"/>
        </w:rPr>
        <w:t xml:space="preserve"> </w:t>
      </w:r>
      <w:r>
        <w:t>importance</w:t>
      </w:r>
      <w:r>
        <w:rPr>
          <w:spacing w:val="-3"/>
        </w:rPr>
        <w:t xml:space="preserve"> </w:t>
      </w:r>
      <w:r>
        <w:t>to</w:t>
      </w:r>
      <w:r>
        <w:rPr>
          <w:spacing w:val="-5"/>
        </w:rPr>
        <w:t xml:space="preserve"> </w:t>
      </w:r>
      <w:r>
        <w:t>patients</w:t>
      </w:r>
      <w:r>
        <w:rPr>
          <w:spacing w:val="-3"/>
        </w:rPr>
        <w:t xml:space="preserve"> </w:t>
      </w:r>
      <w:r>
        <w:t xml:space="preserve">and the payers that cover those patients. The HPC examined the parties’ market </w:t>
      </w:r>
      <w:proofErr w:type="gramStart"/>
      <w:r>
        <w:t>shares</w:t>
      </w:r>
      <w:proofErr w:type="gramEnd"/>
      <w:r>
        <w:t xml:space="preserve"> both statewide and within their PSAs. Statewide market shares illustrate the parties’ overall importance in Massachusetts, while shares and market concentration in PSAs illustrate the parties’ importance in those areas where most of their patients reside.</w:t>
      </w:r>
    </w:p>
    <w:p w14:paraId="1C34E6DE" w14:textId="77777777" w:rsidR="004C558F" w:rsidRDefault="004C558F">
      <w:pPr>
        <w:pStyle w:val="BodyText"/>
        <w:spacing w:before="116"/>
      </w:pPr>
    </w:p>
    <w:p w14:paraId="1C34E6DF" w14:textId="77777777" w:rsidR="004C558F" w:rsidRDefault="00461887">
      <w:pPr>
        <w:pStyle w:val="ListParagraph"/>
        <w:numPr>
          <w:ilvl w:val="3"/>
          <w:numId w:val="16"/>
        </w:numPr>
        <w:tabs>
          <w:tab w:val="left" w:pos="958"/>
        </w:tabs>
        <w:spacing w:before="1"/>
        <w:ind w:left="958" w:hanging="358"/>
        <w:jc w:val="both"/>
      </w:pPr>
      <w:bookmarkStart w:id="97" w:name="a._Inpatient_Market_Shares"/>
      <w:bookmarkEnd w:id="97"/>
      <w:r>
        <w:rPr>
          <w:color w:val="063656"/>
        </w:rPr>
        <w:t>Inpatient</w:t>
      </w:r>
      <w:r>
        <w:rPr>
          <w:color w:val="063656"/>
          <w:spacing w:val="-5"/>
        </w:rPr>
        <w:t xml:space="preserve"> </w:t>
      </w:r>
      <w:r>
        <w:rPr>
          <w:color w:val="063656"/>
        </w:rPr>
        <w:t>Market</w:t>
      </w:r>
      <w:r>
        <w:rPr>
          <w:color w:val="063656"/>
          <w:spacing w:val="-4"/>
        </w:rPr>
        <w:t xml:space="preserve"> </w:t>
      </w:r>
      <w:r>
        <w:rPr>
          <w:color w:val="063656"/>
          <w:spacing w:val="-2"/>
        </w:rPr>
        <w:t>Shares</w:t>
      </w:r>
    </w:p>
    <w:p w14:paraId="1C34E6E0" w14:textId="1A6509C0" w:rsidR="004C558F" w:rsidRDefault="00461887">
      <w:pPr>
        <w:pStyle w:val="BodyText"/>
        <w:spacing w:before="41" w:line="276" w:lineRule="auto"/>
        <w:ind w:left="959" w:right="1307" w:firstLine="720"/>
        <w:jc w:val="both"/>
        <w:rPr>
          <w:sz w:val="14"/>
        </w:rPr>
      </w:pPr>
      <w:r>
        <w:t>The</w:t>
      </w:r>
      <w:r>
        <w:rPr>
          <w:spacing w:val="-3"/>
        </w:rPr>
        <w:t xml:space="preserve"> </w:t>
      </w:r>
      <w:r>
        <w:t>HPC</w:t>
      </w:r>
      <w:r>
        <w:rPr>
          <w:spacing w:val="-4"/>
        </w:rPr>
        <w:t xml:space="preserve"> </w:t>
      </w:r>
      <w:r>
        <w:t>examined</w:t>
      </w:r>
      <w:r>
        <w:rPr>
          <w:spacing w:val="-2"/>
        </w:rPr>
        <w:t xml:space="preserve"> </w:t>
      </w:r>
      <w:r>
        <w:t>shares</w:t>
      </w:r>
      <w:r>
        <w:rPr>
          <w:spacing w:val="-5"/>
        </w:rPr>
        <w:t xml:space="preserve"> </w:t>
      </w:r>
      <w:r>
        <w:t>of</w:t>
      </w:r>
      <w:r>
        <w:rPr>
          <w:spacing w:val="-2"/>
        </w:rPr>
        <w:t xml:space="preserve"> </w:t>
      </w:r>
      <w:r>
        <w:t>inpatient</w:t>
      </w:r>
      <w:r>
        <w:rPr>
          <w:spacing w:val="-4"/>
        </w:rPr>
        <w:t xml:space="preserve"> </w:t>
      </w:r>
      <w:r>
        <w:t>oncology</w:t>
      </w:r>
      <w:r>
        <w:rPr>
          <w:spacing w:val="-4"/>
        </w:rPr>
        <w:t xml:space="preserve"> </w:t>
      </w:r>
      <w:r>
        <w:t>discharges</w:t>
      </w:r>
      <w:r>
        <w:rPr>
          <w:spacing w:val="-3"/>
        </w:rPr>
        <w:t xml:space="preserve"> </w:t>
      </w:r>
      <w:r>
        <w:t>statewide,</w:t>
      </w:r>
      <w:r>
        <w:rPr>
          <w:spacing w:val="-3"/>
        </w:rPr>
        <w:t xml:space="preserve"> </w:t>
      </w:r>
      <w:r>
        <w:t>in</w:t>
      </w:r>
      <w:r>
        <w:rPr>
          <w:spacing w:val="-5"/>
        </w:rPr>
        <w:t xml:space="preserve"> </w:t>
      </w:r>
      <w:r>
        <w:t>BIDMC’s</w:t>
      </w:r>
      <w:r>
        <w:rPr>
          <w:spacing w:val="-3"/>
        </w:rPr>
        <w:t xml:space="preserve"> </w:t>
      </w:r>
      <w:r>
        <w:t>PSA, and</w:t>
      </w:r>
      <w:r>
        <w:rPr>
          <w:spacing w:val="-14"/>
        </w:rPr>
        <w:t xml:space="preserve"> </w:t>
      </w:r>
      <w:r>
        <w:t>in</w:t>
      </w:r>
      <w:r>
        <w:rPr>
          <w:spacing w:val="-10"/>
        </w:rPr>
        <w:t xml:space="preserve"> </w:t>
      </w:r>
      <w:r>
        <w:t>the</w:t>
      </w:r>
      <w:r>
        <w:rPr>
          <w:spacing w:val="-2"/>
        </w:rPr>
        <w:t xml:space="preserve"> </w:t>
      </w:r>
      <w:r>
        <w:t>combined PSA</w:t>
      </w:r>
      <w:r>
        <w:rPr>
          <w:spacing w:val="-1"/>
        </w:rPr>
        <w:t xml:space="preserve"> </w:t>
      </w:r>
      <w:r>
        <w:t>of</w:t>
      </w:r>
      <w:r>
        <w:rPr>
          <w:spacing w:val="-2"/>
        </w:rPr>
        <w:t xml:space="preserve"> </w:t>
      </w:r>
      <w:r>
        <w:t>DFCI</w:t>
      </w:r>
      <w:r>
        <w:rPr>
          <w:spacing w:val="-3"/>
        </w:rPr>
        <w:t xml:space="preserve"> </w:t>
      </w:r>
      <w:r>
        <w:t>and BWH.</w:t>
      </w:r>
      <w:r>
        <w:rPr>
          <w:spacing w:val="-14"/>
        </w:rPr>
        <w:t xml:space="preserve"> </w:t>
      </w:r>
      <w:r w:rsidR="006D4E93">
        <w:rPr>
          <w:rStyle w:val="FootnoteReference"/>
          <w:spacing w:val="-14"/>
        </w:rPr>
        <w:footnoteReference w:id="104"/>
      </w:r>
      <w:r>
        <w:t>Figure III.A.2 shows</w:t>
      </w:r>
      <w:r>
        <w:rPr>
          <w:spacing w:val="-2"/>
        </w:rPr>
        <w:t xml:space="preserve"> </w:t>
      </w:r>
      <w:r>
        <w:t>shares of adult</w:t>
      </w:r>
      <w:r>
        <w:rPr>
          <w:spacing w:val="-1"/>
        </w:rPr>
        <w:t xml:space="preserve"> </w:t>
      </w:r>
      <w:r>
        <w:t>commercial oncology discharges in each PSA, separated by medical and</w:t>
      </w:r>
      <w:r>
        <w:rPr>
          <w:spacing w:val="-1"/>
        </w:rPr>
        <w:t xml:space="preserve"> </w:t>
      </w:r>
      <w:r>
        <w:t>surgical oncology</w:t>
      </w:r>
      <w:r>
        <w:rPr>
          <w:spacing w:val="-2"/>
        </w:rPr>
        <w:t xml:space="preserve"> </w:t>
      </w:r>
      <w:r>
        <w:t>service lines.</w:t>
      </w:r>
      <w:r>
        <w:rPr>
          <w:spacing w:val="-36"/>
        </w:rPr>
        <w:t xml:space="preserve"> </w:t>
      </w:r>
      <w:r w:rsidR="00EC4F46">
        <w:rPr>
          <w:rStyle w:val="FootnoteReference"/>
          <w:spacing w:val="-36"/>
        </w:rPr>
        <w:footnoteReference w:id="105"/>
      </w:r>
    </w:p>
    <w:p w14:paraId="1C34E6E1" w14:textId="77777777" w:rsidR="004C558F" w:rsidRDefault="004C558F">
      <w:pPr>
        <w:pStyle w:val="BodyText"/>
        <w:spacing w:before="37"/>
      </w:pPr>
    </w:p>
    <w:p w14:paraId="1C34E6E2" w14:textId="77777777" w:rsidR="004C558F" w:rsidRDefault="00461887">
      <w:pPr>
        <w:pStyle w:val="BodyText"/>
        <w:spacing w:after="36"/>
        <w:ind w:right="7"/>
        <w:jc w:val="center"/>
      </w:pPr>
      <w:r>
        <w:t>Figure</w:t>
      </w:r>
      <w:r>
        <w:rPr>
          <w:spacing w:val="-6"/>
        </w:rPr>
        <w:t xml:space="preserve"> </w:t>
      </w:r>
      <w:r>
        <w:t>III.A.2:</w:t>
      </w:r>
      <w:r>
        <w:rPr>
          <w:spacing w:val="-5"/>
        </w:rPr>
        <w:t xml:space="preserve"> </w:t>
      </w:r>
      <w:r>
        <w:t>2022</w:t>
      </w:r>
      <w:r>
        <w:rPr>
          <w:spacing w:val="-3"/>
        </w:rPr>
        <w:t xml:space="preserve"> </w:t>
      </w:r>
      <w:r>
        <w:t>Commercial</w:t>
      </w:r>
      <w:r>
        <w:rPr>
          <w:spacing w:val="-5"/>
        </w:rPr>
        <w:t xml:space="preserve"> </w:t>
      </w:r>
      <w:r>
        <w:t>Shares</w:t>
      </w:r>
      <w:r>
        <w:rPr>
          <w:spacing w:val="-3"/>
        </w:rPr>
        <w:t xml:space="preserve"> </w:t>
      </w:r>
      <w:r>
        <w:t>of</w:t>
      </w:r>
      <w:r>
        <w:rPr>
          <w:spacing w:val="-6"/>
        </w:rPr>
        <w:t xml:space="preserve"> </w:t>
      </w:r>
      <w:r>
        <w:t>Inpatient</w:t>
      </w:r>
      <w:r>
        <w:rPr>
          <w:spacing w:val="-6"/>
        </w:rPr>
        <w:t xml:space="preserve"> </w:t>
      </w:r>
      <w:r>
        <w:t>Oncology</w:t>
      </w:r>
      <w:r>
        <w:rPr>
          <w:spacing w:val="-4"/>
        </w:rPr>
        <w:t xml:space="preserve"> </w:t>
      </w:r>
      <w:r>
        <w:rPr>
          <w:spacing w:val="-2"/>
        </w:rPr>
        <w:t>Services</w:t>
      </w:r>
    </w:p>
    <w:tbl>
      <w:tblPr>
        <w:tblW w:w="0" w:type="auto"/>
        <w:tblInd w:w="96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3435"/>
        <w:gridCol w:w="1001"/>
        <w:gridCol w:w="1260"/>
        <w:gridCol w:w="1080"/>
        <w:gridCol w:w="990"/>
        <w:gridCol w:w="1080"/>
        <w:gridCol w:w="1084"/>
      </w:tblGrid>
      <w:tr w:rsidR="004C558F" w14:paraId="1C34E6EF" w14:textId="77777777" w:rsidTr="00E437D1">
        <w:trPr>
          <w:cantSplit/>
          <w:trHeight w:val="873"/>
          <w:tblHeader/>
        </w:trPr>
        <w:tc>
          <w:tcPr>
            <w:tcW w:w="3435" w:type="dxa"/>
            <w:shd w:val="clear" w:color="auto" w:fill="084875"/>
          </w:tcPr>
          <w:p w14:paraId="1C34E6E7" w14:textId="77777777" w:rsidR="004C558F" w:rsidRDefault="00461887">
            <w:pPr>
              <w:pStyle w:val="TableParagraph"/>
              <w:spacing w:before="0" w:line="249" w:lineRule="exact"/>
              <w:ind w:left="933"/>
              <w:jc w:val="left"/>
              <w:rPr>
                <w:rFonts w:ascii="Franklin Gothic Medium Cond"/>
              </w:rPr>
            </w:pPr>
            <w:r>
              <w:rPr>
                <w:rFonts w:ascii="Franklin Gothic Medium Cond"/>
                <w:color w:val="FFFFFF"/>
                <w:spacing w:val="-2"/>
              </w:rPr>
              <w:t>Hospital/System</w:t>
            </w:r>
          </w:p>
        </w:tc>
        <w:tc>
          <w:tcPr>
            <w:tcW w:w="1001" w:type="dxa"/>
            <w:shd w:val="clear" w:color="auto" w:fill="084875"/>
          </w:tcPr>
          <w:p w14:paraId="213DF200" w14:textId="6079A9D6" w:rsidR="00CE26F8" w:rsidRPr="003F4323" w:rsidRDefault="00CE26F8">
            <w:pPr>
              <w:pStyle w:val="TableParagraph"/>
              <w:spacing w:before="0" w:line="249" w:lineRule="exact"/>
              <w:ind w:left="273"/>
              <w:jc w:val="left"/>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5"/>
                <w:sz w:val="18"/>
                <w:szCs w:val="18"/>
              </w:rPr>
              <w:t xml:space="preserve"> </w:t>
            </w:r>
            <w:r w:rsidRPr="003F4323">
              <w:rPr>
                <w:rFonts w:ascii="Franklin Gothic Medium Cond"/>
                <w:color w:val="FFFFFF"/>
                <w:sz w:val="18"/>
                <w:szCs w:val="18"/>
              </w:rPr>
              <w:t>of</w:t>
            </w:r>
            <w:r w:rsidRPr="003F4323">
              <w:rPr>
                <w:rFonts w:ascii="Franklin Gothic Medium Cond"/>
                <w:color w:val="FFFFFF"/>
                <w:spacing w:val="-2"/>
                <w:sz w:val="18"/>
                <w:szCs w:val="18"/>
              </w:rPr>
              <w:t xml:space="preserve"> </w:t>
            </w:r>
            <w:r w:rsidRPr="003F4323">
              <w:rPr>
                <w:rFonts w:ascii="Franklin Gothic Medium Cond"/>
                <w:color w:val="FFFFFF"/>
                <w:sz w:val="18"/>
                <w:szCs w:val="18"/>
              </w:rPr>
              <w:t>medical</w:t>
            </w:r>
            <w:r w:rsidRPr="003F4323">
              <w:rPr>
                <w:rFonts w:ascii="Franklin Gothic Medium Cond"/>
                <w:color w:val="FFFFFF"/>
                <w:spacing w:val="-5"/>
                <w:sz w:val="18"/>
                <w:szCs w:val="18"/>
              </w:rPr>
              <w:t xml:space="preserve"> </w:t>
            </w:r>
            <w:r w:rsidRPr="003F4323">
              <w:rPr>
                <w:rFonts w:ascii="Franklin Gothic Medium Cond"/>
                <w:color w:val="FFFFFF"/>
                <w:sz w:val="18"/>
                <w:szCs w:val="18"/>
              </w:rPr>
              <w:t>oncology</w:t>
            </w:r>
            <w:r w:rsidRPr="003F4323">
              <w:rPr>
                <w:rFonts w:ascii="Franklin Gothic Medium Cond"/>
                <w:color w:val="FFFFFF"/>
                <w:spacing w:val="-4"/>
                <w:sz w:val="18"/>
                <w:szCs w:val="18"/>
              </w:rPr>
              <w:t xml:space="preserve"> </w:t>
            </w:r>
            <w:r w:rsidRPr="003F4323">
              <w:rPr>
                <w:rFonts w:ascii="Franklin Gothic Medium Cond"/>
                <w:color w:val="FFFFFF"/>
                <w:spacing w:val="-2"/>
                <w:sz w:val="18"/>
                <w:szCs w:val="18"/>
              </w:rPr>
              <w:t>discharges</w:t>
            </w:r>
          </w:p>
          <w:p w14:paraId="51FC839F" w14:textId="77777777" w:rsidR="00CE26F8" w:rsidRPr="003F4323" w:rsidRDefault="00CE26F8">
            <w:pPr>
              <w:pStyle w:val="TableParagraph"/>
              <w:spacing w:before="0" w:line="249" w:lineRule="exact"/>
              <w:ind w:left="273"/>
              <w:jc w:val="left"/>
              <w:rPr>
                <w:rFonts w:ascii="Franklin Gothic Medium Cond"/>
                <w:color w:val="FFFFFF"/>
                <w:spacing w:val="-2"/>
                <w:sz w:val="18"/>
                <w:szCs w:val="18"/>
              </w:rPr>
            </w:pPr>
          </w:p>
          <w:p w14:paraId="1C34E6E8" w14:textId="24E28611" w:rsidR="004C558F" w:rsidRPr="003F4323" w:rsidRDefault="00461887">
            <w:pPr>
              <w:pStyle w:val="TableParagraph"/>
              <w:spacing w:before="0" w:line="249" w:lineRule="exact"/>
              <w:ind w:left="273"/>
              <w:jc w:val="left"/>
              <w:rPr>
                <w:rFonts w:ascii="Franklin Gothic Medium Cond"/>
                <w:sz w:val="18"/>
                <w:szCs w:val="18"/>
              </w:rPr>
            </w:pPr>
            <w:r w:rsidRPr="003F4323">
              <w:rPr>
                <w:rFonts w:ascii="Franklin Gothic Medium Cond"/>
                <w:color w:val="FFFFFF"/>
                <w:spacing w:val="-2"/>
                <w:sz w:val="18"/>
                <w:szCs w:val="18"/>
              </w:rPr>
              <w:t>Statewide</w:t>
            </w:r>
          </w:p>
        </w:tc>
        <w:tc>
          <w:tcPr>
            <w:tcW w:w="1260" w:type="dxa"/>
            <w:shd w:val="clear" w:color="auto" w:fill="084875"/>
          </w:tcPr>
          <w:p w14:paraId="73A01298" w14:textId="602BC521" w:rsidR="00CE26F8" w:rsidRPr="003F4323" w:rsidRDefault="00CE26F8">
            <w:pPr>
              <w:pStyle w:val="TableParagraph"/>
              <w:spacing w:before="0" w:line="276" w:lineRule="auto"/>
              <w:ind w:left="334" w:right="201" w:hanging="120"/>
              <w:jc w:val="left"/>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5"/>
                <w:sz w:val="18"/>
                <w:szCs w:val="18"/>
              </w:rPr>
              <w:t xml:space="preserve"> </w:t>
            </w:r>
            <w:r w:rsidRPr="003F4323">
              <w:rPr>
                <w:rFonts w:ascii="Franklin Gothic Medium Cond"/>
                <w:color w:val="FFFFFF"/>
                <w:sz w:val="18"/>
                <w:szCs w:val="18"/>
              </w:rPr>
              <w:t>of</w:t>
            </w:r>
            <w:r w:rsidRPr="003F4323">
              <w:rPr>
                <w:rFonts w:ascii="Franklin Gothic Medium Cond"/>
                <w:color w:val="FFFFFF"/>
                <w:spacing w:val="-2"/>
                <w:sz w:val="18"/>
                <w:szCs w:val="18"/>
              </w:rPr>
              <w:t xml:space="preserve"> </w:t>
            </w:r>
            <w:r w:rsidRPr="003F4323">
              <w:rPr>
                <w:rFonts w:ascii="Franklin Gothic Medium Cond"/>
                <w:color w:val="FFFFFF"/>
                <w:sz w:val="18"/>
                <w:szCs w:val="18"/>
              </w:rPr>
              <w:t>medical</w:t>
            </w:r>
            <w:r w:rsidRPr="003F4323">
              <w:rPr>
                <w:rFonts w:ascii="Franklin Gothic Medium Cond"/>
                <w:color w:val="FFFFFF"/>
                <w:spacing w:val="-5"/>
                <w:sz w:val="18"/>
                <w:szCs w:val="18"/>
              </w:rPr>
              <w:t xml:space="preserve"> </w:t>
            </w:r>
            <w:r w:rsidRPr="003F4323">
              <w:rPr>
                <w:rFonts w:ascii="Franklin Gothic Medium Cond"/>
                <w:color w:val="FFFFFF"/>
                <w:sz w:val="18"/>
                <w:szCs w:val="18"/>
              </w:rPr>
              <w:t>oncology</w:t>
            </w:r>
            <w:r w:rsidRPr="003F4323">
              <w:rPr>
                <w:rFonts w:ascii="Franklin Gothic Medium Cond"/>
                <w:color w:val="FFFFFF"/>
                <w:spacing w:val="-4"/>
                <w:sz w:val="18"/>
                <w:szCs w:val="18"/>
              </w:rPr>
              <w:t xml:space="preserve"> </w:t>
            </w:r>
            <w:r w:rsidRPr="003F4323">
              <w:rPr>
                <w:rFonts w:ascii="Franklin Gothic Medium Cond"/>
                <w:color w:val="FFFFFF"/>
                <w:spacing w:val="-2"/>
                <w:sz w:val="18"/>
                <w:szCs w:val="18"/>
              </w:rPr>
              <w:t>discharges</w:t>
            </w:r>
          </w:p>
          <w:p w14:paraId="28B5C3F8" w14:textId="77777777" w:rsidR="00CE26F8" w:rsidRPr="003F4323" w:rsidRDefault="00CE26F8">
            <w:pPr>
              <w:pStyle w:val="TableParagraph"/>
              <w:spacing w:before="0" w:line="276" w:lineRule="auto"/>
              <w:ind w:left="334" w:right="201" w:hanging="120"/>
              <w:jc w:val="left"/>
              <w:rPr>
                <w:rFonts w:ascii="Franklin Gothic Medium Cond"/>
                <w:color w:val="FFFFFF"/>
                <w:spacing w:val="-2"/>
                <w:sz w:val="18"/>
                <w:szCs w:val="18"/>
              </w:rPr>
            </w:pPr>
          </w:p>
          <w:p w14:paraId="1C34E6E9" w14:textId="446862B8" w:rsidR="004C558F" w:rsidRPr="003F4323" w:rsidRDefault="00461887">
            <w:pPr>
              <w:pStyle w:val="TableParagraph"/>
              <w:spacing w:before="0" w:line="276" w:lineRule="auto"/>
              <w:ind w:left="334" w:right="201" w:hanging="120"/>
              <w:jc w:val="left"/>
              <w:rPr>
                <w:rFonts w:ascii="Franklin Gothic Medium Cond"/>
                <w:sz w:val="18"/>
                <w:szCs w:val="18"/>
              </w:rPr>
            </w:pPr>
            <w:r w:rsidRPr="003F4323">
              <w:rPr>
                <w:rFonts w:ascii="Franklin Gothic Medium Cond"/>
                <w:color w:val="FFFFFF"/>
                <w:spacing w:val="-2"/>
                <w:sz w:val="18"/>
                <w:szCs w:val="18"/>
              </w:rPr>
              <w:t>BIDMC</w:t>
            </w:r>
            <w:r w:rsidRPr="003F4323">
              <w:rPr>
                <w:rFonts w:ascii="Franklin Gothic Medium Cond"/>
                <w:color w:val="FFFFFF"/>
                <w:sz w:val="18"/>
                <w:szCs w:val="18"/>
              </w:rPr>
              <w:t xml:space="preserve"> </w:t>
            </w:r>
            <w:r w:rsidRPr="003F4323">
              <w:rPr>
                <w:rFonts w:ascii="Franklin Gothic Medium Cond"/>
                <w:color w:val="FFFFFF"/>
                <w:spacing w:val="-4"/>
                <w:sz w:val="18"/>
                <w:szCs w:val="18"/>
              </w:rPr>
              <w:t>PSA</w:t>
            </w:r>
          </w:p>
        </w:tc>
        <w:tc>
          <w:tcPr>
            <w:tcW w:w="1080" w:type="dxa"/>
            <w:shd w:val="clear" w:color="auto" w:fill="084875"/>
          </w:tcPr>
          <w:p w14:paraId="7B922CB6" w14:textId="4083C4FA" w:rsidR="00CE26F8" w:rsidRPr="003F4323" w:rsidRDefault="00CE26F8">
            <w:pPr>
              <w:pStyle w:val="TableParagraph"/>
              <w:spacing w:before="0" w:line="276" w:lineRule="auto"/>
              <w:ind w:left="159" w:right="137" w:firstLine="134"/>
              <w:jc w:val="left"/>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5"/>
                <w:sz w:val="18"/>
                <w:szCs w:val="18"/>
              </w:rPr>
              <w:t xml:space="preserve"> </w:t>
            </w:r>
            <w:r w:rsidRPr="003F4323">
              <w:rPr>
                <w:rFonts w:ascii="Franklin Gothic Medium Cond"/>
                <w:color w:val="FFFFFF"/>
                <w:sz w:val="18"/>
                <w:szCs w:val="18"/>
              </w:rPr>
              <w:t>of</w:t>
            </w:r>
            <w:r w:rsidRPr="003F4323">
              <w:rPr>
                <w:rFonts w:ascii="Franklin Gothic Medium Cond"/>
                <w:color w:val="FFFFFF"/>
                <w:spacing w:val="-2"/>
                <w:sz w:val="18"/>
                <w:szCs w:val="18"/>
              </w:rPr>
              <w:t xml:space="preserve"> </w:t>
            </w:r>
            <w:r w:rsidRPr="003F4323">
              <w:rPr>
                <w:rFonts w:ascii="Franklin Gothic Medium Cond"/>
                <w:color w:val="FFFFFF"/>
                <w:sz w:val="18"/>
                <w:szCs w:val="18"/>
              </w:rPr>
              <w:t>medical</w:t>
            </w:r>
            <w:r w:rsidRPr="003F4323">
              <w:rPr>
                <w:rFonts w:ascii="Franklin Gothic Medium Cond"/>
                <w:color w:val="FFFFFF"/>
                <w:spacing w:val="-5"/>
                <w:sz w:val="18"/>
                <w:szCs w:val="18"/>
              </w:rPr>
              <w:t xml:space="preserve"> </w:t>
            </w:r>
            <w:r w:rsidRPr="003F4323">
              <w:rPr>
                <w:rFonts w:ascii="Franklin Gothic Medium Cond"/>
                <w:color w:val="FFFFFF"/>
                <w:sz w:val="18"/>
                <w:szCs w:val="18"/>
              </w:rPr>
              <w:t>oncology</w:t>
            </w:r>
            <w:r w:rsidRPr="003F4323">
              <w:rPr>
                <w:rFonts w:ascii="Franklin Gothic Medium Cond"/>
                <w:color w:val="FFFFFF"/>
                <w:spacing w:val="-4"/>
                <w:sz w:val="18"/>
                <w:szCs w:val="18"/>
              </w:rPr>
              <w:t xml:space="preserve"> </w:t>
            </w:r>
            <w:r w:rsidRPr="003F4323">
              <w:rPr>
                <w:rFonts w:ascii="Franklin Gothic Medium Cond"/>
                <w:color w:val="FFFFFF"/>
                <w:spacing w:val="-2"/>
                <w:sz w:val="18"/>
                <w:szCs w:val="18"/>
              </w:rPr>
              <w:t>discharges</w:t>
            </w:r>
          </w:p>
          <w:p w14:paraId="351D4F9B" w14:textId="77777777" w:rsidR="00CE26F8" w:rsidRPr="003F4323" w:rsidRDefault="00CE26F8">
            <w:pPr>
              <w:pStyle w:val="TableParagraph"/>
              <w:spacing w:before="0" w:line="276" w:lineRule="auto"/>
              <w:ind w:left="159" w:right="137" w:firstLine="134"/>
              <w:jc w:val="left"/>
              <w:rPr>
                <w:rFonts w:ascii="Franklin Gothic Medium Cond"/>
                <w:color w:val="FFFFFF"/>
                <w:spacing w:val="-2"/>
                <w:sz w:val="18"/>
                <w:szCs w:val="18"/>
              </w:rPr>
            </w:pPr>
          </w:p>
          <w:p w14:paraId="1C34E6EA" w14:textId="31CA3343" w:rsidR="004C558F" w:rsidRPr="003F4323" w:rsidRDefault="00461887">
            <w:pPr>
              <w:pStyle w:val="TableParagraph"/>
              <w:spacing w:before="0" w:line="276" w:lineRule="auto"/>
              <w:ind w:left="159" w:right="137" w:firstLine="134"/>
              <w:jc w:val="left"/>
              <w:rPr>
                <w:rFonts w:ascii="Franklin Gothic Medium Cond"/>
                <w:sz w:val="18"/>
                <w:szCs w:val="18"/>
              </w:rPr>
            </w:pPr>
            <w:r w:rsidRPr="003F4323">
              <w:rPr>
                <w:rFonts w:ascii="Franklin Gothic Medium Cond"/>
                <w:color w:val="FFFFFF"/>
                <w:spacing w:val="-2"/>
                <w:sz w:val="18"/>
                <w:szCs w:val="18"/>
              </w:rPr>
              <w:t>DFCI/</w:t>
            </w:r>
            <w:r w:rsidRPr="003F4323">
              <w:rPr>
                <w:rFonts w:ascii="Franklin Gothic Medium Cond"/>
                <w:color w:val="FFFFFF"/>
                <w:sz w:val="18"/>
                <w:szCs w:val="18"/>
              </w:rPr>
              <w:t xml:space="preserve"> BWH</w:t>
            </w:r>
            <w:r w:rsidRPr="003F4323">
              <w:rPr>
                <w:rFonts w:ascii="Franklin Gothic Medium Cond"/>
                <w:color w:val="FFFFFF"/>
                <w:spacing w:val="-11"/>
                <w:sz w:val="18"/>
                <w:szCs w:val="18"/>
              </w:rPr>
              <w:t xml:space="preserve"> </w:t>
            </w:r>
            <w:r w:rsidRPr="003F4323">
              <w:rPr>
                <w:rFonts w:ascii="Franklin Gothic Medium Cond"/>
                <w:color w:val="FFFFFF"/>
                <w:sz w:val="18"/>
                <w:szCs w:val="18"/>
              </w:rPr>
              <w:t>PSA</w:t>
            </w:r>
          </w:p>
        </w:tc>
        <w:tc>
          <w:tcPr>
            <w:tcW w:w="990" w:type="dxa"/>
            <w:shd w:val="clear" w:color="auto" w:fill="084875"/>
          </w:tcPr>
          <w:p w14:paraId="1891C906" w14:textId="2BD9A6E6" w:rsidR="00CE26F8" w:rsidRPr="003F4323" w:rsidRDefault="00CE26F8">
            <w:pPr>
              <w:pStyle w:val="TableParagraph"/>
              <w:spacing w:before="0" w:line="249" w:lineRule="exact"/>
              <w:ind w:right="129"/>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11"/>
                <w:sz w:val="18"/>
                <w:szCs w:val="18"/>
              </w:rPr>
              <w:t xml:space="preserve"> </w:t>
            </w:r>
            <w:r w:rsidRPr="003F4323">
              <w:rPr>
                <w:rFonts w:ascii="Franklin Gothic Medium Cond"/>
                <w:color w:val="FFFFFF"/>
                <w:sz w:val="18"/>
                <w:szCs w:val="18"/>
              </w:rPr>
              <w:t>of</w:t>
            </w:r>
            <w:r w:rsidRPr="003F4323">
              <w:rPr>
                <w:rFonts w:ascii="Franklin Gothic Medium Cond"/>
                <w:color w:val="FFFFFF"/>
                <w:spacing w:val="-10"/>
                <w:sz w:val="18"/>
                <w:szCs w:val="18"/>
              </w:rPr>
              <w:t xml:space="preserve"> </w:t>
            </w:r>
            <w:r w:rsidRPr="003F4323">
              <w:rPr>
                <w:rFonts w:ascii="Franklin Gothic Medium Cond"/>
                <w:color w:val="FFFFFF"/>
                <w:sz w:val="18"/>
                <w:szCs w:val="18"/>
              </w:rPr>
              <w:t>surgical</w:t>
            </w:r>
            <w:r w:rsidRPr="003F4323">
              <w:rPr>
                <w:rFonts w:ascii="Franklin Gothic Medium Cond"/>
                <w:color w:val="FFFFFF"/>
                <w:spacing w:val="-10"/>
                <w:sz w:val="18"/>
                <w:szCs w:val="18"/>
              </w:rPr>
              <w:t xml:space="preserve"> </w:t>
            </w:r>
            <w:r w:rsidRPr="003F4323">
              <w:rPr>
                <w:rFonts w:ascii="Franklin Gothic Medium Cond"/>
                <w:color w:val="FFFFFF"/>
                <w:sz w:val="18"/>
                <w:szCs w:val="18"/>
              </w:rPr>
              <w:t xml:space="preserve">oncology </w:t>
            </w:r>
            <w:r w:rsidRPr="003F4323">
              <w:rPr>
                <w:rFonts w:ascii="Franklin Gothic Medium Cond"/>
                <w:color w:val="FFFFFF"/>
                <w:spacing w:val="-2"/>
                <w:sz w:val="18"/>
                <w:szCs w:val="18"/>
              </w:rPr>
              <w:t>discharges</w:t>
            </w:r>
          </w:p>
          <w:p w14:paraId="776DA6C0" w14:textId="77777777" w:rsidR="00CE26F8" w:rsidRPr="003F4323" w:rsidRDefault="00CE26F8">
            <w:pPr>
              <w:pStyle w:val="TableParagraph"/>
              <w:spacing w:before="0" w:line="249" w:lineRule="exact"/>
              <w:ind w:right="129"/>
              <w:rPr>
                <w:rFonts w:ascii="Franklin Gothic Medium Cond"/>
                <w:color w:val="FFFFFF"/>
                <w:spacing w:val="-2"/>
                <w:sz w:val="18"/>
                <w:szCs w:val="18"/>
              </w:rPr>
            </w:pPr>
          </w:p>
          <w:p w14:paraId="1C34E6EB" w14:textId="1902B977" w:rsidR="004C558F" w:rsidRPr="003F4323" w:rsidRDefault="00461887">
            <w:pPr>
              <w:pStyle w:val="TableParagraph"/>
              <w:spacing w:before="0" w:line="249" w:lineRule="exact"/>
              <w:ind w:right="129"/>
              <w:rPr>
                <w:rFonts w:ascii="Franklin Gothic Medium Cond"/>
                <w:sz w:val="18"/>
                <w:szCs w:val="18"/>
              </w:rPr>
            </w:pPr>
            <w:r w:rsidRPr="003F4323">
              <w:rPr>
                <w:rFonts w:ascii="Franklin Gothic Medium Cond"/>
                <w:color w:val="FFFFFF"/>
                <w:spacing w:val="-2"/>
                <w:sz w:val="18"/>
                <w:szCs w:val="18"/>
              </w:rPr>
              <w:t>Statewide</w:t>
            </w:r>
          </w:p>
        </w:tc>
        <w:tc>
          <w:tcPr>
            <w:tcW w:w="1080" w:type="dxa"/>
            <w:shd w:val="clear" w:color="auto" w:fill="084875"/>
          </w:tcPr>
          <w:p w14:paraId="3DF0F898" w14:textId="607DB5FC" w:rsidR="00CE26F8" w:rsidRPr="003F4323" w:rsidRDefault="00CE26F8">
            <w:pPr>
              <w:pStyle w:val="TableParagraph"/>
              <w:spacing w:before="0" w:line="276" w:lineRule="auto"/>
              <w:ind w:left="253" w:right="115" w:hanging="123"/>
              <w:jc w:val="left"/>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11"/>
                <w:sz w:val="18"/>
                <w:szCs w:val="18"/>
              </w:rPr>
              <w:t xml:space="preserve"> </w:t>
            </w:r>
            <w:r w:rsidRPr="003F4323">
              <w:rPr>
                <w:rFonts w:ascii="Franklin Gothic Medium Cond"/>
                <w:color w:val="FFFFFF"/>
                <w:sz w:val="18"/>
                <w:szCs w:val="18"/>
              </w:rPr>
              <w:t>of</w:t>
            </w:r>
            <w:r w:rsidRPr="003F4323">
              <w:rPr>
                <w:rFonts w:ascii="Franklin Gothic Medium Cond"/>
                <w:color w:val="FFFFFF"/>
                <w:spacing w:val="-10"/>
                <w:sz w:val="18"/>
                <w:szCs w:val="18"/>
              </w:rPr>
              <w:t xml:space="preserve"> </w:t>
            </w:r>
            <w:r w:rsidRPr="003F4323">
              <w:rPr>
                <w:rFonts w:ascii="Franklin Gothic Medium Cond"/>
                <w:color w:val="FFFFFF"/>
                <w:sz w:val="18"/>
                <w:szCs w:val="18"/>
              </w:rPr>
              <w:t>surgical</w:t>
            </w:r>
            <w:r w:rsidRPr="003F4323">
              <w:rPr>
                <w:rFonts w:ascii="Franklin Gothic Medium Cond"/>
                <w:color w:val="FFFFFF"/>
                <w:spacing w:val="-10"/>
                <w:sz w:val="18"/>
                <w:szCs w:val="18"/>
              </w:rPr>
              <w:t xml:space="preserve"> </w:t>
            </w:r>
            <w:r w:rsidRPr="003F4323">
              <w:rPr>
                <w:rFonts w:ascii="Franklin Gothic Medium Cond"/>
                <w:color w:val="FFFFFF"/>
                <w:sz w:val="18"/>
                <w:szCs w:val="18"/>
              </w:rPr>
              <w:t xml:space="preserve">oncology </w:t>
            </w:r>
            <w:r w:rsidRPr="003F4323">
              <w:rPr>
                <w:rFonts w:ascii="Franklin Gothic Medium Cond"/>
                <w:color w:val="FFFFFF"/>
                <w:spacing w:val="-2"/>
                <w:sz w:val="18"/>
                <w:szCs w:val="18"/>
              </w:rPr>
              <w:t>discharges</w:t>
            </w:r>
          </w:p>
          <w:p w14:paraId="1E14F723" w14:textId="77777777" w:rsidR="00CE26F8" w:rsidRPr="003F4323" w:rsidRDefault="00CE26F8">
            <w:pPr>
              <w:pStyle w:val="TableParagraph"/>
              <w:spacing w:before="0" w:line="276" w:lineRule="auto"/>
              <w:ind w:left="253" w:right="115" w:hanging="123"/>
              <w:jc w:val="left"/>
              <w:rPr>
                <w:rFonts w:ascii="Franklin Gothic Medium Cond"/>
                <w:color w:val="FFFFFF"/>
                <w:spacing w:val="-2"/>
                <w:sz w:val="18"/>
                <w:szCs w:val="18"/>
              </w:rPr>
            </w:pPr>
          </w:p>
          <w:p w14:paraId="1C34E6EC" w14:textId="44A30B30" w:rsidR="004C558F" w:rsidRPr="003F4323" w:rsidRDefault="00461887">
            <w:pPr>
              <w:pStyle w:val="TableParagraph"/>
              <w:spacing w:before="0" w:line="276" w:lineRule="auto"/>
              <w:ind w:left="253" w:right="115" w:hanging="123"/>
              <w:jc w:val="left"/>
              <w:rPr>
                <w:rFonts w:ascii="Franklin Gothic Medium Cond"/>
                <w:sz w:val="18"/>
                <w:szCs w:val="18"/>
              </w:rPr>
            </w:pPr>
            <w:r w:rsidRPr="003F4323">
              <w:rPr>
                <w:rFonts w:ascii="Franklin Gothic Medium Cond"/>
                <w:color w:val="FFFFFF"/>
                <w:spacing w:val="-2"/>
                <w:sz w:val="18"/>
                <w:szCs w:val="18"/>
              </w:rPr>
              <w:t>BIDMC</w:t>
            </w:r>
            <w:r w:rsidRPr="003F4323">
              <w:rPr>
                <w:rFonts w:ascii="Franklin Gothic Medium Cond"/>
                <w:color w:val="FFFFFF"/>
                <w:sz w:val="18"/>
                <w:szCs w:val="18"/>
              </w:rPr>
              <w:t xml:space="preserve"> </w:t>
            </w:r>
            <w:r w:rsidRPr="003F4323">
              <w:rPr>
                <w:rFonts w:ascii="Franklin Gothic Medium Cond"/>
                <w:color w:val="FFFFFF"/>
                <w:spacing w:val="-4"/>
                <w:sz w:val="18"/>
                <w:szCs w:val="18"/>
              </w:rPr>
              <w:t>PSA</w:t>
            </w:r>
          </w:p>
        </w:tc>
        <w:tc>
          <w:tcPr>
            <w:tcW w:w="1084" w:type="dxa"/>
            <w:shd w:val="clear" w:color="auto" w:fill="084875"/>
          </w:tcPr>
          <w:p w14:paraId="4ADA3807" w14:textId="30A438B0" w:rsidR="003F4323" w:rsidRPr="003F4323" w:rsidRDefault="003F4323">
            <w:pPr>
              <w:pStyle w:val="TableParagraph"/>
              <w:spacing w:before="0" w:line="249" w:lineRule="exact"/>
              <w:ind w:left="183" w:hanging="51"/>
              <w:jc w:val="left"/>
              <w:rPr>
                <w:rFonts w:ascii="Franklin Gothic Medium Cond"/>
                <w:color w:val="FFFFFF"/>
                <w:spacing w:val="-2"/>
                <w:sz w:val="18"/>
                <w:szCs w:val="18"/>
              </w:rPr>
            </w:pPr>
            <w:r w:rsidRPr="003F4323">
              <w:rPr>
                <w:rFonts w:ascii="Franklin Gothic Medium Cond"/>
                <w:color w:val="FFFFFF"/>
                <w:sz w:val="18"/>
                <w:szCs w:val="18"/>
              </w:rPr>
              <w:t>Shares</w:t>
            </w:r>
            <w:r w:rsidRPr="003F4323">
              <w:rPr>
                <w:rFonts w:ascii="Franklin Gothic Medium Cond"/>
                <w:color w:val="FFFFFF"/>
                <w:spacing w:val="-11"/>
                <w:sz w:val="18"/>
                <w:szCs w:val="18"/>
              </w:rPr>
              <w:t xml:space="preserve"> </w:t>
            </w:r>
            <w:r w:rsidRPr="003F4323">
              <w:rPr>
                <w:rFonts w:ascii="Franklin Gothic Medium Cond"/>
                <w:color w:val="FFFFFF"/>
                <w:sz w:val="18"/>
                <w:szCs w:val="18"/>
              </w:rPr>
              <w:t>of</w:t>
            </w:r>
            <w:r w:rsidRPr="003F4323">
              <w:rPr>
                <w:rFonts w:ascii="Franklin Gothic Medium Cond"/>
                <w:color w:val="FFFFFF"/>
                <w:spacing w:val="-10"/>
                <w:sz w:val="18"/>
                <w:szCs w:val="18"/>
              </w:rPr>
              <w:t xml:space="preserve"> </w:t>
            </w:r>
            <w:r w:rsidRPr="003F4323">
              <w:rPr>
                <w:rFonts w:ascii="Franklin Gothic Medium Cond"/>
                <w:color w:val="FFFFFF"/>
                <w:sz w:val="18"/>
                <w:szCs w:val="18"/>
              </w:rPr>
              <w:t>surgical</w:t>
            </w:r>
            <w:r w:rsidRPr="003F4323">
              <w:rPr>
                <w:rFonts w:ascii="Franklin Gothic Medium Cond"/>
                <w:color w:val="FFFFFF"/>
                <w:spacing w:val="-10"/>
                <w:sz w:val="18"/>
                <w:szCs w:val="18"/>
              </w:rPr>
              <w:t xml:space="preserve"> </w:t>
            </w:r>
            <w:r w:rsidRPr="003F4323">
              <w:rPr>
                <w:rFonts w:ascii="Franklin Gothic Medium Cond"/>
                <w:color w:val="FFFFFF"/>
                <w:sz w:val="18"/>
                <w:szCs w:val="18"/>
              </w:rPr>
              <w:t xml:space="preserve">oncology </w:t>
            </w:r>
            <w:r w:rsidRPr="003F4323">
              <w:rPr>
                <w:rFonts w:ascii="Franklin Gothic Medium Cond"/>
                <w:color w:val="FFFFFF"/>
                <w:spacing w:val="-2"/>
                <w:sz w:val="18"/>
                <w:szCs w:val="18"/>
              </w:rPr>
              <w:t>discharges</w:t>
            </w:r>
          </w:p>
          <w:p w14:paraId="010E7222" w14:textId="77777777" w:rsidR="003F4323" w:rsidRPr="003F4323" w:rsidRDefault="003F4323">
            <w:pPr>
              <w:pStyle w:val="TableParagraph"/>
              <w:spacing w:before="0" w:line="249" w:lineRule="exact"/>
              <w:ind w:left="183" w:hanging="51"/>
              <w:jc w:val="left"/>
              <w:rPr>
                <w:rFonts w:ascii="Franklin Gothic Medium Cond"/>
                <w:color w:val="FFFFFF"/>
                <w:spacing w:val="-4"/>
                <w:sz w:val="18"/>
                <w:szCs w:val="18"/>
              </w:rPr>
            </w:pPr>
          </w:p>
          <w:p w14:paraId="1C34E6ED" w14:textId="6A72A2BE" w:rsidR="004C558F" w:rsidRPr="003F4323" w:rsidRDefault="00461887">
            <w:pPr>
              <w:pStyle w:val="TableParagraph"/>
              <w:spacing w:before="0" w:line="249" w:lineRule="exact"/>
              <w:ind w:left="183" w:hanging="51"/>
              <w:jc w:val="left"/>
              <w:rPr>
                <w:rFonts w:ascii="Franklin Gothic Medium Cond"/>
                <w:sz w:val="18"/>
                <w:szCs w:val="18"/>
              </w:rPr>
            </w:pPr>
            <w:r w:rsidRPr="003F4323">
              <w:rPr>
                <w:rFonts w:ascii="Franklin Gothic Medium Cond"/>
                <w:color w:val="FFFFFF"/>
                <w:spacing w:val="-4"/>
                <w:sz w:val="18"/>
                <w:szCs w:val="18"/>
              </w:rPr>
              <w:t>DFCI/</w:t>
            </w:r>
          </w:p>
          <w:p w14:paraId="1C34E6EE" w14:textId="77777777" w:rsidR="004C558F" w:rsidRPr="003F4323" w:rsidRDefault="00461887">
            <w:pPr>
              <w:pStyle w:val="TableParagraph"/>
              <w:spacing w:before="8" w:line="280" w:lineRule="atLeast"/>
              <w:ind w:left="214" w:right="167" w:hanging="32"/>
              <w:jc w:val="left"/>
              <w:rPr>
                <w:rFonts w:ascii="Franklin Gothic Medium Cond"/>
                <w:sz w:val="18"/>
                <w:szCs w:val="18"/>
              </w:rPr>
            </w:pPr>
            <w:r w:rsidRPr="003F4323">
              <w:rPr>
                <w:rFonts w:ascii="Franklin Gothic Medium Cond"/>
                <w:color w:val="FFFFFF"/>
                <w:spacing w:val="-4"/>
                <w:sz w:val="18"/>
                <w:szCs w:val="18"/>
              </w:rPr>
              <w:t>BWH</w:t>
            </w:r>
            <w:r w:rsidRPr="003F4323">
              <w:rPr>
                <w:rFonts w:ascii="Franklin Gothic Medium Cond"/>
                <w:color w:val="FFFFFF"/>
                <w:sz w:val="18"/>
                <w:szCs w:val="18"/>
              </w:rPr>
              <w:t xml:space="preserve"> </w:t>
            </w:r>
            <w:r w:rsidRPr="003F4323">
              <w:rPr>
                <w:rFonts w:ascii="Franklin Gothic Medium Cond"/>
                <w:color w:val="FFFFFF"/>
                <w:spacing w:val="-5"/>
                <w:sz w:val="18"/>
                <w:szCs w:val="18"/>
              </w:rPr>
              <w:t>PSA</w:t>
            </w:r>
          </w:p>
        </w:tc>
      </w:tr>
      <w:tr w:rsidR="004C558F" w14:paraId="1C34E6F7" w14:textId="77777777" w:rsidTr="00E437D1">
        <w:trPr>
          <w:cantSplit/>
          <w:trHeight w:val="303"/>
        </w:trPr>
        <w:tc>
          <w:tcPr>
            <w:tcW w:w="3435" w:type="dxa"/>
            <w:shd w:val="clear" w:color="auto" w:fill="EBF0F4"/>
          </w:tcPr>
          <w:p w14:paraId="1C34E6F0" w14:textId="77777777" w:rsidR="004C558F" w:rsidRDefault="00461887">
            <w:pPr>
              <w:pStyle w:val="TableParagraph"/>
              <w:spacing w:before="1"/>
              <w:ind w:left="107"/>
              <w:jc w:val="left"/>
              <w:rPr>
                <w:sz w:val="20"/>
              </w:rPr>
            </w:pPr>
            <w:r>
              <w:rPr>
                <w:sz w:val="20"/>
              </w:rPr>
              <w:t>Dana-Farber</w:t>
            </w:r>
            <w:r>
              <w:rPr>
                <w:spacing w:val="-8"/>
                <w:sz w:val="20"/>
              </w:rPr>
              <w:t xml:space="preserve"> </w:t>
            </w:r>
            <w:r>
              <w:rPr>
                <w:sz w:val="20"/>
              </w:rPr>
              <w:t>Cancer</w:t>
            </w:r>
            <w:r>
              <w:rPr>
                <w:spacing w:val="-7"/>
                <w:sz w:val="20"/>
              </w:rPr>
              <w:t xml:space="preserve"> </w:t>
            </w:r>
            <w:r>
              <w:rPr>
                <w:spacing w:val="-2"/>
                <w:sz w:val="20"/>
              </w:rPr>
              <w:t>Institute</w:t>
            </w:r>
          </w:p>
        </w:tc>
        <w:tc>
          <w:tcPr>
            <w:tcW w:w="1001" w:type="dxa"/>
            <w:shd w:val="clear" w:color="auto" w:fill="EBF0F4"/>
          </w:tcPr>
          <w:p w14:paraId="1C34E6F1" w14:textId="77777777" w:rsidR="004C558F" w:rsidRDefault="00461887">
            <w:pPr>
              <w:pStyle w:val="TableParagraph"/>
              <w:spacing w:before="1"/>
              <w:ind w:right="95"/>
              <w:rPr>
                <w:sz w:val="20"/>
              </w:rPr>
            </w:pPr>
            <w:r>
              <w:rPr>
                <w:spacing w:val="-4"/>
                <w:sz w:val="20"/>
              </w:rPr>
              <w:t>3.8%</w:t>
            </w:r>
          </w:p>
        </w:tc>
        <w:tc>
          <w:tcPr>
            <w:tcW w:w="1260" w:type="dxa"/>
            <w:shd w:val="clear" w:color="auto" w:fill="EBF0F4"/>
          </w:tcPr>
          <w:p w14:paraId="1C34E6F2" w14:textId="77777777" w:rsidR="004C558F" w:rsidRDefault="00461887">
            <w:pPr>
              <w:pStyle w:val="TableParagraph"/>
              <w:spacing w:before="1"/>
              <w:ind w:right="94"/>
              <w:rPr>
                <w:sz w:val="20"/>
              </w:rPr>
            </w:pPr>
            <w:r>
              <w:rPr>
                <w:spacing w:val="-4"/>
                <w:sz w:val="20"/>
              </w:rPr>
              <w:t>4.3%</w:t>
            </w:r>
          </w:p>
        </w:tc>
        <w:tc>
          <w:tcPr>
            <w:tcW w:w="1080" w:type="dxa"/>
            <w:shd w:val="clear" w:color="auto" w:fill="EBF0F4"/>
          </w:tcPr>
          <w:p w14:paraId="1C34E6F3" w14:textId="77777777" w:rsidR="004C558F" w:rsidRDefault="00461887">
            <w:pPr>
              <w:pStyle w:val="TableParagraph"/>
              <w:spacing w:before="1"/>
              <w:ind w:right="94"/>
              <w:rPr>
                <w:sz w:val="20"/>
              </w:rPr>
            </w:pPr>
            <w:r>
              <w:rPr>
                <w:spacing w:val="-4"/>
                <w:sz w:val="20"/>
              </w:rPr>
              <w:t>3.9%</w:t>
            </w:r>
          </w:p>
        </w:tc>
        <w:tc>
          <w:tcPr>
            <w:tcW w:w="990" w:type="dxa"/>
            <w:shd w:val="clear" w:color="auto" w:fill="EBF0F4"/>
          </w:tcPr>
          <w:p w14:paraId="1C34E6F4" w14:textId="77777777" w:rsidR="004C558F" w:rsidRDefault="00461887">
            <w:pPr>
              <w:pStyle w:val="TableParagraph"/>
              <w:spacing w:before="1"/>
              <w:ind w:right="94"/>
              <w:rPr>
                <w:sz w:val="20"/>
              </w:rPr>
            </w:pPr>
            <w:r>
              <w:rPr>
                <w:spacing w:val="-4"/>
                <w:sz w:val="20"/>
              </w:rPr>
              <w:t>0.4%</w:t>
            </w:r>
          </w:p>
        </w:tc>
        <w:tc>
          <w:tcPr>
            <w:tcW w:w="1080" w:type="dxa"/>
            <w:shd w:val="clear" w:color="auto" w:fill="EBF0F4"/>
          </w:tcPr>
          <w:p w14:paraId="1C34E6F5" w14:textId="77777777" w:rsidR="004C558F" w:rsidRDefault="00461887">
            <w:pPr>
              <w:pStyle w:val="TableParagraph"/>
              <w:spacing w:before="1"/>
              <w:ind w:left="197"/>
              <w:jc w:val="center"/>
              <w:rPr>
                <w:sz w:val="20"/>
              </w:rPr>
            </w:pPr>
            <w:r>
              <w:rPr>
                <w:spacing w:val="-4"/>
                <w:sz w:val="20"/>
              </w:rPr>
              <w:t>0.4%</w:t>
            </w:r>
          </w:p>
        </w:tc>
        <w:tc>
          <w:tcPr>
            <w:tcW w:w="1084" w:type="dxa"/>
            <w:shd w:val="clear" w:color="auto" w:fill="EBF0F4"/>
          </w:tcPr>
          <w:p w14:paraId="1C34E6F6" w14:textId="77777777" w:rsidR="004C558F" w:rsidRDefault="00461887">
            <w:pPr>
              <w:pStyle w:val="TableParagraph"/>
              <w:spacing w:before="1"/>
              <w:ind w:left="127"/>
              <w:jc w:val="center"/>
              <w:rPr>
                <w:sz w:val="20"/>
              </w:rPr>
            </w:pPr>
            <w:r>
              <w:rPr>
                <w:spacing w:val="-4"/>
                <w:sz w:val="20"/>
              </w:rPr>
              <w:t>0.5%</w:t>
            </w:r>
          </w:p>
        </w:tc>
      </w:tr>
      <w:tr w:rsidR="004C558F" w14:paraId="1C34E6FF" w14:textId="77777777" w:rsidTr="00E437D1">
        <w:trPr>
          <w:cantSplit/>
          <w:trHeight w:val="303"/>
        </w:trPr>
        <w:tc>
          <w:tcPr>
            <w:tcW w:w="3435" w:type="dxa"/>
            <w:shd w:val="clear" w:color="auto" w:fill="EBF0F4"/>
          </w:tcPr>
          <w:p w14:paraId="1C34E6F8" w14:textId="77777777" w:rsidR="004C558F" w:rsidRDefault="00461887">
            <w:pPr>
              <w:pStyle w:val="TableParagraph"/>
              <w:spacing w:before="1"/>
              <w:ind w:left="107"/>
              <w:jc w:val="left"/>
              <w:rPr>
                <w:sz w:val="20"/>
              </w:rPr>
            </w:pPr>
            <w:r>
              <w:rPr>
                <w:sz w:val="20"/>
              </w:rPr>
              <w:t>Mass</w:t>
            </w:r>
            <w:r>
              <w:rPr>
                <w:spacing w:val="-5"/>
                <w:sz w:val="20"/>
              </w:rPr>
              <w:t xml:space="preserve"> </w:t>
            </w:r>
            <w:r>
              <w:rPr>
                <w:sz w:val="20"/>
              </w:rPr>
              <w:t>General</w:t>
            </w:r>
            <w:r>
              <w:rPr>
                <w:spacing w:val="-5"/>
                <w:sz w:val="20"/>
              </w:rPr>
              <w:t xml:space="preserve"> </w:t>
            </w:r>
            <w:r>
              <w:rPr>
                <w:spacing w:val="-2"/>
                <w:sz w:val="20"/>
              </w:rPr>
              <w:t>Brigham</w:t>
            </w:r>
          </w:p>
        </w:tc>
        <w:tc>
          <w:tcPr>
            <w:tcW w:w="1001" w:type="dxa"/>
            <w:shd w:val="clear" w:color="auto" w:fill="EBF0F4"/>
          </w:tcPr>
          <w:p w14:paraId="1C34E6F9" w14:textId="77777777" w:rsidR="004C558F" w:rsidRDefault="00461887">
            <w:pPr>
              <w:pStyle w:val="TableParagraph"/>
              <w:spacing w:before="1"/>
              <w:ind w:right="95"/>
              <w:rPr>
                <w:sz w:val="20"/>
              </w:rPr>
            </w:pPr>
            <w:r>
              <w:rPr>
                <w:spacing w:val="-2"/>
                <w:sz w:val="20"/>
              </w:rPr>
              <w:t>39.6%</w:t>
            </w:r>
          </w:p>
        </w:tc>
        <w:tc>
          <w:tcPr>
            <w:tcW w:w="1260" w:type="dxa"/>
            <w:shd w:val="clear" w:color="auto" w:fill="EBF0F4"/>
          </w:tcPr>
          <w:p w14:paraId="1C34E6FA" w14:textId="77777777" w:rsidR="004C558F" w:rsidRDefault="00461887">
            <w:pPr>
              <w:pStyle w:val="TableParagraph"/>
              <w:spacing w:before="1"/>
              <w:ind w:right="94"/>
              <w:rPr>
                <w:sz w:val="20"/>
              </w:rPr>
            </w:pPr>
            <w:r>
              <w:rPr>
                <w:spacing w:val="-2"/>
                <w:sz w:val="20"/>
              </w:rPr>
              <w:t>48.4%</w:t>
            </w:r>
          </w:p>
        </w:tc>
        <w:tc>
          <w:tcPr>
            <w:tcW w:w="1080" w:type="dxa"/>
            <w:shd w:val="clear" w:color="auto" w:fill="EBF0F4"/>
          </w:tcPr>
          <w:p w14:paraId="1C34E6FB" w14:textId="77777777" w:rsidR="004C558F" w:rsidRDefault="00461887">
            <w:pPr>
              <w:pStyle w:val="TableParagraph"/>
              <w:spacing w:before="1"/>
              <w:ind w:right="94"/>
              <w:rPr>
                <w:sz w:val="20"/>
              </w:rPr>
            </w:pPr>
            <w:r>
              <w:rPr>
                <w:spacing w:val="-2"/>
                <w:sz w:val="20"/>
              </w:rPr>
              <w:t>45.8%</w:t>
            </w:r>
          </w:p>
        </w:tc>
        <w:tc>
          <w:tcPr>
            <w:tcW w:w="990" w:type="dxa"/>
            <w:shd w:val="clear" w:color="auto" w:fill="EBF0F4"/>
          </w:tcPr>
          <w:p w14:paraId="1C34E6FC" w14:textId="77777777" w:rsidR="004C558F" w:rsidRDefault="00461887">
            <w:pPr>
              <w:pStyle w:val="TableParagraph"/>
              <w:spacing w:before="1"/>
              <w:ind w:right="94"/>
              <w:rPr>
                <w:sz w:val="20"/>
              </w:rPr>
            </w:pPr>
            <w:r>
              <w:rPr>
                <w:spacing w:val="-2"/>
                <w:sz w:val="20"/>
              </w:rPr>
              <w:t>47.6%</w:t>
            </w:r>
          </w:p>
        </w:tc>
        <w:tc>
          <w:tcPr>
            <w:tcW w:w="1080" w:type="dxa"/>
            <w:shd w:val="clear" w:color="auto" w:fill="EBF0F4"/>
          </w:tcPr>
          <w:p w14:paraId="1C34E6FD" w14:textId="77777777" w:rsidR="004C558F" w:rsidRDefault="00461887">
            <w:pPr>
              <w:pStyle w:val="TableParagraph"/>
              <w:spacing w:before="1"/>
              <w:ind w:left="84" w:right="5"/>
              <w:jc w:val="center"/>
              <w:rPr>
                <w:sz w:val="20"/>
              </w:rPr>
            </w:pPr>
            <w:r>
              <w:rPr>
                <w:spacing w:val="-2"/>
                <w:sz w:val="20"/>
              </w:rPr>
              <w:t>55.8%</w:t>
            </w:r>
          </w:p>
        </w:tc>
        <w:tc>
          <w:tcPr>
            <w:tcW w:w="1084" w:type="dxa"/>
            <w:shd w:val="clear" w:color="auto" w:fill="EBF0F4"/>
          </w:tcPr>
          <w:p w14:paraId="1C34E6FE" w14:textId="77777777" w:rsidR="004C558F" w:rsidRDefault="00461887">
            <w:pPr>
              <w:pStyle w:val="TableParagraph"/>
              <w:spacing w:before="1"/>
              <w:ind w:left="14" w:right="4"/>
              <w:jc w:val="center"/>
              <w:rPr>
                <w:sz w:val="20"/>
              </w:rPr>
            </w:pPr>
            <w:r>
              <w:rPr>
                <w:spacing w:val="-2"/>
                <w:sz w:val="20"/>
              </w:rPr>
              <w:t>53.9%</w:t>
            </w:r>
          </w:p>
        </w:tc>
      </w:tr>
      <w:tr w:rsidR="004C558F" w14:paraId="1C34E707" w14:textId="77777777" w:rsidTr="00E437D1">
        <w:trPr>
          <w:cantSplit/>
          <w:trHeight w:val="303"/>
        </w:trPr>
        <w:tc>
          <w:tcPr>
            <w:tcW w:w="3435" w:type="dxa"/>
          </w:tcPr>
          <w:p w14:paraId="1C34E700" w14:textId="77777777" w:rsidR="004C558F" w:rsidRDefault="00461887">
            <w:pPr>
              <w:pStyle w:val="TableParagraph"/>
              <w:spacing w:before="1"/>
              <w:ind w:left="347"/>
              <w:jc w:val="left"/>
              <w:rPr>
                <w:i/>
                <w:sz w:val="20"/>
              </w:rPr>
            </w:pPr>
            <w:r>
              <w:rPr>
                <w:i/>
                <w:sz w:val="20"/>
              </w:rPr>
              <w:t>Brigham</w:t>
            </w:r>
            <w:r>
              <w:rPr>
                <w:i/>
                <w:spacing w:val="-6"/>
                <w:sz w:val="20"/>
              </w:rPr>
              <w:t xml:space="preserve"> </w:t>
            </w:r>
            <w:r>
              <w:rPr>
                <w:i/>
                <w:sz w:val="20"/>
              </w:rPr>
              <w:t>and</w:t>
            </w:r>
            <w:r>
              <w:rPr>
                <w:i/>
                <w:spacing w:val="-7"/>
                <w:sz w:val="20"/>
              </w:rPr>
              <w:t xml:space="preserve"> </w:t>
            </w:r>
            <w:r>
              <w:rPr>
                <w:i/>
                <w:sz w:val="20"/>
              </w:rPr>
              <w:t>Women's</w:t>
            </w:r>
            <w:r>
              <w:rPr>
                <w:i/>
                <w:spacing w:val="-6"/>
                <w:sz w:val="20"/>
              </w:rPr>
              <w:t xml:space="preserve"> </w:t>
            </w:r>
            <w:r>
              <w:rPr>
                <w:i/>
                <w:spacing w:val="-2"/>
                <w:sz w:val="20"/>
              </w:rPr>
              <w:t>Hospital</w:t>
            </w:r>
          </w:p>
        </w:tc>
        <w:tc>
          <w:tcPr>
            <w:tcW w:w="1001" w:type="dxa"/>
          </w:tcPr>
          <w:p w14:paraId="1C34E701" w14:textId="77777777" w:rsidR="004C558F" w:rsidRDefault="00461887">
            <w:pPr>
              <w:pStyle w:val="TableParagraph"/>
              <w:spacing w:before="1"/>
              <w:ind w:right="92"/>
              <w:rPr>
                <w:sz w:val="20"/>
              </w:rPr>
            </w:pPr>
            <w:r>
              <w:rPr>
                <w:spacing w:val="-2"/>
                <w:sz w:val="20"/>
              </w:rPr>
              <w:t>19.4%</w:t>
            </w:r>
          </w:p>
        </w:tc>
        <w:tc>
          <w:tcPr>
            <w:tcW w:w="1260" w:type="dxa"/>
          </w:tcPr>
          <w:p w14:paraId="1C34E702" w14:textId="77777777" w:rsidR="004C558F" w:rsidRDefault="00461887">
            <w:pPr>
              <w:pStyle w:val="TableParagraph"/>
              <w:spacing w:before="1"/>
              <w:ind w:right="92"/>
              <w:rPr>
                <w:sz w:val="20"/>
              </w:rPr>
            </w:pPr>
            <w:r>
              <w:rPr>
                <w:spacing w:val="-2"/>
                <w:sz w:val="20"/>
              </w:rPr>
              <w:t>21.5%</w:t>
            </w:r>
          </w:p>
        </w:tc>
        <w:tc>
          <w:tcPr>
            <w:tcW w:w="1080" w:type="dxa"/>
          </w:tcPr>
          <w:p w14:paraId="1C34E703" w14:textId="77777777" w:rsidR="004C558F" w:rsidRDefault="00461887">
            <w:pPr>
              <w:pStyle w:val="TableParagraph"/>
              <w:spacing w:before="1"/>
              <w:ind w:right="92"/>
              <w:rPr>
                <w:sz w:val="20"/>
              </w:rPr>
            </w:pPr>
            <w:r>
              <w:rPr>
                <w:spacing w:val="-2"/>
                <w:sz w:val="20"/>
              </w:rPr>
              <w:t>21.0%</w:t>
            </w:r>
          </w:p>
        </w:tc>
        <w:tc>
          <w:tcPr>
            <w:tcW w:w="990" w:type="dxa"/>
          </w:tcPr>
          <w:p w14:paraId="1C34E704" w14:textId="77777777" w:rsidR="004C558F" w:rsidRDefault="00461887">
            <w:pPr>
              <w:pStyle w:val="TableParagraph"/>
              <w:spacing w:before="1"/>
              <w:ind w:right="92"/>
              <w:rPr>
                <w:sz w:val="20"/>
              </w:rPr>
            </w:pPr>
            <w:r>
              <w:rPr>
                <w:spacing w:val="-2"/>
                <w:sz w:val="20"/>
              </w:rPr>
              <w:t>22.3%</w:t>
            </w:r>
          </w:p>
        </w:tc>
        <w:tc>
          <w:tcPr>
            <w:tcW w:w="1080" w:type="dxa"/>
          </w:tcPr>
          <w:p w14:paraId="1C34E705" w14:textId="77777777" w:rsidR="004C558F" w:rsidRDefault="00461887">
            <w:pPr>
              <w:pStyle w:val="TableParagraph"/>
              <w:spacing w:before="1"/>
              <w:ind w:left="84"/>
              <w:jc w:val="center"/>
              <w:rPr>
                <w:sz w:val="20"/>
              </w:rPr>
            </w:pPr>
            <w:r>
              <w:rPr>
                <w:spacing w:val="-2"/>
                <w:sz w:val="20"/>
              </w:rPr>
              <w:t>23.1%</w:t>
            </w:r>
          </w:p>
        </w:tc>
        <w:tc>
          <w:tcPr>
            <w:tcW w:w="1084" w:type="dxa"/>
          </w:tcPr>
          <w:p w14:paraId="1C34E706" w14:textId="77777777" w:rsidR="004C558F" w:rsidRDefault="00461887">
            <w:pPr>
              <w:pStyle w:val="TableParagraph"/>
              <w:spacing w:before="1"/>
              <w:ind w:left="14"/>
              <w:jc w:val="center"/>
              <w:rPr>
                <w:sz w:val="20"/>
              </w:rPr>
            </w:pPr>
            <w:r>
              <w:rPr>
                <w:spacing w:val="-2"/>
                <w:sz w:val="20"/>
              </w:rPr>
              <w:t>24.1%</w:t>
            </w:r>
          </w:p>
        </w:tc>
      </w:tr>
      <w:tr w:rsidR="004C558F" w14:paraId="1C34E70F" w14:textId="77777777" w:rsidTr="00E437D1">
        <w:trPr>
          <w:cantSplit/>
          <w:trHeight w:val="303"/>
        </w:trPr>
        <w:tc>
          <w:tcPr>
            <w:tcW w:w="3435" w:type="dxa"/>
          </w:tcPr>
          <w:p w14:paraId="1C34E708" w14:textId="77777777" w:rsidR="004C558F" w:rsidRDefault="00461887">
            <w:pPr>
              <w:pStyle w:val="TableParagraph"/>
              <w:spacing w:before="1"/>
              <w:ind w:left="347"/>
              <w:jc w:val="left"/>
              <w:rPr>
                <w:i/>
                <w:sz w:val="20"/>
              </w:rPr>
            </w:pPr>
            <w:r>
              <w:rPr>
                <w:i/>
                <w:sz w:val="20"/>
              </w:rPr>
              <w:t>Massachusetts</w:t>
            </w:r>
            <w:r>
              <w:rPr>
                <w:i/>
                <w:spacing w:val="-12"/>
                <w:sz w:val="20"/>
              </w:rPr>
              <w:t xml:space="preserve"> </w:t>
            </w:r>
            <w:r>
              <w:rPr>
                <w:i/>
                <w:sz w:val="20"/>
              </w:rPr>
              <w:t>General</w:t>
            </w:r>
            <w:r>
              <w:rPr>
                <w:i/>
                <w:spacing w:val="-10"/>
                <w:sz w:val="20"/>
              </w:rPr>
              <w:t xml:space="preserve"> </w:t>
            </w:r>
            <w:r>
              <w:rPr>
                <w:i/>
                <w:spacing w:val="-2"/>
                <w:sz w:val="20"/>
              </w:rPr>
              <w:t>Hospital</w:t>
            </w:r>
          </w:p>
        </w:tc>
        <w:tc>
          <w:tcPr>
            <w:tcW w:w="1001" w:type="dxa"/>
          </w:tcPr>
          <w:p w14:paraId="1C34E709" w14:textId="77777777" w:rsidR="004C558F" w:rsidRDefault="00461887">
            <w:pPr>
              <w:pStyle w:val="TableParagraph"/>
              <w:spacing w:before="1"/>
              <w:ind w:right="92"/>
              <w:rPr>
                <w:sz w:val="20"/>
              </w:rPr>
            </w:pPr>
            <w:r>
              <w:rPr>
                <w:spacing w:val="-2"/>
                <w:sz w:val="20"/>
              </w:rPr>
              <w:t>14.1%</w:t>
            </w:r>
          </w:p>
        </w:tc>
        <w:tc>
          <w:tcPr>
            <w:tcW w:w="1260" w:type="dxa"/>
          </w:tcPr>
          <w:p w14:paraId="1C34E70A" w14:textId="77777777" w:rsidR="004C558F" w:rsidRDefault="00461887">
            <w:pPr>
              <w:pStyle w:val="TableParagraph"/>
              <w:spacing w:before="1"/>
              <w:ind w:right="92"/>
              <w:rPr>
                <w:sz w:val="20"/>
              </w:rPr>
            </w:pPr>
            <w:r>
              <w:rPr>
                <w:spacing w:val="-2"/>
                <w:sz w:val="20"/>
              </w:rPr>
              <w:t>19.1%</w:t>
            </w:r>
          </w:p>
        </w:tc>
        <w:tc>
          <w:tcPr>
            <w:tcW w:w="1080" w:type="dxa"/>
          </w:tcPr>
          <w:p w14:paraId="1C34E70B" w14:textId="77777777" w:rsidR="004C558F" w:rsidRDefault="00461887">
            <w:pPr>
              <w:pStyle w:val="TableParagraph"/>
              <w:spacing w:before="1"/>
              <w:ind w:right="92"/>
              <w:rPr>
                <w:sz w:val="20"/>
              </w:rPr>
            </w:pPr>
            <w:r>
              <w:rPr>
                <w:spacing w:val="-2"/>
                <w:sz w:val="20"/>
              </w:rPr>
              <w:t>17.6%</w:t>
            </w:r>
          </w:p>
        </w:tc>
        <w:tc>
          <w:tcPr>
            <w:tcW w:w="990" w:type="dxa"/>
          </w:tcPr>
          <w:p w14:paraId="1C34E70C" w14:textId="77777777" w:rsidR="004C558F" w:rsidRDefault="00461887">
            <w:pPr>
              <w:pStyle w:val="TableParagraph"/>
              <w:spacing w:before="1"/>
              <w:ind w:right="92"/>
              <w:rPr>
                <w:sz w:val="20"/>
              </w:rPr>
            </w:pPr>
            <w:r>
              <w:rPr>
                <w:spacing w:val="-2"/>
                <w:sz w:val="20"/>
              </w:rPr>
              <w:t>17.4%</w:t>
            </w:r>
          </w:p>
        </w:tc>
        <w:tc>
          <w:tcPr>
            <w:tcW w:w="1080" w:type="dxa"/>
          </w:tcPr>
          <w:p w14:paraId="1C34E70D" w14:textId="77777777" w:rsidR="004C558F" w:rsidRDefault="00461887">
            <w:pPr>
              <w:pStyle w:val="TableParagraph"/>
              <w:spacing w:before="1"/>
              <w:ind w:left="84"/>
              <w:jc w:val="center"/>
              <w:rPr>
                <w:sz w:val="20"/>
              </w:rPr>
            </w:pPr>
            <w:r>
              <w:rPr>
                <w:spacing w:val="-2"/>
                <w:sz w:val="20"/>
              </w:rPr>
              <w:t>22.7%</w:t>
            </w:r>
          </w:p>
        </w:tc>
        <w:tc>
          <w:tcPr>
            <w:tcW w:w="1084" w:type="dxa"/>
          </w:tcPr>
          <w:p w14:paraId="1C34E70E" w14:textId="77777777" w:rsidR="004C558F" w:rsidRDefault="00461887">
            <w:pPr>
              <w:pStyle w:val="TableParagraph"/>
              <w:spacing w:before="1"/>
              <w:ind w:left="14"/>
              <w:jc w:val="center"/>
              <w:rPr>
                <w:sz w:val="20"/>
              </w:rPr>
            </w:pPr>
            <w:r>
              <w:rPr>
                <w:spacing w:val="-2"/>
                <w:sz w:val="20"/>
              </w:rPr>
              <w:t>20.6%</w:t>
            </w:r>
          </w:p>
        </w:tc>
      </w:tr>
      <w:tr w:rsidR="004C558F" w14:paraId="1C34E717" w14:textId="77777777" w:rsidTr="00E437D1">
        <w:trPr>
          <w:cantSplit/>
          <w:trHeight w:val="303"/>
        </w:trPr>
        <w:tc>
          <w:tcPr>
            <w:tcW w:w="3435" w:type="dxa"/>
            <w:shd w:val="clear" w:color="auto" w:fill="EBF0F4"/>
          </w:tcPr>
          <w:p w14:paraId="1C34E710" w14:textId="77777777" w:rsidR="004C558F" w:rsidRDefault="00461887">
            <w:pPr>
              <w:pStyle w:val="TableParagraph"/>
              <w:spacing w:before="1"/>
              <w:ind w:left="107"/>
              <w:jc w:val="left"/>
              <w:rPr>
                <w:sz w:val="20"/>
              </w:rPr>
            </w:pPr>
            <w:r>
              <w:rPr>
                <w:sz w:val="20"/>
              </w:rPr>
              <w:t>Beth</w:t>
            </w:r>
            <w:r>
              <w:rPr>
                <w:spacing w:val="-4"/>
                <w:sz w:val="20"/>
              </w:rPr>
              <w:t xml:space="preserve"> </w:t>
            </w:r>
            <w:r>
              <w:rPr>
                <w:sz w:val="20"/>
              </w:rPr>
              <w:t>Israel</w:t>
            </w:r>
            <w:r>
              <w:rPr>
                <w:spacing w:val="-4"/>
                <w:sz w:val="20"/>
              </w:rPr>
              <w:t xml:space="preserve"> </w:t>
            </w:r>
            <w:r>
              <w:rPr>
                <w:sz w:val="20"/>
              </w:rPr>
              <w:t>Lahey</w:t>
            </w:r>
            <w:r>
              <w:rPr>
                <w:spacing w:val="-3"/>
                <w:sz w:val="20"/>
              </w:rPr>
              <w:t xml:space="preserve"> </w:t>
            </w:r>
            <w:r>
              <w:rPr>
                <w:spacing w:val="-2"/>
                <w:sz w:val="20"/>
              </w:rPr>
              <w:t>Health</w:t>
            </w:r>
          </w:p>
        </w:tc>
        <w:tc>
          <w:tcPr>
            <w:tcW w:w="1001" w:type="dxa"/>
            <w:shd w:val="clear" w:color="auto" w:fill="EBF0F4"/>
          </w:tcPr>
          <w:p w14:paraId="1C34E711" w14:textId="77777777" w:rsidR="004C558F" w:rsidRDefault="00461887">
            <w:pPr>
              <w:pStyle w:val="TableParagraph"/>
              <w:spacing w:before="1"/>
              <w:ind w:right="95"/>
              <w:rPr>
                <w:sz w:val="20"/>
              </w:rPr>
            </w:pPr>
            <w:r>
              <w:rPr>
                <w:spacing w:val="-2"/>
                <w:sz w:val="20"/>
              </w:rPr>
              <w:t>17.3%</w:t>
            </w:r>
          </w:p>
        </w:tc>
        <w:tc>
          <w:tcPr>
            <w:tcW w:w="1260" w:type="dxa"/>
            <w:shd w:val="clear" w:color="auto" w:fill="EBF0F4"/>
          </w:tcPr>
          <w:p w14:paraId="1C34E712" w14:textId="77777777" w:rsidR="004C558F" w:rsidRDefault="00461887">
            <w:pPr>
              <w:pStyle w:val="TableParagraph"/>
              <w:spacing w:before="1"/>
              <w:ind w:right="94"/>
              <w:rPr>
                <w:sz w:val="20"/>
              </w:rPr>
            </w:pPr>
            <w:r>
              <w:rPr>
                <w:spacing w:val="-2"/>
                <w:sz w:val="20"/>
              </w:rPr>
              <w:t>24.1%</w:t>
            </w:r>
          </w:p>
        </w:tc>
        <w:tc>
          <w:tcPr>
            <w:tcW w:w="1080" w:type="dxa"/>
            <w:shd w:val="clear" w:color="auto" w:fill="EBF0F4"/>
          </w:tcPr>
          <w:p w14:paraId="1C34E713" w14:textId="77777777" w:rsidR="004C558F" w:rsidRDefault="00461887">
            <w:pPr>
              <w:pStyle w:val="TableParagraph"/>
              <w:spacing w:before="1"/>
              <w:ind w:right="94"/>
              <w:rPr>
                <w:sz w:val="20"/>
              </w:rPr>
            </w:pPr>
            <w:r>
              <w:rPr>
                <w:spacing w:val="-2"/>
                <w:sz w:val="20"/>
              </w:rPr>
              <w:t>21.4%</w:t>
            </w:r>
          </w:p>
        </w:tc>
        <w:tc>
          <w:tcPr>
            <w:tcW w:w="990" w:type="dxa"/>
            <w:shd w:val="clear" w:color="auto" w:fill="EBF0F4"/>
          </w:tcPr>
          <w:p w14:paraId="1C34E714" w14:textId="77777777" w:rsidR="004C558F" w:rsidRDefault="00461887">
            <w:pPr>
              <w:pStyle w:val="TableParagraph"/>
              <w:spacing w:before="1"/>
              <w:ind w:right="94"/>
              <w:rPr>
                <w:sz w:val="20"/>
              </w:rPr>
            </w:pPr>
            <w:r>
              <w:rPr>
                <w:spacing w:val="-2"/>
                <w:sz w:val="20"/>
              </w:rPr>
              <w:t>18.5%</w:t>
            </w:r>
          </w:p>
        </w:tc>
        <w:tc>
          <w:tcPr>
            <w:tcW w:w="1080" w:type="dxa"/>
            <w:shd w:val="clear" w:color="auto" w:fill="EBF0F4"/>
          </w:tcPr>
          <w:p w14:paraId="1C34E715" w14:textId="77777777" w:rsidR="004C558F" w:rsidRDefault="00461887">
            <w:pPr>
              <w:pStyle w:val="TableParagraph"/>
              <w:spacing w:before="1"/>
              <w:ind w:left="84" w:right="5"/>
              <w:jc w:val="center"/>
              <w:rPr>
                <w:sz w:val="20"/>
              </w:rPr>
            </w:pPr>
            <w:r>
              <w:rPr>
                <w:spacing w:val="-2"/>
                <w:sz w:val="20"/>
              </w:rPr>
              <w:t>25.8%</w:t>
            </w:r>
          </w:p>
        </w:tc>
        <w:tc>
          <w:tcPr>
            <w:tcW w:w="1084" w:type="dxa"/>
            <w:shd w:val="clear" w:color="auto" w:fill="EBF0F4"/>
          </w:tcPr>
          <w:p w14:paraId="1C34E716" w14:textId="77777777" w:rsidR="004C558F" w:rsidRDefault="00461887">
            <w:pPr>
              <w:pStyle w:val="TableParagraph"/>
              <w:spacing w:before="1"/>
              <w:ind w:left="14" w:right="4"/>
              <w:jc w:val="center"/>
              <w:rPr>
                <w:sz w:val="20"/>
              </w:rPr>
            </w:pPr>
            <w:r>
              <w:rPr>
                <w:spacing w:val="-2"/>
                <w:sz w:val="20"/>
              </w:rPr>
              <w:t>22.7%</w:t>
            </w:r>
          </w:p>
        </w:tc>
      </w:tr>
      <w:tr w:rsidR="004C558F" w14:paraId="1C34E720" w14:textId="77777777" w:rsidTr="00E437D1">
        <w:trPr>
          <w:cantSplit/>
          <w:trHeight w:val="529"/>
        </w:trPr>
        <w:tc>
          <w:tcPr>
            <w:tcW w:w="3435" w:type="dxa"/>
          </w:tcPr>
          <w:p w14:paraId="1C34E718" w14:textId="77777777" w:rsidR="004C558F" w:rsidRDefault="00461887">
            <w:pPr>
              <w:pStyle w:val="TableParagraph"/>
              <w:spacing w:before="3"/>
              <w:ind w:left="347"/>
              <w:jc w:val="left"/>
              <w:rPr>
                <w:i/>
                <w:sz w:val="20"/>
              </w:rPr>
            </w:pPr>
            <w:r>
              <w:rPr>
                <w:i/>
                <w:sz w:val="20"/>
              </w:rPr>
              <w:t>Beth</w:t>
            </w:r>
            <w:r>
              <w:rPr>
                <w:i/>
                <w:spacing w:val="-10"/>
                <w:sz w:val="20"/>
              </w:rPr>
              <w:t xml:space="preserve"> </w:t>
            </w:r>
            <w:r>
              <w:rPr>
                <w:i/>
                <w:sz w:val="20"/>
              </w:rPr>
              <w:t>Israel</w:t>
            </w:r>
            <w:r>
              <w:rPr>
                <w:i/>
                <w:spacing w:val="-7"/>
                <w:sz w:val="20"/>
              </w:rPr>
              <w:t xml:space="preserve"> </w:t>
            </w:r>
            <w:r>
              <w:rPr>
                <w:i/>
                <w:sz w:val="20"/>
              </w:rPr>
              <w:t>Deaconess</w:t>
            </w:r>
            <w:r>
              <w:rPr>
                <w:i/>
                <w:spacing w:val="-7"/>
                <w:sz w:val="20"/>
              </w:rPr>
              <w:t xml:space="preserve"> </w:t>
            </w:r>
            <w:r>
              <w:rPr>
                <w:i/>
                <w:spacing w:val="-2"/>
                <w:sz w:val="20"/>
              </w:rPr>
              <w:t>Medical</w:t>
            </w:r>
          </w:p>
          <w:p w14:paraId="1C34E719" w14:textId="77777777" w:rsidR="004C558F" w:rsidRDefault="00461887">
            <w:pPr>
              <w:pStyle w:val="TableParagraph"/>
              <w:spacing w:before="33"/>
              <w:ind w:left="347"/>
              <w:jc w:val="left"/>
              <w:rPr>
                <w:i/>
                <w:sz w:val="20"/>
              </w:rPr>
            </w:pPr>
            <w:r>
              <w:rPr>
                <w:i/>
                <w:spacing w:val="-2"/>
                <w:sz w:val="20"/>
              </w:rPr>
              <w:t>Center</w:t>
            </w:r>
          </w:p>
        </w:tc>
        <w:tc>
          <w:tcPr>
            <w:tcW w:w="1001" w:type="dxa"/>
          </w:tcPr>
          <w:p w14:paraId="1C34E71A" w14:textId="77777777" w:rsidR="004C558F" w:rsidRDefault="00461887">
            <w:pPr>
              <w:pStyle w:val="TableParagraph"/>
              <w:spacing w:before="3"/>
              <w:ind w:right="95"/>
              <w:rPr>
                <w:sz w:val="20"/>
              </w:rPr>
            </w:pPr>
            <w:r>
              <w:rPr>
                <w:spacing w:val="-4"/>
                <w:sz w:val="20"/>
              </w:rPr>
              <w:t>8.8%</w:t>
            </w:r>
          </w:p>
        </w:tc>
        <w:tc>
          <w:tcPr>
            <w:tcW w:w="1260" w:type="dxa"/>
          </w:tcPr>
          <w:p w14:paraId="1C34E71B" w14:textId="77777777" w:rsidR="004C558F" w:rsidRDefault="00461887">
            <w:pPr>
              <w:pStyle w:val="TableParagraph"/>
              <w:spacing w:before="3"/>
              <w:ind w:right="92"/>
              <w:rPr>
                <w:sz w:val="20"/>
              </w:rPr>
            </w:pPr>
            <w:r>
              <w:rPr>
                <w:spacing w:val="-2"/>
                <w:sz w:val="20"/>
              </w:rPr>
              <w:t>13.1%</w:t>
            </w:r>
          </w:p>
        </w:tc>
        <w:tc>
          <w:tcPr>
            <w:tcW w:w="1080" w:type="dxa"/>
          </w:tcPr>
          <w:p w14:paraId="1C34E71C" w14:textId="77777777" w:rsidR="004C558F" w:rsidRDefault="00461887">
            <w:pPr>
              <w:pStyle w:val="TableParagraph"/>
              <w:spacing w:before="3"/>
              <w:ind w:right="92"/>
              <w:rPr>
                <w:sz w:val="20"/>
              </w:rPr>
            </w:pPr>
            <w:r>
              <w:rPr>
                <w:spacing w:val="-2"/>
                <w:sz w:val="20"/>
              </w:rPr>
              <w:t>11.0%</w:t>
            </w:r>
          </w:p>
        </w:tc>
        <w:tc>
          <w:tcPr>
            <w:tcW w:w="990" w:type="dxa"/>
          </w:tcPr>
          <w:p w14:paraId="1C34E71D" w14:textId="77777777" w:rsidR="004C558F" w:rsidRDefault="00461887">
            <w:pPr>
              <w:pStyle w:val="TableParagraph"/>
              <w:spacing w:before="3"/>
              <w:ind w:right="94"/>
              <w:rPr>
                <w:sz w:val="20"/>
              </w:rPr>
            </w:pPr>
            <w:r>
              <w:rPr>
                <w:spacing w:val="-4"/>
                <w:sz w:val="20"/>
              </w:rPr>
              <w:t>9.9%</w:t>
            </w:r>
          </w:p>
        </w:tc>
        <w:tc>
          <w:tcPr>
            <w:tcW w:w="1080" w:type="dxa"/>
          </w:tcPr>
          <w:p w14:paraId="1C34E71E" w14:textId="77777777" w:rsidR="004C558F" w:rsidRDefault="00461887">
            <w:pPr>
              <w:pStyle w:val="TableParagraph"/>
              <w:spacing w:before="3"/>
              <w:ind w:left="84"/>
              <w:jc w:val="center"/>
              <w:rPr>
                <w:sz w:val="20"/>
              </w:rPr>
            </w:pPr>
            <w:r>
              <w:rPr>
                <w:spacing w:val="-2"/>
                <w:sz w:val="20"/>
              </w:rPr>
              <w:t>14.1%</w:t>
            </w:r>
          </w:p>
        </w:tc>
        <w:tc>
          <w:tcPr>
            <w:tcW w:w="1084" w:type="dxa"/>
          </w:tcPr>
          <w:p w14:paraId="1C34E71F" w14:textId="77777777" w:rsidR="004C558F" w:rsidRDefault="00461887">
            <w:pPr>
              <w:pStyle w:val="TableParagraph"/>
              <w:spacing w:before="3"/>
              <w:ind w:left="14"/>
              <w:jc w:val="center"/>
              <w:rPr>
                <w:sz w:val="20"/>
              </w:rPr>
            </w:pPr>
            <w:r>
              <w:rPr>
                <w:spacing w:val="-2"/>
                <w:sz w:val="20"/>
              </w:rPr>
              <w:t>11.8%</w:t>
            </w:r>
          </w:p>
        </w:tc>
      </w:tr>
      <w:tr w:rsidR="004C558F" w14:paraId="1C34E728" w14:textId="77777777" w:rsidTr="00E437D1">
        <w:trPr>
          <w:cantSplit/>
          <w:trHeight w:val="303"/>
        </w:trPr>
        <w:tc>
          <w:tcPr>
            <w:tcW w:w="3435" w:type="dxa"/>
          </w:tcPr>
          <w:p w14:paraId="1C34E721" w14:textId="77777777" w:rsidR="004C558F" w:rsidRDefault="00461887">
            <w:pPr>
              <w:pStyle w:val="TableParagraph"/>
              <w:spacing w:before="1"/>
              <w:ind w:left="107"/>
              <w:jc w:val="left"/>
              <w:rPr>
                <w:sz w:val="20"/>
              </w:rPr>
            </w:pPr>
            <w:r>
              <w:rPr>
                <w:sz w:val="20"/>
              </w:rPr>
              <w:t>UMass</w:t>
            </w:r>
            <w:r>
              <w:rPr>
                <w:spacing w:val="-7"/>
                <w:sz w:val="20"/>
              </w:rPr>
              <w:t xml:space="preserve"> </w:t>
            </w:r>
            <w:r>
              <w:rPr>
                <w:sz w:val="20"/>
              </w:rPr>
              <w:t>Memorial</w:t>
            </w:r>
            <w:r>
              <w:rPr>
                <w:spacing w:val="-7"/>
                <w:sz w:val="20"/>
              </w:rPr>
              <w:t xml:space="preserve"> </w:t>
            </w:r>
            <w:r>
              <w:rPr>
                <w:sz w:val="20"/>
              </w:rPr>
              <w:t>Health</w:t>
            </w:r>
            <w:r>
              <w:rPr>
                <w:spacing w:val="-7"/>
                <w:sz w:val="20"/>
              </w:rPr>
              <w:t xml:space="preserve"> </w:t>
            </w:r>
            <w:r>
              <w:rPr>
                <w:spacing w:val="-4"/>
                <w:sz w:val="20"/>
              </w:rPr>
              <w:t>Care</w:t>
            </w:r>
          </w:p>
        </w:tc>
        <w:tc>
          <w:tcPr>
            <w:tcW w:w="1001" w:type="dxa"/>
          </w:tcPr>
          <w:p w14:paraId="1C34E722" w14:textId="77777777" w:rsidR="004C558F" w:rsidRDefault="00461887">
            <w:pPr>
              <w:pStyle w:val="TableParagraph"/>
              <w:spacing w:before="1"/>
              <w:ind w:right="95"/>
              <w:rPr>
                <w:sz w:val="20"/>
              </w:rPr>
            </w:pPr>
            <w:r>
              <w:rPr>
                <w:spacing w:val="-4"/>
                <w:sz w:val="20"/>
              </w:rPr>
              <w:t>8.1%</w:t>
            </w:r>
          </w:p>
        </w:tc>
        <w:tc>
          <w:tcPr>
            <w:tcW w:w="1260" w:type="dxa"/>
          </w:tcPr>
          <w:p w14:paraId="1C34E723" w14:textId="77777777" w:rsidR="004C558F" w:rsidRDefault="00461887">
            <w:pPr>
              <w:pStyle w:val="TableParagraph"/>
              <w:spacing w:before="1"/>
              <w:ind w:right="94"/>
              <w:rPr>
                <w:sz w:val="20"/>
              </w:rPr>
            </w:pPr>
            <w:r>
              <w:rPr>
                <w:spacing w:val="-4"/>
                <w:sz w:val="20"/>
              </w:rPr>
              <w:t>2.0%</w:t>
            </w:r>
          </w:p>
        </w:tc>
        <w:tc>
          <w:tcPr>
            <w:tcW w:w="1080" w:type="dxa"/>
          </w:tcPr>
          <w:p w14:paraId="1C34E724" w14:textId="77777777" w:rsidR="004C558F" w:rsidRDefault="00461887">
            <w:pPr>
              <w:pStyle w:val="TableParagraph"/>
              <w:spacing w:before="1"/>
              <w:ind w:right="94"/>
              <w:rPr>
                <w:sz w:val="20"/>
              </w:rPr>
            </w:pPr>
            <w:r>
              <w:rPr>
                <w:spacing w:val="-4"/>
                <w:sz w:val="20"/>
              </w:rPr>
              <w:t>5.1%</w:t>
            </w:r>
          </w:p>
        </w:tc>
        <w:tc>
          <w:tcPr>
            <w:tcW w:w="990" w:type="dxa"/>
          </w:tcPr>
          <w:p w14:paraId="1C34E725" w14:textId="77777777" w:rsidR="004C558F" w:rsidRDefault="00461887">
            <w:pPr>
              <w:pStyle w:val="TableParagraph"/>
              <w:spacing w:before="1"/>
              <w:ind w:right="94"/>
              <w:rPr>
                <w:sz w:val="20"/>
              </w:rPr>
            </w:pPr>
            <w:r>
              <w:rPr>
                <w:spacing w:val="-4"/>
                <w:sz w:val="20"/>
              </w:rPr>
              <w:t>7.6%</w:t>
            </w:r>
          </w:p>
        </w:tc>
        <w:tc>
          <w:tcPr>
            <w:tcW w:w="1080" w:type="dxa"/>
          </w:tcPr>
          <w:p w14:paraId="1C34E726" w14:textId="77777777" w:rsidR="004C558F" w:rsidRDefault="00461887">
            <w:pPr>
              <w:pStyle w:val="TableParagraph"/>
              <w:spacing w:before="1"/>
              <w:ind w:left="197"/>
              <w:jc w:val="center"/>
              <w:rPr>
                <w:sz w:val="20"/>
              </w:rPr>
            </w:pPr>
            <w:r>
              <w:rPr>
                <w:spacing w:val="-4"/>
                <w:sz w:val="20"/>
              </w:rPr>
              <w:t>1.4%</w:t>
            </w:r>
          </w:p>
        </w:tc>
        <w:tc>
          <w:tcPr>
            <w:tcW w:w="1084" w:type="dxa"/>
          </w:tcPr>
          <w:p w14:paraId="1C34E727" w14:textId="77777777" w:rsidR="004C558F" w:rsidRDefault="00461887">
            <w:pPr>
              <w:pStyle w:val="TableParagraph"/>
              <w:spacing w:before="1"/>
              <w:ind w:left="127"/>
              <w:jc w:val="center"/>
              <w:rPr>
                <w:sz w:val="20"/>
              </w:rPr>
            </w:pPr>
            <w:r>
              <w:rPr>
                <w:spacing w:val="-4"/>
                <w:sz w:val="20"/>
              </w:rPr>
              <w:t>4.7%</w:t>
            </w:r>
          </w:p>
        </w:tc>
      </w:tr>
      <w:tr w:rsidR="004C558F" w14:paraId="1C34E730" w14:textId="77777777" w:rsidTr="00E437D1">
        <w:trPr>
          <w:cantSplit/>
          <w:trHeight w:val="303"/>
        </w:trPr>
        <w:tc>
          <w:tcPr>
            <w:tcW w:w="3435" w:type="dxa"/>
          </w:tcPr>
          <w:p w14:paraId="1C34E729" w14:textId="77777777" w:rsidR="004C558F" w:rsidRDefault="00461887">
            <w:pPr>
              <w:pStyle w:val="TableParagraph"/>
              <w:spacing w:before="1"/>
              <w:ind w:left="107"/>
              <w:jc w:val="left"/>
              <w:rPr>
                <w:sz w:val="20"/>
              </w:rPr>
            </w:pPr>
            <w:r>
              <w:rPr>
                <w:sz w:val="20"/>
              </w:rPr>
              <w:t>Tufts</w:t>
            </w:r>
            <w:r>
              <w:rPr>
                <w:spacing w:val="-4"/>
                <w:sz w:val="20"/>
              </w:rPr>
              <w:t xml:space="preserve"> </w:t>
            </w:r>
            <w:r>
              <w:rPr>
                <w:spacing w:val="-2"/>
                <w:sz w:val="20"/>
              </w:rPr>
              <w:t>Medicine</w:t>
            </w:r>
          </w:p>
        </w:tc>
        <w:tc>
          <w:tcPr>
            <w:tcW w:w="1001" w:type="dxa"/>
          </w:tcPr>
          <w:p w14:paraId="1C34E72A" w14:textId="77777777" w:rsidR="004C558F" w:rsidRDefault="00461887">
            <w:pPr>
              <w:pStyle w:val="TableParagraph"/>
              <w:spacing w:before="1"/>
              <w:ind w:right="95"/>
              <w:rPr>
                <w:sz w:val="20"/>
              </w:rPr>
            </w:pPr>
            <w:r>
              <w:rPr>
                <w:spacing w:val="-4"/>
                <w:sz w:val="20"/>
              </w:rPr>
              <w:t>5.8%</w:t>
            </w:r>
          </w:p>
        </w:tc>
        <w:tc>
          <w:tcPr>
            <w:tcW w:w="1260" w:type="dxa"/>
          </w:tcPr>
          <w:p w14:paraId="1C34E72B" w14:textId="77777777" w:rsidR="004C558F" w:rsidRDefault="00461887">
            <w:pPr>
              <w:pStyle w:val="TableParagraph"/>
              <w:spacing w:before="1"/>
              <w:ind w:right="94"/>
              <w:rPr>
                <w:sz w:val="20"/>
              </w:rPr>
            </w:pPr>
            <w:r>
              <w:rPr>
                <w:spacing w:val="-4"/>
                <w:sz w:val="20"/>
              </w:rPr>
              <w:t>7.4%</w:t>
            </w:r>
          </w:p>
        </w:tc>
        <w:tc>
          <w:tcPr>
            <w:tcW w:w="1080" w:type="dxa"/>
          </w:tcPr>
          <w:p w14:paraId="1C34E72C" w14:textId="77777777" w:rsidR="004C558F" w:rsidRDefault="00461887">
            <w:pPr>
              <w:pStyle w:val="TableParagraph"/>
              <w:spacing w:before="1"/>
              <w:ind w:right="94"/>
              <w:rPr>
                <w:sz w:val="20"/>
              </w:rPr>
            </w:pPr>
            <w:r>
              <w:rPr>
                <w:spacing w:val="-4"/>
                <w:sz w:val="20"/>
              </w:rPr>
              <w:t>7.6%</w:t>
            </w:r>
          </w:p>
        </w:tc>
        <w:tc>
          <w:tcPr>
            <w:tcW w:w="990" w:type="dxa"/>
          </w:tcPr>
          <w:p w14:paraId="1C34E72D" w14:textId="77777777" w:rsidR="004C558F" w:rsidRDefault="00461887">
            <w:pPr>
              <w:pStyle w:val="TableParagraph"/>
              <w:spacing w:before="1"/>
              <w:ind w:right="94"/>
              <w:rPr>
                <w:sz w:val="20"/>
              </w:rPr>
            </w:pPr>
            <w:r>
              <w:rPr>
                <w:spacing w:val="-4"/>
                <w:sz w:val="20"/>
              </w:rPr>
              <w:t>5.4%</w:t>
            </w:r>
          </w:p>
        </w:tc>
        <w:tc>
          <w:tcPr>
            <w:tcW w:w="1080" w:type="dxa"/>
          </w:tcPr>
          <w:p w14:paraId="1C34E72E" w14:textId="77777777" w:rsidR="004C558F" w:rsidRDefault="00461887">
            <w:pPr>
              <w:pStyle w:val="TableParagraph"/>
              <w:spacing w:before="1"/>
              <w:ind w:left="197"/>
              <w:jc w:val="center"/>
              <w:rPr>
                <w:sz w:val="20"/>
              </w:rPr>
            </w:pPr>
            <w:r>
              <w:rPr>
                <w:spacing w:val="-4"/>
                <w:sz w:val="20"/>
              </w:rPr>
              <w:t>6.8%</w:t>
            </w:r>
          </w:p>
        </w:tc>
        <w:tc>
          <w:tcPr>
            <w:tcW w:w="1084" w:type="dxa"/>
          </w:tcPr>
          <w:p w14:paraId="1C34E72F" w14:textId="77777777" w:rsidR="004C558F" w:rsidRDefault="00461887">
            <w:pPr>
              <w:pStyle w:val="TableParagraph"/>
              <w:spacing w:before="1"/>
              <w:ind w:left="127"/>
              <w:jc w:val="center"/>
              <w:rPr>
                <w:sz w:val="20"/>
              </w:rPr>
            </w:pPr>
            <w:r>
              <w:rPr>
                <w:spacing w:val="-4"/>
                <w:sz w:val="20"/>
              </w:rPr>
              <w:t>7.0%</w:t>
            </w:r>
          </w:p>
        </w:tc>
      </w:tr>
      <w:tr w:rsidR="004C558F" w14:paraId="1C34E739" w14:textId="77777777" w:rsidTr="00E437D1">
        <w:trPr>
          <w:cantSplit/>
          <w:trHeight w:val="529"/>
        </w:trPr>
        <w:tc>
          <w:tcPr>
            <w:tcW w:w="3435" w:type="dxa"/>
          </w:tcPr>
          <w:p w14:paraId="1C34E731" w14:textId="77777777" w:rsidR="004C558F" w:rsidRDefault="00461887">
            <w:pPr>
              <w:pStyle w:val="TableParagraph"/>
              <w:spacing w:before="1"/>
              <w:ind w:left="107"/>
              <w:jc w:val="left"/>
              <w:rPr>
                <w:sz w:val="20"/>
              </w:rPr>
            </w:pPr>
            <w:r>
              <w:rPr>
                <w:sz w:val="20"/>
              </w:rPr>
              <w:t>Boston</w:t>
            </w:r>
            <w:r>
              <w:rPr>
                <w:spacing w:val="-7"/>
                <w:sz w:val="20"/>
              </w:rPr>
              <w:t xml:space="preserve"> </w:t>
            </w:r>
            <w:r>
              <w:rPr>
                <w:sz w:val="20"/>
              </w:rPr>
              <w:t>Medical</w:t>
            </w:r>
            <w:r>
              <w:rPr>
                <w:spacing w:val="-8"/>
                <w:sz w:val="20"/>
              </w:rPr>
              <w:t xml:space="preserve"> </w:t>
            </w:r>
            <w:r>
              <w:rPr>
                <w:sz w:val="20"/>
              </w:rPr>
              <w:t>Center</w:t>
            </w:r>
            <w:r>
              <w:rPr>
                <w:spacing w:val="-6"/>
                <w:sz w:val="20"/>
              </w:rPr>
              <w:t xml:space="preserve"> </w:t>
            </w:r>
            <w:r>
              <w:rPr>
                <w:spacing w:val="-2"/>
                <w:sz w:val="20"/>
              </w:rPr>
              <w:t>Health</w:t>
            </w:r>
          </w:p>
          <w:p w14:paraId="1C34E732" w14:textId="77777777" w:rsidR="004C558F" w:rsidRDefault="00461887">
            <w:pPr>
              <w:pStyle w:val="TableParagraph"/>
              <w:spacing w:before="35"/>
              <w:ind w:left="107"/>
              <w:jc w:val="left"/>
              <w:rPr>
                <w:sz w:val="20"/>
              </w:rPr>
            </w:pPr>
            <w:r>
              <w:rPr>
                <w:spacing w:val="-2"/>
                <w:sz w:val="20"/>
              </w:rPr>
              <w:t>System</w:t>
            </w:r>
          </w:p>
        </w:tc>
        <w:tc>
          <w:tcPr>
            <w:tcW w:w="1001" w:type="dxa"/>
          </w:tcPr>
          <w:p w14:paraId="1C34E733" w14:textId="77777777" w:rsidR="004C558F" w:rsidRDefault="00461887">
            <w:pPr>
              <w:pStyle w:val="TableParagraph"/>
              <w:spacing w:before="1"/>
              <w:ind w:right="95"/>
              <w:rPr>
                <w:sz w:val="20"/>
              </w:rPr>
            </w:pPr>
            <w:r>
              <w:rPr>
                <w:spacing w:val="-4"/>
                <w:sz w:val="20"/>
              </w:rPr>
              <w:t>3.4%</w:t>
            </w:r>
          </w:p>
        </w:tc>
        <w:tc>
          <w:tcPr>
            <w:tcW w:w="1260" w:type="dxa"/>
          </w:tcPr>
          <w:p w14:paraId="1C34E734" w14:textId="77777777" w:rsidR="004C558F" w:rsidRDefault="00461887">
            <w:pPr>
              <w:pStyle w:val="TableParagraph"/>
              <w:spacing w:before="1"/>
              <w:ind w:right="94"/>
              <w:rPr>
                <w:sz w:val="20"/>
              </w:rPr>
            </w:pPr>
            <w:r>
              <w:rPr>
                <w:spacing w:val="-4"/>
                <w:sz w:val="20"/>
              </w:rPr>
              <w:t>5.2%</w:t>
            </w:r>
          </w:p>
        </w:tc>
        <w:tc>
          <w:tcPr>
            <w:tcW w:w="1080" w:type="dxa"/>
          </w:tcPr>
          <w:p w14:paraId="1C34E735" w14:textId="77777777" w:rsidR="004C558F" w:rsidRDefault="00461887">
            <w:pPr>
              <w:pStyle w:val="TableParagraph"/>
              <w:spacing w:before="1"/>
              <w:ind w:right="94"/>
              <w:rPr>
                <w:sz w:val="20"/>
              </w:rPr>
            </w:pPr>
            <w:r>
              <w:rPr>
                <w:spacing w:val="-4"/>
                <w:sz w:val="20"/>
              </w:rPr>
              <w:t>4.6%</w:t>
            </w:r>
          </w:p>
        </w:tc>
        <w:tc>
          <w:tcPr>
            <w:tcW w:w="990" w:type="dxa"/>
          </w:tcPr>
          <w:p w14:paraId="1C34E736" w14:textId="77777777" w:rsidR="004C558F" w:rsidRDefault="00461887">
            <w:pPr>
              <w:pStyle w:val="TableParagraph"/>
              <w:spacing w:before="1"/>
              <w:ind w:right="94"/>
              <w:rPr>
                <w:sz w:val="20"/>
              </w:rPr>
            </w:pPr>
            <w:r>
              <w:rPr>
                <w:spacing w:val="-4"/>
                <w:sz w:val="20"/>
              </w:rPr>
              <w:t>4.2%</w:t>
            </w:r>
          </w:p>
        </w:tc>
        <w:tc>
          <w:tcPr>
            <w:tcW w:w="1080" w:type="dxa"/>
          </w:tcPr>
          <w:p w14:paraId="1C34E737" w14:textId="77777777" w:rsidR="004C558F" w:rsidRDefault="00461887">
            <w:pPr>
              <w:pStyle w:val="TableParagraph"/>
              <w:spacing w:before="1"/>
              <w:ind w:left="197"/>
              <w:jc w:val="center"/>
              <w:rPr>
                <w:sz w:val="20"/>
              </w:rPr>
            </w:pPr>
            <w:r>
              <w:rPr>
                <w:spacing w:val="-4"/>
                <w:sz w:val="20"/>
              </w:rPr>
              <w:t>4.6%</w:t>
            </w:r>
          </w:p>
        </w:tc>
        <w:tc>
          <w:tcPr>
            <w:tcW w:w="1084" w:type="dxa"/>
          </w:tcPr>
          <w:p w14:paraId="1C34E738" w14:textId="77777777" w:rsidR="004C558F" w:rsidRDefault="00461887">
            <w:pPr>
              <w:pStyle w:val="TableParagraph"/>
              <w:spacing w:before="1"/>
              <w:ind w:left="127"/>
              <w:jc w:val="center"/>
              <w:rPr>
                <w:sz w:val="20"/>
              </w:rPr>
            </w:pPr>
            <w:r>
              <w:rPr>
                <w:spacing w:val="-4"/>
                <w:sz w:val="20"/>
              </w:rPr>
              <w:t>4.5%</w:t>
            </w:r>
          </w:p>
        </w:tc>
      </w:tr>
      <w:tr w:rsidR="004C558F" w14:paraId="1C34E741" w14:textId="77777777" w:rsidTr="00E437D1">
        <w:trPr>
          <w:cantSplit/>
          <w:trHeight w:val="303"/>
        </w:trPr>
        <w:tc>
          <w:tcPr>
            <w:tcW w:w="3435" w:type="dxa"/>
          </w:tcPr>
          <w:p w14:paraId="1C34E73A" w14:textId="77777777" w:rsidR="004C558F" w:rsidRDefault="00461887">
            <w:pPr>
              <w:pStyle w:val="TableParagraph"/>
              <w:spacing w:before="1"/>
              <w:ind w:left="107"/>
              <w:jc w:val="left"/>
              <w:rPr>
                <w:sz w:val="20"/>
              </w:rPr>
            </w:pPr>
            <w:r>
              <w:rPr>
                <w:sz w:val="20"/>
              </w:rPr>
              <w:t>Other</w:t>
            </w:r>
            <w:r>
              <w:rPr>
                <w:spacing w:val="-7"/>
                <w:sz w:val="20"/>
              </w:rPr>
              <w:t xml:space="preserve"> </w:t>
            </w:r>
            <w:r>
              <w:rPr>
                <w:sz w:val="20"/>
              </w:rPr>
              <w:t>Provider</w:t>
            </w:r>
            <w:r>
              <w:rPr>
                <w:spacing w:val="-7"/>
                <w:sz w:val="20"/>
              </w:rPr>
              <w:t xml:space="preserve"> </w:t>
            </w:r>
            <w:r>
              <w:rPr>
                <w:spacing w:val="-2"/>
                <w:sz w:val="20"/>
              </w:rPr>
              <w:t>Organizations</w:t>
            </w:r>
          </w:p>
        </w:tc>
        <w:tc>
          <w:tcPr>
            <w:tcW w:w="1001" w:type="dxa"/>
          </w:tcPr>
          <w:p w14:paraId="1C34E73B" w14:textId="77777777" w:rsidR="004C558F" w:rsidRDefault="00461887">
            <w:pPr>
              <w:pStyle w:val="TableParagraph"/>
              <w:spacing w:before="1"/>
              <w:ind w:right="92"/>
              <w:rPr>
                <w:sz w:val="20"/>
              </w:rPr>
            </w:pPr>
            <w:r>
              <w:rPr>
                <w:spacing w:val="-2"/>
                <w:sz w:val="20"/>
              </w:rPr>
              <w:t>22.1%</w:t>
            </w:r>
          </w:p>
        </w:tc>
        <w:tc>
          <w:tcPr>
            <w:tcW w:w="1260" w:type="dxa"/>
          </w:tcPr>
          <w:p w14:paraId="1C34E73C" w14:textId="77777777" w:rsidR="004C558F" w:rsidRDefault="00461887">
            <w:pPr>
              <w:pStyle w:val="TableParagraph"/>
              <w:spacing w:before="1"/>
              <w:ind w:right="94"/>
              <w:rPr>
                <w:sz w:val="20"/>
              </w:rPr>
            </w:pPr>
            <w:r>
              <w:rPr>
                <w:spacing w:val="-4"/>
                <w:sz w:val="20"/>
              </w:rPr>
              <w:t>8.7%</w:t>
            </w:r>
          </w:p>
        </w:tc>
        <w:tc>
          <w:tcPr>
            <w:tcW w:w="1080" w:type="dxa"/>
          </w:tcPr>
          <w:p w14:paraId="1C34E73D" w14:textId="77777777" w:rsidR="004C558F" w:rsidRDefault="00461887">
            <w:pPr>
              <w:pStyle w:val="TableParagraph"/>
              <w:spacing w:before="1"/>
              <w:ind w:right="92"/>
              <w:rPr>
                <w:sz w:val="20"/>
              </w:rPr>
            </w:pPr>
            <w:r>
              <w:rPr>
                <w:spacing w:val="-2"/>
                <w:sz w:val="20"/>
              </w:rPr>
              <w:t>11.7%</w:t>
            </w:r>
          </w:p>
        </w:tc>
        <w:tc>
          <w:tcPr>
            <w:tcW w:w="990" w:type="dxa"/>
          </w:tcPr>
          <w:p w14:paraId="1C34E73E" w14:textId="77777777" w:rsidR="004C558F" w:rsidRDefault="00461887">
            <w:pPr>
              <w:pStyle w:val="TableParagraph"/>
              <w:spacing w:before="1"/>
              <w:ind w:right="92"/>
              <w:rPr>
                <w:sz w:val="20"/>
              </w:rPr>
            </w:pPr>
            <w:r>
              <w:rPr>
                <w:spacing w:val="-2"/>
                <w:sz w:val="20"/>
              </w:rPr>
              <w:t>16.3%</w:t>
            </w:r>
          </w:p>
        </w:tc>
        <w:tc>
          <w:tcPr>
            <w:tcW w:w="1080" w:type="dxa"/>
          </w:tcPr>
          <w:p w14:paraId="1C34E73F" w14:textId="77777777" w:rsidR="004C558F" w:rsidRDefault="00461887">
            <w:pPr>
              <w:pStyle w:val="TableParagraph"/>
              <w:spacing w:before="1"/>
              <w:ind w:left="197"/>
              <w:jc w:val="center"/>
              <w:rPr>
                <w:sz w:val="20"/>
              </w:rPr>
            </w:pPr>
            <w:r>
              <w:rPr>
                <w:spacing w:val="-4"/>
                <w:sz w:val="20"/>
              </w:rPr>
              <w:t>5.2%</w:t>
            </w:r>
          </w:p>
        </w:tc>
        <w:tc>
          <w:tcPr>
            <w:tcW w:w="1084" w:type="dxa"/>
          </w:tcPr>
          <w:p w14:paraId="1C34E740" w14:textId="77777777" w:rsidR="004C558F" w:rsidRDefault="00461887">
            <w:pPr>
              <w:pStyle w:val="TableParagraph"/>
              <w:spacing w:before="1"/>
              <w:ind w:left="127"/>
              <w:jc w:val="center"/>
              <w:rPr>
                <w:sz w:val="20"/>
              </w:rPr>
            </w:pPr>
            <w:r>
              <w:rPr>
                <w:spacing w:val="-4"/>
                <w:sz w:val="20"/>
              </w:rPr>
              <w:t>6.7%</w:t>
            </w:r>
          </w:p>
        </w:tc>
      </w:tr>
    </w:tbl>
    <w:p w14:paraId="1C34E742" w14:textId="77777777" w:rsidR="004C558F" w:rsidRDefault="00461887">
      <w:pPr>
        <w:spacing w:before="8"/>
        <w:ind w:left="960"/>
        <w:rPr>
          <w:sz w:val="20"/>
        </w:rPr>
      </w:pPr>
      <w:r>
        <w:rPr>
          <w:sz w:val="20"/>
        </w:rPr>
        <w:t>Source:</w:t>
      </w:r>
      <w:r>
        <w:rPr>
          <w:spacing w:val="-5"/>
          <w:sz w:val="20"/>
        </w:rPr>
        <w:t xml:space="preserve"> </w:t>
      </w:r>
      <w:r>
        <w:rPr>
          <w:sz w:val="20"/>
        </w:rPr>
        <w:t>HPC</w:t>
      </w:r>
      <w:r>
        <w:rPr>
          <w:spacing w:val="-5"/>
          <w:sz w:val="20"/>
        </w:rPr>
        <w:t xml:space="preserve"> </w:t>
      </w:r>
      <w:r>
        <w:rPr>
          <w:sz w:val="20"/>
        </w:rPr>
        <w:t>analysis</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2022</w:t>
      </w:r>
      <w:r>
        <w:rPr>
          <w:spacing w:val="-5"/>
          <w:sz w:val="20"/>
        </w:rPr>
        <w:t xml:space="preserve"> </w:t>
      </w:r>
      <w:r>
        <w:rPr>
          <w:sz w:val="20"/>
        </w:rPr>
        <w:t>CHIA</w:t>
      </w:r>
      <w:r>
        <w:rPr>
          <w:spacing w:val="-6"/>
          <w:sz w:val="20"/>
        </w:rPr>
        <w:t xml:space="preserve"> </w:t>
      </w:r>
      <w:r>
        <w:rPr>
          <w:sz w:val="20"/>
        </w:rPr>
        <w:t>hospital</w:t>
      </w:r>
      <w:r>
        <w:rPr>
          <w:spacing w:val="-5"/>
          <w:sz w:val="20"/>
        </w:rPr>
        <w:t xml:space="preserve"> </w:t>
      </w:r>
      <w:r>
        <w:rPr>
          <w:sz w:val="20"/>
        </w:rPr>
        <w:t>discharge</w:t>
      </w:r>
      <w:r>
        <w:rPr>
          <w:spacing w:val="-6"/>
          <w:sz w:val="20"/>
        </w:rPr>
        <w:t xml:space="preserve"> </w:t>
      </w:r>
      <w:r>
        <w:rPr>
          <w:spacing w:val="-2"/>
          <w:sz w:val="20"/>
        </w:rPr>
        <w:t>database</w:t>
      </w:r>
    </w:p>
    <w:p w14:paraId="1C34E743" w14:textId="77777777" w:rsidR="004C558F" w:rsidRDefault="00461887">
      <w:pPr>
        <w:spacing w:before="35" w:line="276" w:lineRule="auto"/>
        <w:ind w:left="960" w:right="943"/>
        <w:rPr>
          <w:sz w:val="20"/>
        </w:rPr>
      </w:pPr>
      <w:r>
        <w:rPr>
          <w:sz w:val="20"/>
        </w:rPr>
        <w:t>Notes: BIDMC and DFCI/BWH PSAs are defined using all adult commercial oncology discharges. See the Data Appendix, Figure A1, for a more detailed table of commercial shares of inpatient oncology services. System</w:t>
      </w:r>
      <w:r>
        <w:rPr>
          <w:spacing w:val="-2"/>
          <w:sz w:val="20"/>
        </w:rPr>
        <w:t xml:space="preserve"> </w:t>
      </w:r>
      <w:r>
        <w:rPr>
          <w:sz w:val="20"/>
        </w:rPr>
        <w:t>shares</w:t>
      </w:r>
      <w:r>
        <w:rPr>
          <w:spacing w:val="-2"/>
          <w:sz w:val="20"/>
        </w:rPr>
        <w:t xml:space="preserve"> </w:t>
      </w:r>
      <w:r>
        <w:rPr>
          <w:sz w:val="20"/>
        </w:rPr>
        <w:t>reflect</w:t>
      </w:r>
      <w:r>
        <w:rPr>
          <w:spacing w:val="-2"/>
          <w:sz w:val="20"/>
        </w:rPr>
        <w:t xml:space="preserve"> </w:t>
      </w:r>
      <w:r>
        <w:rPr>
          <w:sz w:val="20"/>
        </w:rPr>
        <w:t>the</w:t>
      </w:r>
      <w:r>
        <w:rPr>
          <w:spacing w:val="-4"/>
          <w:sz w:val="20"/>
        </w:rPr>
        <w:t xml:space="preserve"> </w:t>
      </w:r>
      <w:r>
        <w:rPr>
          <w:sz w:val="20"/>
        </w:rPr>
        <w:t>shares</w:t>
      </w:r>
      <w:r>
        <w:rPr>
          <w:spacing w:val="-2"/>
          <w:sz w:val="20"/>
        </w:rPr>
        <w:t xml:space="preserve"> </w:t>
      </w:r>
      <w:r>
        <w:rPr>
          <w:sz w:val="20"/>
        </w:rPr>
        <w:t>of</w:t>
      </w:r>
      <w:r>
        <w:rPr>
          <w:spacing w:val="-3"/>
          <w:sz w:val="20"/>
        </w:rPr>
        <w:t xml:space="preserve"> </w:t>
      </w:r>
      <w:r>
        <w:rPr>
          <w:sz w:val="20"/>
        </w:rPr>
        <w:t>all</w:t>
      </w:r>
      <w:r>
        <w:rPr>
          <w:spacing w:val="-3"/>
          <w:sz w:val="20"/>
        </w:rPr>
        <w:t xml:space="preserve"> </w:t>
      </w:r>
      <w:r>
        <w:rPr>
          <w:sz w:val="20"/>
        </w:rPr>
        <w:t>hospitals</w:t>
      </w:r>
      <w:r>
        <w:rPr>
          <w:spacing w:val="-2"/>
          <w:sz w:val="20"/>
        </w:rPr>
        <w:t xml:space="preserve"> </w:t>
      </w:r>
      <w:r>
        <w:rPr>
          <w:sz w:val="20"/>
        </w:rPr>
        <w:t>that</w:t>
      </w:r>
      <w:r>
        <w:rPr>
          <w:spacing w:val="-2"/>
          <w:sz w:val="20"/>
        </w:rPr>
        <w:t xml:space="preserve"> </w:t>
      </w:r>
      <w:r>
        <w:rPr>
          <w:sz w:val="20"/>
        </w:rPr>
        <w:t>were</w:t>
      </w:r>
      <w:r>
        <w:rPr>
          <w:spacing w:val="-4"/>
          <w:sz w:val="20"/>
        </w:rPr>
        <w:t xml:space="preserve"> </w:t>
      </w:r>
      <w:r>
        <w:rPr>
          <w:sz w:val="20"/>
        </w:rPr>
        <w:t>part</w:t>
      </w:r>
      <w:r>
        <w:rPr>
          <w:spacing w:val="-2"/>
          <w:sz w:val="20"/>
        </w:rPr>
        <w:t xml:space="preserve"> </w:t>
      </w:r>
      <w:r>
        <w:rPr>
          <w:sz w:val="20"/>
        </w:rPr>
        <w:t>of</w:t>
      </w:r>
      <w:r>
        <w:rPr>
          <w:spacing w:val="-3"/>
          <w:sz w:val="20"/>
        </w:rPr>
        <w:t xml:space="preserve"> </w:t>
      </w:r>
      <w:r>
        <w:rPr>
          <w:sz w:val="20"/>
        </w:rPr>
        <w:t>these</w:t>
      </w:r>
      <w:r>
        <w:rPr>
          <w:spacing w:val="-4"/>
          <w:sz w:val="20"/>
        </w:rPr>
        <w:t xml:space="preserve"> </w:t>
      </w:r>
      <w:r>
        <w:rPr>
          <w:sz w:val="20"/>
        </w:rPr>
        <w:t>systems</w:t>
      </w:r>
      <w:r>
        <w:rPr>
          <w:spacing w:val="-2"/>
          <w:sz w:val="20"/>
        </w:rPr>
        <w:t xml:space="preserve"> </w:t>
      </w:r>
      <w:r>
        <w:rPr>
          <w:sz w:val="20"/>
        </w:rPr>
        <w:t>at</w:t>
      </w:r>
      <w:r>
        <w:rPr>
          <w:spacing w:val="-2"/>
          <w:sz w:val="20"/>
        </w:rPr>
        <w:t xml:space="preserve"> </w:t>
      </w:r>
      <w:r>
        <w:rPr>
          <w:sz w:val="20"/>
        </w:rPr>
        <w:t>the</w:t>
      </w:r>
      <w:r>
        <w:rPr>
          <w:spacing w:val="-4"/>
          <w:sz w:val="20"/>
        </w:rPr>
        <w:t xml:space="preserve"> </w:t>
      </w:r>
      <w:r>
        <w:rPr>
          <w:sz w:val="20"/>
        </w:rPr>
        <w:t>time</w:t>
      </w:r>
      <w:r>
        <w:rPr>
          <w:spacing w:val="-4"/>
          <w:sz w:val="20"/>
        </w:rPr>
        <w:t xml:space="preserve"> </w:t>
      </w:r>
      <w:r>
        <w:rPr>
          <w:sz w:val="20"/>
        </w:rPr>
        <w:t>this</w:t>
      </w:r>
      <w:r>
        <w:rPr>
          <w:spacing w:val="-2"/>
          <w:sz w:val="20"/>
        </w:rPr>
        <w:t xml:space="preserve"> </w:t>
      </w:r>
      <w:r>
        <w:rPr>
          <w:sz w:val="20"/>
        </w:rPr>
        <w:t>report</w:t>
      </w:r>
      <w:r>
        <w:rPr>
          <w:spacing w:val="-2"/>
          <w:sz w:val="20"/>
        </w:rPr>
        <w:t xml:space="preserve"> </w:t>
      </w:r>
      <w:r>
        <w:rPr>
          <w:sz w:val="20"/>
        </w:rPr>
        <w:t xml:space="preserve">was </w:t>
      </w:r>
      <w:r>
        <w:rPr>
          <w:spacing w:val="-2"/>
          <w:sz w:val="20"/>
        </w:rPr>
        <w:t>published.</w:t>
      </w:r>
    </w:p>
    <w:p w14:paraId="1C34E744" w14:textId="77777777" w:rsidR="004C558F" w:rsidRDefault="004C558F">
      <w:pPr>
        <w:pStyle w:val="BodyText"/>
        <w:rPr>
          <w:sz w:val="20"/>
        </w:rPr>
      </w:pPr>
    </w:p>
    <w:p w14:paraId="1C34E745" w14:textId="77D58777" w:rsidR="004C558F" w:rsidRDefault="004C558F">
      <w:pPr>
        <w:pStyle w:val="BodyText"/>
        <w:spacing w:before="172"/>
        <w:rPr>
          <w:sz w:val="20"/>
        </w:rPr>
      </w:pPr>
    </w:p>
    <w:p w14:paraId="1C34E747" w14:textId="0FF2FCB6" w:rsidR="004C558F" w:rsidRDefault="004C558F">
      <w:pPr>
        <w:ind w:left="959" w:right="1115"/>
        <w:rPr>
          <w:sz w:val="20"/>
        </w:rPr>
      </w:pPr>
      <w:bookmarkStart w:id="98" w:name="_bookmark124"/>
      <w:bookmarkStart w:id="99" w:name="_bookmark125"/>
      <w:bookmarkEnd w:id="98"/>
      <w:bookmarkEnd w:id="99"/>
    </w:p>
    <w:p w14:paraId="1C34E748" w14:textId="77777777" w:rsidR="004C558F" w:rsidRDefault="004C558F">
      <w:pPr>
        <w:rPr>
          <w:sz w:val="20"/>
        </w:rPr>
        <w:sectPr w:rsidR="004C558F">
          <w:pgSz w:w="12240" w:h="15840"/>
          <w:pgMar w:top="1360" w:right="740" w:bottom="720" w:left="480" w:header="0" w:footer="521" w:gutter="0"/>
          <w:cols w:space="720"/>
        </w:sectPr>
      </w:pPr>
    </w:p>
    <w:p w14:paraId="1C34E749" w14:textId="23105D48" w:rsidR="004C558F" w:rsidRDefault="00461887">
      <w:pPr>
        <w:pStyle w:val="BodyText"/>
        <w:spacing w:before="80" w:line="276" w:lineRule="auto"/>
        <w:ind w:left="960" w:right="1049" w:firstLine="720"/>
      </w:pPr>
      <w:r>
        <w:lastRenderedPageBreak/>
        <w:t>While DFCI has a small share of medical oncology discharges given its small number of licensed beds, DFCI medical oncologists also manage medical oncology patients at the hospital with the largest share, BWH. At the system level, MGB provides the largest share of oncology discharges of all types, both statewide and in the parties’ PSAs. BWH and MGH provide most of MGB’s oncology discharges and have the highest shares of oncology discharges of individual hospitals in the Commonwealth, although other MGB hospitals also provide inpatient cancer</w:t>
      </w:r>
      <w:r>
        <w:rPr>
          <w:spacing w:val="40"/>
        </w:rPr>
        <w:t xml:space="preserve"> </w:t>
      </w:r>
      <w:r>
        <w:t>care.</w:t>
      </w:r>
      <w:r>
        <w:rPr>
          <w:spacing w:val="-34"/>
        </w:rPr>
        <w:t xml:space="preserve"> </w:t>
      </w:r>
      <w:r w:rsidR="009E4567">
        <w:rPr>
          <w:rStyle w:val="FootnoteReference"/>
          <w:spacing w:val="-34"/>
        </w:rPr>
        <w:footnoteReference w:id="106"/>
      </w:r>
      <w:r>
        <w:t>BILH provides the second largest share of oncology discharges after MGB. BIDMC is the largest</w:t>
      </w:r>
      <w:r>
        <w:rPr>
          <w:spacing w:val="-3"/>
        </w:rPr>
        <w:t xml:space="preserve"> </w:t>
      </w:r>
      <w:r>
        <w:t>inpatient</w:t>
      </w:r>
      <w:r>
        <w:rPr>
          <w:spacing w:val="-3"/>
        </w:rPr>
        <w:t xml:space="preserve"> </w:t>
      </w:r>
      <w:r>
        <w:t>oncology</w:t>
      </w:r>
      <w:r>
        <w:rPr>
          <w:spacing w:val="-5"/>
        </w:rPr>
        <w:t xml:space="preserve"> </w:t>
      </w:r>
      <w:r>
        <w:t>provider</w:t>
      </w:r>
      <w:r>
        <w:rPr>
          <w:spacing w:val="-3"/>
        </w:rPr>
        <w:t xml:space="preserve"> </w:t>
      </w:r>
      <w:r>
        <w:t>within</w:t>
      </w:r>
      <w:r>
        <w:rPr>
          <w:spacing w:val="-4"/>
        </w:rPr>
        <w:t xml:space="preserve"> </w:t>
      </w:r>
      <w:r>
        <w:t>BILH,</w:t>
      </w:r>
      <w:r>
        <w:rPr>
          <w:spacing w:val="-5"/>
        </w:rPr>
        <w:t xml:space="preserve"> </w:t>
      </w:r>
      <w:r>
        <w:t>although</w:t>
      </w:r>
      <w:r>
        <w:rPr>
          <w:spacing w:val="-2"/>
        </w:rPr>
        <w:t xml:space="preserve"> </w:t>
      </w:r>
      <w:r>
        <w:t>Lahey</w:t>
      </w:r>
      <w:r>
        <w:rPr>
          <w:spacing w:val="-5"/>
        </w:rPr>
        <w:t xml:space="preserve"> </w:t>
      </w:r>
      <w:r>
        <w:t>also</w:t>
      </w:r>
      <w:r>
        <w:rPr>
          <w:spacing w:val="-2"/>
        </w:rPr>
        <w:t xml:space="preserve"> </w:t>
      </w:r>
      <w:r>
        <w:t>provides</w:t>
      </w:r>
      <w:r>
        <w:rPr>
          <w:spacing w:val="-4"/>
        </w:rPr>
        <w:t xml:space="preserve"> </w:t>
      </w:r>
      <w:r>
        <w:t>a</w:t>
      </w:r>
      <w:r>
        <w:rPr>
          <w:spacing w:val="-4"/>
        </w:rPr>
        <w:t xml:space="preserve"> </w:t>
      </w:r>
      <w:r>
        <w:t>significant</w:t>
      </w:r>
      <w:r>
        <w:rPr>
          <w:spacing w:val="-3"/>
        </w:rPr>
        <w:t xml:space="preserve"> </w:t>
      </w:r>
      <w:r>
        <w:t>volume of oncology discharges.</w:t>
      </w:r>
    </w:p>
    <w:p w14:paraId="1C34E74A" w14:textId="77777777" w:rsidR="004C558F" w:rsidRDefault="004C558F">
      <w:pPr>
        <w:pStyle w:val="BodyText"/>
        <w:spacing w:before="116"/>
      </w:pPr>
    </w:p>
    <w:p w14:paraId="1C34E74B" w14:textId="77777777" w:rsidR="004C558F" w:rsidRDefault="00461887">
      <w:pPr>
        <w:pStyle w:val="ListParagraph"/>
        <w:numPr>
          <w:ilvl w:val="3"/>
          <w:numId w:val="16"/>
        </w:numPr>
        <w:tabs>
          <w:tab w:val="left" w:pos="959"/>
        </w:tabs>
        <w:ind w:left="959" w:hanging="359"/>
      </w:pPr>
      <w:bookmarkStart w:id="100" w:name="b._Outpatient_Market_Shares"/>
      <w:bookmarkEnd w:id="100"/>
      <w:r>
        <w:rPr>
          <w:color w:val="063656"/>
        </w:rPr>
        <w:t>Outpatient</w:t>
      </w:r>
      <w:r>
        <w:rPr>
          <w:color w:val="063656"/>
          <w:spacing w:val="-6"/>
        </w:rPr>
        <w:t xml:space="preserve"> </w:t>
      </w:r>
      <w:r>
        <w:rPr>
          <w:color w:val="063656"/>
        </w:rPr>
        <w:t>Market</w:t>
      </w:r>
      <w:r>
        <w:rPr>
          <w:color w:val="063656"/>
          <w:spacing w:val="-5"/>
        </w:rPr>
        <w:t xml:space="preserve"> </w:t>
      </w:r>
      <w:r>
        <w:rPr>
          <w:color w:val="063656"/>
          <w:spacing w:val="-2"/>
        </w:rPr>
        <w:t>Shares</w:t>
      </w:r>
    </w:p>
    <w:p w14:paraId="1C34E74C" w14:textId="6F55B5F6" w:rsidR="004C558F" w:rsidRDefault="00461887">
      <w:pPr>
        <w:pStyle w:val="BodyText"/>
        <w:spacing w:before="41" w:line="276" w:lineRule="auto"/>
        <w:ind w:left="959" w:right="752" w:firstLine="720"/>
      </w:pPr>
      <w:r>
        <w:t>As discussed in Section II.A.1, DFCI provides a substantial majority of its care on an outpatient basis. To assess outpatient market shares, the HPC defined several outpatient service lines relevant to oncology</w:t>
      </w:r>
      <w:r>
        <w:rPr>
          <w:spacing w:val="-2"/>
        </w:rPr>
        <w:t xml:space="preserve"> </w:t>
      </w:r>
      <w:r>
        <w:t>care and</w:t>
      </w:r>
      <w:r>
        <w:rPr>
          <w:spacing w:val="-1"/>
        </w:rPr>
        <w:t xml:space="preserve"> </w:t>
      </w:r>
      <w:r>
        <w:t>examined statewide shares of commercial</w:t>
      </w:r>
      <w:r>
        <w:rPr>
          <w:spacing w:val="-2"/>
        </w:rPr>
        <w:t xml:space="preserve"> </w:t>
      </w:r>
      <w:r>
        <w:t>outpatient visits for oncology care within each service line.</w:t>
      </w:r>
      <w:r w:rsidR="00935779">
        <w:rPr>
          <w:rStyle w:val="FootnoteReference"/>
        </w:rPr>
        <w:footnoteReference w:id="107"/>
      </w:r>
      <w:r>
        <w:rPr>
          <w:spacing w:val="26"/>
          <w:position w:val="5"/>
          <w:sz w:val="14"/>
        </w:rPr>
        <w:t xml:space="preserve"> </w:t>
      </w:r>
      <w:r>
        <w:t>DFCI and MGB provide the largest volume of outpatient oncology</w:t>
      </w:r>
      <w:r>
        <w:rPr>
          <w:spacing w:val="-3"/>
        </w:rPr>
        <w:t xml:space="preserve"> </w:t>
      </w:r>
      <w:r>
        <w:t>services</w:t>
      </w:r>
      <w:r>
        <w:rPr>
          <w:spacing w:val="-2"/>
        </w:rPr>
        <w:t xml:space="preserve"> </w:t>
      </w:r>
      <w:r>
        <w:t>in</w:t>
      </w:r>
      <w:r>
        <w:rPr>
          <w:spacing w:val="-2"/>
        </w:rPr>
        <w:t xml:space="preserve"> </w:t>
      </w:r>
      <w:r>
        <w:t>the</w:t>
      </w:r>
      <w:r>
        <w:rPr>
          <w:spacing w:val="-2"/>
        </w:rPr>
        <w:t xml:space="preserve"> </w:t>
      </w:r>
      <w:r>
        <w:t>Commonwealth.</w:t>
      </w:r>
      <w:r>
        <w:rPr>
          <w:spacing w:val="-5"/>
        </w:rPr>
        <w:t xml:space="preserve"> </w:t>
      </w:r>
      <w:r>
        <w:t>DFCI</w:t>
      </w:r>
      <w:r>
        <w:rPr>
          <w:spacing w:val="-2"/>
        </w:rPr>
        <w:t xml:space="preserve"> </w:t>
      </w:r>
      <w:r>
        <w:t>is</w:t>
      </w:r>
      <w:r>
        <w:rPr>
          <w:spacing w:val="-2"/>
        </w:rPr>
        <w:t xml:space="preserve"> </w:t>
      </w:r>
      <w:r>
        <w:t>the</w:t>
      </w:r>
      <w:r>
        <w:rPr>
          <w:spacing w:val="-4"/>
        </w:rPr>
        <w:t xml:space="preserve"> </w:t>
      </w:r>
      <w:r>
        <w:t>largest</w:t>
      </w:r>
      <w:r>
        <w:rPr>
          <w:spacing w:val="-3"/>
        </w:rPr>
        <w:t xml:space="preserve"> </w:t>
      </w:r>
      <w:r>
        <w:t>provider</w:t>
      </w:r>
      <w:r>
        <w:rPr>
          <w:spacing w:val="-3"/>
        </w:rPr>
        <w:t xml:space="preserve"> </w:t>
      </w:r>
      <w:r>
        <w:t>of</w:t>
      </w:r>
      <w:r>
        <w:rPr>
          <w:spacing w:val="-4"/>
        </w:rPr>
        <w:t xml:space="preserve"> </w:t>
      </w:r>
      <w:r>
        <w:t>outpatient</w:t>
      </w:r>
      <w:r>
        <w:rPr>
          <w:spacing w:val="-3"/>
        </w:rPr>
        <w:t xml:space="preserve"> </w:t>
      </w:r>
      <w:r>
        <w:t>oncologic</w:t>
      </w:r>
      <w:r>
        <w:rPr>
          <w:spacing w:val="-4"/>
        </w:rPr>
        <w:t xml:space="preserve"> </w:t>
      </w:r>
      <w:r>
        <w:t>drugs and infusion services, while MGB is the largest provider of radiation oncology and mammography services. BILH is the third-largest provider of each of these outpatient service lines.</w:t>
      </w:r>
    </w:p>
    <w:p w14:paraId="1C34E74D" w14:textId="77777777" w:rsidR="004C558F" w:rsidRDefault="004C558F">
      <w:pPr>
        <w:pStyle w:val="BodyText"/>
        <w:rPr>
          <w:sz w:val="20"/>
        </w:rPr>
      </w:pPr>
    </w:p>
    <w:p w14:paraId="1C34E74E" w14:textId="77777777" w:rsidR="004C558F" w:rsidRDefault="004C558F">
      <w:pPr>
        <w:pStyle w:val="BodyText"/>
        <w:rPr>
          <w:sz w:val="20"/>
        </w:rPr>
      </w:pPr>
    </w:p>
    <w:p w14:paraId="1C34E74F" w14:textId="77777777" w:rsidR="004C558F" w:rsidRDefault="004C558F">
      <w:pPr>
        <w:pStyle w:val="BodyText"/>
        <w:rPr>
          <w:sz w:val="20"/>
        </w:rPr>
      </w:pPr>
    </w:p>
    <w:p w14:paraId="1C34E750" w14:textId="77777777" w:rsidR="004C558F" w:rsidRDefault="004C558F">
      <w:pPr>
        <w:pStyle w:val="BodyText"/>
        <w:rPr>
          <w:sz w:val="20"/>
        </w:rPr>
      </w:pPr>
    </w:p>
    <w:p w14:paraId="1C34E751" w14:textId="77777777" w:rsidR="004C558F" w:rsidRDefault="004C558F">
      <w:pPr>
        <w:pStyle w:val="BodyText"/>
        <w:rPr>
          <w:sz w:val="20"/>
        </w:rPr>
      </w:pPr>
    </w:p>
    <w:p w14:paraId="1C34E752" w14:textId="77777777" w:rsidR="004C558F" w:rsidRDefault="004C558F">
      <w:pPr>
        <w:pStyle w:val="BodyText"/>
        <w:rPr>
          <w:sz w:val="20"/>
        </w:rPr>
      </w:pPr>
    </w:p>
    <w:p w14:paraId="1C34E753" w14:textId="77777777" w:rsidR="004C558F" w:rsidRDefault="004C558F">
      <w:pPr>
        <w:pStyle w:val="BodyText"/>
        <w:rPr>
          <w:sz w:val="20"/>
        </w:rPr>
      </w:pPr>
    </w:p>
    <w:p w14:paraId="1C34E754" w14:textId="77777777" w:rsidR="004C558F" w:rsidRDefault="004C558F">
      <w:pPr>
        <w:pStyle w:val="BodyText"/>
        <w:rPr>
          <w:sz w:val="20"/>
        </w:rPr>
      </w:pPr>
    </w:p>
    <w:p w14:paraId="1C34E755" w14:textId="77777777" w:rsidR="004C558F" w:rsidRDefault="004C558F">
      <w:pPr>
        <w:pStyle w:val="BodyText"/>
        <w:rPr>
          <w:sz w:val="20"/>
        </w:rPr>
      </w:pPr>
    </w:p>
    <w:p w14:paraId="1C34E756" w14:textId="77777777" w:rsidR="004C558F" w:rsidRDefault="004C558F">
      <w:pPr>
        <w:pStyle w:val="BodyText"/>
        <w:rPr>
          <w:sz w:val="20"/>
        </w:rPr>
      </w:pPr>
    </w:p>
    <w:p w14:paraId="1C34E757" w14:textId="77777777" w:rsidR="004C558F" w:rsidRDefault="004C558F">
      <w:pPr>
        <w:pStyle w:val="BodyText"/>
        <w:rPr>
          <w:sz w:val="20"/>
        </w:rPr>
      </w:pPr>
    </w:p>
    <w:p w14:paraId="1C34E758" w14:textId="77777777" w:rsidR="004C558F" w:rsidRDefault="004C558F">
      <w:pPr>
        <w:pStyle w:val="BodyText"/>
        <w:rPr>
          <w:sz w:val="20"/>
        </w:rPr>
      </w:pPr>
    </w:p>
    <w:p w14:paraId="1C34E759" w14:textId="77777777" w:rsidR="004C558F" w:rsidRDefault="004C558F">
      <w:pPr>
        <w:pStyle w:val="BodyText"/>
        <w:rPr>
          <w:sz w:val="20"/>
        </w:rPr>
      </w:pPr>
    </w:p>
    <w:p w14:paraId="1C34E75A" w14:textId="77777777" w:rsidR="004C558F" w:rsidRDefault="004C558F">
      <w:pPr>
        <w:pStyle w:val="BodyText"/>
        <w:rPr>
          <w:sz w:val="20"/>
        </w:rPr>
      </w:pPr>
    </w:p>
    <w:p w14:paraId="1C34E75B" w14:textId="77777777" w:rsidR="004C558F" w:rsidRDefault="004C558F">
      <w:pPr>
        <w:pStyle w:val="BodyText"/>
        <w:rPr>
          <w:sz w:val="20"/>
        </w:rPr>
      </w:pPr>
    </w:p>
    <w:p w14:paraId="1C34E75C" w14:textId="77777777" w:rsidR="004C558F" w:rsidRDefault="004C558F">
      <w:pPr>
        <w:pStyle w:val="BodyText"/>
        <w:rPr>
          <w:sz w:val="20"/>
        </w:rPr>
      </w:pPr>
    </w:p>
    <w:p w14:paraId="1C34E75D" w14:textId="1F07A025" w:rsidR="004C558F" w:rsidRDefault="004C558F">
      <w:pPr>
        <w:pStyle w:val="BodyText"/>
        <w:spacing w:before="101"/>
        <w:rPr>
          <w:sz w:val="20"/>
        </w:rPr>
      </w:pPr>
    </w:p>
    <w:p w14:paraId="1C34E760" w14:textId="77777777" w:rsidR="004C558F" w:rsidRDefault="004C558F">
      <w:pPr>
        <w:rPr>
          <w:sz w:val="20"/>
        </w:rPr>
        <w:sectPr w:rsidR="004C558F">
          <w:pgSz w:w="12240" w:h="15840"/>
          <w:pgMar w:top="1360" w:right="740" w:bottom="720" w:left="480" w:header="0" w:footer="521" w:gutter="0"/>
          <w:cols w:space="720"/>
        </w:sectPr>
      </w:pPr>
      <w:bookmarkStart w:id="101" w:name="_bookmark126"/>
      <w:bookmarkStart w:id="102" w:name="_bookmark127"/>
      <w:bookmarkEnd w:id="101"/>
      <w:bookmarkEnd w:id="102"/>
    </w:p>
    <w:p w14:paraId="1C34E761" w14:textId="77777777" w:rsidR="004C558F" w:rsidRDefault="00461887">
      <w:pPr>
        <w:pStyle w:val="BodyText"/>
        <w:spacing w:before="80" w:after="39"/>
        <w:ind w:right="7"/>
        <w:jc w:val="center"/>
      </w:pPr>
      <w:r>
        <w:lastRenderedPageBreak/>
        <w:t>Figure</w:t>
      </w:r>
      <w:r>
        <w:rPr>
          <w:spacing w:val="-7"/>
        </w:rPr>
        <w:t xml:space="preserve"> </w:t>
      </w:r>
      <w:r>
        <w:t>III.A.3:</w:t>
      </w:r>
      <w:r>
        <w:rPr>
          <w:spacing w:val="-5"/>
        </w:rPr>
        <w:t xml:space="preserve"> </w:t>
      </w:r>
      <w:r>
        <w:t>2022</w:t>
      </w:r>
      <w:r>
        <w:rPr>
          <w:spacing w:val="-4"/>
        </w:rPr>
        <w:t xml:space="preserve"> </w:t>
      </w:r>
      <w:r>
        <w:t>Statewide</w:t>
      </w:r>
      <w:r>
        <w:rPr>
          <w:spacing w:val="-4"/>
        </w:rPr>
        <w:t xml:space="preserve"> </w:t>
      </w:r>
      <w:r>
        <w:t>Commercial</w:t>
      </w:r>
      <w:r>
        <w:rPr>
          <w:spacing w:val="-5"/>
        </w:rPr>
        <w:t xml:space="preserve"> </w:t>
      </w:r>
      <w:r>
        <w:t>Shares</w:t>
      </w:r>
      <w:r>
        <w:rPr>
          <w:spacing w:val="-6"/>
        </w:rPr>
        <w:t xml:space="preserve"> </w:t>
      </w:r>
      <w:r>
        <w:t>of</w:t>
      </w:r>
      <w:r>
        <w:rPr>
          <w:spacing w:val="-3"/>
        </w:rPr>
        <w:t xml:space="preserve"> </w:t>
      </w:r>
      <w:r>
        <w:t>Outpatient</w:t>
      </w:r>
      <w:r>
        <w:rPr>
          <w:spacing w:val="-5"/>
        </w:rPr>
        <w:t xml:space="preserve"> </w:t>
      </w:r>
      <w:r>
        <w:rPr>
          <w:spacing w:val="-2"/>
        </w:rPr>
        <w:t>Visits</w:t>
      </w: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4135"/>
        <w:gridCol w:w="1500"/>
        <w:gridCol w:w="1174"/>
        <w:gridCol w:w="1169"/>
        <w:gridCol w:w="1567"/>
      </w:tblGrid>
      <w:tr w:rsidR="004C558F" w14:paraId="1C34E76A" w14:textId="77777777" w:rsidTr="009639D7">
        <w:trPr>
          <w:cantSplit/>
          <w:trHeight w:val="599"/>
          <w:tblHeader/>
        </w:trPr>
        <w:tc>
          <w:tcPr>
            <w:tcW w:w="4135" w:type="dxa"/>
            <w:shd w:val="clear" w:color="auto" w:fill="084875"/>
          </w:tcPr>
          <w:p w14:paraId="1C34E762" w14:textId="77777777" w:rsidR="004C558F" w:rsidRDefault="00461887">
            <w:pPr>
              <w:pStyle w:val="TableParagraph"/>
              <w:spacing w:before="14"/>
              <w:ind w:left="1384"/>
              <w:jc w:val="left"/>
              <w:rPr>
                <w:rFonts w:ascii="Franklin Gothic Medium Cond"/>
              </w:rPr>
            </w:pPr>
            <w:r>
              <w:rPr>
                <w:rFonts w:ascii="Franklin Gothic Medium Cond"/>
                <w:color w:val="FFFFFF"/>
                <w:spacing w:val="-2"/>
              </w:rPr>
              <w:t>Hospital/System</w:t>
            </w:r>
          </w:p>
        </w:tc>
        <w:tc>
          <w:tcPr>
            <w:tcW w:w="1500" w:type="dxa"/>
            <w:shd w:val="clear" w:color="auto" w:fill="084875"/>
          </w:tcPr>
          <w:p w14:paraId="1C34E763" w14:textId="77777777" w:rsidR="004C558F" w:rsidRDefault="00461887">
            <w:pPr>
              <w:pStyle w:val="TableParagraph"/>
              <w:spacing w:before="14"/>
              <w:ind w:left="8"/>
              <w:jc w:val="center"/>
              <w:rPr>
                <w:rFonts w:ascii="Franklin Gothic Medium Cond"/>
              </w:rPr>
            </w:pPr>
            <w:r>
              <w:rPr>
                <w:rFonts w:ascii="Franklin Gothic Medium Cond"/>
                <w:color w:val="FFFFFF"/>
                <w:spacing w:val="-2"/>
              </w:rPr>
              <w:t>Infusion</w:t>
            </w:r>
          </w:p>
          <w:p w14:paraId="1C34E764" w14:textId="77777777" w:rsidR="004C558F" w:rsidRDefault="00461887">
            <w:pPr>
              <w:pStyle w:val="TableParagraph"/>
              <w:spacing w:before="36"/>
              <w:ind w:left="8" w:right="3"/>
              <w:jc w:val="center"/>
              <w:rPr>
                <w:rFonts w:ascii="Franklin Gothic Medium Cond"/>
              </w:rPr>
            </w:pPr>
            <w:r>
              <w:rPr>
                <w:rFonts w:ascii="Franklin Gothic Medium Cond"/>
                <w:color w:val="FFFFFF"/>
                <w:spacing w:val="-2"/>
              </w:rPr>
              <w:t>administration</w:t>
            </w:r>
          </w:p>
        </w:tc>
        <w:tc>
          <w:tcPr>
            <w:tcW w:w="1174" w:type="dxa"/>
            <w:shd w:val="clear" w:color="auto" w:fill="084875"/>
          </w:tcPr>
          <w:p w14:paraId="1C34E765" w14:textId="77777777" w:rsidR="004C558F" w:rsidRDefault="00461887">
            <w:pPr>
              <w:pStyle w:val="TableParagraph"/>
              <w:spacing w:before="14"/>
              <w:ind w:left="12" w:right="4"/>
              <w:jc w:val="center"/>
              <w:rPr>
                <w:rFonts w:ascii="Franklin Gothic Medium Cond"/>
              </w:rPr>
            </w:pPr>
            <w:r>
              <w:rPr>
                <w:rFonts w:ascii="Franklin Gothic Medium Cond"/>
                <w:color w:val="FFFFFF"/>
                <w:spacing w:val="-2"/>
              </w:rPr>
              <w:t>Oncologic</w:t>
            </w:r>
          </w:p>
          <w:p w14:paraId="1C34E766" w14:textId="77777777" w:rsidR="004C558F" w:rsidRDefault="00461887">
            <w:pPr>
              <w:pStyle w:val="TableParagraph"/>
              <w:spacing w:before="36"/>
              <w:ind w:left="12"/>
              <w:jc w:val="center"/>
              <w:rPr>
                <w:rFonts w:ascii="Franklin Gothic Medium Cond"/>
              </w:rPr>
            </w:pPr>
            <w:r>
              <w:rPr>
                <w:rFonts w:ascii="Franklin Gothic Medium Cond"/>
                <w:color w:val="FFFFFF"/>
                <w:spacing w:val="-2"/>
              </w:rPr>
              <w:t>drugs</w:t>
            </w:r>
          </w:p>
        </w:tc>
        <w:tc>
          <w:tcPr>
            <w:tcW w:w="1169" w:type="dxa"/>
            <w:shd w:val="clear" w:color="auto" w:fill="084875"/>
          </w:tcPr>
          <w:p w14:paraId="1C34E767" w14:textId="77777777" w:rsidR="004C558F" w:rsidRDefault="00461887">
            <w:pPr>
              <w:pStyle w:val="TableParagraph"/>
              <w:spacing w:before="14"/>
              <w:ind w:left="193"/>
              <w:jc w:val="left"/>
              <w:rPr>
                <w:rFonts w:ascii="Franklin Gothic Medium Cond"/>
              </w:rPr>
            </w:pPr>
            <w:r>
              <w:rPr>
                <w:rFonts w:ascii="Franklin Gothic Medium Cond"/>
                <w:color w:val="FFFFFF"/>
                <w:spacing w:val="-2"/>
              </w:rPr>
              <w:t>Radiation</w:t>
            </w:r>
          </w:p>
          <w:p w14:paraId="1C34E768" w14:textId="77777777" w:rsidR="004C558F" w:rsidRDefault="00461887">
            <w:pPr>
              <w:pStyle w:val="TableParagraph"/>
              <w:spacing w:before="36"/>
              <w:ind w:left="225"/>
              <w:jc w:val="left"/>
              <w:rPr>
                <w:rFonts w:ascii="Franklin Gothic Medium Cond"/>
              </w:rPr>
            </w:pPr>
            <w:r>
              <w:rPr>
                <w:rFonts w:ascii="Franklin Gothic Medium Cond"/>
                <w:color w:val="FFFFFF"/>
                <w:spacing w:val="-2"/>
              </w:rPr>
              <w:t>oncology</w:t>
            </w:r>
          </w:p>
        </w:tc>
        <w:tc>
          <w:tcPr>
            <w:tcW w:w="1567" w:type="dxa"/>
            <w:shd w:val="clear" w:color="auto" w:fill="084875"/>
          </w:tcPr>
          <w:p w14:paraId="1C34E769" w14:textId="77777777" w:rsidR="004C558F" w:rsidRDefault="00461887">
            <w:pPr>
              <w:pStyle w:val="TableParagraph"/>
              <w:spacing w:before="14"/>
              <w:ind w:right="166"/>
              <w:rPr>
                <w:rFonts w:ascii="Franklin Gothic Medium Cond"/>
              </w:rPr>
            </w:pPr>
            <w:r>
              <w:rPr>
                <w:rFonts w:ascii="Franklin Gothic Medium Cond"/>
                <w:color w:val="FFFFFF"/>
                <w:spacing w:val="-2"/>
              </w:rPr>
              <w:t>Mammography</w:t>
            </w:r>
          </w:p>
        </w:tc>
      </w:tr>
      <w:tr w:rsidR="004C558F" w14:paraId="1C34E770" w14:textId="77777777" w:rsidTr="009639D7">
        <w:trPr>
          <w:cantSplit/>
          <w:trHeight w:val="328"/>
        </w:trPr>
        <w:tc>
          <w:tcPr>
            <w:tcW w:w="4135" w:type="dxa"/>
            <w:shd w:val="clear" w:color="auto" w:fill="EBF0F4"/>
          </w:tcPr>
          <w:p w14:paraId="1C34E76B" w14:textId="77777777" w:rsidR="004C558F" w:rsidRDefault="00461887">
            <w:pPr>
              <w:pStyle w:val="TableParagraph"/>
              <w:spacing w:before="15"/>
              <w:ind w:left="115"/>
              <w:jc w:val="left"/>
              <w:rPr>
                <w:sz w:val="20"/>
              </w:rPr>
            </w:pPr>
            <w:r>
              <w:rPr>
                <w:sz w:val="20"/>
              </w:rPr>
              <w:t>Dana-Farber</w:t>
            </w:r>
            <w:r>
              <w:rPr>
                <w:spacing w:val="-8"/>
                <w:sz w:val="20"/>
              </w:rPr>
              <w:t xml:space="preserve"> </w:t>
            </w:r>
            <w:r>
              <w:rPr>
                <w:sz w:val="20"/>
              </w:rPr>
              <w:t>Cancer</w:t>
            </w:r>
            <w:r>
              <w:rPr>
                <w:spacing w:val="-7"/>
                <w:sz w:val="20"/>
              </w:rPr>
              <w:t xml:space="preserve"> </w:t>
            </w:r>
            <w:r>
              <w:rPr>
                <w:spacing w:val="-2"/>
                <w:sz w:val="20"/>
              </w:rPr>
              <w:t>Institute</w:t>
            </w:r>
          </w:p>
        </w:tc>
        <w:tc>
          <w:tcPr>
            <w:tcW w:w="1500" w:type="dxa"/>
            <w:shd w:val="clear" w:color="auto" w:fill="EBF0F4"/>
          </w:tcPr>
          <w:p w14:paraId="1C34E76C" w14:textId="77777777" w:rsidR="004C558F" w:rsidRDefault="00461887">
            <w:pPr>
              <w:pStyle w:val="TableParagraph"/>
              <w:spacing w:before="15"/>
              <w:ind w:right="102"/>
              <w:rPr>
                <w:sz w:val="20"/>
              </w:rPr>
            </w:pPr>
            <w:r>
              <w:rPr>
                <w:spacing w:val="-2"/>
                <w:sz w:val="20"/>
              </w:rPr>
              <w:t>38.7%</w:t>
            </w:r>
          </w:p>
        </w:tc>
        <w:tc>
          <w:tcPr>
            <w:tcW w:w="1174" w:type="dxa"/>
            <w:shd w:val="clear" w:color="auto" w:fill="EBF0F4"/>
          </w:tcPr>
          <w:p w14:paraId="1C34E76D" w14:textId="77777777" w:rsidR="004C558F" w:rsidRDefault="00461887">
            <w:pPr>
              <w:pStyle w:val="TableParagraph"/>
              <w:spacing w:before="15"/>
              <w:ind w:right="104"/>
              <w:rPr>
                <w:sz w:val="20"/>
              </w:rPr>
            </w:pPr>
            <w:r>
              <w:rPr>
                <w:spacing w:val="-2"/>
                <w:sz w:val="20"/>
              </w:rPr>
              <w:t>34.7%</w:t>
            </w:r>
          </w:p>
        </w:tc>
        <w:tc>
          <w:tcPr>
            <w:tcW w:w="1169" w:type="dxa"/>
            <w:shd w:val="clear" w:color="auto" w:fill="EBF0F4"/>
          </w:tcPr>
          <w:p w14:paraId="1C34E76E" w14:textId="77777777" w:rsidR="004C558F" w:rsidRDefault="00461887">
            <w:pPr>
              <w:pStyle w:val="TableParagraph"/>
              <w:spacing w:before="15"/>
              <w:ind w:right="101"/>
              <w:rPr>
                <w:sz w:val="20"/>
              </w:rPr>
            </w:pPr>
            <w:r>
              <w:rPr>
                <w:spacing w:val="-2"/>
                <w:sz w:val="20"/>
              </w:rPr>
              <w:t>15.1%</w:t>
            </w:r>
          </w:p>
        </w:tc>
        <w:tc>
          <w:tcPr>
            <w:tcW w:w="1567" w:type="dxa"/>
            <w:shd w:val="clear" w:color="auto" w:fill="EBF0F4"/>
          </w:tcPr>
          <w:p w14:paraId="1C34E76F" w14:textId="77777777" w:rsidR="004C558F" w:rsidRDefault="00461887">
            <w:pPr>
              <w:pStyle w:val="TableParagraph"/>
              <w:spacing w:before="15"/>
              <w:ind w:right="104"/>
              <w:rPr>
                <w:sz w:val="20"/>
              </w:rPr>
            </w:pPr>
            <w:r>
              <w:rPr>
                <w:spacing w:val="-2"/>
                <w:sz w:val="20"/>
              </w:rPr>
              <w:t>25.2%</w:t>
            </w:r>
          </w:p>
        </w:tc>
      </w:tr>
      <w:tr w:rsidR="004C558F" w14:paraId="1C34E776" w14:textId="77777777" w:rsidTr="009639D7">
        <w:trPr>
          <w:cantSplit/>
          <w:trHeight w:val="328"/>
        </w:trPr>
        <w:tc>
          <w:tcPr>
            <w:tcW w:w="4135" w:type="dxa"/>
            <w:shd w:val="clear" w:color="auto" w:fill="EBF0F4"/>
          </w:tcPr>
          <w:p w14:paraId="1C34E771" w14:textId="77777777" w:rsidR="004C558F" w:rsidRDefault="00461887">
            <w:pPr>
              <w:pStyle w:val="TableParagraph"/>
              <w:spacing w:before="15"/>
              <w:ind w:left="115"/>
              <w:jc w:val="left"/>
              <w:rPr>
                <w:sz w:val="20"/>
              </w:rPr>
            </w:pPr>
            <w:r>
              <w:rPr>
                <w:sz w:val="20"/>
              </w:rPr>
              <w:t>Mass</w:t>
            </w:r>
            <w:r>
              <w:rPr>
                <w:spacing w:val="-5"/>
                <w:sz w:val="20"/>
              </w:rPr>
              <w:t xml:space="preserve"> </w:t>
            </w:r>
            <w:r>
              <w:rPr>
                <w:sz w:val="20"/>
              </w:rPr>
              <w:t>General</w:t>
            </w:r>
            <w:r>
              <w:rPr>
                <w:spacing w:val="-5"/>
                <w:sz w:val="20"/>
              </w:rPr>
              <w:t xml:space="preserve"> </w:t>
            </w:r>
            <w:r>
              <w:rPr>
                <w:spacing w:val="-2"/>
                <w:sz w:val="20"/>
              </w:rPr>
              <w:t>Brigham</w:t>
            </w:r>
          </w:p>
        </w:tc>
        <w:tc>
          <w:tcPr>
            <w:tcW w:w="1500" w:type="dxa"/>
            <w:shd w:val="clear" w:color="auto" w:fill="EBF0F4"/>
          </w:tcPr>
          <w:p w14:paraId="1C34E772" w14:textId="77777777" w:rsidR="004C558F" w:rsidRDefault="00461887">
            <w:pPr>
              <w:pStyle w:val="TableParagraph"/>
              <w:spacing w:before="15"/>
              <w:ind w:right="102"/>
              <w:rPr>
                <w:sz w:val="20"/>
              </w:rPr>
            </w:pPr>
            <w:r>
              <w:rPr>
                <w:spacing w:val="-2"/>
                <w:sz w:val="20"/>
              </w:rPr>
              <w:t>21.2%</w:t>
            </w:r>
          </w:p>
        </w:tc>
        <w:tc>
          <w:tcPr>
            <w:tcW w:w="1174" w:type="dxa"/>
            <w:shd w:val="clear" w:color="auto" w:fill="EBF0F4"/>
          </w:tcPr>
          <w:p w14:paraId="1C34E773" w14:textId="77777777" w:rsidR="004C558F" w:rsidRDefault="00461887">
            <w:pPr>
              <w:pStyle w:val="TableParagraph"/>
              <w:spacing w:before="15"/>
              <w:ind w:right="104"/>
              <w:rPr>
                <w:sz w:val="20"/>
              </w:rPr>
            </w:pPr>
            <w:r>
              <w:rPr>
                <w:spacing w:val="-2"/>
                <w:sz w:val="20"/>
              </w:rPr>
              <w:t>20.3%</w:t>
            </w:r>
          </w:p>
        </w:tc>
        <w:tc>
          <w:tcPr>
            <w:tcW w:w="1169" w:type="dxa"/>
            <w:shd w:val="clear" w:color="auto" w:fill="EBF0F4"/>
          </w:tcPr>
          <w:p w14:paraId="1C34E774" w14:textId="77777777" w:rsidR="004C558F" w:rsidRDefault="00461887">
            <w:pPr>
              <w:pStyle w:val="TableParagraph"/>
              <w:spacing w:before="15"/>
              <w:ind w:right="101"/>
              <w:rPr>
                <w:sz w:val="20"/>
              </w:rPr>
            </w:pPr>
            <w:r>
              <w:rPr>
                <w:spacing w:val="-2"/>
                <w:sz w:val="20"/>
              </w:rPr>
              <w:t>48.8%</w:t>
            </w:r>
          </w:p>
        </w:tc>
        <w:tc>
          <w:tcPr>
            <w:tcW w:w="1567" w:type="dxa"/>
            <w:shd w:val="clear" w:color="auto" w:fill="EBF0F4"/>
          </w:tcPr>
          <w:p w14:paraId="1C34E775" w14:textId="77777777" w:rsidR="004C558F" w:rsidRDefault="00461887">
            <w:pPr>
              <w:pStyle w:val="TableParagraph"/>
              <w:spacing w:before="15"/>
              <w:ind w:right="104"/>
              <w:rPr>
                <w:sz w:val="20"/>
              </w:rPr>
            </w:pPr>
            <w:r>
              <w:rPr>
                <w:spacing w:val="-2"/>
                <w:sz w:val="20"/>
              </w:rPr>
              <w:t>42.8%</w:t>
            </w:r>
          </w:p>
        </w:tc>
      </w:tr>
      <w:tr w:rsidR="004C558F" w14:paraId="1C34E77C" w14:textId="77777777" w:rsidTr="009639D7">
        <w:trPr>
          <w:cantSplit/>
          <w:trHeight w:val="328"/>
        </w:trPr>
        <w:tc>
          <w:tcPr>
            <w:tcW w:w="4135" w:type="dxa"/>
          </w:tcPr>
          <w:p w14:paraId="1C34E777" w14:textId="77777777" w:rsidR="004C558F" w:rsidRDefault="00461887">
            <w:pPr>
              <w:pStyle w:val="TableParagraph"/>
              <w:spacing w:before="15"/>
              <w:ind w:left="355"/>
              <w:jc w:val="left"/>
              <w:rPr>
                <w:i/>
                <w:sz w:val="20"/>
              </w:rPr>
            </w:pPr>
            <w:r>
              <w:rPr>
                <w:i/>
                <w:sz w:val="20"/>
              </w:rPr>
              <w:t>Massachusetts</w:t>
            </w:r>
            <w:r>
              <w:rPr>
                <w:i/>
                <w:spacing w:val="-13"/>
                <w:sz w:val="20"/>
              </w:rPr>
              <w:t xml:space="preserve"> </w:t>
            </w:r>
            <w:r>
              <w:rPr>
                <w:i/>
                <w:sz w:val="20"/>
              </w:rPr>
              <w:t>General</w:t>
            </w:r>
            <w:r>
              <w:rPr>
                <w:i/>
                <w:spacing w:val="-11"/>
                <w:sz w:val="20"/>
              </w:rPr>
              <w:t xml:space="preserve"> </w:t>
            </w:r>
            <w:r>
              <w:rPr>
                <w:i/>
                <w:spacing w:val="-2"/>
                <w:sz w:val="20"/>
              </w:rPr>
              <w:t>Hospital</w:t>
            </w:r>
          </w:p>
        </w:tc>
        <w:tc>
          <w:tcPr>
            <w:tcW w:w="1500" w:type="dxa"/>
          </w:tcPr>
          <w:p w14:paraId="1C34E778" w14:textId="77777777" w:rsidR="004C558F" w:rsidRDefault="00461887">
            <w:pPr>
              <w:pStyle w:val="TableParagraph"/>
              <w:spacing w:before="15"/>
              <w:ind w:right="100"/>
              <w:rPr>
                <w:sz w:val="20"/>
              </w:rPr>
            </w:pPr>
            <w:r>
              <w:rPr>
                <w:spacing w:val="-2"/>
                <w:sz w:val="20"/>
              </w:rPr>
              <w:t>15.4%</w:t>
            </w:r>
          </w:p>
        </w:tc>
        <w:tc>
          <w:tcPr>
            <w:tcW w:w="1174" w:type="dxa"/>
          </w:tcPr>
          <w:p w14:paraId="1C34E779" w14:textId="77777777" w:rsidR="004C558F" w:rsidRDefault="00461887">
            <w:pPr>
              <w:pStyle w:val="TableParagraph"/>
              <w:spacing w:before="15"/>
              <w:ind w:right="100"/>
              <w:rPr>
                <w:sz w:val="20"/>
              </w:rPr>
            </w:pPr>
            <w:r>
              <w:rPr>
                <w:spacing w:val="-2"/>
                <w:sz w:val="20"/>
              </w:rPr>
              <w:t>12.6%</w:t>
            </w:r>
          </w:p>
        </w:tc>
        <w:tc>
          <w:tcPr>
            <w:tcW w:w="1169" w:type="dxa"/>
          </w:tcPr>
          <w:p w14:paraId="1C34E77A" w14:textId="77777777" w:rsidR="004C558F" w:rsidRDefault="00461887">
            <w:pPr>
              <w:pStyle w:val="TableParagraph"/>
              <w:spacing w:before="15"/>
              <w:ind w:right="99"/>
              <w:rPr>
                <w:sz w:val="20"/>
              </w:rPr>
            </w:pPr>
            <w:r>
              <w:rPr>
                <w:spacing w:val="-2"/>
                <w:sz w:val="20"/>
              </w:rPr>
              <w:t>35.8%</w:t>
            </w:r>
          </w:p>
        </w:tc>
        <w:tc>
          <w:tcPr>
            <w:tcW w:w="1567" w:type="dxa"/>
          </w:tcPr>
          <w:p w14:paraId="1C34E77B" w14:textId="77777777" w:rsidR="004C558F" w:rsidRDefault="00461887">
            <w:pPr>
              <w:pStyle w:val="TableParagraph"/>
              <w:spacing w:before="15"/>
              <w:ind w:right="101"/>
              <w:rPr>
                <w:sz w:val="20"/>
              </w:rPr>
            </w:pPr>
            <w:r>
              <w:rPr>
                <w:spacing w:val="-2"/>
                <w:sz w:val="20"/>
              </w:rPr>
              <w:t>25.5%</w:t>
            </w:r>
          </w:p>
        </w:tc>
      </w:tr>
      <w:tr w:rsidR="004C558F" w14:paraId="1C34E782" w14:textId="77777777" w:rsidTr="009639D7">
        <w:trPr>
          <w:cantSplit/>
          <w:trHeight w:val="328"/>
        </w:trPr>
        <w:tc>
          <w:tcPr>
            <w:tcW w:w="4135" w:type="dxa"/>
          </w:tcPr>
          <w:p w14:paraId="1C34E77D" w14:textId="77777777" w:rsidR="004C558F" w:rsidRDefault="00461887">
            <w:pPr>
              <w:pStyle w:val="TableParagraph"/>
              <w:spacing w:before="15"/>
              <w:ind w:left="355"/>
              <w:jc w:val="left"/>
              <w:rPr>
                <w:i/>
                <w:sz w:val="20"/>
              </w:rPr>
            </w:pPr>
            <w:r>
              <w:rPr>
                <w:i/>
                <w:sz w:val="20"/>
              </w:rPr>
              <w:t>Brigham</w:t>
            </w:r>
            <w:r>
              <w:rPr>
                <w:i/>
                <w:spacing w:val="-6"/>
                <w:sz w:val="20"/>
              </w:rPr>
              <w:t xml:space="preserve"> </w:t>
            </w:r>
            <w:r>
              <w:rPr>
                <w:i/>
                <w:sz w:val="20"/>
              </w:rPr>
              <w:t>and</w:t>
            </w:r>
            <w:r>
              <w:rPr>
                <w:i/>
                <w:spacing w:val="-7"/>
                <w:sz w:val="20"/>
              </w:rPr>
              <w:t xml:space="preserve"> </w:t>
            </w:r>
            <w:r>
              <w:rPr>
                <w:i/>
                <w:sz w:val="20"/>
              </w:rPr>
              <w:t>Women's</w:t>
            </w:r>
            <w:r>
              <w:rPr>
                <w:i/>
                <w:spacing w:val="-6"/>
                <w:sz w:val="20"/>
              </w:rPr>
              <w:t xml:space="preserve"> </w:t>
            </w:r>
            <w:r>
              <w:rPr>
                <w:i/>
                <w:spacing w:val="-2"/>
                <w:sz w:val="20"/>
              </w:rPr>
              <w:t>Hospital</w:t>
            </w:r>
          </w:p>
        </w:tc>
        <w:tc>
          <w:tcPr>
            <w:tcW w:w="1500" w:type="dxa"/>
          </w:tcPr>
          <w:p w14:paraId="1C34E77E" w14:textId="77777777" w:rsidR="004C558F" w:rsidRDefault="00461887">
            <w:pPr>
              <w:pStyle w:val="TableParagraph"/>
              <w:spacing w:before="15"/>
              <w:ind w:right="104"/>
              <w:rPr>
                <w:sz w:val="20"/>
              </w:rPr>
            </w:pPr>
            <w:r>
              <w:rPr>
                <w:spacing w:val="-4"/>
                <w:sz w:val="20"/>
              </w:rPr>
              <w:t>0.2%</w:t>
            </w:r>
          </w:p>
        </w:tc>
        <w:tc>
          <w:tcPr>
            <w:tcW w:w="1174" w:type="dxa"/>
          </w:tcPr>
          <w:p w14:paraId="1C34E77F" w14:textId="77777777" w:rsidR="004C558F" w:rsidRDefault="00461887">
            <w:pPr>
              <w:pStyle w:val="TableParagraph"/>
              <w:spacing w:before="15"/>
              <w:ind w:right="103"/>
              <w:rPr>
                <w:sz w:val="20"/>
              </w:rPr>
            </w:pPr>
            <w:r>
              <w:rPr>
                <w:spacing w:val="-4"/>
                <w:sz w:val="20"/>
              </w:rPr>
              <w:t>1.5%</w:t>
            </w:r>
          </w:p>
        </w:tc>
        <w:tc>
          <w:tcPr>
            <w:tcW w:w="1169" w:type="dxa"/>
          </w:tcPr>
          <w:p w14:paraId="1C34E780" w14:textId="77777777" w:rsidR="004C558F" w:rsidRDefault="00461887">
            <w:pPr>
              <w:pStyle w:val="TableParagraph"/>
              <w:spacing w:before="15"/>
              <w:ind w:right="98"/>
              <w:rPr>
                <w:sz w:val="20"/>
              </w:rPr>
            </w:pPr>
            <w:r>
              <w:rPr>
                <w:spacing w:val="-2"/>
                <w:sz w:val="20"/>
              </w:rPr>
              <w:t>10.1%</w:t>
            </w:r>
          </w:p>
        </w:tc>
        <w:tc>
          <w:tcPr>
            <w:tcW w:w="1567" w:type="dxa"/>
          </w:tcPr>
          <w:p w14:paraId="1C34E781" w14:textId="77777777" w:rsidR="004C558F" w:rsidRDefault="00461887">
            <w:pPr>
              <w:pStyle w:val="TableParagraph"/>
              <w:spacing w:before="15"/>
              <w:ind w:right="103"/>
              <w:rPr>
                <w:sz w:val="20"/>
              </w:rPr>
            </w:pPr>
            <w:r>
              <w:rPr>
                <w:spacing w:val="-4"/>
                <w:sz w:val="20"/>
              </w:rPr>
              <w:t>2.8%</w:t>
            </w:r>
          </w:p>
        </w:tc>
      </w:tr>
      <w:tr w:rsidR="004C558F" w14:paraId="1C34E788" w14:textId="77777777" w:rsidTr="009639D7">
        <w:trPr>
          <w:cantSplit/>
          <w:trHeight w:val="328"/>
        </w:trPr>
        <w:tc>
          <w:tcPr>
            <w:tcW w:w="4135" w:type="dxa"/>
            <w:shd w:val="clear" w:color="auto" w:fill="EBF0F4"/>
          </w:tcPr>
          <w:p w14:paraId="1C34E783" w14:textId="77777777" w:rsidR="004C558F" w:rsidRDefault="00461887">
            <w:pPr>
              <w:pStyle w:val="TableParagraph"/>
              <w:spacing w:before="15"/>
              <w:ind w:left="115"/>
              <w:jc w:val="left"/>
              <w:rPr>
                <w:sz w:val="20"/>
              </w:rPr>
            </w:pPr>
            <w:r>
              <w:rPr>
                <w:sz w:val="20"/>
              </w:rPr>
              <w:t>Beth</w:t>
            </w:r>
            <w:r>
              <w:rPr>
                <w:spacing w:val="-4"/>
                <w:sz w:val="20"/>
              </w:rPr>
              <w:t xml:space="preserve"> </w:t>
            </w:r>
            <w:r>
              <w:rPr>
                <w:sz w:val="20"/>
              </w:rPr>
              <w:t>Israel</w:t>
            </w:r>
            <w:r>
              <w:rPr>
                <w:spacing w:val="-4"/>
                <w:sz w:val="20"/>
              </w:rPr>
              <w:t xml:space="preserve"> </w:t>
            </w:r>
            <w:r>
              <w:rPr>
                <w:sz w:val="20"/>
              </w:rPr>
              <w:t>Lahey</w:t>
            </w:r>
            <w:r>
              <w:rPr>
                <w:spacing w:val="-3"/>
                <w:sz w:val="20"/>
              </w:rPr>
              <w:t xml:space="preserve"> </w:t>
            </w:r>
            <w:r>
              <w:rPr>
                <w:spacing w:val="-2"/>
                <w:sz w:val="20"/>
              </w:rPr>
              <w:t>Health</w:t>
            </w:r>
          </w:p>
        </w:tc>
        <w:tc>
          <w:tcPr>
            <w:tcW w:w="1500" w:type="dxa"/>
            <w:shd w:val="clear" w:color="auto" w:fill="EBF0F4"/>
          </w:tcPr>
          <w:p w14:paraId="1C34E784" w14:textId="77777777" w:rsidR="004C558F" w:rsidRDefault="00461887">
            <w:pPr>
              <w:pStyle w:val="TableParagraph"/>
              <w:spacing w:before="15"/>
              <w:ind w:right="102"/>
              <w:rPr>
                <w:sz w:val="20"/>
              </w:rPr>
            </w:pPr>
            <w:r>
              <w:rPr>
                <w:spacing w:val="-2"/>
                <w:sz w:val="20"/>
              </w:rPr>
              <w:t>15.7%</w:t>
            </w:r>
          </w:p>
        </w:tc>
        <w:tc>
          <w:tcPr>
            <w:tcW w:w="1174" w:type="dxa"/>
            <w:shd w:val="clear" w:color="auto" w:fill="EBF0F4"/>
          </w:tcPr>
          <w:p w14:paraId="1C34E785" w14:textId="77777777" w:rsidR="004C558F" w:rsidRDefault="00461887">
            <w:pPr>
              <w:pStyle w:val="TableParagraph"/>
              <w:spacing w:before="15"/>
              <w:ind w:right="103"/>
              <w:rPr>
                <w:sz w:val="20"/>
              </w:rPr>
            </w:pPr>
            <w:r>
              <w:rPr>
                <w:spacing w:val="-2"/>
                <w:sz w:val="20"/>
              </w:rPr>
              <w:t>16.8%</w:t>
            </w:r>
          </w:p>
        </w:tc>
        <w:tc>
          <w:tcPr>
            <w:tcW w:w="1169" w:type="dxa"/>
            <w:shd w:val="clear" w:color="auto" w:fill="EBF0F4"/>
          </w:tcPr>
          <w:p w14:paraId="1C34E786" w14:textId="77777777" w:rsidR="004C558F" w:rsidRDefault="00461887">
            <w:pPr>
              <w:pStyle w:val="TableParagraph"/>
              <w:spacing w:before="15"/>
              <w:ind w:right="101"/>
              <w:rPr>
                <w:sz w:val="20"/>
              </w:rPr>
            </w:pPr>
            <w:r>
              <w:rPr>
                <w:spacing w:val="-2"/>
                <w:sz w:val="20"/>
              </w:rPr>
              <w:t>12.0%</w:t>
            </w:r>
          </w:p>
        </w:tc>
        <w:tc>
          <w:tcPr>
            <w:tcW w:w="1567" w:type="dxa"/>
            <w:shd w:val="clear" w:color="auto" w:fill="EBF0F4"/>
          </w:tcPr>
          <w:p w14:paraId="1C34E787" w14:textId="77777777" w:rsidR="004C558F" w:rsidRDefault="00461887">
            <w:pPr>
              <w:pStyle w:val="TableParagraph"/>
              <w:spacing w:before="15"/>
              <w:ind w:right="104"/>
              <w:rPr>
                <w:sz w:val="20"/>
              </w:rPr>
            </w:pPr>
            <w:r>
              <w:rPr>
                <w:spacing w:val="-2"/>
                <w:sz w:val="20"/>
              </w:rPr>
              <w:t>20.0%</w:t>
            </w:r>
          </w:p>
        </w:tc>
      </w:tr>
      <w:tr w:rsidR="004C558F" w14:paraId="1C34E78E" w14:textId="77777777" w:rsidTr="009639D7">
        <w:trPr>
          <w:cantSplit/>
          <w:trHeight w:val="325"/>
        </w:trPr>
        <w:tc>
          <w:tcPr>
            <w:tcW w:w="4135" w:type="dxa"/>
          </w:tcPr>
          <w:p w14:paraId="1C34E789" w14:textId="77777777" w:rsidR="004C558F" w:rsidRDefault="00461887">
            <w:pPr>
              <w:pStyle w:val="TableParagraph"/>
              <w:spacing w:before="15"/>
              <w:ind w:left="355"/>
              <w:jc w:val="left"/>
              <w:rPr>
                <w:i/>
                <w:sz w:val="20"/>
              </w:rPr>
            </w:pPr>
            <w:r>
              <w:rPr>
                <w:i/>
                <w:sz w:val="20"/>
              </w:rPr>
              <w:t>Beth</w:t>
            </w:r>
            <w:r>
              <w:rPr>
                <w:i/>
                <w:spacing w:val="-8"/>
                <w:sz w:val="20"/>
              </w:rPr>
              <w:t xml:space="preserve"> </w:t>
            </w:r>
            <w:r>
              <w:rPr>
                <w:i/>
                <w:sz w:val="20"/>
              </w:rPr>
              <w:t>Israel</w:t>
            </w:r>
            <w:r>
              <w:rPr>
                <w:i/>
                <w:spacing w:val="-7"/>
                <w:sz w:val="20"/>
              </w:rPr>
              <w:t xml:space="preserve"> </w:t>
            </w:r>
            <w:r>
              <w:rPr>
                <w:i/>
                <w:sz w:val="20"/>
              </w:rPr>
              <w:t>Deaconess</w:t>
            </w:r>
            <w:r>
              <w:rPr>
                <w:i/>
                <w:spacing w:val="-8"/>
                <w:sz w:val="20"/>
              </w:rPr>
              <w:t xml:space="preserve"> </w:t>
            </w:r>
            <w:r>
              <w:rPr>
                <w:i/>
                <w:sz w:val="20"/>
              </w:rPr>
              <w:t>Medical</w:t>
            </w:r>
            <w:r>
              <w:rPr>
                <w:i/>
                <w:spacing w:val="-7"/>
                <w:sz w:val="20"/>
              </w:rPr>
              <w:t xml:space="preserve"> </w:t>
            </w:r>
            <w:r>
              <w:rPr>
                <w:i/>
                <w:spacing w:val="-2"/>
                <w:sz w:val="20"/>
              </w:rPr>
              <w:t>Center</w:t>
            </w:r>
          </w:p>
        </w:tc>
        <w:tc>
          <w:tcPr>
            <w:tcW w:w="1500" w:type="dxa"/>
          </w:tcPr>
          <w:p w14:paraId="1C34E78A" w14:textId="77777777" w:rsidR="004C558F" w:rsidRDefault="00461887">
            <w:pPr>
              <w:pStyle w:val="TableParagraph"/>
              <w:spacing w:before="15"/>
              <w:ind w:right="100"/>
              <w:rPr>
                <w:sz w:val="20"/>
              </w:rPr>
            </w:pPr>
            <w:r>
              <w:rPr>
                <w:spacing w:val="-2"/>
                <w:sz w:val="20"/>
              </w:rPr>
              <w:t>10.4%</w:t>
            </w:r>
          </w:p>
        </w:tc>
        <w:tc>
          <w:tcPr>
            <w:tcW w:w="1174" w:type="dxa"/>
          </w:tcPr>
          <w:p w14:paraId="1C34E78B" w14:textId="77777777" w:rsidR="004C558F" w:rsidRDefault="00461887">
            <w:pPr>
              <w:pStyle w:val="TableParagraph"/>
              <w:spacing w:before="15"/>
              <w:ind w:right="103"/>
              <w:rPr>
                <w:sz w:val="20"/>
              </w:rPr>
            </w:pPr>
            <w:r>
              <w:rPr>
                <w:spacing w:val="-4"/>
                <w:sz w:val="20"/>
              </w:rPr>
              <w:t>8.7%</w:t>
            </w:r>
          </w:p>
        </w:tc>
        <w:tc>
          <w:tcPr>
            <w:tcW w:w="1169" w:type="dxa"/>
          </w:tcPr>
          <w:p w14:paraId="1C34E78C" w14:textId="77777777" w:rsidR="004C558F" w:rsidRDefault="00461887">
            <w:pPr>
              <w:pStyle w:val="TableParagraph"/>
              <w:spacing w:before="15"/>
              <w:ind w:right="101"/>
              <w:rPr>
                <w:sz w:val="20"/>
              </w:rPr>
            </w:pPr>
            <w:r>
              <w:rPr>
                <w:spacing w:val="-4"/>
                <w:sz w:val="20"/>
              </w:rPr>
              <w:t>2.3%</w:t>
            </w:r>
          </w:p>
        </w:tc>
        <w:tc>
          <w:tcPr>
            <w:tcW w:w="1567" w:type="dxa"/>
          </w:tcPr>
          <w:p w14:paraId="1C34E78D" w14:textId="77777777" w:rsidR="004C558F" w:rsidRDefault="00461887">
            <w:pPr>
              <w:pStyle w:val="TableParagraph"/>
              <w:spacing w:before="15"/>
              <w:ind w:right="103"/>
              <w:rPr>
                <w:sz w:val="20"/>
              </w:rPr>
            </w:pPr>
            <w:r>
              <w:rPr>
                <w:spacing w:val="-4"/>
                <w:sz w:val="20"/>
              </w:rPr>
              <w:t>4.5%</w:t>
            </w:r>
          </w:p>
        </w:tc>
      </w:tr>
      <w:tr w:rsidR="004C558F" w14:paraId="1C34E794" w14:textId="77777777" w:rsidTr="009639D7">
        <w:trPr>
          <w:cantSplit/>
          <w:trHeight w:val="328"/>
        </w:trPr>
        <w:tc>
          <w:tcPr>
            <w:tcW w:w="4135" w:type="dxa"/>
          </w:tcPr>
          <w:p w14:paraId="1C34E78F" w14:textId="77777777" w:rsidR="004C558F" w:rsidRDefault="00461887">
            <w:pPr>
              <w:pStyle w:val="TableParagraph"/>
              <w:spacing w:before="15"/>
              <w:ind w:left="115"/>
              <w:jc w:val="left"/>
              <w:rPr>
                <w:sz w:val="20"/>
              </w:rPr>
            </w:pPr>
            <w:r>
              <w:rPr>
                <w:sz w:val="20"/>
              </w:rPr>
              <w:t>Baystate</w:t>
            </w:r>
            <w:r>
              <w:rPr>
                <w:spacing w:val="-9"/>
                <w:sz w:val="20"/>
              </w:rPr>
              <w:t xml:space="preserve"> </w:t>
            </w:r>
            <w:r>
              <w:rPr>
                <w:spacing w:val="-2"/>
                <w:sz w:val="20"/>
              </w:rPr>
              <w:t>Health</w:t>
            </w:r>
          </w:p>
        </w:tc>
        <w:tc>
          <w:tcPr>
            <w:tcW w:w="1500" w:type="dxa"/>
          </w:tcPr>
          <w:p w14:paraId="1C34E790" w14:textId="77777777" w:rsidR="004C558F" w:rsidRDefault="00461887">
            <w:pPr>
              <w:pStyle w:val="TableParagraph"/>
              <w:spacing w:before="15"/>
              <w:ind w:right="104"/>
              <w:rPr>
                <w:sz w:val="20"/>
              </w:rPr>
            </w:pPr>
            <w:r>
              <w:rPr>
                <w:spacing w:val="-4"/>
                <w:sz w:val="20"/>
              </w:rPr>
              <w:t>6.4%</w:t>
            </w:r>
          </w:p>
        </w:tc>
        <w:tc>
          <w:tcPr>
            <w:tcW w:w="1174" w:type="dxa"/>
          </w:tcPr>
          <w:p w14:paraId="1C34E791" w14:textId="77777777" w:rsidR="004C558F" w:rsidRDefault="00461887">
            <w:pPr>
              <w:pStyle w:val="TableParagraph"/>
              <w:spacing w:before="15"/>
              <w:ind w:right="103"/>
              <w:rPr>
                <w:sz w:val="20"/>
              </w:rPr>
            </w:pPr>
            <w:r>
              <w:rPr>
                <w:spacing w:val="-4"/>
                <w:sz w:val="20"/>
              </w:rPr>
              <w:t>9.1%</w:t>
            </w:r>
          </w:p>
        </w:tc>
        <w:tc>
          <w:tcPr>
            <w:tcW w:w="1169" w:type="dxa"/>
          </w:tcPr>
          <w:p w14:paraId="1C34E792" w14:textId="77777777" w:rsidR="004C558F" w:rsidRDefault="00461887">
            <w:pPr>
              <w:pStyle w:val="TableParagraph"/>
              <w:spacing w:before="15"/>
              <w:ind w:right="101"/>
              <w:rPr>
                <w:sz w:val="20"/>
              </w:rPr>
            </w:pPr>
            <w:r>
              <w:rPr>
                <w:spacing w:val="-4"/>
                <w:sz w:val="20"/>
              </w:rPr>
              <w:t>4.4%</w:t>
            </w:r>
          </w:p>
        </w:tc>
        <w:tc>
          <w:tcPr>
            <w:tcW w:w="1567" w:type="dxa"/>
          </w:tcPr>
          <w:p w14:paraId="1C34E793" w14:textId="77777777" w:rsidR="004C558F" w:rsidRDefault="00461887">
            <w:pPr>
              <w:pStyle w:val="TableParagraph"/>
              <w:spacing w:before="15"/>
              <w:ind w:right="104"/>
              <w:rPr>
                <w:sz w:val="20"/>
              </w:rPr>
            </w:pPr>
            <w:r>
              <w:rPr>
                <w:spacing w:val="-4"/>
                <w:sz w:val="20"/>
              </w:rPr>
              <w:t>2.8%</w:t>
            </w:r>
          </w:p>
        </w:tc>
      </w:tr>
      <w:tr w:rsidR="004C558F" w14:paraId="1C34E79A" w14:textId="77777777" w:rsidTr="009639D7">
        <w:trPr>
          <w:cantSplit/>
          <w:trHeight w:val="328"/>
        </w:trPr>
        <w:tc>
          <w:tcPr>
            <w:tcW w:w="4135" w:type="dxa"/>
          </w:tcPr>
          <w:p w14:paraId="1C34E795" w14:textId="77777777" w:rsidR="004C558F" w:rsidRDefault="00461887">
            <w:pPr>
              <w:pStyle w:val="TableParagraph"/>
              <w:spacing w:before="15"/>
              <w:ind w:left="115"/>
              <w:jc w:val="left"/>
              <w:rPr>
                <w:sz w:val="20"/>
              </w:rPr>
            </w:pPr>
            <w:r>
              <w:rPr>
                <w:sz w:val="20"/>
              </w:rPr>
              <w:t>UMass</w:t>
            </w:r>
            <w:r>
              <w:rPr>
                <w:spacing w:val="-7"/>
                <w:sz w:val="20"/>
              </w:rPr>
              <w:t xml:space="preserve"> </w:t>
            </w:r>
            <w:r>
              <w:rPr>
                <w:sz w:val="20"/>
              </w:rPr>
              <w:t>Memorial</w:t>
            </w:r>
            <w:r>
              <w:rPr>
                <w:spacing w:val="-7"/>
                <w:sz w:val="20"/>
              </w:rPr>
              <w:t xml:space="preserve"> </w:t>
            </w:r>
            <w:r>
              <w:rPr>
                <w:sz w:val="20"/>
              </w:rPr>
              <w:t>Health</w:t>
            </w:r>
            <w:r>
              <w:rPr>
                <w:spacing w:val="-7"/>
                <w:sz w:val="20"/>
              </w:rPr>
              <w:t xml:space="preserve"> </w:t>
            </w:r>
            <w:r>
              <w:rPr>
                <w:spacing w:val="-4"/>
                <w:sz w:val="20"/>
              </w:rPr>
              <w:t>Care</w:t>
            </w:r>
          </w:p>
        </w:tc>
        <w:tc>
          <w:tcPr>
            <w:tcW w:w="1500" w:type="dxa"/>
          </w:tcPr>
          <w:p w14:paraId="1C34E796" w14:textId="77777777" w:rsidR="004C558F" w:rsidRDefault="00461887">
            <w:pPr>
              <w:pStyle w:val="TableParagraph"/>
              <w:spacing w:before="15"/>
              <w:ind w:right="104"/>
              <w:rPr>
                <w:sz w:val="20"/>
              </w:rPr>
            </w:pPr>
            <w:r>
              <w:rPr>
                <w:spacing w:val="-4"/>
                <w:sz w:val="20"/>
              </w:rPr>
              <w:t>4.7%</w:t>
            </w:r>
          </w:p>
        </w:tc>
        <w:tc>
          <w:tcPr>
            <w:tcW w:w="1174" w:type="dxa"/>
          </w:tcPr>
          <w:p w14:paraId="1C34E797" w14:textId="77777777" w:rsidR="004C558F" w:rsidRDefault="00461887">
            <w:pPr>
              <w:pStyle w:val="TableParagraph"/>
              <w:spacing w:before="15"/>
              <w:ind w:right="104"/>
              <w:rPr>
                <w:sz w:val="20"/>
              </w:rPr>
            </w:pPr>
            <w:r>
              <w:rPr>
                <w:spacing w:val="-4"/>
                <w:sz w:val="20"/>
              </w:rPr>
              <w:t>4.5%</w:t>
            </w:r>
          </w:p>
        </w:tc>
        <w:tc>
          <w:tcPr>
            <w:tcW w:w="1169" w:type="dxa"/>
          </w:tcPr>
          <w:p w14:paraId="1C34E798" w14:textId="77777777" w:rsidR="004C558F" w:rsidRDefault="00461887">
            <w:pPr>
              <w:pStyle w:val="TableParagraph"/>
              <w:spacing w:before="15"/>
              <w:ind w:right="101"/>
              <w:rPr>
                <w:sz w:val="20"/>
              </w:rPr>
            </w:pPr>
            <w:r>
              <w:rPr>
                <w:spacing w:val="-4"/>
                <w:sz w:val="20"/>
              </w:rPr>
              <w:t>1.6%</w:t>
            </w:r>
          </w:p>
        </w:tc>
        <w:tc>
          <w:tcPr>
            <w:tcW w:w="1567" w:type="dxa"/>
          </w:tcPr>
          <w:p w14:paraId="1C34E799" w14:textId="77777777" w:rsidR="004C558F" w:rsidRDefault="00461887">
            <w:pPr>
              <w:pStyle w:val="TableParagraph"/>
              <w:spacing w:before="15"/>
              <w:ind w:right="104"/>
              <w:rPr>
                <w:sz w:val="20"/>
              </w:rPr>
            </w:pPr>
            <w:r>
              <w:rPr>
                <w:spacing w:val="-4"/>
                <w:sz w:val="20"/>
              </w:rPr>
              <w:t>3.5%</w:t>
            </w:r>
          </w:p>
        </w:tc>
      </w:tr>
      <w:tr w:rsidR="004C558F" w14:paraId="1C34E7A0" w14:textId="77777777" w:rsidTr="009639D7">
        <w:trPr>
          <w:cantSplit/>
          <w:trHeight w:val="328"/>
        </w:trPr>
        <w:tc>
          <w:tcPr>
            <w:tcW w:w="4135" w:type="dxa"/>
          </w:tcPr>
          <w:p w14:paraId="1C34E79B" w14:textId="77777777" w:rsidR="004C558F" w:rsidRDefault="00461887">
            <w:pPr>
              <w:pStyle w:val="TableParagraph"/>
              <w:spacing w:before="15"/>
              <w:ind w:left="115"/>
              <w:jc w:val="left"/>
              <w:rPr>
                <w:sz w:val="20"/>
              </w:rPr>
            </w:pPr>
            <w:r>
              <w:rPr>
                <w:sz w:val="20"/>
              </w:rPr>
              <w:t>Tufts</w:t>
            </w:r>
            <w:r>
              <w:rPr>
                <w:spacing w:val="-4"/>
                <w:sz w:val="20"/>
              </w:rPr>
              <w:t xml:space="preserve"> </w:t>
            </w:r>
            <w:r>
              <w:rPr>
                <w:spacing w:val="-2"/>
                <w:sz w:val="20"/>
              </w:rPr>
              <w:t>Medicine</w:t>
            </w:r>
          </w:p>
        </w:tc>
        <w:tc>
          <w:tcPr>
            <w:tcW w:w="1500" w:type="dxa"/>
          </w:tcPr>
          <w:p w14:paraId="1C34E79C" w14:textId="77777777" w:rsidR="004C558F" w:rsidRDefault="00461887">
            <w:pPr>
              <w:pStyle w:val="TableParagraph"/>
              <w:spacing w:before="15"/>
              <w:ind w:right="104"/>
              <w:rPr>
                <w:sz w:val="20"/>
              </w:rPr>
            </w:pPr>
            <w:r>
              <w:rPr>
                <w:spacing w:val="-4"/>
                <w:sz w:val="20"/>
              </w:rPr>
              <w:t>2.6%</w:t>
            </w:r>
          </w:p>
        </w:tc>
        <w:tc>
          <w:tcPr>
            <w:tcW w:w="1174" w:type="dxa"/>
          </w:tcPr>
          <w:p w14:paraId="1C34E79D" w14:textId="77777777" w:rsidR="004C558F" w:rsidRDefault="00461887">
            <w:pPr>
              <w:pStyle w:val="TableParagraph"/>
              <w:spacing w:before="15"/>
              <w:ind w:right="103"/>
              <w:rPr>
                <w:sz w:val="20"/>
              </w:rPr>
            </w:pPr>
            <w:r>
              <w:rPr>
                <w:spacing w:val="-4"/>
                <w:sz w:val="20"/>
              </w:rPr>
              <w:t>2.8%</w:t>
            </w:r>
          </w:p>
        </w:tc>
        <w:tc>
          <w:tcPr>
            <w:tcW w:w="1169" w:type="dxa"/>
          </w:tcPr>
          <w:p w14:paraId="1C34E79E" w14:textId="77777777" w:rsidR="004C558F" w:rsidRDefault="00461887">
            <w:pPr>
              <w:pStyle w:val="TableParagraph"/>
              <w:spacing w:before="15"/>
              <w:ind w:right="101"/>
              <w:rPr>
                <w:sz w:val="20"/>
              </w:rPr>
            </w:pPr>
            <w:r>
              <w:rPr>
                <w:spacing w:val="-4"/>
                <w:sz w:val="20"/>
              </w:rPr>
              <w:t>3.0%</w:t>
            </w:r>
          </w:p>
        </w:tc>
        <w:tc>
          <w:tcPr>
            <w:tcW w:w="1567" w:type="dxa"/>
          </w:tcPr>
          <w:p w14:paraId="1C34E79F" w14:textId="77777777" w:rsidR="004C558F" w:rsidRDefault="00461887">
            <w:pPr>
              <w:pStyle w:val="TableParagraph"/>
              <w:spacing w:before="15"/>
              <w:ind w:right="104"/>
              <w:rPr>
                <w:sz w:val="20"/>
              </w:rPr>
            </w:pPr>
            <w:r>
              <w:rPr>
                <w:spacing w:val="-4"/>
                <w:sz w:val="20"/>
              </w:rPr>
              <w:t>2.3%</w:t>
            </w:r>
          </w:p>
        </w:tc>
      </w:tr>
      <w:tr w:rsidR="004C558F" w14:paraId="1C34E7A6" w14:textId="77777777" w:rsidTr="009639D7">
        <w:trPr>
          <w:cantSplit/>
          <w:trHeight w:val="287"/>
        </w:trPr>
        <w:tc>
          <w:tcPr>
            <w:tcW w:w="4135" w:type="dxa"/>
          </w:tcPr>
          <w:p w14:paraId="1C34E7A1" w14:textId="77777777" w:rsidR="004C558F" w:rsidRDefault="00461887">
            <w:pPr>
              <w:pStyle w:val="TableParagraph"/>
              <w:spacing w:before="15"/>
              <w:ind w:left="115"/>
              <w:jc w:val="left"/>
              <w:rPr>
                <w:sz w:val="20"/>
              </w:rPr>
            </w:pPr>
            <w:r>
              <w:rPr>
                <w:sz w:val="20"/>
              </w:rPr>
              <w:t>Boston</w:t>
            </w:r>
            <w:r>
              <w:rPr>
                <w:spacing w:val="-7"/>
                <w:sz w:val="20"/>
              </w:rPr>
              <w:t xml:space="preserve"> </w:t>
            </w:r>
            <w:r>
              <w:rPr>
                <w:sz w:val="20"/>
              </w:rPr>
              <w:t>Medical</w:t>
            </w:r>
            <w:r>
              <w:rPr>
                <w:spacing w:val="-7"/>
                <w:sz w:val="20"/>
              </w:rPr>
              <w:t xml:space="preserve"> </w:t>
            </w:r>
            <w:r>
              <w:rPr>
                <w:sz w:val="20"/>
              </w:rPr>
              <w:t>Center</w:t>
            </w:r>
            <w:r>
              <w:rPr>
                <w:spacing w:val="-6"/>
                <w:sz w:val="20"/>
              </w:rPr>
              <w:t xml:space="preserve"> </w:t>
            </w:r>
            <w:r>
              <w:rPr>
                <w:sz w:val="20"/>
              </w:rPr>
              <w:t>Health</w:t>
            </w:r>
            <w:r>
              <w:rPr>
                <w:spacing w:val="-6"/>
                <w:sz w:val="20"/>
              </w:rPr>
              <w:t xml:space="preserve"> </w:t>
            </w:r>
            <w:r>
              <w:rPr>
                <w:spacing w:val="-2"/>
                <w:sz w:val="20"/>
              </w:rPr>
              <w:t>System</w:t>
            </w:r>
          </w:p>
        </w:tc>
        <w:tc>
          <w:tcPr>
            <w:tcW w:w="1500" w:type="dxa"/>
          </w:tcPr>
          <w:p w14:paraId="1C34E7A2" w14:textId="77777777" w:rsidR="004C558F" w:rsidRDefault="00461887">
            <w:pPr>
              <w:pStyle w:val="TableParagraph"/>
              <w:spacing w:before="15"/>
              <w:ind w:right="104"/>
              <w:rPr>
                <w:sz w:val="20"/>
              </w:rPr>
            </w:pPr>
            <w:r>
              <w:rPr>
                <w:spacing w:val="-4"/>
                <w:sz w:val="20"/>
              </w:rPr>
              <w:t>1.0%</w:t>
            </w:r>
          </w:p>
        </w:tc>
        <w:tc>
          <w:tcPr>
            <w:tcW w:w="1174" w:type="dxa"/>
          </w:tcPr>
          <w:p w14:paraId="1C34E7A3" w14:textId="77777777" w:rsidR="004C558F" w:rsidRDefault="00461887">
            <w:pPr>
              <w:pStyle w:val="TableParagraph"/>
              <w:spacing w:before="15"/>
              <w:ind w:right="103"/>
              <w:rPr>
                <w:sz w:val="20"/>
              </w:rPr>
            </w:pPr>
            <w:r>
              <w:rPr>
                <w:spacing w:val="-4"/>
                <w:sz w:val="20"/>
              </w:rPr>
              <w:t>1.4%</w:t>
            </w:r>
          </w:p>
        </w:tc>
        <w:tc>
          <w:tcPr>
            <w:tcW w:w="1169" w:type="dxa"/>
          </w:tcPr>
          <w:p w14:paraId="1C34E7A4" w14:textId="77777777" w:rsidR="004C558F" w:rsidRDefault="00461887">
            <w:pPr>
              <w:pStyle w:val="TableParagraph"/>
              <w:spacing w:before="15"/>
              <w:ind w:right="101"/>
              <w:rPr>
                <w:sz w:val="20"/>
              </w:rPr>
            </w:pPr>
            <w:r>
              <w:rPr>
                <w:spacing w:val="-4"/>
                <w:sz w:val="20"/>
              </w:rPr>
              <w:t>0.7%</w:t>
            </w:r>
          </w:p>
        </w:tc>
        <w:tc>
          <w:tcPr>
            <w:tcW w:w="1567" w:type="dxa"/>
          </w:tcPr>
          <w:p w14:paraId="1C34E7A5" w14:textId="77777777" w:rsidR="004C558F" w:rsidRDefault="00461887">
            <w:pPr>
              <w:pStyle w:val="TableParagraph"/>
              <w:spacing w:before="15"/>
              <w:ind w:right="103"/>
              <w:rPr>
                <w:sz w:val="20"/>
              </w:rPr>
            </w:pPr>
            <w:r>
              <w:rPr>
                <w:spacing w:val="-4"/>
                <w:sz w:val="20"/>
              </w:rPr>
              <w:t>0.6%</w:t>
            </w:r>
          </w:p>
        </w:tc>
      </w:tr>
      <w:tr w:rsidR="004C558F" w14:paraId="1C34E7AC" w14:textId="77777777" w:rsidTr="009639D7">
        <w:trPr>
          <w:cantSplit/>
          <w:trHeight w:val="289"/>
        </w:trPr>
        <w:tc>
          <w:tcPr>
            <w:tcW w:w="4135" w:type="dxa"/>
          </w:tcPr>
          <w:p w14:paraId="1C34E7A7" w14:textId="77777777" w:rsidR="004C558F" w:rsidRDefault="00461887">
            <w:pPr>
              <w:pStyle w:val="TableParagraph"/>
              <w:spacing w:before="15"/>
              <w:ind w:left="115"/>
              <w:jc w:val="left"/>
              <w:rPr>
                <w:sz w:val="20"/>
              </w:rPr>
            </w:pPr>
            <w:r>
              <w:rPr>
                <w:sz w:val="20"/>
              </w:rPr>
              <w:t>Other</w:t>
            </w:r>
            <w:r>
              <w:rPr>
                <w:spacing w:val="-5"/>
                <w:sz w:val="20"/>
              </w:rPr>
              <w:t xml:space="preserve"> </w:t>
            </w:r>
            <w:r>
              <w:rPr>
                <w:sz w:val="20"/>
              </w:rPr>
              <w:t>provider</w:t>
            </w:r>
            <w:r>
              <w:rPr>
                <w:spacing w:val="-7"/>
                <w:sz w:val="20"/>
              </w:rPr>
              <w:t xml:space="preserve"> </w:t>
            </w:r>
            <w:r>
              <w:rPr>
                <w:spacing w:val="-2"/>
                <w:sz w:val="20"/>
              </w:rPr>
              <w:t>organizations</w:t>
            </w:r>
          </w:p>
        </w:tc>
        <w:tc>
          <w:tcPr>
            <w:tcW w:w="1500" w:type="dxa"/>
          </w:tcPr>
          <w:p w14:paraId="1C34E7A8" w14:textId="77777777" w:rsidR="004C558F" w:rsidRDefault="00461887">
            <w:pPr>
              <w:pStyle w:val="TableParagraph"/>
              <w:spacing w:before="15"/>
              <w:ind w:right="104"/>
              <w:rPr>
                <w:sz w:val="20"/>
              </w:rPr>
            </w:pPr>
            <w:r>
              <w:rPr>
                <w:spacing w:val="-4"/>
                <w:sz w:val="20"/>
              </w:rPr>
              <w:t>9.7%</w:t>
            </w:r>
          </w:p>
        </w:tc>
        <w:tc>
          <w:tcPr>
            <w:tcW w:w="1174" w:type="dxa"/>
          </w:tcPr>
          <w:p w14:paraId="1C34E7A9" w14:textId="77777777" w:rsidR="004C558F" w:rsidRDefault="00461887">
            <w:pPr>
              <w:pStyle w:val="TableParagraph"/>
              <w:spacing w:before="15"/>
              <w:ind w:right="101"/>
              <w:rPr>
                <w:sz w:val="20"/>
              </w:rPr>
            </w:pPr>
            <w:r>
              <w:rPr>
                <w:spacing w:val="-2"/>
                <w:sz w:val="20"/>
              </w:rPr>
              <w:t>10.4%</w:t>
            </w:r>
          </w:p>
        </w:tc>
        <w:tc>
          <w:tcPr>
            <w:tcW w:w="1169" w:type="dxa"/>
          </w:tcPr>
          <w:p w14:paraId="1C34E7AA" w14:textId="77777777" w:rsidR="004C558F" w:rsidRDefault="00461887">
            <w:pPr>
              <w:pStyle w:val="TableParagraph"/>
              <w:spacing w:before="15"/>
              <w:ind w:right="99"/>
              <w:rPr>
                <w:sz w:val="20"/>
              </w:rPr>
            </w:pPr>
            <w:r>
              <w:rPr>
                <w:spacing w:val="-2"/>
                <w:sz w:val="20"/>
              </w:rPr>
              <w:t>14.4%</w:t>
            </w:r>
          </w:p>
        </w:tc>
        <w:tc>
          <w:tcPr>
            <w:tcW w:w="1567" w:type="dxa"/>
          </w:tcPr>
          <w:p w14:paraId="1C34E7AB" w14:textId="77777777" w:rsidR="004C558F" w:rsidRDefault="00461887">
            <w:pPr>
              <w:pStyle w:val="TableParagraph"/>
              <w:spacing w:before="15"/>
              <w:ind w:right="104"/>
              <w:rPr>
                <w:sz w:val="20"/>
              </w:rPr>
            </w:pPr>
            <w:r>
              <w:rPr>
                <w:spacing w:val="-4"/>
                <w:sz w:val="20"/>
              </w:rPr>
              <w:t>2.8%</w:t>
            </w:r>
          </w:p>
        </w:tc>
      </w:tr>
    </w:tbl>
    <w:p w14:paraId="1C34E7AD" w14:textId="77777777" w:rsidR="004C558F" w:rsidRDefault="00461887">
      <w:pPr>
        <w:spacing w:before="7"/>
        <w:ind w:left="688"/>
        <w:rPr>
          <w:sz w:val="20"/>
        </w:rPr>
      </w:pPr>
      <w:r>
        <w:rPr>
          <w:sz w:val="20"/>
        </w:rPr>
        <w:t>Source:</w:t>
      </w:r>
      <w:r>
        <w:rPr>
          <w:spacing w:val="-1"/>
          <w:sz w:val="20"/>
        </w:rPr>
        <w:t xml:space="preserve"> </w:t>
      </w:r>
      <w:r>
        <w:rPr>
          <w:sz w:val="20"/>
        </w:rPr>
        <w:t>HPC</w:t>
      </w:r>
      <w:r>
        <w:rPr>
          <w:spacing w:val="-6"/>
          <w:sz w:val="20"/>
        </w:rPr>
        <w:t xml:space="preserve"> </w:t>
      </w:r>
      <w:r>
        <w:rPr>
          <w:sz w:val="20"/>
        </w:rPr>
        <w:t>analysis</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z w:val="20"/>
        </w:rPr>
        <w:t>2022</w:t>
      </w:r>
      <w:r>
        <w:rPr>
          <w:spacing w:val="-4"/>
          <w:sz w:val="20"/>
        </w:rPr>
        <w:t xml:space="preserve"> </w:t>
      </w:r>
      <w:r>
        <w:rPr>
          <w:sz w:val="20"/>
        </w:rPr>
        <w:t>CHIA</w:t>
      </w:r>
      <w:r>
        <w:rPr>
          <w:spacing w:val="-6"/>
          <w:sz w:val="20"/>
        </w:rPr>
        <w:t xml:space="preserve"> </w:t>
      </w:r>
      <w:r>
        <w:rPr>
          <w:sz w:val="20"/>
        </w:rPr>
        <w:t>all-payer</w:t>
      </w:r>
      <w:r>
        <w:rPr>
          <w:spacing w:val="-6"/>
          <w:sz w:val="20"/>
        </w:rPr>
        <w:t xml:space="preserve"> </w:t>
      </w:r>
      <w:r>
        <w:rPr>
          <w:sz w:val="20"/>
        </w:rPr>
        <w:t>claims</w:t>
      </w:r>
      <w:r>
        <w:rPr>
          <w:spacing w:val="-5"/>
          <w:sz w:val="20"/>
        </w:rPr>
        <w:t xml:space="preserve"> </w:t>
      </w:r>
      <w:r>
        <w:rPr>
          <w:spacing w:val="-2"/>
          <w:sz w:val="20"/>
        </w:rPr>
        <w:t>database</w:t>
      </w:r>
    </w:p>
    <w:p w14:paraId="1C34E7AE" w14:textId="77777777" w:rsidR="004C558F" w:rsidRDefault="00461887">
      <w:pPr>
        <w:spacing w:before="35" w:line="276" w:lineRule="auto"/>
        <w:ind w:left="688" w:right="1063"/>
        <w:rPr>
          <w:sz w:val="20"/>
        </w:rPr>
      </w:pPr>
      <w:r>
        <w:rPr>
          <w:sz w:val="20"/>
        </w:rPr>
        <w:t>Notes: Limited to services provided by hospitals and ambulatory surgical centers. Excludes out-of-state patients and patients under 18 years of age. All claims on the same day at the same provider for the same patient were counted as a single visit. See the Data Appendix, Figure A3, for a more detailed table of commercial</w:t>
      </w:r>
      <w:r>
        <w:rPr>
          <w:spacing w:val="-3"/>
          <w:sz w:val="20"/>
        </w:rPr>
        <w:t xml:space="preserve"> </w:t>
      </w:r>
      <w:r>
        <w:rPr>
          <w:sz w:val="20"/>
        </w:rPr>
        <w:t>shares</w:t>
      </w:r>
      <w:r>
        <w:rPr>
          <w:spacing w:val="-3"/>
          <w:sz w:val="20"/>
        </w:rPr>
        <w:t xml:space="preserve"> </w:t>
      </w:r>
      <w:r>
        <w:rPr>
          <w:sz w:val="20"/>
        </w:rPr>
        <w:t>of</w:t>
      </w:r>
      <w:r>
        <w:rPr>
          <w:spacing w:val="-3"/>
          <w:sz w:val="20"/>
        </w:rPr>
        <w:t xml:space="preserve"> </w:t>
      </w:r>
      <w:r>
        <w:rPr>
          <w:sz w:val="20"/>
        </w:rPr>
        <w:t>outpatient</w:t>
      </w:r>
      <w:r>
        <w:rPr>
          <w:spacing w:val="-3"/>
          <w:sz w:val="20"/>
        </w:rPr>
        <w:t xml:space="preserve"> </w:t>
      </w:r>
      <w:r>
        <w:rPr>
          <w:sz w:val="20"/>
        </w:rPr>
        <w:t>oncology</w:t>
      </w:r>
      <w:r>
        <w:rPr>
          <w:spacing w:val="-4"/>
          <w:sz w:val="20"/>
        </w:rPr>
        <w:t xml:space="preserve"> </w:t>
      </w:r>
      <w:r>
        <w:rPr>
          <w:sz w:val="20"/>
        </w:rPr>
        <w:t>services.</w:t>
      </w:r>
      <w:r>
        <w:rPr>
          <w:spacing w:val="-3"/>
          <w:sz w:val="20"/>
        </w:rPr>
        <w:t xml:space="preserve"> </w:t>
      </w:r>
      <w:r>
        <w:rPr>
          <w:sz w:val="20"/>
        </w:rPr>
        <w:t>System</w:t>
      </w:r>
      <w:r>
        <w:rPr>
          <w:spacing w:val="-3"/>
          <w:sz w:val="20"/>
        </w:rPr>
        <w:t xml:space="preserve"> </w:t>
      </w:r>
      <w:r>
        <w:rPr>
          <w:sz w:val="20"/>
        </w:rPr>
        <w:t>shares</w:t>
      </w:r>
      <w:r>
        <w:rPr>
          <w:spacing w:val="-3"/>
          <w:sz w:val="20"/>
        </w:rPr>
        <w:t xml:space="preserve"> </w:t>
      </w:r>
      <w:r>
        <w:rPr>
          <w:sz w:val="20"/>
        </w:rPr>
        <w:t>reflect</w:t>
      </w:r>
      <w:r>
        <w:rPr>
          <w:spacing w:val="-3"/>
          <w:sz w:val="20"/>
        </w:rPr>
        <w:t xml:space="preserve"> </w:t>
      </w:r>
      <w:r>
        <w:rPr>
          <w:sz w:val="20"/>
        </w:rPr>
        <w:t>the</w:t>
      </w:r>
      <w:r>
        <w:rPr>
          <w:spacing w:val="-4"/>
          <w:sz w:val="20"/>
        </w:rPr>
        <w:t xml:space="preserve"> </w:t>
      </w:r>
      <w:r>
        <w:rPr>
          <w:sz w:val="20"/>
        </w:rPr>
        <w:t>shares</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hospitals</w:t>
      </w:r>
      <w:r>
        <w:rPr>
          <w:spacing w:val="-3"/>
          <w:sz w:val="20"/>
        </w:rPr>
        <w:t xml:space="preserve"> </w:t>
      </w:r>
      <w:r>
        <w:rPr>
          <w:sz w:val="20"/>
        </w:rPr>
        <w:t>that</w:t>
      </w:r>
      <w:r>
        <w:rPr>
          <w:spacing w:val="-3"/>
          <w:sz w:val="20"/>
        </w:rPr>
        <w:t xml:space="preserve"> </w:t>
      </w:r>
      <w:r>
        <w:rPr>
          <w:sz w:val="20"/>
        </w:rPr>
        <w:t>were part of these systems at the time this report was published.</w:t>
      </w:r>
    </w:p>
    <w:p w14:paraId="1C34E7AF" w14:textId="77777777" w:rsidR="004C558F" w:rsidRDefault="004C558F">
      <w:pPr>
        <w:pStyle w:val="BodyText"/>
        <w:spacing w:before="214"/>
        <w:rPr>
          <w:sz w:val="20"/>
        </w:rPr>
      </w:pPr>
    </w:p>
    <w:p w14:paraId="1C34E7B0" w14:textId="77777777" w:rsidR="004C558F" w:rsidRDefault="00461887">
      <w:pPr>
        <w:pStyle w:val="Heading3"/>
        <w:numPr>
          <w:ilvl w:val="2"/>
          <w:numId w:val="16"/>
        </w:numPr>
        <w:tabs>
          <w:tab w:val="left" w:pos="958"/>
          <w:tab w:val="left" w:pos="960"/>
        </w:tabs>
        <w:spacing w:line="242" w:lineRule="auto"/>
        <w:ind w:left="960" w:right="1252" w:hanging="361"/>
        <w:rPr>
          <w:color w:val="042339"/>
        </w:rPr>
      </w:pPr>
      <w:bookmarkStart w:id="103" w:name="3._DFCI_and_BIDMC_commercial_prices_for_"/>
      <w:bookmarkEnd w:id="103"/>
      <w:r>
        <w:rPr>
          <w:color w:val="042339"/>
        </w:rPr>
        <w:t>DFCI</w:t>
      </w:r>
      <w:r>
        <w:rPr>
          <w:color w:val="042339"/>
          <w:spacing w:val="-4"/>
        </w:rPr>
        <w:t xml:space="preserve"> </w:t>
      </w:r>
      <w:r>
        <w:rPr>
          <w:color w:val="042339"/>
        </w:rPr>
        <w:t>and</w:t>
      </w:r>
      <w:r>
        <w:rPr>
          <w:color w:val="042339"/>
          <w:spacing w:val="-5"/>
        </w:rPr>
        <w:t xml:space="preserve"> </w:t>
      </w:r>
      <w:r>
        <w:rPr>
          <w:color w:val="042339"/>
        </w:rPr>
        <w:t>BIDMC</w:t>
      </w:r>
      <w:r>
        <w:rPr>
          <w:color w:val="042339"/>
          <w:spacing w:val="-4"/>
        </w:rPr>
        <w:t xml:space="preserve"> </w:t>
      </w:r>
      <w:r>
        <w:rPr>
          <w:color w:val="042339"/>
        </w:rPr>
        <w:t>commercial</w:t>
      </w:r>
      <w:r>
        <w:rPr>
          <w:color w:val="042339"/>
          <w:spacing w:val="-6"/>
        </w:rPr>
        <w:t xml:space="preserve"> </w:t>
      </w:r>
      <w:r>
        <w:rPr>
          <w:color w:val="042339"/>
        </w:rPr>
        <w:t>prices</w:t>
      </w:r>
      <w:r>
        <w:rPr>
          <w:color w:val="042339"/>
          <w:spacing w:val="-2"/>
        </w:rPr>
        <w:t xml:space="preserve"> </w:t>
      </w:r>
      <w:r>
        <w:rPr>
          <w:color w:val="042339"/>
        </w:rPr>
        <w:t>for</w:t>
      </w:r>
      <w:r>
        <w:rPr>
          <w:color w:val="042339"/>
          <w:spacing w:val="-4"/>
        </w:rPr>
        <w:t xml:space="preserve"> </w:t>
      </w:r>
      <w:r>
        <w:rPr>
          <w:color w:val="042339"/>
        </w:rPr>
        <w:t>inpatient</w:t>
      </w:r>
      <w:r>
        <w:rPr>
          <w:color w:val="042339"/>
          <w:spacing w:val="-4"/>
        </w:rPr>
        <w:t xml:space="preserve"> </w:t>
      </w:r>
      <w:r>
        <w:rPr>
          <w:color w:val="042339"/>
        </w:rPr>
        <w:t>medical</w:t>
      </w:r>
      <w:r>
        <w:rPr>
          <w:color w:val="042339"/>
          <w:spacing w:val="-3"/>
        </w:rPr>
        <w:t xml:space="preserve"> </w:t>
      </w:r>
      <w:r>
        <w:rPr>
          <w:color w:val="042339"/>
        </w:rPr>
        <w:t>and</w:t>
      </w:r>
      <w:r>
        <w:rPr>
          <w:color w:val="042339"/>
          <w:spacing w:val="-5"/>
        </w:rPr>
        <w:t xml:space="preserve"> </w:t>
      </w:r>
      <w:r>
        <w:rPr>
          <w:color w:val="042339"/>
        </w:rPr>
        <w:t>surgical</w:t>
      </w:r>
      <w:r>
        <w:rPr>
          <w:color w:val="042339"/>
          <w:spacing w:val="-6"/>
        </w:rPr>
        <w:t xml:space="preserve"> </w:t>
      </w:r>
      <w:r>
        <w:rPr>
          <w:color w:val="042339"/>
        </w:rPr>
        <w:t>oncology services, respectively, are generally lower than prices for the same services at BWH but higher than those of some other hospitals.</w:t>
      </w:r>
    </w:p>
    <w:p w14:paraId="1C34E7B1" w14:textId="77777777" w:rsidR="004C558F" w:rsidRDefault="004C558F">
      <w:pPr>
        <w:pStyle w:val="BodyText"/>
        <w:spacing w:before="145"/>
        <w:rPr>
          <w:rFonts w:ascii="Franklin Gothic Medium"/>
          <w:sz w:val="26"/>
        </w:rPr>
      </w:pPr>
    </w:p>
    <w:p w14:paraId="1C34E7B2" w14:textId="77777777" w:rsidR="004C558F" w:rsidRDefault="00461887">
      <w:pPr>
        <w:pStyle w:val="ListParagraph"/>
        <w:numPr>
          <w:ilvl w:val="3"/>
          <w:numId w:val="16"/>
        </w:numPr>
        <w:tabs>
          <w:tab w:val="left" w:pos="958"/>
        </w:tabs>
        <w:ind w:left="958" w:hanging="358"/>
      </w:pPr>
      <w:bookmarkStart w:id="104" w:name="a._Inpatient_Commercial_Prices"/>
      <w:bookmarkEnd w:id="104"/>
      <w:r>
        <w:rPr>
          <w:color w:val="063656"/>
        </w:rPr>
        <w:t>Inpatient</w:t>
      </w:r>
      <w:r>
        <w:rPr>
          <w:color w:val="063656"/>
          <w:spacing w:val="-6"/>
        </w:rPr>
        <w:t xml:space="preserve"> </w:t>
      </w:r>
      <w:r>
        <w:rPr>
          <w:color w:val="063656"/>
        </w:rPr>
        <w:t>Commercial</w:t>
      </w:r>
      <w:r>
        <w:rPr>
          <w:color w:val="063656"/>
          <w:spacing w:val="-5"/>
        </w:rPr>
        <w:t xml:space="preserve"> </w:t>
      </w:r>
      <w:r>
        <w:rPr>
          <w:color w:val="063656"/>
          <w:spacing w:val="-2"/>
        </w:rPr>
        <w:t>Prices</w:t>
      </w:r>
    </w:p>
    <w:p w14:paraId="1C34E7B3" w14:textId="5C007FBF" w:rsidR="004C558F" w:rsidRDefault="00461887">
      <w:pPr>
        <w:pStyle w:val="BodyText"/>
        <w:spacing w:before="41" w:line="276" w:lineRule="auto"/>
        <w:ind w:left="959" w:right="1092" w:firstLine="720"/>
      </w:pPr>
      <w:r>
        <w:t xml:space="preserve">The HPC used claims data to calculate the average commercial price of an inpatient oncology discharge at the parties’ hospitals and at other major providers of inpatient oncology care </w:t>
      </w:r>
      <w:proofErr w:type="gramStart"/>
      <w:r>
        <w:t>in order to</w:t>
      </w:r>
      <w:proofErr w:type="gramEnd"/>
      <w:r>
        <w:t xml:space="preserve"> understand how the parties’ current prices compare to those of other providers.</w:t>
      </w:r>
      <w:r w:rsidR="00840DDE">
        <w:rPr>
          <w:rStyle w:val="FootnoteReference"/>
        </w:rPr>
        <w:footnoteReference w:id="108"/>
      </w:r>
      <w:r>
        <w:rPr>
          <w:spacing w:val="19"/>
          <w:position w:val="5"/>
          <w:sz w:val="14"/>
        </w:rPr>
        <w:t xml:space="preserve"> </w:t>
      </w:r>
      <w:r>
        <w:t>The</w:t>
      </w:r>
      <w:r>
        <w:rPr>
          <w:spacing w:val="-1"/>
        </w:rPr>
        <w:t xml:space="preserve"> </w:t>
      </w:r>
      <w:r>
        <w:t>HPC</w:t>
      </w:r>
      <w:r>
        <w:rPr>
          <w:spacing w:val="-2"/>
        </w:rPr>
        <w:t xml:space="preserve"> </w:t>
      </w:r>
      <w:r>
        <w:t>adjusted prices</w:t>
      </w:r>
      <w:r>
        <w:rPr>
          <w:spacing w:val="-1"/>
        </w:rPr>
        <w:t xml:space="preserve"> </w:t>
      </w:r>
      <w:r>
        <w:t>to</w:t>
      </w:r>
      <w:r>
        <w:rPr>
          <w:spacing w:val="-1"/>
        </w:rPr>
        <w:t xml:space="preserve"> </w:t>
      </w:r>
      <w:r>
        <w:t>normalize</w:t>
      </w:r>
      <w:r>
        <w:rPr>
          <w:spacing w:val="-1"/>
        </w:rPr>
        <w:t xml:space="preserve"> </w:t>
      </w:r>
      <w:r>
        <w:t>for</w:t>
      </w:r>
      <w:r>
        <w:rPr>
          <w:spacing w:val="-4"/>
        </w:rPr>
        <w:t xml:space="preserve"> </w:t>
      </w:r>
      <w:r>
        <w:t>patient</w:t>
      </w:r>
      <w:r>
        <w:rPr>
          <w:spacing w:val="-2"/>
        </w:rPr>
        <w:t xml:space="preserve"> </w:t>
      </w:r>
      <w:r>
        <w:t>acuity</w:t>
      </w:r>
      <w:r>
        <w:rPr>
          <w:spacing w:val="-2"/>
        </w:rPr>
        <w:t xml:space="preserve"> </w:t>
      </w:r>
      <w:r>
        <w:t>and the</w:t>
      </w:r>
      <w:r>
        <w:rPr>
          <w:spacing w:val="-1"/>
        </w:rPr>
        <w:t xml:space="preserve"> </w:t>
      </w:r>
      <w:r>
        <w:t>mix</w:t>
      </w:r>
      <w:r>
        <w:rPr>
          <w:spacing w:val="-6"/>
        </w:rPr>
        <w:t xml:space="preserve"> </w:t>
      </w:r>
      <w:r>
        <w:t>of commercial</w:t>
      </w:r>
    </w:p>
    <w:p w14:paraId="1C34E7B4" w14:textId="65A2E556" w:rsidR="004C558F" w:rsidRDefault="004C558F">
      <w:pPr>
        <w:pStyle w:val="BodyText"/>
        <w:spacing w:before="80"/>
        <w:rPr>
          <w:sz w:val="20"/>
        </w:rPr>
      </w:pPr>
    </w:p>
    <w:p w14:paraId="1C34E7B6" w14:textId="77777777" w:rsidR="004C558F" w:rsidRDefault="004C558F">
      <w:pPr>
        <w:rPr>
          <w:sz w:val="20"/>
        </w:rPr>
        <w:sectPr w:rsidR="004C558F">
          <w:pgSz w:w="12240" w:h="15840"/>
          <w:pgMar w:top="1360" w:right="740" w:bottom="720" w:left="480" w:header="0" w:footer="521" w:gutter="0"/>
          <w:cols w:space="720"/>
        </w:sectPr>
      </w:pPr>
      <w:bookmarkStart w:id="105" w:name="_bookmark128"/>
      <w:bookmarkEnd w:id="105"/>
    </w:p>
    <w:p w14:paraId="1C34E7B7" w14:textId="77777777" w:rsidR="004C558F" w:rsidRDefault="00461887">
      <w:pPr>
        <w:pStyle w:val="BodyText"/>
        <w:spacing w:before="80" w:line="276" w:lineRule="auto"/>
        <w:ind w:left="960" w:right="702" w:hanging="1"/>
      </w:pPr>
      <w:r>
        <w:lastRenderedPageBreak/>
        <w:t>payers</w:t>
      </w:r>
      <w:r>
        <w:rPr>
          <w:spacing w:val="-4"/>
        </w:rPr>
        <w:t xml:space="preserve"> </w:t>
      </w:r>
      <w:r>
        <w:t>among</w:t>
      </w:r>
      <w:r>
        <w:rPr>
          <w:spacing w:val="-3"/>
        </w:rPr>
        <w:t xml:space="preserve"> </w:t>
      </w:r>
      <w:r>
        <w:t>each</w:t>
      </w:r>
      <w:r>
        <w:rPr>
          <w:spacing w:val="-4"/>
        </w:rPr>
        <w:t xml:space="preserve"> </w:t>
      </w:r>
      <w:r>
        <w:t>hospital’s</w:t>
      </w:r>
      <w:r>
        <w:rPr>
          <w:spacing w:val="-2"/>
        </w:rPr>
        <w:t xml:space="preserve"> </w:t>
      </w:r>
      <w:r>
        <w:t>oncology</w:t>
      </w:r>
      <w:r>
        <w:rPr>
          <w:spacing w:val="-3"/>
        </w:rPr>
        <w:t xml:space="preserve"> </w:t>
      </w:r>
      <w:proofErr w:type="gramStart"/>
      <w:r>
        <w:t>discharges,</w:t>
      </w:r>
      <w:r>
        <w:rPr>
          <w:spacing w:val="-5"/>
        </w:rPr>
        <w:t xml:space="preserve"> </w:t>
      </w:r>
      <w:r>
        <w:t>and</w:t>
      </w:r>
      <w:proofErr w:type="gramEnd"/>
      <w:r>
        <w:rPr>
          <w:spacing w:val="-4"/>
        </w:rPr>
        <w:t xml:space="preserve"> </w:t>
      </w:r>
      <w:r>
        <w:t>separately</w:t>
      </w:r>
      <w:r>
        <w:rPr>
          <w:spacing w:val="-5"/>
        </w:rPr>
        <w:t xml:space="preserve"> </w:t>
      </w:r>
      <w:r>
        <w:t>assessed</w:t>
      </w:r>
      <w:r>
        <w:rPr>
          <w:spacing w:val="-4"/>
        </w:rPr>
        <w:t xml:space="preserve"> </w:t>
      </w:r>
      <w:r>
        <w:t>average</w:t>
      </w:r>
      <w:r>
        <w:rPr>
          <w:spacing w:val="-2"/>
        </w:rPr>
        <w:t xml:space="preserve"> </w:t>
      </w:r>
      <w:r>
        <w:t>prices</w:t>
      </w:r>
      <w:r>
        <w:rPr>
          <w:spacing w:val="-4"/>
        </w:rPr>
        <w:t xml:space="preserve"> </w:t>
      </w:r>
      <w:r>
        <w:t>for medical and surgical discharges.</w:t>
      </w:r>
    </w:p>
    <w:p w14:paraId="1C34E7B8" w14:textId="77777777" w:rsidR="004C558F" w:rsidRDefault="004C558F">
      <w:pPr>
        <w:pStyle w:val="BodyText"/>
        <w:spacing w:before="38"/>
      </w:pPr>
    </w:p>
    <w:p w14:paraId="1C34E7B9" w14:textId="77777777" w:rsidR="004C558F" w:rsidRDefault="00461887">
      <w:pPr>
        <w:pStyle w:val="BodyText"/>
        <w:spacing w:line="276" w:lineRule="auto"/>
        <w:ind w:left="960" w:right="702" w:firstLine="720"/>
      </w:pPr>
      <w:r>
        <w:t>As shown in Figure III.A.4, DFCI’s average commercial price for adult medical oncology discharges</w:t>
      </w:r>
      <w:r>
        <w:rPr>
          <w:spacing w:val="-2"/>
        </w:rPr>
        <w:t xml:space="preserve"> </w:t>
      </w:r>
      <w:r>
        <w:t>is</w:t>
      </w:r>
      <w:r>
        <w:rPr>
          <w:spacing w:val="-4"/>
        </w:rPr>
        <w:t xml:space="preserve"> </w:t>
      </w:r>
      <w:r>
        <w:t>1%</w:t>
      </w:r>
      <w:r>
        <w:rPr>
          <w:spacing w:val="-3"/>
        </w:rPr>
        <w:t xml:space="preserve"> </w:t>
      </w:r>
      <w:r>
        <w:t>higher</w:t>
      </w:r>
      <w:r>
        <w:rPr>
          <w:spacing w:val="-3"/>
        </w:rPr>
        <w:t xml:space="preserve"> </w:t>
      </w:r>
      <w:r>
        <w:t>than</w:t>
      </w:r>
      <w:r>
        <w:rPr>
          <w:spacing w:val="-2"/>
        </w:rPr>
        <w:t xml:space="preserve"> </w:t>
      </w:r>
      <w:r>
        <w:t>the</w:t>
      </w:r>
      <w:r>
        <w:rPr>
          <w:spacing w:val="-4"/>
        </w:rPr>
        <w:t xml:space="preserve"> </w:t>
      </w:r>
      <w:r>
        <w:t>average</w:t>
      </w:r>
      <w:r>
        <w:rPr>
          <w:spacing w:val="-2"/>
        </w:rPr>
        <w:t xml:space="preserve"> </w:t>
      </w:r>
      <w:r>
        <w:t>provider’s</w:t>
      </w:r>
      <w:r>
        <w:rPr>
          <w:spacing w:val="-4"/>
        </w:rPr>
        <w:t xml:space="preserve"> </w:t>
      </w:r>
      <w:r>
        <w:t>prices</w:t>
      </w:r>
      <w:r>
        <w:rPr>
          <w:spacing w:val="-2"/>
        </w:rPr>
        <w:t xml:space="preserve"> </w:t>
      </w:r>
      <w:r>
        <w:t>statewide,</w:t>
      </w:r>
      <w:r>
        <w:rPr>
          <w:spacing w:val="-5"/>
        </w:rPr>
        <w:t xml:space="preserve"> </w:t>
      </w:r>
      <w:r>
        <w:t>BIDMC’s</w:t>
      </w:r>
      <w:r>
        <w:rPr>
          <w:spacing w:val="-4"/>
        </w:rPr>
        <w:t xml:space="preserve"> </w:t>
      </w:r>
      <w:r>
        <w:t>is</w:t>
      </w:r>
      <w:r>
        <w:rPr>
          <w:spacing w:val="-2"/>
        </w:rPr>
        <w:t xml:space="preserve"> </w:t>
      </w:r>
      <w:r>
        <w:t>26%</w:t>
      </w:r>
      <w:r>
        <w:rPr>
          <w:spacing w:val="-5"/>
        </w:rPr>
        <w:t xml:space="preserve"> </w:t>
      </w:r>
      <w:r>
        <w:t>higher,</w:t>
      </w:r>
      <w:r>
        <w:rPr>
          <w:spacing w:val="-5"/>
        </w:rPr>
        <w:t xml:space="preserve"> </w:t>
      </w:r>
      <w:r>
        <w:t>and BWH’s is 29% higher. DFCI’s average commercial inpatient medical oncology price is lower than prices of most Massachusetts academic medical centers, but higher than the prices of many community hospitals that provide medical oncology services.</w:t>
      </w:r>
    </w:p>
    <w:p w14:paraId="1C34E7BA" w14:textId="77777777" w:rsidR="004C558F" w:rsidRDefault="004C558F">
      <w:pPr>
        <w:pStyle w:val="BodyText"/>
        <w:spacing w:before="36"/>
      </w:pPr>
    </w:p>
    <w:p w14:paraId="1C34E7BB" w14:textId="77777777" w:rsidR="004C558F" w:rsidRDefault="00461887">
      <w:pPr>
        <w:pStyle w:val="BodyText"/>
        <w:spacing w:line="276" w:lineRule="auto"/>
        <w:ind w:left="960" w:right="943" w:firstLine="719"/>
      </w:pPr>
      <w:r>
        <w:t>For surgical oncology discharges, BIDMC’s average commercial price is 11% higher than the average provider’s prices statewide, and BWH’s is 31% higher. BIDMC’s average surgical oncology</w:t>
      </w:r>
      <w:r>
        <w:rPr>
          <w:spacing w:val="-4"/>
        </w:rPr>
        <w:t xml:space="preserve"> </w:t>
      </w:r>
      <w:r>
        <w:t>price</w:t>
      </w:r>
      <w:r>
        <w:rPr>
          <w:spacing w:val="-3"/>
        </w:rPr>
        <w:t xml:space="preserve"> </w:t>
      </w:r>
      <w:r>
        <w:t>is</w:t>
      </w:r>
      <w:r>
        <w:rPr>
          <w:spacing w:val="-3"/>
        </w:rPr>
        <w:t xml:space="preserve"> </w:t>
      </w:r>
      <w:r>
        <w:t>moderate</w:t>
      </w:r>
      <w:r>
        <w:rPr>
          <w:spacing w:val="-3"/>
        </w:rPr>
        <w:t xml:space="preserve"> </w:t>
      </w:r>
      <w:r>
        <w:t>compared</w:t>
      </w:r>
      <w:r>
        <w:rPr>
          <w:spacing w:val="-2"/>
        </w:rPr>
        <w:t xml:space="preserve"> </w:t>
      </w:r>
      <w:r>
        <w:t>to</w:t>
      </w:r>
      <w:r>
        <w:rPr>
          <w:spacing w:val="-3"/>
        </w:rPr>
        <w:t xml:space="preserve"> </w:t>
      </w:r>
      <w:r>
        <w:t>other</w:t>
      </w:r>
      <w:r>
        <w:rPr>
          <w:spacing w:val="-4"/>
        </w:rPr>
        <w:t xml:space="preserve"> </w:t>
      </w:r>
      <w:r>
        <w:t>AMCs,</w:t>
      </w:r>
      <w:r>
        <w:rPr>
          <w:spacing w:val="-3"/>
        </w:rPr>
        <w:t xml:space="preserve"> </w:t>
      </w:r>
      <w:r>
        <w:t>but</w:t>
      </w:r>
      <w:r>
        <w:rPr>
          <w:spacing w:val="-4"/>
        </w:rPr>
        <w:t xml:space="preserve"> </w:t>
      </w:r>
      <w:r>
        <w:t>many</w:t>
      </w:r>
      <w:r>
        <w:rPr>
          <w:spacing w:val="-4"/>
        </w:rPr>
        <w:t xml:space="preserve"> </w:t>
      </w:r>
      <w:r>
        <w:t>community</w:t>
      </w:r>
      <w:r>
        <w:rPr>
          <w:spacing w:val="-4"/>
        </w:rPr>
        <w:t xml:space="preserve"> </w:t>
      </w:r>
      <w:r>
        <w:t>hospitals</w:t>
      </w:r>
      <w:r>
        <w:rPr>
          <w:spacing w:val="-3"/>
        </w:rPr>
        <w:t xml:space="preserve"> </w:t>
      </w:r>
      <w:r>
        <w:t>that</w:t>
      </w:r>
      <w:r>
        <w:rPr>
          <w:spacing w:val="-4"/>
        </w:rPr>
        <w:t xml:space="preserve"> </w:t>
      </w:r>
      <w:r>
        <w:t>provide inpatient surgical oncology do so at a lower average price than BIDMC. BWH’s average price for surgical oncology is among the highest statewide.</w:t>
      </w:r>
    </w:p>
    <w:p w14:paraId="1C34E7BC" w14:textId="77777777" w:rsidR="004C558F" w:rsidRDefault="004C558F">
      <w:pPr>
        <w:pStyle w:val="BodyText"/>
        <w:spacing w:before="19"/>
      </w:pPr>
    </w:p>
    <w:p w14:paraId="1C34E7BD" w14:textId="77777777" w:rsidR="004C558F" w:rsidRDefault="00461887">
      <w:pPr>
        <w:pStyle w:val="BodyText"/>
        <w:ind w:left="139" w:right="147"/>
        <w:jc w:val="center"/>
      </w:pPr>
      <w:r>
        <w:t>Figure</w:t>
      </w:r>
      <w:r>
        <w:rPr>
          <w:spacing w:val="-7"/>
        </w:rPr>
        <w:t xml:space="preserve"> </w:t>
      </w:r>
      <w:r>
        <w:t>III.A.4:</w:t>
      </w:r>
      <w:r>
        <w:rPr>
          <w:spacing w:val="-5"/>
        </w:rPr>
        <w:t xml:space="preserve"> </w:t>
      </w:r>
      <w:r>
        <w:t>2022</w:t>
      </w:r>
      <w:r>
        <w:rPr>
          <w:spacing w:val="-4"/>
        </w:rPr>
        <w:t xml:space="preserve"> </w:t>
      </w:r>
      <w:r>
        <w:t>Commercial</w:t>
      </w:r>
      <w:r>
        <w:rPr>
          <w:spacing w:val="-5"/>
        </w:rPr>
        <w:t xml:space="preserve"> </w:t>
      </w:r>
      <w:r>
        <w:t>Oncology</w:t>
      </w:r>
      <w:r>
        <w:rPr>
          <w:spacing w:val="-5"/>
        </w:rPr>
        <w:t xml:space="preserve"> </w:t>
      </w:r>
      <w:r>
        <w:t>Relative</w:t>
      </w:r>
      <w:r>
        <w:rPr>
          <w:spacing w:val="-4"/>
        </w:rPr>
        <w:t xml:space="preserve"> </w:t>
      </w:r>
      <w:r>
        <w:t>Prices</w:t>
      </w:r>
      <w:r>
        <w:rPr>
          <w:spacing w:val="-5"/>
        </w:rPr>
        <w:t xml:space="preserve"> </w:t>
      </w:r>
      <w:r>
        <w:t>per</w:t>
      </w:r>
      <w:r>
        <w:rPr>
          <w:spacing w:val="-5"/>
        </w:rPr>
        <w:t xml:space="preserve"> </w:t>
      </w:r>
      <w:r>
        <w:t>Case</w:t>
      </w:r>
      <w:r>
        <w:rPr>
          <w:spacing w:val="-4"/>
        </w:rPr>
        <w:t xml:space="preserve"> </w:t>
      </w:r>
      <w:r>
        <w:t>Mix</w:t>
      </w:r>
      <w:r>
        <w:rPr>
          <w:spacing w:val="-4"/>
        </w:rPr>
        <w:t xml:space="preserve"> </w:t>
      </w:r>
      <w:r>
        <w:t>Adjusted</w:t>
      </w:r>
      <w:r>
        <w:rPr>
          <w:spacing w:val="-3"/>
        </w:rPr>
        <w:t xml:space="preserve"> </w:t>
      </w:r>
      <w:r>
        <w:rPr>
          <w:spacing w:val="-2"/>
        </w:rPr>
        <w:t>Discharge</w:t>
      </w:r>
    </w:p>
    <w:p w14:paraId="1C34E7BE" w14:textId="77777777" w:rsidR="004C558F" w:rsidRDefault="004C558F">
      <w:pPr>
        <w:pStyle w:val="BodyText"/>
        <w:spacing w:before="10"/>
        <w:rPr>
          <w:sz w:val="15"/>
        </w:rPr>
      </w:pP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5774"/>
        <w:gridCol w:w="1653"/>
        <w:gridCol w:w="1651"/>
      </w:tblGrid>
      <w:tr w:rsidR="004C558F" w14:paraId="1C34E7C7" w14:textId="77777777" w:rsidTr="00B4215D">
        <w:trPr>
          <w:cantSplit/>
          <w:trHeight w:val="601"/>
          <w:tblHeader/>
        </w:trPr>
        <w:tc>
          <w:tcPr>
            <w:tcW w:w="5774" w:type="dxa"/>
            <w:shd w:val="clear" w:color="auto" w:fill="084875"/>
          </w:tcPr>
          <w:p w14:paraId="1C34E7C2" w14:textId="77777777" w:rsidR="004C558F" w:rsidRDefault="00461887">
            <w:pPr>
              <w:pStyle w:val="TableParagraph"/>
              <w:spacing w:before="14"/>
              <w:ind w:left="8"/>
              <w:jc w:val="center"/>
              <w:rPr>
                <w:rFonts w:ascii="Franklin Gothic Medium Cond"/>
              </w:rPr>
            </w:pPr>
            <w:r>
              <w:rPr>
                <w:rFonts w:ascii="Franklin Gothic Medium Cond"/>
                <w:color w:val="FFFFFF"/>
                <w:spacing w:val="-2"/>
              </w:rPr>
              <w:t>Hospital</w:t>
            </w:r>
          </w:p>
        </w:tc>
        <w:tc>
          <w:tcPr>
            <w:tcW w:w="1653" w:type="dxa"/>
            <w:shd w:val="clear" w:color="auto" w:fill="084875"/>
          </w:tcPr>
          <w:p w14:paraId="3E75EC93" w14:textId="4D019466" w:rsidR="004806A4" w:rsidRDefault="004806A4">
            <w:pPr>
              <w:pStyle w:val="TableParagraph"/>
              <w:spacing w:before="14"/>
              <w:ind w:left="501"/>
              <w:jc w:val="left"/>
              <w:rPr>
                <w:rFonts w:ascii="Franklin Gothic Medium Cond"/>
                <w:color w:val="FFFFFF"/>
                <w:spacing w:val="-2"/>
              </w:rPr>
            </w:pPr>
            <w:r>
              <w:rPr>
                <w:rFonts w:ascii="Franklin Gothic Medium Cond"/>
                <w:color w:val="FFFFFF"/>
              </w:rPr>
              <w:t>Price</w:t>
            </w:r>
            <w:r>
              <w:rPr>
                <w:rFonts w:ascii="Franklin Gothic Medium Cond"/>
                <w:color w:val="FFFFFF"/>
                <w:spacing w:val="-6"/>
              </w:rPr>
              <w:t xml:space="preserve"> </w:t>
            </w:r>
            <w:r>
              <w:rPr>
                <w:rFonts w:ascii="Franklin Gothic Medium Cond"/>
                <w:color w:val="FFFFFF"/>
              </w:rPr>
              <w:t>Relative</w:t>
            </w:r>
            <w:r>
              <w:rPr>
                <w:rFonts w:ascii="Franklin Gothic Medium Cond"/>
                <w:color w:val="FFFFFF"/>
                <w:spacing w:val="-3"/>
              </w:rPr>
              <w:t xml:space="preserve"> </w:t>
            </w:r>
            <w:r>
              <w:rPr>
                <w:rFonts w:ascii="Franklin Gothic Medium Cond"/>
                <w:color w:val="FFFFFF"/>
              </w:rPr>
              <w:t>to</w:t>
            </w:r>
            <w:r>
              <w:rPr>
                <w:rFonts w:ascii="Franklin Gothic Medium Cond"/>
                <w:color w:val="FFFFFF"/>
                <w:spacing w:val="-4"/>
              </w:rPr>
              <w:t xml:space="preserve"> </w:t>
            </w:r>
            <w:r>
              <w:rPr>
                <w:rFonts w:ascii="Franklin Gothic Medium Cond"/>
                <w:color w:val="FFFFFF"/>
              </w:rPr>
              <w:t>Average</w:t>
            </w:r>
            <w:r>
              <w:rPr>
                <w:rFonts w:ascii="Franklin Gothic Medium Cond"/>
                <w:color w:val="FFFFFF"/>
                <w:spacing w:val="-2"/>
              </w:rPr>
              <w:t xml:space="preserve"> Hospital</w:t>
            </w:r>
          </w:p>
          <w:p w14:paraId="2FFCF975" w14:textId="77777777" w:rsidR="004806A4" w:rsidRDefault="004806A4">
            <w:pPr>
              <w:pStyle w:val="TableParagraph"/>
              <w:spacing w:before="14"/>
              <w:ind w:left="501"/>
              <w:jc w:val="left"/>
              <w:rPr>
                <w:rFonts w:ascii="Franklin Gothic Medium Cond"/>
                <w:color w:val="FFFFFF"/>
                <w:spacing w:val="-2"/>
              </w:rPr>
            </w:pPr>
          </w:p>
          <w:p w14:paraId="1C34E7C3" w14:textId="477DC185" w:rsidR="004C558F" w:rsidRDefault="00461887">
            <w:pPr>
              <w:pStyle w:val="TableParagraph"/>
              <w:spacing w:before="14"/>
              <w:ind w:left="501"/>
              <w:jc w:val="left"/>
              <w:rPr>
                <w:rFonts w:ascii="Franklin Gothic Medium Cond"/>
              </w:rPr>
            </w:pPr>
            <w:r>
              <w:rPr>
                <w:rFonts w:ascii="Franklin Gothic Medium Cond"/>
                <w:color w:val="FFFFFF"/>
                <w:spacing w:val="-2"/>
              </w:rPr>
              <w:t>Medical</w:t>
            </w:r>
          </w:p>
          <w:p w14:paraId="1C34E7C4" w14:textId="77777777" w:rsidR="004C558F" w:rsidRDefault="00461887">
            <w:pPr>
              <w:pStyle w:val="TableParagraph"/>
              <w:spacing w:before="38"/>
              <w:ind w:left="456"/>
              <w:jc w:val="left"/>
              <w:rPr>
                <w:rFonts w:ascii="Franklin Gothic Medium Cond"/>
              </w:rPr>
            </w:pPr>
            <w:r>
              <w:rPr>
                <w:rFonts w:ascii="Franklin Gothic Medium Cond"/>
                <w:color w:val="FFFFFF"/>
                <w:spacing w:val="-2"/>
              </w:rPr>
              <w:t>Oncology</w:t>
            </w:r>
          </w:p>
        </w:tc>
        <w:tc>
          <w:tcPr>
            <w:tcW w:w="1651" w:type="dxa"/>
            <w:shd w:val="clear" w:color="auto" w:fill="084875"/>
          </w:tcPr>
          <w:p w14:paraId="1E5E8091" w14:textId="2A770C46" w:rsidR="004806A4" w:rsidRDefault="004806A4">
            <w:pPr>
              <w:pStyle w:val="TableParagraph"/>
              <w:spacing w:before="14"/>
              <w:ind w:left="497"/>
              <w:jc w:val="left"/>
              <w:rPr>
                <w:rFonts w:ascii="Franklin Gothic Medium Cond"/>
                <w:color w:val="FFFFFF"/>
                <w:spacing w:val="-2"/>
              </w:rPr>
            </w:pPr>
            <w:r>
              <w:rPr>
                <w:rFonts w:ascii="Franklin Gothic Medium Cond"/>
                <w:color w:val="FFFFFF"/>
              </w:rPr>
              <w:t>Price</w:t>
            </w:r>
            <w:r>
              <w:rPr>
                <w:rFonts w:ascii="Franklin Gothic Medium Cond"/>
                <w:color w:val="FFFFFF"/>
                <w:spacing w:val="-6"/>
              </w:rPr>
              <w:t xml:space="preserve"> </w:t>
            </w:r>
            <w:r>
              <w:rPr>
                <w:rFonts w:ascii="Franklin Gothic Medium Cond"/>
                <w:color w:val="FFFFFF"/>
              </w:rPr>
              <w:t>Relative</w:t>
            </w:r>
            <w:r>
              <w:rPr>
                <w:rFonts w:ascii="Franklin Gothic Medium Cond"/>
                <w:color w:val="FFFFFF"/>
                <w:spacing w:val="-3"/>
              </w:rPr>
              <w:t xml:space="preserve"> </w:t>
            </w:r>
            <w:r>
              <w:rPr>
                <w:rFonts w:ascii="Franklin Gothic Medium Cond"/>
                <w:color w:val="FFFFFF"/>
              </w:rPr>
              <w:t>to</w:t>
            </w:r>
            <w:r>
              <w:rPr>
                <w:rFonts w:ascii="Franklin Gothic Medium Cond"/>
                <w:color w:val="FFFFFF"/>
                <w:spacing w:val="-4"/>
              </w:rPr>
              <w:t xml:space="preserve"> </w:t>
            </w:r>
            <w:r>
              <w:rPr>
                <w:rFonts w:ascii="Franklin Gothic Medium Cond"/>
                <w:color w:val="FFFFFF"/>
              </w:rPr>
              <w:t>Average</w:t>
            </w:r>
            <w:r>
              <w:rPr>
                <w:rFonts w:ascii="Franklin Gothic Medium Cond"/>
                <w:color w:val="FFFFFF"/>
                <w:spacing w:val="-2"/>
              </w:rPr>
              <w:t xml:space="preserve"> Hospital</w:t>
            </w:r>
          </w:p>
          <w:p w14:paraId="17B39C8B" w14:textId="77777777" w:rsidR="004806A4" w:rsidRDefault="004806A4">
            <w:pPr>
              <w:pStyle w:val="TableParagraph"/>
              <w:spacing w:before="14"/>
              <w:ind w:left="497"/>
              <w:jc w:val="left"/>
              <w:rPr>
                <w:rFonts w:ascii="Franklin Gothic Medium Cond"/>
                <w:color w:val="FFFFFF"/>
                <w:spacing w:val="-2"/>
              </w:rPr>
            </w:pPr>
          </w:p>
          <w:p w14:paraId="1C34E7C5" w14:textId="5E633113" w:rsidR="004C558F" w:rsidRDefault="00461887">
            <w:pPr>
              <w:pStyle w:val="TableParagraph"/>
              <w:spacing w:before="14"/>
              <w:ind w:left="497"/>
              <w:jc w:val="left"/>
              <w:rPr>
                <w:rFonts w:ascii="Franklin Gothic Medium Cond"/>
              </w:rPr>
            </w:pPr>
            <w:r>
              <w:rPr>
                <w:rFonts w:ascii="Franklin Gothic Medium Cond"/>
                <w:color w:val="FFFFFF"/>
                <w:spacing w:val="-2"/>
              </w:rPr>
              <w:t>Surgical</w:t>
            </w:r>
          </w:p>
          <w:p w14:paraId="1C34E7C6" w14:textId="77777777" w:rsidR="004C558F" w:rsidRDefault="00461887">
            <w:pPr>
              <w:pStyle w:val="TableParagraph"/>
              <w:spacing w:before="38"/>
              <w:ind w:left="456"/>
              <w:jc w:val="left"/>
              <w:rPr>
                <w:rFonts w:ascii="Franklin Gothic Medium Cond"/>
              </w:rPr>
            </w:pPr>
            <w:r>
              <w:rPr>
                <w:rFonts w:ascii="Franklin Gothic Medium Cond"/>
                <w:color w:val="FFFFFF"/>
                <w:spacing w:val="-2"/>
              </w:rPr>
              <w:t>Oncology</w:t>
            </w:r>
          </w:p>
        </w:tc>
      </w:tr>
      <w:tr w:rsidR="004C558F" w14:paraId="1C34E7CB" w14:textId="77777777" w:rsidTr="00B4215D">
        <w:trPr>
          <w:cantSplit/>
          <w:trHeight w:val="328"/>
        </w:trPr>
        <w:tc>
          <w:tcPr>
            <w:tcW w:w="5774" w:type="dxa"/>
          </w:tcPr>
          <w:p w14:paraId="1C34E7C8" w14:textId="77777777" w:rsidR="004C558F" w:rsidRDefault="00461887">
            <w:pPr>
              <w:pStyle w:val="TableParagraph"/>
              <w:spacing w:before="14"/>
              <w:ind w:left="115"/>
              <w:jc w:val="left"/>
            </w:pPr>
            <w:r>
              <w:t>Tufts</w:t>
            </w:r>
            <w:r>
              <w:rPr>
                <w:spacing w:val="-4"/>
              </w:rPr>
              <w:t xml:space="preserve"> </w:t>
            </w:r>
            <w:r>
              <w:t>Medical</w:t>
            </w:r>
            <w:r>
              <w:rPr>
                <w:spacing w:val="-4"/>
              </w:rPr>
              <w:t xml:space="preserve"> </w:t>
            </w:r>
            <w:r>
              <w:rPr>
                <w:spacing w:val="-2"/>
              </w:rPr>
              <w:t>Center</w:t>
            </w:r>
          </w:p>
        </w:tc>
        <w:tc>
          <w:tcPr>
            <w:tcW w:w="1653" w:type="dxa"/>
          </w:tcPr>
          <w:p w14:paraId="1C34E7C9" w14:textId="77777777" w:rsidR="004C558F" w:rsidRDefault="00461887">
            <w:pPr>
              <w:pStyle w:val="TableParagraph"/>
              <w:spacing w:before="14"/>
              <w:ind w:right="102"/>
            </w:pPr>
            <w:r>
              <w:rPr>
                <w:spacing w:val="-4"/>
              </w:rPr>
              <w:t>1.34</w:t>
            </w:r>
          </w:p>
        </w:tc>
        <w:tc>
          <w:tcPr>
            <w:tcW w:w="1651" w:type="dxa"/>
          </w:tcPr>
          <w:p w14:paraId="1C34E7CA" w14:textId="77777777" w:rsidR="004C558F" w:rsidRDefault="00461887">
            <w:pPr>
              <w:pStyle w:val="TableParagraph"/>
              <w:spacing w:before="14"/>
              <w:ind w:right="99"/>
            </w:pPr>
            <w:r>
              <w:rPr>
                <w:spacing w:val="-4"/>
              </w:rPr>
              <w:t>1.04</w:t>
            </w:r>
          </w:p>
        </w:tc>
      </w:tr>
      <w:tr w:rsidR="004C558F" w14:paraId="1C34E7CF" w14:textId="77777777" w:rsidTr="00B4215D">
        <w:trPr>
          <w:cantSplit/>
          <w:trHeight w:val="328"/>
        </w:trPr>
        <w:tc>
          <w:tcPr>
            <w:tcW w:w="5774" w:type="dxa"/>
          </w:tcPr>
          <w:p w14:paraId="1C34E7CC" w14:textId="77777777" w:rsidR="004C558F" w:rsidRDefault="00461887">
            <w:pPr>
              <w:pStyle w:val="TableParagraph"/>
              <w:spacing w:before="14"/>
              <w:ind w:left="115"/>
              <w:jc w:val="left"/>
            </w:pPr>
            <w:r>
              <w:t>UMass</w:t>
            </w:r>
            <w:r>
              <w:rPr>
                <w:spacing w:val="-5"/>
              </w:rPr>
              <w:t xml:space="preserve"> </w:t>
            </w:r>
            <w:r>
              <w:t>Memorial</w:t>
            </w:r>
            <w:r>
              <w:rPr>
                <w:spacing w:val="-7"/>
              </w:rPr>
              <w:t xml:space="preserve"> </w:t>
            </w:r>
            <w:r>
              <w:t>Medical</w:t>
            </w:r>
            <w:r>
              <w:rPr>
                <w:spacing w:val="-6"/>
              </w:rPr>
              <w:t xml:space="preserve"> </w:t>
            </w:r>
            <w:r>
              <w:rPr>
                <w:spacing w:val="-2"/>
              </w:rPr>
              <w:t>Center</w:t>
            </w:r>
          </w:p>
        </w:tc>
        <w:tc>
          <w:tcPr>
            <w:tcW w:w="1653" w:type="dxa"/>
          </w:tcPr>
          <w:p w14:paraId="1C34E7CD" w14:textId="77777777" w:rsidR="004C558F" w:rsidRDefault="00461887">
            <w:pPr>
              <w:pStyle w:val="TableParagraph"/>
              <w:spacing w:before="14"/>
              <w:ind w:right="102"/>
            </w:pPr>
            <w:r>
              <w:rPr>
                <w:spacing w:val="-4"/>
              </w:rPr>
              <w:t>1.32</w:t>
            </w:r>
          </w:p>
        </w:tc>
        <w:tc>
          <w:tcPr>
            <w:tcW w:w="1651" w:type="dxa"/>
          </w:tcPr>
          <w:p w14:paraId="1C34E7CE" w14:textId="77777777" w:rsidR="004C558F" w:rsidRDefault="00461887">
            <w:pPr>
              <w:pStyle w:val="TableParagraph"/>
              <w:spacing w:before="14"/>
              <w:ind w:right="99"/>
            </w:pPr>
            <w:r>
              <w:rPr>
                <w:spacing w:val="-4"/>
              </w:rPr>
              <w:t>1.15</w:t>
            </w:r>
          </w:p>
        </w:tc>
      </w:tr>
      <w:tr w:rsidR="004C558F" w14:paraId="1C34E7D3" w14:textId="77777777" w:rsidTr="00B4215D">
        <w:trPr>
          <w:cantSplit/>
          <w:trHeight w:val="328"/>
        </w:trPr>
        <w:tc>
          <w:tcPr>
            <w:tcW w:w="5774" w:type="dxa"/>
          </w:tcPr>
          <w:p w14:paraId="1C34E7D0" w14:textId="77777777" w:rsidR="004C558F" w:rsidRDefault="00461887">
            <w:pPr>
              <w:pStyle w:val="TableParagraph"/>
              <w:spacing w:before="14"/>
              <w:ind w:left="115"/>
              <w:jc w:val="left"/>
            </w:pPr>
            <w:r>
              <w:t>Lahey</w:t>
            </w:r>
            <w:r>
              <w:rPr>
                <w:spacing w:val="-7"/>
              </w:rPr>
              <w:t xml:space="preserve"> </w:t>
            </w:r>
            <w:r>
              <w:t>Hospital</w:t>
            </w:r>
            <w:r>
              <w:rPr>
                <w:spacing w:val="-5"/>
              </w:rPr>
              <w:t xml:space="preserve"> </w:t>
            </w:r>
            <w:r>
              <w:t>and</w:t>
            </w:r>
            <w:r>
              <w:rPr>
                <w:spacing w:val="-6"/>
              </w:rPr>
              <w:t xml:space="preserve"> </w:t>
            </w:r>
            <w:r>
              <w:t>Medical</w:t>
            </w:r>
            <w:r>
              <w:rPr>
                <w:spacing w:val="-4"/>
              </w:rPr>
              <w:t xml:space="preserve"> </w:t>
            </w:r>
            <w:r>
              <w:rPr>
                <w:spacing w:val="-2"/>
              </w:rPr>
              <w:t>Center</w:t>
            </w:r>
          </w:p>
        </w:tc>
        <w:tc>
          <w:tcPr>
            <w:tcW w:w="1653" w:type="dxa"/>
          </w:tcPr>
          <w:p w14:paraId="1C34E7D1" w14:textId="77777777" w:rsidR="004C558F" w:rsidRDefault="00461887">
            <w:pPr>
              <w:pStyle w:val="TableParagraph"/>
              <w:spacing w:before="14"/>
              <w:ind w:right="102"/>
            </w:pPr>
            <w:r>
              <w:rPr>
                <w:spacing w:val="-4"/>
              </w:rPr>
              <w:t>1.30</w:t>
            </w:r>
          </w:p>
        </w:tc>
        <w:tc>
          <w:tcPr>
            <w:tcW w:w="1651" w:type="dxa"/>
          </w:tcPr>
          <w:p w14:paraId="1C34E7D2" w14:textId="77777777" w:rsidR="004C558F" w:rsidRDefault="00461887">
            <w:pPr>
              <w:pStyle w:val="TableParagraph"/>
              <w:spacing w:before="14"/>
              <w:ind w:right="99"/>
            </w:pPr>
            <w:r>
              <w:rPr>
                <w:spacing w:val="-4"/>
              </w:rPr>
              <w:t>1.29</w:t>
            </w:r>
          </w:p>
        </w:tc>
      </w:tr>
      <w:tr w:rsidR="004C558F" w14:paraId="1C34E7D7" w14:textId="77777777" w:rsidTr="00B4215D">
        <w:trPr>
          <w:cantSplit/>
          <w:trHeight w:val="328"/>
        </w:trPr>
        <w:tc>
          <w:tcPr>
            <w:tcW w:w="5774" w:type="dxa"/>
            <w:shd w:val="clear" w:color="auto" w:fill="EBF0F4"/>
          </w:tcPr>
          <w:p w14:paraId="1C34E7D4" w14:textId="77777777" w:rsidR="004C558F" w:rsidRDefault="00461887">
            <w:pPr>
              <w:pStyle w:val="TableParagraph"/>
              <w:spacing w:before="14"/>
              <w:ind w:left="115"/>
              <w:jc w:val="left"/>
            </w:pPr>
            <w:r>
              <w:t>Brigham</w:t>
            </w:r>
            <w:r>
              <w:rPr>
                <w:spacing w:val="-5"/>
              </w:rPr>
              <w:t xml:space="preserve"> </w:t>
            </w:r>
            <w:r>
              <w:t>and</w:t>
            </w:r>
            <w:r>
              <w:rPr>
                <w:spacing w:val="-5"/>
              </w:rPr>
              <w:t xml:space="preserve"> </w:t>
            </w:r>
            <w:r>
              <w:t>Women's</w:t>
            </w:r>
            <w:r>
              <w:rPr>
                <w:spacing w:val="-4"/>
              </w:rPr>
              <w:t xml:space="preserve"> </w:t>
            </w:r>
            <w:r>
              <w:rPr>
                <w:spacing w:val="-2"/>
              </w:rPr>
              <w:t>Hospital</w:t>
            </w:r>
          </w:p>
        </w:tc>
        <w:tc>
          <w:tcPr>
            <w:tcW w:w="1653" w:type="dxa"/>
            <w:shd w:val="clear" w:color="auto" w:fill="EBF0F4"/>
          </w:tcPr>
          <w:p w14:paraId="1C34E7D5" w14:textId="77777777" w:rsidR="004C558F" w:rsidRDefault="00461887">
            <w:pPr>
              <w:pStyle w:val="TableParagraph"/>
              <w:spacing w:before="14"/>
              <w:ind w:right="102"/>
            </w:pPr>
            <w:r>
              <w:rPr>
                <w:spacing w:val="-4"/>
              </w:rPr>
              <w:t>1.29</w:t>
            </w:r>
          </w:p>
        </w:tc>
        <w:tc>
          <w:tcPr>
            <w:tcW w:w="1651" w:type="dxa"/>
            <w:shd w:val="clear" w:color="auto" w:fill="EBF0F4"/>
          </w:tcPr>
          <w:p w14:paraId="1C34E7D6" w14:textId="77777777" w:rsidR="004C558F" w:rsidRDefault="00461887">
            <w:pPr>
              <w:pStyle w:val="TableParagraph"/>
              <w:spacing w:before="14"/>
              <w:ind w:right="99"/>
            </w:pPr>
            <w:r>
              <w:rPr>
                <w:spacing w:val="-4"/>
              </w:rPr>
              <w:t>1.31</w:t>
            </w:r>
          </w:p>
        </w:tc>
      </w:tr>
      <w:tr w:rsidR="004C558F" w14:paraId="1C34E7DB" w14:textId="77777777" w:rsidTr="00B4215D">
        <w:trPr>
          <w:cantSplit/>
          <w:trHeight w:val="315"/>
        </w:trPr>
        <w:tc>
          <w:tcPr>
            <w:tcW w:w="5774" w:type="dxa"/>
            <w:shd w:val="clear" w:color="auto" w:fill="EBF0F4"/>
          </w:tcPr>
          <w:p w14:paraId="1C34E7D8" w14:textId="77777777" w:rsidR="004C558F" w:rsidRDefault="00461887">
            <w:pPr>
              <w:pStyle w:val="TableParagraph"/>
              <w:spacing w:before="14"/>
              <w:ind w:left="115"/>
              <w:jc w:val="left"/>
            </w:pPr>
            <w:r>
              <w:t>Beth</w:t>
            </w:r>
            <w:r>
              <w:rPr>
                <w:spacing w:val="-4"/>
              </w:rPr>
              <w:t xml:space="preserve"> </w:t>
            </w:r>
            <w:r>
              <w:t>Israel</w:t>
            </w:r>
            <w:r>
              <w:rPr>
                <w:spacing w:val="-7"/>
              </w:rPr>
              <w:t xml:space="preserve"> </w:t>
            </w:r>
            <w:r>
              <w:t>Deaconess</w:t>
            </w:r>
            <w:r>
              <w:rPr>
                <w:spacing w:val="-6"/>
              </w:rPr>
              <w:t xml:space="preserve"> </w:t>
            </w:r>
            <w:r>
              <w:t>Medical</w:t>
            </w:r>
            <w:r>
              <w:rPr>
                <w:spacing w:val="-4"/>
              </w:rPr>
              <w:t xml:space="preserve"> </w:t>
            </w:r>
            <w:r>
              <w:rPr>
                <w:spacing w:val="-2"/>
              </w:rPr>
              <w:t>Center</w:t>
            </w:r>
          </w:p>
        </w:tc>
        <w:tc>
          <w:tcPr>
            <w:tcW w:w="1653" w:type="dxa"/>
            <w:shd w:val="clear" w:color="auto" w:fill="EBF0F4"/>
          </w:tcPr>
          <w:p w14:paraId="1C34E7D9" w14:textId="77777777" w:rsidR="004C558F" w:rsidRDefault="00461887">
            <w:pPr>
              <w:pStyle w:val="TableParagraph"/>
              <w:spacing w:before="14"/>
              <w:ind w:right="102"/>
            </w:pPr>
            <w:r>
              <w:rPr>
                <w:spacing w:val="-4"/>
              </w:rPr>
              <w:t>1.26</w:t>
            </w:r>
          </w:p>
        </w:tc>
        <w:tc>
          <w:tcPr>
            <w:tcW w:w="1651" w:type="dxa"/>
            <w:shd w:val="clear" w:color="auto" w:fill="EBF0F4"/>
          </w:tcPr>
          <w:p w14:paraId="1C34E7DA" w14:textId="77777777" w:rsidR="004C558F" w:rsidRDefault="00461887">
            <w:pPr>
              <w:pStyle w:val="TableParagraph"/>
              <w:spacing w:before="14"/>
              <w:ind w:right="99"/>
            </w:pPr>
            <w:r>
              <w:rPr>
                <w:spacing w:val="-4"/>
              </w:rPr>
              <w:t>1.11</w:t>
            </w:r>
          </w:p>
        </w:tc>
      </w:tr>
      <w:tr w:rsidR="004C558F" w14:paraId="1C34E7DF" w14:textId="77777777" w:rsidTr="00B4215D">
        <w:trPr>
          <w:cantSplit/>
          <w:trHeight w:val="318"/>
        </w:trPr>
        <w:tc>
          <w:tcPr>
            <w:tcW w:w="5774" w:type="dxa"/>
          </w:tcPr>
          <w:p w14:paraId="1C34E7DC" w14:textId="77777777" w:rsidR="004C558F" w:rsidRDefault="00461887">
            <w:pPr>
              <w:pStyle w:val="TableParagraph"/>
              <w:spacing w:before="4"/>
              <w:ind w:left="115"/>
              <w:jc w:val="left"/>
            </w:pPr>
            <w:r>
              <w:t>Salem</w:t>
            </w:r>
            <w:r>
              <w:rPr>
                <w:spacing w:val="-2"/>
              </w:rPr>
              <w:t xml:space="preserve"> Hospital</w:t>
            </w:r>
          </w:p>
        </w:tc>
        <w:tc>
          <w:tcPr>
            <w:tcW w:w="1653" w:type="dxa"/>
            <w:tcBorders>
              <w:top w:val="single" w:sz="12" w:space="0" w:color="EBF0F4"/>
            </w:tcBorders>
          </w:tcPr>
          <w:p w14:paraId="1C34E7DD" w14:textId="77777777" w:rsidR="004C558F" w:rsidRDefault="00461887">
            <w:pPr>
              <w:pStyle w:val="TableParagraph"/>
              <w:spacing w:before="4"/>
              <w:ind w:right="102"/>
            </w:pPr>
            <w:r>
              <w:rPr>
                <w:spacing w:val="-4"/>
              </w:rPr>
              <w:t>1.23</w:t>
            </w:r>
          </w:p>
        </w:tc>
        <w:tc>
          <w:tcPr>
            <w:tcW w:w="1651" w:type="dxa"/>
            <w:tcBorders>
              <w:top w:val="single" w:sz="12" w:space="0" w:color="EBF0F4"/>
            </w:tcBorders>
          </w:tcPr>
          <w:p w14:paraId="1C34E7DE" w14:textId="77777777" w:rsidR="004C558F" w:rsidRDefault="00461887">
            <w:pPr>
              <w:pStyle w:val="TableParagraph"/>
              <w:spacing w:before="4"/>
              <w:ind w:right="99"/>
            </w:pPr>
            <w:r>
              <w:rPr>
                <w:spacing w:val="-4"/>
              </w:rPr>
              <w:t>0.78</w:t>
            </w:r>
          </w:p>
        </w:tc>
      </w:tr>
      <w:tr w:rsidR="004C558F" w14:paraId="1C34E7E3" w14:textId="77777777" w:rsidTr="00B4215D">
        <w:trPr>
          <w:cantSplit/>
          <w:trHeight w:val="328"/>
        </w:trPr>
        <w:tc>
          <w:tcPr>
            <w:tcW w:w="5774" w:type="dxa"/>
          </w:tcPr>
          <w:p w14:paraId="1C34E7E0" w14:textId="77777777" w:rsidR="004C558F" w:rsidRDefault="00461887">
            <w:pPr>
              <w:pStyle w:val="TableParagraph"/>
              <w:spacing w:before="14"/>
              <w:ind w:left="115"/>
              <w:jc w:val="left"/>
            </w:pPr>
            <w:r>
              <w:t>Massachusetts</w:t>
            </w:r>
            <w:r>
              <w:rPr>
                <w:spacing w:val="-9"/>
              </w:rPr>
              <w:t xml:space="preserve"> </w:t>
            </w:r>
            <w:r>
              <w:t>General</w:t>
            </w:r>
            <w:r>
              <w:rPr>
                <w:spacing w:val="-8"/>
              </w:rPr>
              <w:t xml:space="preserve"> </w:t>
            </w:r>
            <w:r>
              <w:rPr>
                <w:spacing w:val="-2"/>
              </w:rPr>
              <w:t>Hospital</w:t>
            </w:r>
          </w:p>
        </w:tc>
        <w:tc>
          <w:tcPr>
            <w:tcW w:w="1653" w:type="dxa"/>
          </w:tcPr>
          <w:p w14:paraId="1C34E7E1" w14:textId="77777777" w:rsidR="004C558F" w:rsidRDefault="00461887">
            <w:pPr>
              <w:pStyle w:val="TableParagraph"/>
              <w:spacing w:before="14"/>
              <w:ind w:right="102"/>
            </w:pPr>
            <w:r>
              <w:rPr>
                <w:spacing w:val="-4"/>
              </w:rPr>
              <w:t>1.15</w:t>
            </w:r>
          </w:p>
        </w:tc>
        <w:tc>
          <w:tcPr>
            <w:tcW w:w="1651" w:type="dxa"/>
          </w:tcPr>
          <w:p w14:paraId="1C34E7E2" w14:textId="77777777" w:rsidR="004C558F" w:rsidRDefault="00461887">
            <w:pPr>
              <w:pStyle w:val="TableParagraph"/>
              <w:spacing w:before="14"/>
              <w:ind w:right="99"/>
            </w:pPr>
            <w:r>
              <w:rPr>
                <w:spacing w:val="-4"/>
              </w:rPr>
              <w:t>1.31</w:t>
            </w:r>
          </w:p>
        </w:tc>
      </w:tr>
      <w:tr w:rsidR="004C558F" w14:paraId="1C34E7E7" w14:textId="77777777" w:rsidTr="00B4215D">
        <w:trPr>
          <w:cantSplit/>
          <w:trHeight w:val="328"/>
        </w:trPr>
        <w:tc>
          <w:tcPr>
            <w:tcW w:w="5774" w:type="dxa"/>
          </w:tcPr>
          <w:p w14:paraId="1C34E7E4" w14:textId="77777777" w:rsidR="004C558F" w:rsidRDefault="00461887">
            <w:pPr>
              <w:pStyle w:val="TableParagraph"/>
              <w:spacing w:before="14"/>
              <w:ind w:left="115"/>
              <w:jc w:val="left"/>
            </w:pPr>
            <w:r>
              <w:t>St.</w:t>
            </w:r>
            <w:r>
              <w:rPr>
                <w:spacing w:val="-5"/>
              </w:rPr>
              <w:t xml:space="preserve"> </w:t>
            </w:r>
            <w:r>
              <w:t>Elizabeth's</w:t>
            </w:r>
            <w:r>
              <w:rPr>
                <w:spacing w:val="-5"/>
              </w:rPr>
              <w:t xml:space="preserve"> </w:t>
            </w:r>
            <w:r>
              <w:t>Medical</w:t>
            </w:r>
            <w:r>
              <w:rPr>
                <w:spacing w:val="-5"/>
              </w:rPr>
              <w:t xml:space="preserve"> </w:t>
            </w:r>
            <w:r>
              <w:rPr>
                <w:spacing w:val="-2"/>
              </w:rPr>
              <w:t>Center</w:t>
            </w:r>
          </w:p>
        </w:tc>
        <w:tc>
          <w:tcPr>
            <w:tcW w:w="1653" w:type="dxa"/>
          </w:tcPr>
          <w:p w14:paraId="1C34E7E5" w14:textId="77777777" w:rsidR="004C558F" w:rsidRDefault="00461887">
            <w:pPr>
              <w:pStyle w:val="TableParagraph"/>
              <w:spacing w:before="14"/>
              <w:ind w:right="102"/>
            </w:pPr>
            <w:r>
              <w:rPr>
                <w:spacing w:val="-4"/>
              </w:rPr>
              <w:t>1.13</w:t>
            </w:r>
          </w:p>
        </w:tc>
        <w:tc>
          <w:tcPr>
            <w:tcW w:w="1651" w:type="dxa"/>
          </w:tcPr>
          <w:p w14:paraId="1C34E7E6" w14:textId="77777777" w:rsidR="004C558F" w:rsidRDefault="00461887">
            <w:pPr>
              <w:pStyle w:val="TableParagraph"/>
              <w:spacing w:before="14"/>
              <w:ind w:right="99"/>
            </w:pPr>
            <w:r>
              <w:rPr>
                <w:spacing w:val="-4"/>
              </w:rPr>
              <w:t>1.16</w:t>
            </w:r>
          </w:p>
        </w:tc>
      </w:tr>
      <w:tr w:rsidR="004C558F" w14:paraId="1C34E7EB" w14:textId="77777777" w:rsidTr="00B4215D">
        <w:trPr>
          <w:cantSplit/>
          <w:trHeight w:val="328"/>
        </w:trPr>
        <w:tc>
          <w:tcPr>
            <w:tcW w:w="5774" w:type="dxa"/>
          </w:tcPr>
          <w:p w14:paraId="1C34E7E8" w14:textId="77777777" w:rsidR="004C558F" w:rsidRDefault="00461887">
            <w:pPr>
              <w:pStyle w:val="TableParagraph"/>
              <w:spacing w:before="14"/>
              <w:ind w:left="115"/>
              <w:jc w:val="left"/>
            </w:pPr>
            <w:r>
              <w:t>Baystate</w:t>
            </w:r>
            <w:r>
              <w:rPr>
                <w:spacing w:val="-6"/>
              </w:rPr>
              <w:t xml:space="preserve"> </w:t>
            </w:r>
            <w:r>
              <w:t>Medical</w:t>
            </w:r>
            <w:r>
              <w:rPr>
                <w:spacing w:val="-5"/>
              </w:rPr>
              <w:t xml:space="preserve"> </w:t>
            </w:r>
            <w:r>
              <w:rPr>
                <w:spacing w:val="-2"/>
              </w:rPr>
              <w:t>Center</w:t>
            </w:r>
          </w:p>
        </w:tc>
        <w:tc>
          <w:tcPr>
            <w:tcW w:w="1653" w:type="dxa"/>
          </w:tcPr>
          <w:p w14:paraId="1C34E7E9" w14:textId="77777777" w:rsidR="004C558F" w:rsidRDefault="00461887">
            <w:pPr>
              <w:pStyle w:val="TableParagraph"/>
              <w:spacing w:before="14"/>
              <w:ind w:right="102"/>
            </w:pPr>
            <w:r>
              <w:rPr>
                <w:spacing w:val="-4"/>
              </w:rPr>
              <w:t>1.12</w:t>
            </w:r>
          </w:p>
        </w:tc>
        <w:tc>
          <w:tcPr>
            <w:tcW w:w="1651" w:type="dxa"/>
          </w:tcPr>
          <w:p w14:paraId="1C34E7EA" w14:textId="77777777" w:rsidR="004C558F" w:rsidRDefault="00461887">
            <w:pPr>
              <w:pStyle w:val="TableParagraph"/>
              <w:spacing w:before="14"/>
              <w:ind w:right="99"/>
            </w:pPr>
            <w:r>
              <w:rPr>
                <w:spacing w:val="-4"/>
              </w:rPr>
              <w:t>0.90</w:t>
            </w:r>
          </w:p>
        </w:tc>
      </w:tr>
      <w:tr w:rsidR="004C558F" w14:paraId="1C34E7EF" w14:textId="77777777" w:rsidTr="00B4215D">
        <w:trPr>
          <w:cantSplit/>
          <w:trHeight w:val="328"/>
        </w:trPr>
        <w:tc>
          <w:tcPr>
            <w:tcW w:w="5774" w:type="dxa"/>
            <w:shd w:val="clear" w:color="auto" w:fill="EBF0F4"/>
          </w:tcPr>
          <w:p w14:paraId="1C34E7EC" w14:textId="77777777" w:rsidR="004C558F" w:rsidRDefault="00461887">
            <w:pPr>
              <w:pStyle w:val="TableParagraph"/>
              <w:spacing w:before="14"/>
              <w:ind w:left="115"/>
              <w:jc w:val="left"/>
            </w:pPr>
            <w:r>
              <w:t>Dana-Farber</w:t>
            </w:r>
            <w:r>
              <w:rPr>
                <w:spacing w:val="-6"/>
              </w:rPr>
              <w:t xml:space="preserve"> </w:t>
            </w:r>
            <w:r>
              <w:t>Cancer</w:t>
            </w:r>
            <w:r>
              <w:rPr>
                <w:spacing w:val="-5"/>
              </w:rPr>
              <w:t xml:space="preserve"> </w:t>
            </w:r>
            <w:r>
              <w:rPr>
                <w:spacing w:val="-2"/>
              </w:rPr>
              <w:t>Institute</w:t>
            </w:r>
          </w:p>
        </w:tc>
        <w:tc>
          <w:tcPr>
            <w:tcW w:w="1653" w:type="dxa"/>
            <w:shd w:val="clear" w:color="auto" w:fill="EBF0F4"/>
          </w:tcPr>
          <w:p w14:paraId="1C34E7ED" w14:textId="77777777" w:rsidR="004C558F" w:rsidRDefault="00461887">
            <w:pPr>
              <w:pStyle w:val="TableParagraph"/>
              <w:spacing w:before="14"/>
              <w:ind w:right="102"/>
            </w:pPr>
            <w:r>
              <w:rPr>
                <w:spacing w:val="-4"/>
              </w:rPr>
              <w:t>1.01</w:t>
            </w:r>
          </w:p>
        </w:tc>
        <w:tc>
          <w:tcPr>
            <w:tcW w:w="1651" w:type="dxa"/>
            <w:shd w:val="clear" w:color="auto" w:fill="EBF0F4"/>
          </w:tcPr>
          <w:p w14:paraId="1C34E7EE" w14:textId="77777777" w:rsidR="004C558F" w:rsidRDefault="00461887">
            <w:pPr>
              <w:pStyle w:val="TableParagraph"/>
              <w:spacing w:before="14"/>
              <w:ind w:right="99"/>
            </w:pPr>
            <w:r>
              <w:rPr>
                <w:spacing w:val="-4"/>
              </w:rPr>
              <w:t>1.35</w:t>
            </w:r>
          </w:p>
        </w:tc>
      </w:tr>
      <w:tr w:rsidR="004C558F" w14:paraId="1C34E7F3" w14:textId="77777777" w:rsidTr="00B4215D">
        <w:trPr>
          <w:cantSplit/>
          <w:trHeight w:val="326"/>
        </w:trPr>
        <w:tc>
          <w:tcPr>
            <w:tcW w:w="5774" w:type="dxa"/>
          </w:tcPr>
          <w:p w14:paraId="1C34E7F0" w14:textId="77777777" w:rsidR="004C558F" w:rsidRDefault="00461887">
            <w:pPr>
              <w:pStyle w:val="TableParagraph"/>
              <w:spacing w:before="14"/>
              <w:ind w:left="115"/>
              <w:jc w:val="left"/>
            </w:pPr>
            <w:r>
              <w:t>South</w:t>
            </w:r>
            <w:r>
              <w:rPr>
                <w:spacing w:val="-3"/>
              </w:rPr>
              <w:t xml:space="preserve"> </w:t>
            </w:r>
            <w:r>
              <w:t>Shore</w:t>
            </w:r>
            <w:r>
              <w:rPr>
                <w:spacing w:val="-3"/>
              </w:rPr>
              <w:t xml:space="preserve"> </w:t>
            </w:r>
            <w:r>
              <w:rPr>
                <w:spacing w:val="-2"/>
              </w:rPr>
              <w:t>Hospital</w:t>
            </w:r>
          </w:p>
        </w:tc>
        <w:tc>
          <w:tcPr>
            <w:tcW w:w="1653" w:type="dxa"/>
          </w:tcPr>
          <w:p w14:paraId="1C34E7F1" w14:textId="77777777" w:rsidR="004C558F" w:rsidRDefault="00461887">
            <w:pPr>
              <w:pStyle w:val="TableParagraph"/>
              <w:spacing w:before="14"/>
              <w:ind w:right="102"/>
            </w:pPr>
            <w:r>
              <w:rPr>
                <w:spacing w:val="-4"/>
              </w:rPr>
              <w:t>0.98</w:t>
            </w:r>
          </w:p>
        </w:tc>
        <w:tc>
          <w:tcPr>
            <w:tcW w:w="1651" w:type="dxa"/>
          </w:tcPr>
          <w:p w14:paraId="1C34E7F2" w14:textId="77777777" w:rsidR="004C558F" w:rsidRDefault="00461887">
            <w:pPr>
              <w:pStyle w:val="TableParagraph"/>
              <w:spacing w:before="14"/>
              <w:ind w:right="99"/>
            </w:pPr>
            <w:r>
              <w:rPr>
                <w:spacing w:val="-4"/>
              </w:rPr>
              <w:t>0.93</w:t>
            </w:r>
          </w:p>
        </w:tc>
      </w:tr>
      <w:tr w:rsidR="004C558F" w14:paraId="1C34E7F7" w14:textId="77777777" w:rsidTr="00B4215D">
        <w:trPr>
          <w:cantSplit/>
          <w:trHeight w:val="328"/>
        </w:trPr>
        <w:tc>
          <w:tcPr>
            <w:tcW w:w="5774" w:type="dxa"/>
          </w:tcPr>
          <w:p w14:paraId="1C34E7F4" w14:textId="77777777" w:rsidR="004C558F" w:rsidRDefault="00461887">
            <w:pPr>
              <w:pStyle w:val="TableParagraph"/>
              <w:spacing w:before="14"/>
              <w:ind w:left="115"/>
              <w:jc w:val="left"/>
            </w:pPr>
            <w:r>
              <w:t>Newton-Wellesley</w:t>
            </w:r>
            <w:r>
              <w:rPr>
                <w:spacing w:val="-11"/>
              </w:rPr>
              <w:t xml:space="preserve"> </w:t>
            </w:r>
            <w:r>
              <w:rPr>
                <w:spacing w:val="-2"/>
              </w:rPr>
              <w:t>Hospital</w:t>
            </w:r>
          </w:p>
        </w:tc>
        <w:tc>
          <w:tcPr>
            <w:tcW w:w="1653" w:type="dxa"/>
          </w:tcPr>
          <w:p w14:paraId="1C34E7F5" w14:textId="77777777" w:rsidR="004C558F" w:rsidRDefault="00461887">
            <w:pPr>
              <w:pStyle w:val="TableParagraph"/>
              <w:spacing w:before="14"/>
              <w:ind w:right="102"/>
            </w:pPr>
            <w:r>
              <w:rPr>
                <w:spacing w:val="-4"/>
              </w:rPr>
              <w:t>0.94</w:t>
            </w:r>
          </w:p>
        </w:tc>
        <w:tc>
          <w:tcPr>
            <w:tcW w:w="1651" w:type="dxa"/>
          </w:tcPr>
          <w:p w14:paraId="1C34E7F6" w14:textId="77777777" w:rsidR="004C558F" w:rsidRDefault="00461887">
            <w:pPr>
              <w:pStyle w:val="TableParagraph"/>
              <w:spacing w:before="14"/>
              <w:ind w:right="99"/>
            </w:pPr>
            <w:r>
              <w:rPr>
                <w:spacing w:val="-4"/>
              </w:rPr>
              <w:t>0.97</w:t>
            </w:r>
          </w:p>
        </w:tc>
      </w:tr>
      <w:tr w:rsidR="004C558F" w14:paraId="1C34E7FB" w14:textId="77777777" w:rsidTr="00B4215D">
        <w:trPr>
          <w:cantSplit/>
          <w:trHeight w:val="328"/>
        </w:trPr>
        <w:tc>
          <w:tcPr>
            <w:tcW w:w="5774" w:type="dxa"/>
          </w:tcPr>
          <w:p w14:paraId="1C34E7F8" w14:textId="77777777" w:rsidR="004C558F" w:rsidRDefault="00461887">
            <w:pPr>
              <w:pStyle w:val="TableParagraph"/>
              <w:spacing w:before="14"/>
              <w:ind w:left="115"/>
              <w:jc w:val="left"/>
            </w:pPr>
            <w:r>
              <w:t>Cape</w:t>
            </w:r>
            <w:r>
              <w:rPr>
                <w:spacing w:val="-5"/>
              </w:rPr>
              <w:t xml:space="preserve"> </w:t>
            </w:r>
            <w:r>
              <w:t>Cod</w:t>
            </w:r>
            <w:r>
              <w:rPr>
                <w:spacing w:val="-1"/>
              </w:rPr>
              <w:t xml:space="preserve"> </w:t>
            </w:r>
            <w:r>
              <w:rPr>
                <w:spacing w:val="-2"/>
              </w:rPr>
              <w:t>Hospital</w:t>
            </w:r>
          </w:p>
        </w:tc>
        <w:tc>
          <w:tcPr>
            <w:tcW w:w="1653" w:type="dxa"/>
          </w:tcPr>
          <w:p w14:paraId="1C34E7F9" w14:textId="77777777" w:rsidR="004C558F" w:rsidRDefault="00461887">
            <w:pPr>
              <w:pStyle w:val="TableParagraph"/>
              <w:spacing w:before="14"/>
              <w:ind w:right="102"/>
            </w:pPr>
            <w:r>
              <w:rPr>
                <w:spacing w:val="-4"/>
              </w:rPr>
              <w:t>0.88</w:t>
            </w:r>
          </w:p>
        </w:tc>
        <w:tc>
          <w:tcPr>
            <w:tcW w:w="1651" w:type="dxa"/>
          </w:tcPr>
          <w:p w14:paraId="1C34E7FA" w14:textId="77777777" w:rsidR="004C558F" w:rsidRDefault="00461887">
            <w:pPr>
              <w:pStyle w:val="TableParagraph"/>
              <w:spacing w:before="14"/>
              <w:ind w:right="99"/>
            </w:pPr>
            <w:r>
              <w:rPr>
                <w:spacing w:val="-4"/>
              </w:rPr>
              <w:t>0.91</w:t>
            </w:r>
          </w:p>
        </w:tc>
      </w:tr>
      <w:tr w:rsidR="004C558F" w14:paraId="1C34E7FF" w14:textId="77777777" w:rsidTr="00B4215D">
        <w:trPr>
          <w:cantSplit/>
          <w:trHeight w:val="328"/>
        </w:trPr>
        <w:tc>
          <w:tcPr>
            <w:tcW w:w="5774" w:type="dxa"/>
          </w:tcPr>
          <w:p w14:paraId="1C34E7FC" w14:textId="77777777" w:rsidR="004C558F" w:rsidRDefault="00461887">
            <w:pPr>
              <w:pStyle w:val="TableParagraph"/>
              <w:spacing w:before="14"/>
              <w:ind w:left="115"/>
              <w:jc w:val="left"/>
            </w:pPr>
            <w:r>
              <w:t>Milford</w:t>
            </w:r>
            <w:r>
              <w:rPr>
                <w:spacing w:val="-4"/>
              </w:rPr>
              <w:t xml:space="preserve"> </w:t>
            </w:r>
            <w:r>
              <w:t>Regional</w:t>
            </w:r>
            <w:r>
              <w:rPr>
                <w:spacing w:val="-8"/>
              </w:rPr>
              <w:t xml:space="preserve"> </w:t>
            </w:r>
            <w:r>
              <w:t>Medical</w:t>
            </w:r>
            <w:r>
              <w:rPr>
                <w:spacing w:val="-7"/>
              </w:rPr>
              <w:t xml:space="preserve"> </w:t>
            </w:r>
            <w:r>
              <w:rPr>
                <w:spacing w:val="-2"/>
              </w:rPr>
              <w:t>Center</w:t>
            </w:r>
          </w:p>
        </w:tc>
        <w:tc>
          <w:tcPr>
            <w:tcW w:w="1653" w:type="dxa"/>
          </w:tcPr>
          <w:p w14:paraId="1C34E7FD" w14:textId="77777777" w:rsidR="004C558F" w:rsidRDefault="00461887">
            <w:pPr>
              <w:pStyle w:val="TableParagraph"/>
              <w:spacing w:before="14"/>
              <w:ind w:right="102"/>
            </w:pPr>
            <w:r>
              <w:rPr>
                <w:spacing w:val="-4"/>
              </w:rPr>
              <w:t>0.87</w:t>
            </w:r>
          </w:p>
        </w:tc>
        <w:tc>
          <w:tcPr>
            <w:tcW w:w="1651" w:type="dxa"/>
          </w:tcPr>
          <w:p w14:paraId="1C34E7FE" w14:textId="77777777" w:rsidR="004C558F" w:rsidRDefault="00461887">
            <w:pPr>
              <w:pStyle w:val="TableParagraph"/>
              <w:spacing w:before="14"/>
              <w:ind w:right="99"/>
            </w:pPr>
            <w:r>
              <w:rPr>
                <w:spacing w:val="-4"/>
              </w:rPr>
              <w:t>0.90</w:t>
            </w:r>
          </w:p>
        </w:tc>
      </w:tr>
    </w:tbl>
    <w:p w14:paraId="1C34E800" w14:textId="77777777" w:rsidR="004C558F" w:rsidRDefault="00461887">
      <w:pPr>
        <w:spacing w:before="8"/>
        <w:ind w:left="960"/>
        <w:rPr>
          <w:sz w:val="20"/>
        </w:rPr>
      </w:pPr>
      <w:r>
        <w:rPr>
          <w:sz w:val="20"/>
        </w:rPr>
        <w:t>Source:</w:t>
      </w:r>
      <w:r>
        <w:rPr>
          <w:spacing w:val="-5"/>
          <w:sz w:val="20"/>
        </w:rPr>
        <w:t xml:space="preserve"> </w:t>
      </w:r>
      <w:r>
        <w:rPr>
          <w:sz w:val="20"/>
        </w:rPr>
        <w:t>HPC</w:t>
      </w:r>
      <w:r>
        <w:rPr>
          <w:spacing w:val="-5"/>
          <w:sz w:val="20"/>
        </w:rPr>
        <w:t xml:space="preserve"> </w:t>
      </w:r>
      <w:r>
        <w:rPr>
          <w:sz w:val="20"/>
        </w:rPr>
        <w:t>analysis</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2022</w:t>
      </w:r>
      <w:r>
        <w:rPr>
          <w:spacing w:val="-5"/>
          <w:sz w:val="20"/>
        </w:rPr>
        <w:t xml:space="preserve"> </w:t>
      </w:r>
      <w:r>
        <w:rPr>
          <w:sz w:val="20"/>
        </w:rPr>
        <w:t>CHIA</w:t>
      </w:r>
      <w:r>
        <w:rPr>
          <w:spacing w:val="-6"/>
          <w:sz w:val="20"/>
        </w:rPr>
        <w:t xml:space="preserve"> </w:t>
      </w:r>
      <w:r>
        <w:rPr>
          <w:sz w:val="20"/>
        </w:rPr>
        <w:t>all-payer</w:t>
      </w:r>
      <w:r>
        <w:rPr>
          <w:spacing w:val="-6"/>
          <w:sz w:val="20"/>
        </w:rPr>
        <w:t xml:space="preserve"> </w:t>
      </w:r>
      <w:r>
        <w:rPr>
          <w:sz w:val="20"/>
        </w:rPr>
        <w:t>claims</w:t>
      </w:r>
      <w:r>
        <w:rPr>
          <w:spacing w:val="-5"/>
          <w:sz w:val="20"/>
        </w:rPr>
        <w:t xml:space="preserve"> </w:t>
      </w:r>
      <w:r>
        <w:rPr>
          <w:spacing w:val="-2"/>
          <w:sz w:val="20"/>
        </w:rPr>
        <w:t>database</w:t>
      </w:r>
    </w:p>
    <w:p w14:paraId="1C34E801" w14:textId="77777777" w:rsidR="004C558F" w:rsidRDefault="00461887">
      <w:pPr>
        <w:spacing w:before="35" w:line="276" w:lineRule="auto"/>
        <w:ind w:left="959" w:right="799"/>
        <w:rPr>
          <w:sz w:val="20"/>
        </w:rPr>
      </w:pPr>
      <w:r>
        <w:rPr>
          <w:sz w:val="20"/>
        </w:rPr>
        <w:t>Notes: Although DFCI does not generally provide surgical oncology services, 14 of its discharges were classified</w:t>
      </w:r>
      <w:r>
        <w:rPr>
          <w:spacing w:val="-2"/>
          <w:sz w:val="20"/>
        </w:rPr>
        <w:t xml:space="preserve"> </w:t>
      </w:r>
      <w:r>
        <w:rPr>
          <w:sz w:val="20"/>
        </w:rPr>
        <w:t>as</w:t>
      </w:r>
      <w:r>
        <w:rPr>
          <w:spacing w:val="-2"/>
          <w:sz w:val="20"/>
        </w:rPr>
        <w:t xml:space="preserve"> </w:t>
      </w:r>
      <w:r>
        <w:rPr>
          <w:sz w:val="20"/>
        </w:rPr>
        <w:t>surgical</w:t>
      </w:r>
      <w:r>
        <w:rPr>
          <w:spacing w:val="-3"/>
          <w:sz w:val="20"/>
        </w:rPr>
        <w:t xml:space="preserve"> </w:t>
      </w:r>
      <w:r>
        <w:rPr>
          <w:sz w:val="20"/>
        </w:rPr>
        <w:t>in</w:t>
      </w:r>
      <w:r>
        <w:rPr>
          <w:spacing w:val="-3"/>
          <w:sz w:val="20"/>
        </w:rPr>
        <w:t xml:space="preserve"> </w:t>
      </w:r>
      <w:r>
        <w:rPr>
          <w:sz w:val="20"/>
        </w:rPr>
        <w:t>our</w:t>
      </w:r>
      <w:r>
        <w:rPr>
          <w:spacing w:val="-4"/>
          <w:sz w:val="20"/>
        </w:rPr>
        <w:t xml:space="preserve"> </w:t>
      </w:r>
      <w:r>
        <w:rPr>
          <w:sz w:val="20"/>
        </w:rPr>
        <w:t>analysis</w:t>
      </w:r>
      <w:r>
        <w:rPr>
          <w:spacing w:val="-2"/>
          <w:sz w:val="20"/>
        </w:rPr>
        <w:t xml:space="preserve"> </w:t>
      </w:r>
      <w:r>
        <w:rPr>
          <w:sz w:val="20"/>
        </w:rPr>
        <w:t>because</w:t>
      </w:r>
      <w:r>
        <w:rPr>
          <w:spacing w:val="-4"/>
          <w:sz w:val="20"/>
        </w:rPr>
        <w:t xml:space="preserve"> </w:t>
      </w:r>
      <w:r>
        <w:rPr>
          <w:sz w:val="20"/>
        </w:rPr>
        <w:t>the</w:t>
      </w:r>
      <w:r>
        <w:rPr>
          <w:spacing w:val="-4"/>
          <w:sz w:val="20"/>
        </w:rPr>
        <w:t xml:space="preserve"> </w:t>
      </w:r>
      <w:r>
        <w:rPr>
          <w:sz w:val="20"/>
        </w:rPr>
        <w:t>MS-DRG grouper</w:t>
      </w:r>
      <w:r>
        <w:rPr>
          <w:spacing w:val="-4"/>
          <w:sz w:val="20"/>
        </w:rPr>
        <w:t xml:space="preserve"> </w:t>
      </w:r>
      <w:r>
        <w:rPr>
          <w:sz w:val="20"/>
        </w:rPr>
        <w:t>used</w:t>
      </w:r>
      <w:r>
        <w:rPr>
          <w:spacing w:val="-2"/>
          <w:sz w:val="20"/>
        </w:rPr>
        <w:t xml:space="preserve"> </w:t>
      </w:r>
      <w:r>
        <w:rPr>
          <w:sz w:val="20"/>
        </w:rPr>
        <w:t>in</w:t>
      </w:r>
      <w:r>
        <w:rPr>
          <w:spacing w:val="-3"/>
          <w:sz w:val="20"/>
        </w:rPr>
        <w:t xml:space="preserve"> </w:t>
      </w:r>
      <w:r>
        <w:rPr>
          <w:sz w:val="20"/>
        </w:rPr>
        <w:t>the</w:t>
      </w:r>
      <w:r>
        <w:rPr>
          <w:spacing w:val="-4"/>
          <w:sz w:val="20"/>
        </w:rPr>
        <w:t xml:space="preserve"> </w:t>
      </w:r>
      <w:r>
        <w:rPr>
          <w:sz w:val="20"/>
        </w:rPr>
        <w:t>all-payer</w:t>
      </w:r>
      <w:r>
        <w:rPr>
          <w:spacing w:val="-4"/>
          <w:sz w:val="20"/>
        </w:rPr>
        <w:t xml:space="preserve"> </w:t>
      </w:r>
      <w:r>
        <w:rPr>
          <w:sz w:val="20"/>
        </w:rPr>
        <w:t>claims</w:t>
      </w:r>
      <w:r>
        <w:rPr>
          <w:spacing w:val="-2"/>
          <w:sz w:val="20"/>
        </w:rPr>
        <w:t xml:space="preserve"> </w:t>
      </w:r>
      <w:r>
        <w:rPr>
          <w:sz w:val="20"/>
        </w:rPr>
        <w:t>database assigned the discharges a surgical DRG.</w:t>
      </w:r>
    </w:p>
    <w:p w14:paraId="1C34E802" w14:textId="77777777" w:rsidR="004C558F" w:rsidRDefault="004C558F">
      <w:pPr>
        <w:pStyle w:val="BodyText"/>
        <w:rPr>
          <w:sz w:val="20"/>
        </w:rPr>
      </w:pPr>
    </w:p>
    <w:p w14:paraId="1C34E803" w14:textId="77777777" w:rsidR="004C558F" w:rsidRDefault="004C558F">
      <w:pPr>
        <w:pStyle w:val="BodyText"/>
        <w:rPr>
          <w:sz w:val="20"/>
        </w:rPr>
      </w:pPr>
    </w:p>
    <w:p w14:paraId="1C34E804" w14:textId="5D81EAFD" w:rsidR="004C558F" w:rsidRDefault="004C558F">
      <w:pPr>
        <w:pStyle w:val="BodyText"/>
        <w:spacing w:before="107"/>
        <w:rPr>
          <w:sz w:val="20"/>
        </w:rPr>
      </w:pPr>
    </w:p>
    <w:p w14:paraId="1C34E806" w14:textId="77777777" w:rsidR="004C558F" w:rsidRDefault="004C558F">
      <w:pPr>
        <w:rPr>
          <w:sz w:val="20"/>
        </w:rPr>
        <w:sectPr w:rsidR="004C558F">
          <w:pgSz w:w="12240" w:h="15840"/>
          <w:pgMar w:top="1360" w:right="740" w:bottom="720" w:left="480" w:header="0" w:footer="521" w:gutter="0"/>
          <w:cols w:space="720"/>
        </w:sectPr>
      </w:pPr>
    </w:p>
    <w:p w14:paraId="1C34E807" w14:textId="77777777" w:rsidR="004C558F" w:rsidRDefault="00461887">
      <w:pPr>
        <w:pStyle w:val="ListParagraph"/>
        <w:numPr>
          <w:ilvl w:val="3"/>
          <w:numId w:val="16"/>
        </w:numPr>
        <w:tabs>
          <w:tab w:val="left" w:pos="959"/>
        </w:tabs>
        <w:spacing w:before="80"/>
        <w:ind w:left="959" w:hanging="359"/>
      </w:pPr>
      <w:bookmarkStart w:id="106" w:name="b._Inpatient_Medicare_Fee-For-Service_Pr"/>
      <w:bookmarkEnd w:id="106"/>
      <w:r>
        <w:rPr>
          <w:color w:val="063656"/>
        </w:rPr>
        <w:lastRenderedPageBreak/>
        <w:t>Inpatient</w:t>
      </w:r>
      <w:r>
        <w:rPr>
          <w:color w:val="063656"/>
          <w:spacing w:val="-8"/>
        </w:rPr>
        <w:t xml:space="preserve"> </w:t>
      </w:r>
      <w:r>
        <w:rPr>
          <w:color w:val="063656"/>
        </w:rPr>
        <w:t>Medicare</w:t>
      </w:r>
      <w:r>
        <w:rPr>
          <w:color w:val="063656"/>
          <w:spacing w:val="-6"/>
        </w:rPr>
        <w:t xml:space="preserve"> </w:t>
      </w:r>
      <w:r>
        <w:rPr>
          <w:color w:val="063656"/>
        </w:rPr>
        <w:t>Fee-For-Service</w:t>
      </w:r>
      <w:r>
        <w:rPr>
          <w:color w:val="063656"/>
          <w:spacing w:val="-6"/>
        </w:rPr>
        <w:t xml:space="preserve"> </w:t>
      </w:r>
      <w:r>
        <w:rPr>
          <w:color w:val="063656"/>
          <w:spacing w:val="-2"/>
        </w:rPr>
        <w:t>Prices</w:t>
      </w:r>
    </w:p>
    <w:p w14:paraId="1C34E808" w14:textId="01400400" w:rsidR="004C558F" w:rsidRDefault="00461887">
      <w:pPr>
        <w:pStyle w:val="BodyText"/>
        <w:spacing w:before="41" w:line="276" w:lineRule="auto"/>
        <w:ind w:left="959" w:right="997" w:firstLine="720"/>
        <w:rPr>
          <w:sz w:val="14"/>
        </w:rPr>
      </w:pPr>
      <w:r>
        <w:t>In the commercially insured market, prices for health care services are established through private negotiations between payers and providers, resulting in substantial provider price variation. Medicare prices by contrast are administratively set by CMS. Most acute care hospitals are</w:t>
      </w:r>
      <w:r>
        <w:rPr>
          <w:spacing w:val="-2"/>
        </w:rPr>
        <w:t xml:space="preserve"> </w:t>
      </w:r>
      <w:proofErr w:type="gramStart"/>
      <w:r>
        <w:t>paid</w:t>
      </w:r>
      <w:proofErr w:type="gramEnd"/>
      <w:r>
        <w:rPr>
          <w:spacing w:val="-1"/>
        </w:rPr>
        <w:t xml:space="preserve"> </w:t>
      </w:r>
      <w:r>
        <w:t>by</w:t>
      </w:r>
      <w:r>
        <w:rPr>
          <w:spacing w:val="-3"/>
        </w:rPr>
        <w:t xml:space="preserve"> </w:t>
      </w:r>
      <w:r>
        <w:t>Medicare</w:t>
      </w:r>
      <w:r>
        <w:rPr>
          <w:spacing w:val="-2"/>
        </w:rPr>
        <w:t xml:space="preserve"> </w:t>
      </w:r>
      <w:r>
        <w:t>based</w:t>
      </w:r>
      <w:r>
        <w:rPr>
          <w:spacing w:val="-1"/>
        </w:rPr>
        <w:t xml:space="preserve"> </w:t>
      </w:r>
      <w:r>
        <w:t>on</w:t>
      </w:r>
      <w:r>
        <w:rPr>
          <w:spacing w:val="-2"/>
        </w:rPr>
        <w:t xml:space="preserve"> </w:t>
      </w:r>
      <w:r>
        <w:t>its</w:t>
      </w:r>
      <w:r>
        <w:rPr>
          <w:spacing w:val="-2"/>
        </w:rPr>
        <w:t xml:space="preserve"> </w:t>
      </w:r>
      <w:r>
        <w:t>prospective</w:t>
      </w:r>
      <w:r>
        <w:rPr>
          <w:spacing w:val="-2"/>
        </w:rPr>
        <w:t xml:space="preserve"> </w:t>
      </w:r>
      <w:r>
        <w:t>payment</w:t>
      </w:r>
      <w:r>
        <w:rPr>
          <w:spacing w:val="-3"/>
        </w:rPr>
        <w:t xml:space="preserve"> </w:t>
      </w:r>
      <w:r>
        <w:t>system</w:t>
      </w:r>
      <w:r>
        <w:rPr>
          <w:spacing w:val="-2"/>
        </w:rPr>
        <w:t xml:space="preserve"> </w:t>
      </w:r>
      <w:r>
        <w:t>(PPS).</w:t>
      </w:r>
      <w:r>
        <w:rPr>
          <w:spacing w:val="-2"/>
        </w:rPr>
        <w:t xml:space="preserve"> </w:t>
      </w:r>
      <w:r>
        <w:t>Under</w:t>
      </w:r>
      <w:r>
        <w:rPr>
          <w:spacing w:val="-3"/>
        </w:rPr>
        <w:t xml:space="preserve"> </w:t>
      </w:r>
      <w:r>
        <w:t>the</w:t>
      </w:r>
      <w:r>
        <w:rPr>
          <w:spacing w:val="-2"/>
        </w:rPr>
        <w:t xml:space="preserve"> </w:t>
      </w:r>
      <w:r>
        <w:t>inpatient</w:t>
      </w:r>
      <w:r>
        <w:rPr>
          <w:spacing w:val="-3"/>
        </w:rPr>
        <w:t xml:space="preserve"> </w:t>
      </w:r>
      <w:r>
        <w:t>PPS,</w:t>
      </w:r>
      <w:r>
        <w:rPr>
          <w:spacing w:val="-2"/>
        </w:rPr>
        <w:t xml:space="preserve"> </w:t>
      </w:r>
      <w:r>
        <w:t>all hospitals receive the same base rates for inpatient care that are adjusted for service-specific characteristics,</w:t>
      </w:r>
      <w:r>
        <w:rPr>
          <w:spacing w:val="-3"/>
        </w:rPr>
        <w:t xml:space="preserve"> </w:t>
      </w:r>
      <w:r>
        <w:t>such</w:t>
      </w:r>
      <w:r>
        <w:rPr>
          <w:spacing w:val="-3"/>
        </w:rPr>
        <w:t xml:space="preserve"> </w:t>
      </w:r>
      <w:r>
        <w:t>as</w:t>
      </w:r>
      <w:r>
        <w:rPr>
          <w:spacing w:val="-3"/>
        </w:rPr>
        <w:t xml:space="preserve"> </w:t>
      </w:r>
      <w:r>
        <w:t>DRG</w:t>
      </w:r>
      <w:r>
        <w:rPr>
          <w:spacing w:val="-2"/>
        </w:rPr>
        <w:t xml:space="preserve"> </w:t>
      </w:r>
      <w:r>
        <w:t>weight,</w:t>
      </w:r>
      <w:r>
        <w:rPr>
          <w:spacing w:val="-6"/>
        </w:rPr>
        <w:t xml:space="preserve"> </w:t>
      </w:r>
      <w:r>
        <w:t>and</w:t>
      </w:r>
      <w:r>
        <w:rPr>
          <w:spacing w:val="-2"/>
        </w:rPr>
        <w:t xml:space="preserve"> </w:t>
      </w:r>
      <w:r>
        <w:t>hospital-specific</w:t>
      </w:r>
      <w:r>
        <w:rPr>
          <w:spacing w:val="-5"/>
        </w:rPr>
        <w:t xml:space="preserve"> </w:t>
      </w:r>
      <w:r>
        <w:t>characteristics,</w:t>
      </w:r>
      <w:r>
        <w:rPr>
          <w:spacing w:val="-3"/>
        </w:rPr>
        <w:t xml:space="preserve"> </w:t>
      </w:r>
      <w:r>
        <w:t>including</w:t>
      </w:r>
      <w:r>
        <w:rPr>
          <w:spacing w:val="-4"/>
        </w:rPr>
        <w:t xml:space="preserve"> </w:t>
      </w:r>
      <w:r>
        <w:t>the</w:t>
      </w:r>
      <w:r>
        <w:rPr>
          <w:spacing w:val="-3"/>
        </w:rPr>
        <w:t xml:space="preserve"> </w:t>
      </w:r>
      <w:r>
        <w:t>amount</w:t>
      </w:r>
      <w:r>
        <w:rPr>
          <w:spacing w:val="-4"/>
        </w:rPr>
        <w:t xml:space="preserve"> </w:t>
      </w:r>
      <w:r>
        <w:t>of care the hospital provides to low-income patients and the hospital’s graduate medical education expenses. Under this system, there is generally less provider price variation and less opportunity for</w:t>
      </w:r>
      <w:r>
        <w:rPr>
          <w:spacing w:val="-1"/>
        </w:rPr>
        <w:t xml:space="preserve"> </w:t>
      </w:r>
      <w:r>
        <w:t>spending</w:t>
      </w:r>
      <w:r>
        <w:rPr>
          <w:spacing w:val="-1"/>
        </w:rPr>
        <w:t xml:space="preserve"> </w:t>
      </w:r>
      <w:r>
        <w:t>impacts</w:t>
      </w:r>
      <w:r>
        <w:rPr>
          <w:spacing w:val="-2"/>
        </w:rPr>
        <w:t xml:space="preserve"> </w:t>
      </w:r>
      <w:proofErr w:type="gramStart"/>
      <w:r>
        <w:t>as</w:t>
      </w:r>
      <w:r>
        <w:rPr>
          <w:spacing w:val="-2"/>
        </w:rPr>
        <w:t xml:space="preserve"> </w:t>
      </w:r>
      <w:r>
        <w:t>a</w:t>
      </w:r>
      <w:r>
        <w:rPr>
          <w:spacing w:val="-2"/>
        </w:rPr>
        <w:t xml:space="preserve"> </w:t>
      </w:r>
      <w:r>
        <w:t>result</w:t>
      </w:r>
      <w:r>
        <w:rPr>
          <w:spacing w:val="-1"/>
        </w:rPr>
        <w:t xml:space="preserve"> </w:t>
      </w:r>
      <w:r>
        <w:t>of</w:t>
      </w:r>
      <w:proofErr w:type="gramEnd"/>
      <w:r>
        <w:t xml:space="preserve"> proposed transactions. However,</w:t>
      </w:r>
      <w:r>
        <w:rPr>
          <w:spacing w:val="-3"/>
        </w:rPr>
        <w:t xml:space="preserve"> </w:t>
      </w:r>
      <w:r>
        <w:t>DFCI is a</w:t>
      </w:r>
      <w:r>
        <w:rPr>
          <w:spacing w:val="-2"/>
        </w:rPr>
        <w:t xml:space="preserve"> </w:t>
      </w:r>
      <w:r>
        <w:t>PPS-exempt</w:t>
      </w:r>
      <w:r>
        <w:rPr>
          <w:spacing w:val="-1"/>
        </w:rPr>
        <w:t xml:space="preserve"> </w:t>
      </w:r>
      <w:r>
        <w:t>cancer hospital, which means it is not paid under Medicare’s inpatient PPS. Inpatient payments to hospitals of this type are tied to the hospital’s reported costs rather than to characteristics of the hospital or the services provided. This section examines historical Medicare inpatient reimbursement rates for DFCI and for oncology care at other hospitals in the Commonwealth to inform</w:t>
      </w:r>
      <w:r>
        <w:rPr>
          <w:spacing w:val="-4"/>
        </w:rPr>
        <w:t xml:space="preserve"> </w:t>
      </w:r>
      <w:r>
        <w:t>analyses</w:t>
      </w:r>
      <w:r>
        <w:rPr>
          <w:spacing w:val="-2"/>
        </w:rPr>
        <w:t xml:space="preserve"> </w:t>
      </w:r>
      <w:r>
        <w:t>of</w:t>
      </w:r>
      <w:r>
        <w:rPr>
          <w:spacing w:val="-1"/>
        </w:rPr>
        <w:t xml:space="preserve"> </w:t>
      </w:r>
      <w:r>
        <w:t>impacts</w:t>
      </w:r>
      <w:r>
        <w:rPr>
          <w:spacing w:val="-2"/>
        </w:rPr>
        <w:t xml:space="preserve"> </w:t>
      </w:r>
      <w:r>
        <w:t>on</w:t>
      </w:r>
      <w:r>
        <w:rPr>
          <w:spacing w:val="-4"/>
        </w:rPr>
        <w:t xml:space="preserve"> </w:t>
      </w:r>
      <w:r>
        <w:t>Medicare</w:t>
      </w:r>
      <w:r>
        <w:rPr>
          <w:spacing w:val="-2"/>
        </w:rPr>
        <w:t xml:space="preserve"> </w:t>
      </w:r>
      <w:r>
        <w:t>spending</w:t>
      </w:r>
      <w:r>
        <w:rPr>
          <w:spacing w:val="-3"/>
        </w:rPr>
        <w:t xml:space="preserve"> </w:t>
      </w:r>
      <w:r>
        <w:t>as</w:t>
      </w:r>
      <w:r>
        <w:rPr>
          <w:spacing w:val="-2"/>
        </w:rPr>
        <w:t xml:space="preserve"> </w:t>
      </w:r>
      <w:r>
        <w:t>patients</w:t>
      </w:r>
      <w:r>
        <w:rPr>
          <w:spacing w:val="-2"/>
        </w:rPr>
        <w:t xml:space="preserve"> </w:t>
      </w:r>
      <w:r>
        <w:t>shift</w:t>
      </w:r>
      <w:r>
        <w:rPr>
          <w:spacing w:val="-3"/>
        </w:rPr>
        <w:t xml:space="preserve"> </w:t>
      </w:r>
      <w:r>
        <w:t>to</w:t>
      </w:r>
      <w:r>
        <w:rPr>
          <w:spacing w:val="-4"/>
        </w:rPr>
        <w:t xml:space="preserve"> </w:t>
      </w:r>
      <w:r>
        <w:t>DFCI;</w:t>
      </w:r>
      <w:r>
        <w:rPr>
          <w:spacing w:val="-2"/>
        </w:rPr>
        <w:t xml:space="preserve"> </w:t>
      </w:r>
      <w:r>
        <w:t>since</w:t>
      </w:r>
      <w:r>
        <w:rPr>
          <w:spacing w:val="-4"/>
        </w:rPr>
        <w:t xml:space="preserve"> </w:t>
      </w:r>
      <w:r>
        <w:t>DFCI’s</w:t>
      </w:r>
      <w:r>
        <w:rPr>
          <w:spacing w:val="-2"/>
        </w:rPr>
        <w:t xml:space="preserve"> </w:t>
      </w:r>
      <w:r>
        <w:t>Medicare reimbursement is based on a hospital’s reported costs, DFCI’s rates may change in the future if</w:t>
      </w:r>
      <w:r>
        <w:rPr>
          <w:spacing w:val="40"/>
        </w:rPr>
        <w:t xml:space="preserve"> </w:t>
      </w:r>
      <w:r>
        <w:t xml:space="preserve">its </w:t>
      </w:r>
      <w:proofErr w:type="gramStart"/>
      <w:r>
        <w:t>cost per patient</w:t>
      </w:r>
      <w:proofErr w:type="gramEnd"/>
      <w:r>
        <w:t xml:space="preserve"> changes </w:t>
      </w:r>
      <w:proofErr w:type="gramStart"/>
      <w:r>
        <w:t>as a result of</w:t>
      </w:r>
      <w:proofErr w:type="gramEnd"/>
      <w:r>
        <w:t xml:space="preserve"> the proposed transaction.</w:t>
      </w:r>
      <w:r>
        <w:rPr>
          <w:spacing w:val="-32"/>
        </w:rPr>
        <w:t xml:space="preserve"> </w:t>
      </w:r>
      <w:r w:rsidR="000D3307">
        <w:rPr>
          <w:rStyle w:val="FootnoteReference"/>
          <w:spacing w:val="-32"/>
        </w:rPr>
        <w:footnoteReference w:id="109"/>
      </w:r>
    </w:p>
    <w:p w14:paraId="1C34E809" w14:textId="77777777" w:rsidR="004C558F" w:rsidRDefault="004C558F">
      <w:pPr>
        <w:pStyle w:val="BodyText"/>
        <w:spacing w:before="35"/>
      </w:pPr>
    </w:p>
    <w:p w14:paraId="1C34E80A" w14:textId="7353E614" w:rsidR="004C558F" w:rsidRDefault="00461887">
      <w:pPr>
        <w:pStyle w:val="BodyText"/>
        <w:spacing w:line="276" w:lineRule="auto"/>
        <w:ind w:left="959" w:right="991" w:firstLine="720"/>
      </w:pPr>
      <w:r>
        <w:t>The</w:t>
      </w:r>
      <w:r>
        <w:rPr>
          <w:spacing w:val="-3"/>
        </w:rPr>
        <w:t xml:space="preserve"> </w:t>
      </w:r>
      <w:r>
        <w:t>HPC</w:t>
      </w:r>
      <w:r>
        <w:rPr>
          <w:spacing w:val="-4"/>
        </w:rPr>
        <w:t xml:space="preserve"> </w:t>
      </w:r>
      <w:r>
        <w:t>estimated</w:t>
      </w:r>
      <w:r>
        <w:rPr>
          <w:spacing w:val="-5"/>
        </w:rPr>
        <w:t xml:space="preserve"> </w:t>
      </w:r>
      <w:r>
        <w:t>DFCI’s</w:t>
      </w:r>
      <w:r>
        <w:rPr>
          <w:spacing w:val="-5"/>
        </w:rPr>
        <w:t xml:space="preserve"> </w:t>
      </w:r>
      <w:r>
        <w:t>average</w:t>
      </w:r>
      <w:r>
        <w:rPr>
          <w:spacing w:val="-3"/>
        </w:rPr>
        <w:t xml:space="preserve"> </w:t>
      </w:r>
      <w:r>
        <w:t>inpatient</w:t>
      </w:r>
      <w:r>
        <w:rPr>
          <w:spacing w:val="-6"/>
        </w:rPr>
        <w:t xml:space="preserve"> </w:t>
      </w:r>
      <w:r>
        <w:t>Medicare</w:t>
      </w:r>
      <w:r>
        <w:rPr>
          <w:spacing w:val="-3"/>
        </w:rPr>
        <w:t xml:space="preserve"> </w:t>
      </w:r>
      <w:r>
        <w:t>fee-for-service</w:t>
      </w:r>
      <w:r>
        <w:rPr>
          <w:spacing w:val="-3"/>
        </w:rPr>
        <w:t xml:space="preserve"> </w:t>
      </w:r>
      <w:r>
        <w:t>(FFS)</w:t>
      </w:r>
      <w:r>
        <w:rPr>
          <w:spacing w:val="-3"/>
        </w:rPr>
        <w:t xml:space="preserve"> </w:t>
      </w:r>
      <w:r>
        <w:t>price</w:t>
      </w:r>
      <w:r>
        <w:rPr>
          <w:spacing w:val="-3"/>
        </w:rPr>
        <w:t xml:space="preserve"> </w:t>
      </w:r>
      <w:r>
        <w:t>based</w:t>
      </w:r>
      <w:r>
        <w:rPr>
          <w:spacing w:val="-5"/>
        </w:rPr>
        <w:t xml:space="preserve"> </w:t>
      </w:r>
      <w:r>
        <w:t>on its Medicare revenue, number of discharges, and average Medicare case mix in 2022.</w:t>
      </w:r>
      <w:r w:rsidR="00C35D44">
        <w:rPr>
          <w:rStyle w:val="FootnoteReference"/>
        </w:rPr>
        <w:footnoteReference w:id="110"/>
      </w:r>
      <w:r>
        <w:rPr>
          <w:spacing w:val="32"/>
          <w:position w:val="5"/>
          <w:sz w:val="14"/>
        </w:rPr>
        <w:t xml:space="preserve"> </w:t>
      </w:r>
      <w:r>
        <w:t>For other hospitals, the HPC identified Medicare FFS oncology discharges in the 2022 hospital discharge database and applied Medicare’s inpatient PPS pricing methodology to each discharge to estimate what Medicare is likely to have paid for the discharge, adjusted by the average case mix of the discharges.</w:t>
      </w:r>
      <w:r w:rsidR="00F33717">
        <w:rPr>
          <w:rStyle w:val="FootnoteReference"/>
        </w:rPr>
        <w:footnoteReference w:id="111"/>
      </w:r>
      <w:r>
        <w:rPr>
          <w:spacing w:val="23"/>
          <w:position w:val="5"/>
          <w:sz w:val="14"/>
        </w:rPr>
        <w:t xml:space="preserve"> </w:t>
      </w:r>
      <w:r>
        <w:t>We then calculated each hospital’s average Medicare price for inpatient oncology relative to the statewide average hospital’s price. As shown in Figure III.A.5, DFCI’s average Medicare price has historically been higher than the statewide average for inpatient oncology services, but lower than the prices of other Boston-area AMCs and teaching hospitals.</w:t>
      </w:r>
    </w:p>
    <w:p w14:paraId="1C34E80B" w14:textId="77777777" w:rsidR="004C558F" w:rsidRDefault="00461887">
      <w:pPr>
        <w:pStyle w:val="BodyText"/>
        <w:ind w:left="960"/>
      </w:pPr>
      <w:r>
        <w:t>This</w:t>
      </w:r>
      <w:r>
        <w:rPr>
          <w:spacing w:val="-8"/>
        </w:rPr>
        <w:t xml:space="preserve"> </w:t>
      </w:r>
      <w:r>
        <w:t>is</w:t>
      </w:r>
      <w:r>
        <w:rPr>
          <w:spacing w:val="-3"/>
        </w:rPr>
        <w:t xml:space="preserve"> </w:t>
      </w:r>
      <w:r>
        <w:t>likely</w:t>
      </w:r>
      <w:r>
        <w:rPr>
          <w:spacing w:val="-6"/>
        </w:rPr>
        <w:t xml:space="preserve"> </w:t>
      </w:r>
      <w:r>
        <w:t>due</w:t>
      </w:r>
      <w:r>
        <w:rPr>
          <w:spacing w:val="-6"/>
        </w:rPr>
        <w:t xml:space="preserve"> </w:t>
      </w:r>
      <w:r>
        <w:t>primarily</w:t>
      </w:r>
      <w:r>
        <w:rPr>
          <w:spacing w:val="-6"/>
        </w:rPr>
        <w:t xml:space="preserve"> </w:t>
      </w:r>
      <w:r>
        <w:t>to</w:t>
      </w:r>
      <w:r>
        <w:rPr>
          <w:spacing w:val="-3"/>
        </w:rPr>
        <w:t xml:space="preserve"> </w:t>
      </w:r>
      <w:r>
        <w:t>supplemental</w:t>
      </w:r>
      <w:r>
        <w:rPr>
          <w:spacing w:val="-5"/>
        </w:rPr>
        <w:t xml:space="preserve"> </w:t>
      </w:r>
      <w:r>
        <w:t>payments</w:t>
      </w:r>
      <w:r>
        <w:rPr>
          <w:spacing w:val="-3"/>
        </w:rPr>
        <w:t xml:space="preserve"> </w:t>
      </w:r>
      <w:r>
        <w:t>to</w:t>
      </w:r>
      <w:r>
        <w:rPr>
          <w:spacing w:val="-4"/>
        </w:rPr>
        <w:t xml:space="preserve"> </w:t>
      </w:r>
      <w:r>
        <w:t>these</w:t>
      </w:r>
      <w:r>
        <w:rPr>
          <w:spacing w:val="-5"/>
        </w:rPr>
        <w:t xml:space="preserve"> </w:t>
      </w:r>
      <w:r>
        <w:t>hospitals</w:t>
      </w:r>
      <w:r>
        <w:rPr>
          <w:spacing w:val="-5"/>
        </w:rPr>
        <w:t xml:space="preserve"> </w:t>
      </w:r>
      <w:r>
        <w:t>for</w:t>
      </w:r>
      <w:r>
        <w:rPr>
          <w:spacing w:val="-6"/>
        </w:rPr>
        <w:t xml:space="preserve"> </w:t>
      </w:r>
      <w:r>
        <w:rPr>
          <w:spacing w:val="-2"/>
        </w:rPr>
        <w:t>disproportionate</w:t>
      </w:r>
    </w:p>
    <w:p w14:paraId="1C34E80C" w14:textId="77777777" w:rsidR="004C558F" w:rsidRDefault="004C558F">
      <w:pPr>
        <w:pStyle w:val="BodyText"/>
        <w:rPr>
          <w:sz w:val="20"/>
        </w:rPr>
      </w:pPr>
    </w:p>
    <w:p w14:paraId="1C34E80D" w14:textId="30BEC092" w:rsidR="004C558F" w:rsidRDefault="004C558F">
      <w:pPr>
        <w:pStyle w:val="BodyText"/>
        <w:spacing w:before="73"/>
        <w:rPr>
          <w:sz w:val="20"/>
        </w:rPr>
      </w:pPr>
    </w:p>
    <w:p w14:paraId="1C34E811" w14:textId="77777777" w:rsidR="004C558F" w:rsidRDefault="004C558F">
      <w:pPr>
        <w:rPr>
          <w:sz w:val="20"/>
        </w:rPr>
        <w:sectPr w:rsidR="004C558F">
          <w:pgSz w:w="12240" w:h="15840"/>
          <w:pgMar w:top="1360" w:right="740" w:bottom="720" w:left="480" w:header="0" w:footer="521" w:gutter="0"/>
          <w:cols w:space="720"/>
        </w:sectPr>
      </w:pPr>
      <w:bookmarkStart w:id="107" w:name="_bookmark129"/>
      <w:bookmarkStart w:id="108" w:name="_bookmark130"/>
      <w:bookmarkEnd w:id="107"/>
      <w:bookmarkEnd w:id="108"/>
    </w:p>
    <w:p w14:paraId="1C34E812" w14:textId="70BAFCE1" w:rsidR="004C558F" w:rsidRDefault="00461887">
      <w:pPr>
        <w:pStyle w:val="BodyText"/>
        <w:spacing w:before="80"/>
        <w:ind w:left="960"/>
        <w:rPr>
          <w:sz w:val="14"/>
        </w:rPr>
      </w:pPr>
      <w:r>
        <w:lastRenderedPageBreak/>
        <w:t>share,</w:t>
      </w:r>
      <w:r>
        <w:rPr>
          <w:spacing w:val="-13"/>
        </w:rPr>
        <w:t xml:space="preserve"> </w:t>
      </w:r>
      <w:r>
        <w:t>teaching</w:t>
      </w:r>
      <w:r>
        <w:rPr>
          <w:spacing w:val="-8"/>
        </w:rPr>
        <w:t xml:space="preserve"> </w:t>
      </w:r>
      <w:r>
        <w:t>programs,</w:t>
      </w:r>
      <w:r>
        <w:rPr>
          <w:spacing w:val="-10"/>
        </w:rPr>
        <w:t xml:space="preserve"> </w:t>
      </w:r>
      <w:r>
        <w:t>and</w:t>
      </w:r>
      <w:r>
        <w:rPr>
          <w:spacing w:val="-7"/>
        </w:rPr>
        <w:t xml:space="preserve"> </w:t>
      </w:r>
      <w:r>
        <w:t>uncompensated</w:t>
      </w:r>
      <w:r>
        <w:rPr>
          <w:spacing w:val="-6"/>
        </w:rPr>
        <w:t xml:space="preserve"> </w:t>
      </w:r>
      <w:r>
        <w:t>care</w:t>
      </w:r>
      <w:bookmarkStart w:id="109" w:name="_bookmark132"/>
      <w:bookmarkEnd w:id="109"/>
      <w:r>
        <w:t>.</w:t>
      </w:r>
      <w:r>
        <w:rPr>
          <w:spacing w:val="-36"/>
        </w:rPr>
        <w:t xml:space="preserve"> </w:t>
      </w:r>
      <w:r w:rsidR="00CE4960">
        <w:rPr>
          <w:rStyle w:val="FootnoteReference"/>
          <w:spacing w:val="-36"/>
        </w:rPr>
        <w:footnoteReference w:id="112"/>
      </w:r>
    </w:p>
    <w:p w14:paraId="1C34E813" w14:textId="77777777" w:rsidR="004C558F" w:rsidRDefault="004C558F">
      <w:pPr>
        <w:pStyle w:val="BodyText"/>
        <w:spacing w:before="74"/>
      </w:pPr>
    </w:p>
    <w:p w14:paraId="1C34E814" w14:textId="77777777" w:rsidR="004C558F" w:rsidRDefault="00461887">
      <w:pPr>
        <w:pStyle w:val="BodyText"/>
        <w:ind w:left="1248"/>
      </w:pPr>
      <w:r>
        <w:t>Figure</w:t>
      </w:r>
      <w:r>
        <w:rPr>
          <w:spacing w:val="-5"/>
        </w:rPr>
        <w:t xml:space="preserve"> </w:t>
      </w:r>
      <w:r>
        <w:t>III.A.5:</w:t>
      </w:r>
      <w:r>
        <w:rPr>
          <w:spacing w:val="-3"/>
        </w:rPr>
        <w:t xml:space="preserve"> </w:t>
      </w:r>
      <w:r>
        <w:t>2022</w:t>
      </w:r>
      <w:r>
        <w:rPr>
          <w:spacing w:val="-3"/>
        </w:rPr>
        <w:t xml:space="preserve"> </w:t>
      </w:r>
      <w:r>
        <w:t>Medicare</w:t>
      </w:r>
      <w:r>
        <w:rPr>
          <w:spacing w:val="-3"/>
        </w:rPr>
        <w:t xml:space="preserve"> </w:t>
      </w:r>
      <w:r>
        <w:t>FFS</w:t>
      </w:r>
      <w:r>
        <w:rPr>
          <w:spacing w:val="-6"/>
        </w:rPr>
        <w:t xml:space="preserve"> </w:t>
      </w:r>
      <w:r>
        <w:t>Medical</w:t>
      </w:r>
      <w:r>
        <w:rPr>
          <w:spacing w:val="-4"/>
        </w:rPr>
        <w:t xml:space="preserve"> </w:t>
      </w:r>
      <w:r>
        <w:t>Oncology</w:t>
      </w:r>
      <w:r>
        <w:rPr>
          <w:spacing w:val="-6"/>
        </w:rPr>
        <w:t xml:space="preserve"> </w:t>
      </w:r>
      <w:r>
        <w:t>Prices</w:t>
      </w:r>
      <w:r>
        <w:rPr>
          <w:spacing w:val="-3"/>
        </w:rPr>
        <w:t xml:space="preserve"> </w:t>
      </w:r>
      <w:r>
        <w:t>per</w:t>
      </w:r>
      <w:r>
        <w:rPr>
          <w:spacing w:val="-3"/>
        </w:rPr>
        <w:t xml:space="preserve"> </w:t>
      </w:r>
      <w:r>
        <w:t>Case</w:t>
      </w:r>
      <w:r>
        <w:rPr>
          <w:spacing w:val="-5"/>
        </w:rPr>
        <w:t xml:space="preserve"> </w:t>
      </w:r>
      <w:r>
        <w:t>Mix</w:t>
      </w:r>
      <w:r>
        <w:rPr>
          <w:spacing w:val="-3"/>
        </w:rPr>
        <w:t xml:space="preserve"> </w:t>
      </w:r>
      <w:r>
        <w:t>Adjusted</w:t>
      </w:r>
      <w:r>
        <w:rPr>
          <w:spacing w:val="-4"/>
        </w:rPr>
        <w:t xml:space="preserve"> </w:t>
      </w:r>
      <w:r>
        <w:rPr>
          <w:spacing w:val="-2"/>
        </w:rPr>
        <w:t>Discharge</w:t>
      </w:r>
    </w:p>
    <w:p w14:paraId="1C34E815" w14:textId="77777777" w:rsidR="004C558F" w:rsidRDefault="004C558F">
      <w:pPr>
        <w:pStyle w:val="BodyText"/>
        <w:spacing w:before="10" w:after="1"/>
        <w:rPr>
          <w:sz w:val="15"/>
        </w:rPr>
      </w:pP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7090"/>
        <w:gridCol w:w="1990"/>
      </w:tblGrid>
      <w:tr w:rsidR="004C558F" w14:paraId="1C34E819" w14:textId="77777777">
        <w:trPr>
          <w:trHeight w:val="602"/>
        </w:trPr>
        <w:tc>
          <w:tcPr>
            <w:tcW w:w="7090" w:type="dxa"/>
            <w:shd w:val="clear" w:color="auto" w:fill="084875"/>
          </w:tcPr>
          <w:p w14:paraId="1C34E816" w14:textId="77777777" w:rsidR="004C558F" w:rsidRDefault="00461887">
            <w:pPr>
              <w:pStyle w:val="TableParagraph"/>
              <w:spacing w:before="14"/>
              <w:ind w:left="7"/>
              <w:jc w:val="center"/>
              <w:rPr>
                <w:rFonts w:ascii="Franklin Gothic Medium Cond"/>
              </w:rPr>
            </w:pPr>
            <w:r>
              <w:rPr>
                <w:rFonts w:ascii="Franklin Gothic Medium Cond"/>
                <w:color w:val="FFFFFF"/>
                <w:spacing w:val="-2"/>
              </w:rPr>
              <w:t>Hospital</w:t>
            </w:r>
          </w:p>
        </w:tc>
        <w:tc>
          <w:tcPr>
            <w:tcW w:w="1990" w:type="dxa"/>
            <w:shd w:val="clear" w:color="auto" w:fill="084875"/>
          </w:tcPr>
          <w:p w14:paraId="1C34E817" w14:textId="77777777" w:rsidR="004C558F" w:rsidRDefault="00461887">
            <w:pPr>
              <w:pStyle w:val="TableParagraph"/>
              <w:spacing w:before="14"/>
              <w:ind w:left="373"/>
              <w:jc w:val="left"/>
              <w:rPr>
                <w:rFonts w:ascii="Franklin Gothic Medium Cond"/>
              </w:rPr>
            </w:pPr>
            <w:r>
              <w:rPr>
                <w:rFonts w:ascii="Franklin Gothic Medium Cond"/>
                <w:color w:val="FFFFFF"/>
              </w:rPr>
              <w:t>Price</w:t>
            </w:r>
            <w:r>
              <w:rPr>
                <w:rFonts w:ascii="Franklin Gothic Medium Cond"/>
                <w:color w:val="FFFFFF"/>
                <w:spacing w:val="-4"/>
              </w:rPr>
              <w:t xml:space="preserve"> </w:t>
            </w:r>
            <w:r>
              <w:rPr>
                <w:rFonts w:ascii="Franklin Gothic Medium Cond"/>
                <w:color w:val="FFFFFF"/>
              </w:rPr>
              <w:t>relative</w:t>
            </w:r>
            <w:r>
              <w:rPr>
                <w:rFonts w:ascii="Franklin Gothic Medium Cond"/>
                <w:color w:val="FFFFFF"/>
                <w:spacing w:val="-4"/>
              </w:rPr>
              <w:t xml:space="preserve"> </w:t>
            </w:r>
            <w:r>
              <w:rPr>
                <w:rFonts w:ascii="Franklin Gothic Medium Cond"/>
                <w:color w:val="FFFFFF"/>
                <w:spacing w:val="-5"/>
              </w:rPr>
              <w:t>to</w:t>
            </w:r>
          </w:p>
          <w:p w14:paraId="1C34E818" w14:textId="77777777" w:rsidR="004C558F" w:rsidRDefault="00461887">
            <w:pPr>
              <w:pStyle w:val="TableParagraph"/>
              <w:spacing w:before="36"/>
              <w:ind w:left="330"/>
              <w:jc w:val="left"/>
              <w:rPr>
                <w:rFonts w:ascii="Franklin Gothic Medium Cond"/>
              </w:rPr>
            </w:pPr>
            <w:r>
              <w:rPr>
                <w:rFonts w:ascii="Franklin Gothic Medium Cond"/>
                <w:color w:val="FFFFFF"/>
              </w:rPr>
              <w:t>average</w:t>
            </w:r>
            <w:r>
              <w:rPr>
                <w:rFonts w:ascii="Franklin Gothic Medium Cond"/>
                <w:color w:val="FFFFFF"/>
                <w:spacing w:val="-3"/>
              </w:rPr>
              <w:t xml:space="preserve"> </w:t>
            </w:r>
            <w:r>
              <w:rPr>
                <w:rFonts w:ascii="Franklin Gothic Medium Cond"/>
                <w:color w:val="FFFFFF"/>
                <w:spacing w:val="-2"/>
              </w:rPr>
              <w:t>hospital</w:t>
            </w:r>
          </w:p>
        </w:tc>
      </w:tr>
      <w:tr w:rsidR="004C558F" w14:paraId="1C34E81C" w14:textId="77777777">
        <w:trPr>
          <w:trHeight w:val="314"/>
        </w:trPr>
        <w:tc>
          <w:tcPr>
            <w:tcW w:w="7090" w:type="dxa"/>
          </w:tcPr>
          <w:p w14:paraId="1C34E81A" w14:textId="77777777" w:rsidR="004C558F" w:rsidRDefault="00461887">
            <w:pPr>
              <w:pStyle w:val="TableParagraph"/>
              <w:spacing w:before="14"/>
              <w:ind w:left="115"/>
              <w:jc w:val="left"/>
            </w:pPr>
            <w:r>
              <w:t>Boston</w:t>
            </w:r>
            <w:r>
              <w:rPr>
                <w:spacing w:val="-5"/>
              </w:rPr>
              <w:t xml:space="preserve"> </w:t>
            </w:r>
            <w:r>
              <w:t>Medical</w:t>
            </w:r>
            <w:r>
              <w:rPr>
                <w:spacing w:val="-4"/>
              </w:rPr>
              <w:t xml:space="preserve"> </w:t>
            </w:r>
            <w:r>
              <w:rPr>
                <w:spacing w:val="-2"/>
              </w:rPr>
              <w:t>Center</w:t>
            </w:r>
          </w:p>
        </w:tc>
        <w:tc>
          <w:tcPr>
            <w:tcW w:w="1990" w:type="dxa"/>
          </w:tcPr>
          <w:p w14:paraId="1C34E81B" w14:textId="77777777" w:rsidR="004C558F" w:rsidRDefault="00461887">
            <w:pPr>
              <w:pStyle w:val="TableParagraph"/>
              <w:spacing w:before="14"/>
              <w:ind w:right="104"/>
            </w:pPr>
            <w:r>
              <w:rPr>
                <w:spacing w:val="-4"/>
              </w:rPr>
              <w:t>1.48</w:t>
            </w:r>
          </w:p>
        </w:tc>
      </w:tr>
      <w:tr w:rsidR="004C558F" w14:paraId="1C34E81F" w14:textId="77777777">
        <w:trPr>
          <w:trHeight w:val="313"/>
        </w:trPr>
        <w:tc>
          <w:tcPr>
            <w:tcW w:w="7090" w:type="dxa"/>
          </w:tcPr>
          <w:p w14:paraId="1C34E81D" w14:textId="77777777" w:rsidR="004C558F" w:rsidRDefault="00461887">
            <w:pPr>
              <w:pStyle w:val="TableParagraph"/>
              <w:spacing w:before="14"/>
              <w:ind w:left="115"/>
              <w:jc w:val="left"/>
            </w:pPr>
            <w:r>
              <w:t>UMass</w:t>
            </w:r>
            <w:r>
              <w:rPr>
                <w:spacing w:val="-5"/>
              </w:rPr>
              <w:t xml:space="preserve"> </w:t>
            </w:r>
            <w:r>
              <w:t>Memorial</w:t>
            </w:r>
            <w:r>
              <w:rPr>
                <w:spacing w:val="-7"/>
              </w:rPr>
              <w:t xml:space="preserve"> </w:t>
            </w:r>
            <w:r>
              <w:t>Medical</w:t>
            </w:r>
            <w:r>
              <w:rPr>
                <w:spacing w:val="-6"/>
              </w:rPr>
              <w:t xml:space="preserve"> </w:t>
            </w:r>
            <w:r>
              <w:rPr>
                <w:spacing w:val="-2"/>
              </w:rPr>
              <w:t>Center</w:t>
            </w:r>
          </w:p>
        </w:tc>
        <w:tc>
          <w:tcPr>
            <w:tcW w:w="1990" w:type="dxa"/>
          </w:tcPr>
          <w:p w14:paraId="1C34E81E" w14:textId="77777777" w:rsidR="004C558F" w:rsidRDefault="00461887">
            <w:pPr>
              <w:pStyle w:val="TableParagraph"/>
              <w:spacing w:before="14"/>
              <w:ind w:right="104"/>
            </w:pPr>
            <w:r>
              <w:rPr>
                <w:spacing w:val="-4"/>
              </w:rPr>
              <w:t>1.40</w:t>
            </w:r>
          </w:p>
        </w:tc>
      </w:tr>
      <w:tr w:rsidR="004C558F" w14:paraId="1C34E822" w14:textId="77777777">
        <w:trPr>
          <w:trHeight w:val="316"/>
        </w:trPr>
        <w:tc>
          <w:tcPr>
            <w:tcW w:w="7090" w:type="dxa"/>
          </w:tcPr>
          <w:p w14:paraId="1C34E820" w14:textId="77777777" w:rsidR="004C558F" w:rsidRDefault="00461887">
            <w:pPr>
              <w:pStyle w:val="TableParagraph"/>
              <w:spacing w:before="14"/>
              <w:ind w:left="115"/>
              <w:jc w:val="left"/>
            </w:pPr>
            <w:r>
              <w:t>Tufts</w:t>
            </w:r>
            <w:r>
              <w:rPr>
                <w:spacing w:val="-4"/>
              </w:rPr>
              <w:t xml:space="preserve"> </w:t>
            </w:r>
            <w:r>
              <w:t>Medical</w:t>
            </w:r>
            <w:r>
              <w:rPr>
                <w:spacing w:val="-4"/>
              </w:rPr>
              <w:t xml:space="preserve"> </w:t>
            </w:r>
            <w:r>
              <w:rPr>
                <w:spacing w:val="-2"/>
              </w:rPr>
              <w:t>Center</w:t>
            </w:r>
          </w:p>
        </w:tc>
        <w:tc>
          <w:tcPr>
            <w:tcW w:w="1990" w:type="dxa"/>
          </w:tcPr>
          <w:p w14:paraId="1C34E821" w14:textId="77777777" w:rsidR="004C558F" w:rsidRDefault="00461887">
            <w:pPr>
              <w:pStyle w:val="TableParagraph"/>
              <w:spacing w:before="14"/>
              <w:ind w:right="104"/>
            </w:pPr>
            <w:r>
              <w:rPr>
                <w:spacing w:val="-4"/>
              </w:rPr>
              <w:t>1.29</w:t>
            </w:r>
          </w:p>
        </w:tc>
      </w:tr>
      <w:tr w:rsidR="004C558F" w14:paraId="1C34E825" w14:textId="77777777">
        <w:trPr>
          <w:trHeight w:val="313"/>
        </w:trPr>
        <w:tc>
          <w:tcPr>
            <w:tcW w:w="7090" w:type="dxa"/>
            <w:shd w:val="clear" w:color="auto" w:fill="EBF0F4"/>
          </w:tcPr>
          <w:p w14:paraId="1C34E823" w14:textId="77777777" w:rsidR="004C558F" w:rsidRDefault="00461887">
            <w:pPr>
              <w:pStyle w:val="TableParagraph"/>
              <w:spacing w:before="14"/>
              <w:ind w:left="115"/>
              <w:jc w:val="left"/>
            </w:pPr>
            <w:r>
              <w:t>Beth</w:t>
            </w:r>
            <w:r>
              <w:rPr>
                <w:spacing w:val="-4"/>
              </w:rPr>
              <w:t xml:space="preserve"> </w:t>
            </w:r>
            <w:r>
              <w:t>Israel</w:t>
            </w:r>
            <w:r>
              <w:rPr>
                <w:spacing w:val="-6"/>
              </w:rPr>
              <w:t xml:space="preserve"> </w:t>
            </w:r>
            <w:r>
              <w:t>Deaconess</w:t>
            </w:r>
            <w:r>
              <w:rPr>
                <w:spacing w:val="-6"/>
              </w:rPr>
              <w:t xml:space="preserve"> </w:t>
            </w:r>
            <w:r>
              <w:t>Medical</w:t>
            </w:r>
            <w:r>
              <w:rPr>
                <w:spacing w:val="-4"/>
              </w:rPr>
              <w:t xml:space="preserve"> </w:t>
            </w:r>
            <w:r>
              <w:rPr>
                <w:spacing w:val="-2"/>
              </w:rPr>
              <w:t>Center</w:t>
            </w:r>
          </w:p>
        </w:tc>
        <w:tc>
          <w:tcPr>
            <w:tcW w:w="1990" w:type="dxa"/>
            <w:shd w:val="clear" w:color="auto" w:fill="EBF0F4"/>
          </w:tcPr>
          <w:p w14:paraId="1C34E824" w14:textId="77777777" w:rsidR="004C558F" w:rsidRDefault="00461887">
            <w:pPr>
              <w:pStyle w:val="TableParagraph"/>
              <w:spacing w:before="14"/>
              <w:ind w:right="104"/>
            </w:pPr>
            <w:r>
              <w:rPr>
                <w:spacing w:val="-4"/>
              </w:rPr>
              <w:t>1.25</w:t>
            </w:r>
          </w:p>
        </w:tc>
      </w:tr>
      <w:tr w:rsidR="004C558F" w14:paraId="1C34E828" w14:textId="77777777">
        <w:trPr>
          <w:trHeight w:val="316"/>
        </w:trPr>
        <w:tc>
          <w:tcPr>
            <w:tcW w:w="7090" w:type="dxa"/>
            <w:shd w:val="clear" w:color="auto" w:fill="EBF0F4"/>
          </w:tcPr>
          <w:p w14:paraId="1C34E826" w14:textId="77777777" w:rsidR="004C558F" w:rsidRDefault="00461887">
            <w:pPr>
              <w:pStyle w:val="TableParagraph"/>
              <w:spacing w:before="14"/>
              <w:ind w:left="115"/>
              <w:jc w:val="left"/>
            </w:pPr>
            <w:r>
              <w:t>Brigham</w:t>
            </w:r>
            <w:r>
              <w:rPr>
                <w:spacing w:val="-5"/>
              </w:rPr>
              <w:t xml:space="preserve"> </w:t>
            </w:r>
            <w:r>
              <w:t>and</w:t>
            </w:r>
            <w:r>
              <w:rPr>
                <w:spacing w:val="-5"/>
              </w:rPr>
              <w:t xml:space="preserve"> </w:t>
            </w:r>
            <w:r>
              <w:t>Women's</w:t>
            </w:r>
            <w:r>
              <w:rPr>
                <w:spacing w:val="-4"/>
              </w:rPr>
              <w:t xml:space="preserve"> </w:t>
            </w:r>
            <w:r>
              <w:rPr>
                <w:spacing w:val="-2"/>
              </w:rPr>
              <w:t>Hospital</w:t>
            </w:r>
          </w:p>
        </w:tc>
        <w:tc>
          <w:tcPr>
            <w:tcW w:w="1990" w:type="dxa"/>
            <w:shd w:val="clear" w:color="auto" w:fill="EBF0F4"/>
          </w:tcPr>
          <w:p w14:paraId="1C34E827" w14:textId="77777777" w:rsidR="004C558F" w:rsidRDefault="00461887">
            <w:pPr>
              <w:pStyle w:val="TableParagraph"/>
              <w:spacing w:before="14"/>
              <w:ind w:right="104"/>
            </w:pPr>
            <w:r>
              <w:rPr>
                <w:spacing w:val="-4"/>
              </w:rPr>
              <w:t>1.24</w:t>
            </w:r>
          </w:p>
        </w:tc>
      </w:tr>
      <w:tr w:rsidR="004C558F" w14:paraId="1C34E82B" w14:textId="77777777">
        <w:trPr>
          <w:trHeight w:val="313"/>
        </w:trPr>
        <w:tc>
          <w:tcPr>
            <w:tcW w:w="7090" w:type="dxa"/>
          </w:tcPr>
          <w:p w14:paraId="1C34E829" w14:textId="77777777" w:rsidR="004C558F" w:rsidRDefault="00461887">
            <w:pPr>
              <w:pStyle w:val="TableParagraph"/>
              <w:spacing w:before="14"/>
              <w:ind w:left="115"/>
              <w:jc w:val="left"/>
            </w:pPr>
            <w:r>
              <w:t>Massachusetts</w:t>
            </w:r>
            <w:r>
              <w:rPr>
                <w:spacing w:val="-9"/>
              </w:rPr>
              <w:t xml:space="preserve"> </w:t>
            </w:r>
            <w:r>
              <w:t>General</w:t>
            </w:r>
            <w:r>
              <w:rPr>
                <w:spacing w:val="-8"/>
              </w:rPr>
              <w:t xml:space="preserve"> </w:t>
            </w:r>
            <w:r>
              <w:rPr>
                <w:spacing w:val="-2"/>
              </w:rPr>
              <w:t>Hospital</w:t>
            </w:r>
          </w:p>
        </w:tc>
        <w:tc>
          <w:tcPr>
            <w:tcW w:w="1990" w:type="dxa"/>
          </w:tcPr>
          <w:p w14:paraId="1C34E82A" w14:textId="77777777" w:rsidR="004C558F" w:rsidRDefault="00461887">
            <w:pPr>
              <w:pStyle w:val="TableParagraph"/>
              <w:spacing w:before="14"/>
              <w:ind w:right="104"/>
            </w:pPr>
            <w:r>
              <w:rPr>
                <w:spacing w:val="-4"/>
              </w:rPr>
              <w:t>1.20</w:t>
            </w:r>
          </w:p>
        </w:tc>
      </w:tr>
      <w:tr w:rsidR="004C558F" w14:paraId="1C34E82E" w14:textId="77777777">
        <w:trPr>
          <w:trHeight w:val="314"/>
        </w:trPr>
        <w:tc>
          <w:tcPr>
            <w:tcW w:w="7090" w:type="dxa"/>
            <w:shd w:val="clear" w:color="auto" w:fill="EBF0F4"/>
          </w:tcPr>
          <w:p w14:paraId="1C34E82C" w14:textId="77777777" w:rsidR="004C558F" w:rsidRDefault="00461887">
            <w:pPr>
              <w:pStyle w:val="TableParagraph"/>
              <w:spacing w:before="14"/>
              <w:ind w:left="115"/>
              <w:jc w:val="left"/>
            </w:pPr>
            <w:r>
              <w:t>Dana-Farber</w:t>
            </w:r>
            <w:r>
              <w:rPr>
                <w:spacing w:val="-6"/>
              </w:rPr>
              <w:t xml:space="preserve"> </w:t>
            </w:r>
            <w:r>
              <w:t>Cancer</w:t>
            </w:r>
            <w:r>
              <w:rPr>
                <w:spacing w:val="-5"/>
              </w:rPr>
              <w:t xml:space="preserve"> </w:t>
            </w:r>
            <w:r>
              <w:rPr>
                <w:spacing w:val="-2"/>
              </w:rPr>
              <w:t>Institute</w:t>
            </w:r>
          </w:p>
        </w:tc>
        <w:tc>
          <w:tcPr>
            <w:tcW w:w="1990" w:type="dxa"/>
            <w:shd w:val="clear" w:color="auto" w:fill="EBF0F4"/>
          </w:tcPr>
          <w:p w14:paraId="1C34E82D" w14:textId="77777777" w:rsidR="004C558F" w:rsidRDefault="00461887">
            <w:pPr>
              <w:pStyle w:val="TableParagraph"/>
              <w:spacing w:before="14"/>
              <w:ind w:right="104"/>
            </w:pPr>
            <w:r>
              <w:rPr>
                <w:spacing w:val="-4"/>
              </w:rPr>
              <w:t>1.10</w:t>
            </w:r>
          </w:p>
        </w:tc>
      </w:tr>
      <w:tr w:rsidR="004C558F" w14:paraId="1C34E831" w14:textId="77777777">
        <w:trPr>
          <w:trHeight w:val="316"/>
        </w:trPr>
        <w:tc>
          <w:tcPr>
            <w:tcW w:w="7090" w:type="dxa"/>
          </w:tcPr>
          <w:p w14:paraId="1C34E82F" w14:textId="77777777" w:rsidR="004C558F" w:rsidRDefault="00461887">
            <w:pPr>
              <w:pStyle w:val="TableParagraph"/>
              <w:spacing w:before="14"/>
              <w:ind w:left="115"/>
              <w:jc w:val="left"/>
            </w:pPr>
            <w:r>
              <w:t>Lahey</w:t>
            </w:r>
            <w:r>
              <w:rPr>
                <w:spacing w:val="-7"/>
              </w:rPr>
              <w:t xml:space="preserve"> </w:t>
            </w:r>
            <w:r>
              <w:t>Hospital</w:t>
            </w:r>
            <w:r>
              <w:rPr>
                <w:spacing w:val="-5"/>
              </w:rPr>
              <w:t xml:space="preserve"> </w:t>
            </w:r>
            <w:r>
              <w:t>and</w:t>
            </w:r>
            <w:r>
              <w:rPr>
                <w:spacing w:val="-6"/>
              </w:rPr>
              <w:t xml:space="preserve"> </w:t>
            </w:r>
            <w:r>
              <w:t>Medical</w:t>
            </w:r>
            <w:r>
              <w:rPr>
                <w:spacing w:val="-4"/>
              </w:rPr>
              <w:t xml:space="preserve"> </w:t>
            </w:r>
            <w:r>
              <w:rPr>
                <w:spacing w:val="-2"/>
              </w:rPr>
              <w:t>Center</w:t>
            </w:r>
          </w:p>
        </w:tc>
        <w:tc>
          <w:tcPr>
            <w:tcW w:w="1990" w:type="dxa"/>
          </w:tcPr>
          <w:p w14:paraId="1C34E830" w14:textId="77777777" w:rsidR="004C558F" w:rsidRDefault="00461887">
            <w:pPr>
              <w:pStyle w:val="TableParagraph"/>
              <w:spacing w:before="14"/>
              <w:ind w:right="104"/>
            </w:pPr>
            <w:r>
              <w:rPr>
                <w:spacing w:val="-4"/>
              </w:rPr>
              <w:t>1.06</w:t>
            </w:r>
          </w:p>
        </w:tc>
      </w:tr>
      <w:tr w:rsidR="004C558F" w14:paraId="1C34E834" w14:textId="77777777">
        <w:trPr>
          <w:trHeight w:val="313"/>
        </w:trPr>
        <w:tc>
          <w:tcPr>
            <w:tcW w:w="7090" w:type="dxa"/>
          </w:tcPr>
          <w:p w14:paraId="1C34E832" w14:textId="77777777" w:rsidR="004C558F" w:rsidRDefault="00461887">
            <w:pPr>
              <w:pStyle w:val="TableParagraph"/>
              <w:spacing w:before="14"/>
              <w:ind w:left="115"/>
              <w:jc w:val="left"/>
            </w:pPr>
            <w:r>
              <w:t>Mount</w:t>
            </w:r>
            <w:r>
              <w:rPr>
                <w:spacing w:val="-3"/>
              </w:rPr>
              <w:t xml:space="preserve"> </w:t>
            </w:r>
            <w:r>
              <w:t>Auburn</w:t>
            </w:r>
            <w:r>
              <w:rPr>
                <w:spacing w:val="-2"/>
              </w:rPr>
              <w:t xml:space="preserve"> Hospital</w:t>
            </w:r>
          </w:p>
        </w:tc>
        <w:tc>
          <w:tcPr>
            <w:tcW w:w="1990" w:type="dxa"/>
          </w:tcPr>
          <w:p w14:paraId="1C34E833" w14:textId="77777777" w:rsidR="004C558F" w:rsidRDefault="00461887">
            <w:pPr>
              <w:pStyle w:val="TableParagraph"/>
              <w:spacing w:before="14"/>
              <w:ind w:right="104"/>
            </w:pPr>
            <w:r>
              <w:rPr>
                <w:spacing w:val="-4"/>
              </w:rPr>
              <w:t>1.04</w:t>
            </w:r>
          </w:p>
        </w:tc>
      </w:tr>
      <w:tr w:rsidR="004C558F" w14:paraId="1C34E837" w14:textId="77777777">
        <w:trPr>
          <w:trHeight w:val="314"/>
        </w:trPr>
        <w:tc>
          <w:tcPr>
            <w:tcW w:w="7090" w:type="dxa"/>
          </w:tcPr>
          <w:p w14:paraId="1C34E835" w14:textId="77777777" w:rsidR="004C558F" w:rsidRDefault="00461887">
            <w:pPr>
              <w:pStyle w:val="TableParagraph"/>
              <w:spacing w:before="14"/>
              <w:ind w:left="115"/>
              <w:jc w:val="left"/>
            </w:pPr>
            <w:r>
              <w:t>Salem</w:t>
            </w:r>
            <w:r>
              <w:rPr>
                <w:spacing w:val="-2"/>
              </w:rPr>
              <w:t xml:space="preserve"> Hospital</w:t>
            </w:r>
          </w:p>
        </w:tc>
        <w:tc>
          <w:tcPr>
            <w:tcW w:w="1990" w:type="dxa"/>
          </w:tcPr>
          <w:p w14:paraId="1C34E836" w14:textId="77777777" w:rsidR="004C558F" w:rsidRDefault="00461887">
            <w:pPr>
              <w:pStyle w:val="TableParagraph"/>
              <w:spacing w:before="14"/>
              <w:ind w:right="104"/>
            </w:pPr>
            <w:r>
              <w:rPr>
                <w:spacing w:val="-4"/>
              </w:rPr>
              <w:t>0.96</w:t>
            </w:r>
          </w:p>
        </w:tc>
      </w:tr>
      <w:tr w:rsidR="004C558F" w14:paraId="1C34E83A" w14:textId="77777777">
        <w:trPr>
          <w:trHeight w:val="316"/>
        </w:trPr>
        <w:tc>
          <w:tcPr>
            <w:tcW w:w="7090" w:type="dxa"/>
          </w:tcPr>
          <w:p w14:paraId="1C34E838" w14:textId="77777777" w:rsidR="004C558F" w:rsidRDefault="00461887">
            <w:pPr>
              <w:pStyle w:val="TableParagraph"/>
              <w:spacing w:before="14"/>
              <w:ind w:left="115"/>
              <w:jc w:val="left"/>
            </w:pPr>
            <w:r>
              <w:t>Newton-Wellesley</w:t>
            </w:r>
            <w:r>
              <w:rPr>
                <w:spacing w:val="-11"/>
              </w:rPr>
              <w:t xml:space="preserve"> </w:t>
            </w:r>
            <w:r>
              <w:rPr>
                <w:spacing w:val="-2"/>
              </w:rPr>
              <w:t>Hospital</w:t>
            </w:r>
          </w:p>
        </w:tc>
        <w:tc>
          <w:tcPr>
            <w:tcW w:w="1990" w:type="dxa"/>
          </w:tcPr>
          <w:p w14:paraId="1C34E839" w14:textId="77777777" w:rsidR="004C558F" w:rsidRDefault="00461887">
            <w:pPr>
              <w:pStyle w:val="TableParagraph"/>
              <w:spacing w:before="14"/>
              <w:ind w:right="104"/>
            </w:pPr>
            <w:r>
              <w:rPr>
                <w:spacing w:val="-4"/>
              </w:rPr>
              <w:t>0.95</w:t>
            </w:r>
          </w:p>
        </w:tc>
      </w:tr>
      <w:tr w:rsidR="004C558F" w14:paraId="1C34E83D" w14:textId="77777777">
        <w:trPr>
          <w:trHeight w:val="313"/>
        </w:trPr>
        <w:tc>
          <w:tcPr>
            <w:tcW w:w="7090" w:type="dxa"/>
          </w:tcPr>
          <w:p w14:paraId="1C34E83B" w14:textId="77777777" w:rsidR="004C558F" w:rsidRDefault="00461887">
            <w:pPr>
              <w:pStyle w:val="TableParagraph"/>
              <w:spacing w:before="14"/>
              <w:ind w:left="115"/>
              <w:jc w:val="left"/>
            </w:pPr>
            <w:r>
              <w:t>Lowell</w:t>
            </w:r>
            <w:r>
              <w:rPr>
                <w:spacing w:val="-6"/>
              </w:rPr>
              <w:t xml:space="preserve"> </w:t>
            </w:r>
            <w:r>
              <w:t>General</w:t>
            </w:r>
            <w:r>
              <w:rPr>
                <w:spacing w:val="-5"/>
              </w:rPr>
              <w:t xml:space="preserve"> </w:t>
            </w:r>
            <w:r>
              <w:rPr>
                <w:spacing w:val="-2"/>
              </w:rPr>
              <w:t>Hospital</w:t>
            </w:r>
          </w:p>
        </w:tc>
        <w:tc>
          <w:tcPr>
            <w:tcW w:w="1990" w:type="dxa"/>
          </w:tcPr>
          <w:p w14:paraId="1C34E83C" w14:textId="77777777" w:rsidR="004C558F" w:rsidRDefault="00461887">
            <w:pPr>
              <w:pStyle w:val="TableParagraph"/>
              <w:spacing w:before="14"/>
              <w:ind w:right="104"/>
            </w:pPr>
            <w:r>
              <w:rPr>
                <w:spacing w:val="-4"/>
              </w:rPr>
              <w:t>0.91</w:t>
            </w:r>
          </w:p>
        </w:tc>
      </w:tr>
      <w:tr w:rsidR="004C558F" w14:paraId="1C34E840" w14:textId="77777777">
        <w:trPr>
          <w:trHeight w:val="313"/>
        </w:trPr>
        <w:tc>
          <w:tcPr>
            <w:tcW w:w="7090" w:type="dxa"/>
          </w:tcPr>
          <w:p w14:paraId="1C34E83E" w14:textId="77777777" w:rsidR="004C558F" w:rsidRDefault="00461887">
            <w:pPr>
              <w:pStyle w:val="TableParagraph"/>
              <w:spacing w:before="14"/>
              <w:ind w:left="115"/>
              <w:jc w:val="left"/>
            </w:pPr>
            <w:r>
              <w:t>Milford</w:t>
            </w:r>
            <w:r>
              <w:rPr>
                <w:spacing w:val="-4"/>
              </w:rPr>
              <w:t xml:space="preserve"> </w:t>
            </w:r>
            <w:r>
              <w:t>Regional</w:t>
            </w:r>
            <w:r>
              <w:rPr>
                <w:spacing w:val="-8"/>
              </w:rPr>
              <w:t xml:space="preserve"> </w:t>
            </w:r>
            <w:r>
              <w:t>Medical</w:t>
            </w:r>
            <w:r>
              <w:rPr>
                <w:spacing w:val="-7"/>
              </w:rPr>
              <w:t xml:space="preserve"> </w:t>
            </w:r>
            <w:r>
              <w:rPr>
                <w:spacing w:val="-2"/>
              </w:rPr>
              <w:t>Center</w:t>
            </w:r>
          </w:p>
        </w:tc>
        <w:tc>
          <w:tcPr>
            <w:tcW w:w="1990" w:type="dxa"/>
          </w:tcPr>
          <w:p w14:paraId="1C34E83F" w14:textId="77777777" w:rsidR="004C558F" w:rsidRDefault="00461887">
            <w:pPr>
              <w:pStyle w:val="TableParagraph"/>
              <w:spacing w:before="14"/>
              <w:ind w:right="104"/>
            </w:pPr>
            <w:r>
              <w:rPr>
                <w:spacing w:val="-4"/>
              </w:rPr>
              <w:t>0.91</w:t>
            </w:r>
          </w:p>
        </w:tc>
      </w:tr>
      <w:tr w:rsidR="004C558F" w14:paraId="1C34E843" w14:textId="77777777">
        <w:trPr>
          <w:trHeight w:val="316"/>
        </w:trPr>
        <w:tc>
          <w:tcPr>
            <w:tcW w:w="7090" w:type="dxa"/>
          </w:tcPr>
          <w:p w14:paraId="1C34E841" w14:textId="77777777" w:rsidR="004C558F" w:rsidRDefault="00461887">
            <w:pPr>
              <w:pStyle w:val="TableParagraph"/>
              <w:spacing w:before="14"/>
              <w:ind w:left="115"/>
              <w:jc w:val="left"/>
            </w:pPr>
            <w:r>
              <w:t>Northeast</w:t>
            </w:r>
            <w:r>
              <w:rPr>
                <w:spacing w:val="-5"/>
              </w:rPr>
              <w:t xml:space="preserve"> </w:t>
            </w:r>
            <w:r>
              <w:rPr>
                <w:spacing w:val="-2"/>
              </w:rPr>
              <w:t>Hospital</w:t>
            </w:r>
          </w:p>
        </w:tc>
        <w:tc>
          <w:tcPr>
            <w:tcW w:w="1990" w:type="dxa"/>
          </w:tcPr>
          <w:p w14:paraId="1C34E842" w14:textId="77777777" w:rsidR="004C558F" w:rsidRDefault="00461887">
            <w:pPr>
              <w:pStyle w:val="TableParagraph"/>
              <w:spacing w:before="14"/>
              <w:ind w:right="104"/>
            </w:pPr>
            <w:r>
              <w:rPr>
                <w:spacing w:val="-4"/>
              </w:rPr>
              <w:t>0.89</w:t>
            </w:r>
          </w:p>
        </w:tc>
      </w:tr>
      <w:tr w:rsidR="004C558F" w14:paraId="1C34E846" w14:textId="77777777">
        <w:trPr>
          <w:trHeight w:val="313"/>
        </w:trPr>
        <w:tc>
          <w:tcPr>
            <w:tcW w:w="7090" w:type="dxa"/>
          </w:tcPr>
          <w:p w14:paraId="1C34E844" w14:textId="77777777" w:rsidR="004C558F" w:rsidRDefault="00461887">
            <w:pPr>
              <w:pStyle w:val="TableParagraph"/>
              <w:spacing w:before="14"/>
              <w:ind w:left="115"/>
              <w:jc w:val="left"/>
            </w:pPr>
            <w:r>
              <w:t>South</w:t>
            </w:r>
            <w:r>
              <w:rPr>
                <w:spacing w:val="-3"/>
              </w:rPr>
              <w:t xml:space="preserve"> </w:t>
            </w:r>
            <w:r>
              <w:t>Shore</w:t>
            </w:r>
            <w:r>
              <w:rPr>
                <w:spacing w:val="-3"/>
              </w:rPr>
              <w:t xml:space="preserve"> </w:t>
            </w:r>
            <w:r>
              <w:rPr>
                <w:spacing w:val="-2"/>
              </w:rPr>
              <w:t>Hospital</w:t>
            </w:r>
          </w:p>
        </w:tc>
        <w:tc>
          <w:tcPr>
            <w:tcW w:w="1990" w:type="dxa"/>
          </w:tcPr>
          <w:p w14:paraId="1C34E845" w14:textId="77777777" w:rsidR="004C558F" w:rsidRDefault="00461887">
            <w:pPr>
              <w:pStyle w:val="TableParagraph"/>
              <w:spacing w:before="14"/>
              <w:ind w:right="104"/>
            </w:pPr>
            <w:r>
              <w:rPr>
                <w:spacing w:val="-4"/>
              </w:rPr>
              <w:t>0.88</w:t>
            </w:r>
          </w:p>
        </w:tc>
      </w:tr>
      <w:tr w:rsidR="004C558F" w14:paraId="1C34E849" w14:textId="77777777">
        <w:trPr>
          <w:trHeight w:val="316"/>
        </w:trPr>
        <w:tc>
          <w:tcPr>
            <w:tcW w:w="7090" w:type="dxa"/>
          </w:tcPr>
          <w:p w14:paraId="1C34E847" w14:textId="77777777" w:rsidR="004C558F" w:rsidRDefault="00461887">
            <w:pPr>
              <w:pStyle w:val="TableParagraph"/>
              <w:spacing w:before="14"/>
              <w:ind w:left="115"/>
              <w:jc w:val="left"/>
            </w:pPr>
            <w:r>
              <w:t>Winchester</w:t>
            </w:r>
            <w:r>
              <w:rPr>
                <w:spacing w:val="-7"/>
              </w:rPr>
              <w:t xml:space="preserve"> </w:t>
            </w:r>
            <w:r>
              <w:rPr>
                <w:spacing w:val="-2"/>
              </w:rPr>
              <w:t>Hospital</w:t>
            </w:r>
          </w:p>
        </w:tc>
        <w:tc>
          <w:tcPr>
            <w:tcW w:w="1990" w:type="dxa"/>
          </w:tcPr>
          <w:p w14:paraId="1C34E848" w14:textId="77777777" w:rsidR="004C558F" w:rsidRDefault="00461887">
            <w:pPr>
              <w:pStyle w:val="TableParagraph"/>
              <w:spacing w:before="14"/>
              <w:ind w:right="104"/>
            </w:pPr>
            <w:r>
              <w:rPr>
                <w:spacing w:val="-4"/>
              </w:rPr>
              <w:t>0.87</w:t>
            </w:r>
          </w:p>
        </w:tc>
      </w:tr>
    </w:tbl>
    <w:p w14:paraId="1C34E84A" w14:textId="77777777" w:rsidR="004C558F" w:rsidRDefault="00461887">
      <w:pPr>
        <w:spacing w:before="10" w:line="276" w:lineRule="auto"/>
        <w:ind w:left="960" w:right="1039"/>
        <w:rPr>
          <w:sz w:val="20"/>
        </w:rPr>
      </w:pPr>
      <w:r>
        <w:rPr>
          <w:sz w:val="20"/>
        </w:rPr>
        <w:t xml:space="preserve">Source: HPC analysis of 2022 CHIA hospital cost report data, the 2022 CHIA hospital discharge database, and the 2022 CMS Medicare impact file downloaded from </w:t>
      </w:r>
      <w:hyperlink r:id="rId34">
        <w:r>
          <w:rPr>
            <w:color w:val="486794"/>
            <w:spacing w:val="-2"/>
            <w:sz w:val="20"/>
            <w:u w:val="single" w:color="486794"/>
          </w:rPr>
          <w:t>https://www.cms.gov/medicare/payment/prospective-payment-systems/acute-inpatient-pps/fy-2022-ipps-</w:t>
        </w:r>
      </w:hyperlink>
      <w:r>
        <w:rPr>
          <w:color w:val="486794"/>
          <w:spacing w:val="-2"/>
          <w:sz w:val="20"/>
        </w:rPr>
        <w:t xml:space="preserve"> </w:t>
      </w:r>
      <w:hyperlink r:id="rId35">
        <w:r>
          <w:rPr>
            <w:color w:val="486794"/>
            <w:spacing w:val="-2"/>
            <w:sz w:val="20"/>
            <w:u w:val="single" w:color="486794"/>
          </w:rPr>
          <w:t>final-rule-home-page</w:t>
        </w:r>
      </w:hyperlink>
    </w:p>
    <w:p w14:paraId="1C34E84B" w14:textId="77777777" w:rsidR="004C558F" w:rsidRDefault="004C558F">
      <w:pPr>
        <w:pStyle w:val="BodyText"/>
        <w:spacing w:before="148"/>
        <w:rPr>
          <w:sz w:val="26"/>
        </w:rPr>
      </w:pPr>
    </w:p>
    <w:p w14:paraId="1C34E84C" w14:textId="77777777" w:rsidR="004C558F" w:rsidRDefault="00461887">
      <w:pPr>
        <w:pStyle w:val="Heading3"/>
        <w:numPr>
          <w:ilvl w:val="2"/>
          <w:numId w:val="16"/>
        </w:numPr>
        <w:tabs>
          <w:tab w:val="left" w:pos="958"/>
          <w:tab w:val="left" w:pos="960"/>
        </w:tabs>
        <w:ind w:left="960" w:right="1089" w:hanging="361"/>
        <w:rPr>
          <w:color w:val="042339"/>
        </w:rPr>
      </w:pPr>
      <w:bookmarkStart w:id="110" w:name="4._DFCI_commercial_outpatient_prices_are"/>
      <w:bookmarkEnd w:id="110"/>
      <w:r>
        <w:rPr>
          <w:color w:val="042339"/>
        </w:rPr>
        <w:t>DFCI</w:t>
      </w:r>
      <w:r>
        <w:rPr>
          <w:color w:val="042339"/>
          <w:spacing w:val="-5"/>
        </w:rPr>
        <w:t xml:space="preserve"> </w:t>
      </w:r>
      <w:r>
        <w:rPr>
          <w:color w:val="042339"/>
        </w:rPr>
        <w:t>commercial</w:t>
      </w:r>
      <w:r>
        <w:rPr>
          <w:color w:val="042339"/>
          <w:spacing w:val="-7"/>
        </w:rPr>
        <w:t xml:space="preserve"> </w:t>
      </w:r>
      <w:r>
        <w:rPr>
          <w:color w:val="042339"/>
        </w:rPr>
        <w:t>outpatient</w:t>
      </w:r>
      <w:r>
        <w:rPr>
          <w:color w:val="042339"/>
          <w:spacing w:val="-5"/>
        </w:rPr>
        <w:t xml:space="preserve"> </w:t>
      </w:r>
      <w:r>
        <w:rPr>
          <w:color w:val="042339"/>
        </w:rPr>
        <w:t>prices</w:t>
      </w:r>
      <w:r>
        <w:rPr>
          <w:color w:val="042339"/>
          <w:spacing w:val="-3"/>
        </w:rPr>
        <w:t xml:space="preserve"> </w:t>
      </w:r>
      <w:r>
        <w:rPr>
          <w:color w:val="042339"/>
        </w:rPr>
        <w:t>are</w:t>
      </w:r>
      <w:r>
        <w:rPr>
          <w:color w:val="042339"/>
          <w:spacing w:val="-5"/>
        </w:rPr>
        <w:t xml:space="preserve"> </w:t>
      </w:r>
      <w:r>
        <w:rPr>
          <w:color w:val="042339"/>
        </w:rPr>
        <w:t>generally</w:t>
      </w:r>
      <w:r>
        <w:rPr>
          <w:color w:val="042339"/>
          <w:spacing w:val="-5"/>
        </w:rPr>
        <w:t xml:space="preserve"> </w:t>
      </w:r>
      <w:r>
        <w:rPr>
          <w:color w:val="042339"/>
        </w:rPr>
        <w:t>higher</w:t>
      </w:r>
      <w:r>
        <w:rPr>
          <w:color w:val="042339"/>
          <w:spacing w:val="-5"/>
        </w:rPr>
        <w:t xml:space="preserve"> </w:t>
      </w:r>
      <w:r>
        <w:rPr>
          <w:color w:val="042339"/>
        </w:rPr>
        <w:t>than</w:t>
      </w:r>
      <w:r>
        <w:rPr>
          <w:color w:val="042339"/>
          <w:spacing w:val="-4"/>
        </w:rPr>
        <w:t xml:space="preserve"> </w:t>
      </w:r>
      <w:r>
        <w:rPr>
          <w:color w:val="042339"/>
        </w:rPr>
        <w:t>outpatient</w:t>
      </w:r>
      <w:r>
        <w:rPr>
          <w:color w:val="042339"/>
          <w:spacing w:val="-5"/>
        </w:rPr>
        <w:t xml:space="preserve"> </w:t>
      </w:r>
      <w:r>
        <w:rPr>
          <w:color w:val="042339"/>
        </w:rPr>
        <w:t>oncology prices of other Massachusetts hospitals, while BIDMC’s are generally moderate.</w:t>
      </w:r>
    </w:p>
    <w:p w14:paraId="1C34E84D" w14:textId="77777777" w:rsidR="004C558F" w:rsidRDefault="00461887">
      <w:pPr>
        <w:pStyle w:val="BodyText"/>
        <w:spacing w:before="81" w:line="276" w:lineRule="auto"/>
        <w:ind w:left="959" w:right="752" w:firstLine="720"/>
      </w:pPr>
      <w:r>
        <w:t>The HPC examined commercial prices in service lines commonly provided as part of outpatient</w:t>
      </w:r>
      <w:r>
        <w:rPr>
          <w:spacing w:val="-6"/>
        </w:rPr>
        <w:t xml:space="preserve"> </w:t>
      </w:r>
      <w:r>
        <w:t>oncology</w:t>
      </w:r>
      <w:r>
        <w:rPr>
          <w:spacing w:val="-5"/>
        </w:rPr>
        <w:t xml:space="preserve"> </w:t>
      </w:r>
      <w:r>
        <w:t>care,</w:t>
      </w:r>
      <w:r>
        <w:rPr>
          <w:spacing w:val="-4"/>
        </w:rPr>
        <w:t xml:space="preserve"> </w:t>
      </w:r>
      <w:r>
        <w:t>including</w:t>
      </w:r>
      <w:r>
        <w:rPr>
          <w:spacing w:val="-5"/>
        </w:rPr>
        <w:t xml:space="preserve"> </w:t>
      </w:r>
      <w:r>
        <w:t>medical</w:t>
      </w:r>
      <w:r>
        <w:rPr>
          <w:spacing w:val="-5"/>
        </w:rPr>
        <w:t xml:space="preserve"> </w:t>
      </w:r>
      <w:r>
        <w:t>oncology,</w:t>
      </w:r>
      <w:r>
        <w:rPr>
          <w:spacing w:val="-4"/>
        </w:rPr>
        <w:t xml:space="preserve"> </w:t>
      </w:r>
      <w:r>
        <w:t>radiation</w:t>
      </w:r>
      <w:r>
        <w:rPr>
          <w:spacing w:val="-4"/>
        </w:rPr>
        <w:t xml:space="preserve"> </w:t>
      </w:r>
      <w:r>
        <w:t>oncology,</w:t>
      </w:r>
      <w:r>
        <w:rPr>
          <w:spacing w:val="-4"/>
        </w:rPr>
        <w:t xml:space="preserve"> </w:t>
      </w:r>
      <w:r>
        <w:t>diagnostic</w:t>
      </w:r>
      <w:r>
        <w:rPr>
          <w:spacing w:val="-4"/>
        </w:rPr>
        <w:t xml:space="preserve"> </w:t>
      </w:r>
      <w:r>
        <w:t>radiology (separately by imaging modality), laboratory and pathology services, and evaluation and management visits with medical oncologists.</w:t>
      </w:r>
    </w:p>
    <w:p w14:paraId="1C34E84E" w14:textId="77777777" w:rsidR="004C558F" w:rsidRDefault="004C558F">
      <w:pPr>
        <w:pStyle w:val="BodyText"/>
        <w:rPr>
          <w:sz w:val="20"/>
        </w:rPr>
      </w:pPr>
    </w:p>
    <w:p w14:paraId="1C34E84F" w14:textId="77777777" w:rsidR="004C558F" w:rsidRDefault="004C558F">
      <w:pPr>
        <w:pStyle w:val="BodyText"/>
        <w:rPr>
          <w:sz w:val="20"/>
        </w:rPr>
      </w:pPr>
    </w:p>
    <w:p w14:paraId="1C34E850" w14:textId="3E746937" w:rsidR="004C558F" w:rsidRDefault="004C558F">
      <w:pPr>
        <w:pStyle w:val="BodyText"/>
        <w:spacing w:before="207"/>
        <w:rPr>
          <w:sz w:val="20"/>
        </w:rPr>
      </w:pPr>
    </w:p>
    <w:p w14:paraId="1C34E853" w14:textId="77777777" w:rsidR="004C558F" w:rsidRDefault="004C558F">
      <w:pPr>
        <w:rPr>
          <w:sz w:val="20"/>
        </w:rPr>
        <w:sectPr w:rsidR="004C558F">
          <w:pgSz w:w="12240" w:h="15840"/>
          <w:pgMar w:top="1360" w:right="740" w:bottom="720" w:left="480" w:header="0" w:footer="521" w:gutter="0"/>
          <w:cols w:space="720"/>
        </w:sectPr>
      </w:pPr>
      <w:bookmarkStart w:id="111" w:name="_bookmark133"/>
      <w:bookmarkEnd w:id="111"/>
    </w:p>
    <w:p w14:paraId="1C34E854" w14:textId="77777777" w:rsidR="004C558F" w:rsidRDefault="00461887">
      <w:pPr>
        <w:pStyle w:val="ListParagraph"/>
        <w:numPr>
          <w:ilvl w:val="3"/>
          <w:numId w:val="16"/>
        </w:numPr>
        <w:tabs>
          <w:tab w:val="left" w:pos="958"/>
        </w:tabs>
        <w:spacing w:before="80"/>
        <w:ind w:left="958" w:hanging="358"/>
      </w:pPr>
      <w:bookmarkStart w:id="112" w:name="a._Oncologic_Drugs"/>
      <w:bookmarkEnd w:id="112"/>
      <w:r>
        <w:rPr>
          <w:color w:val="063656"/>
        </w:rPr>
        <w:lastRenderedPageBreak/>
        <w:t>Oncologic</w:t>
      </w:r>
      <w:r>
        <w:rPr>
          <w:color w:val="063656"/>
          <w:spacing w:val="-8"/>
        </w:rPr>
        <w:t xml:space="preserve"> </w:t>
      </w:r>
      <w:r>
        <w:rPr>
          <w:color w:val="063656"/>
          <w:spacing w:val="-2"/>
        </w:rPr>
        <w:t>Drugs</w:t>
      </w:r>
    </w:p>
    <w:p w14:paraId="1C34E855" w14:textId="77777777" w:rsidR="004C558F" w:rsidRDefault="004C558F">
      <w:pPr>
        <w:pStyle w:val="BodyText"/>
        <w:spacing w:before="77"/>
      </w:pPr>
    </w:p>
    <w:p w14:paraId="1C34E856" w14:textId="65D7DA94" w:rsidR="004C558F" w:rsidRDefault="00461887">
      <w:pPr>
        <w:pStyle w:val="BodyText"/>
        <w:spacing w:line="276" w:lineRule="auto"/>
        <w:ind w:left="959" w:right="1009" w:firstLine="720"/>
      </w:pPr>
      <w:r>
        <w:t>In</w:t>
      </w:r>
      <w:r>
        <w:rPr>
          <w:spacing w:val="-2"/>
        </w:rPr>
        <w:t xml:space="preserve"> </w:t>
      </w:r>
      <w:r>
        <w:t>its</w:t>
      </w:r>
      <w:r>
        <w:rPr>
          <w:spacing w:val="-2"/>
        </w:rPr>
        <w:t xml:space="preserve"> </w:t>
      </w:r>
      <w:r>
        <w:t>examinations</w:t>
      </w:r>
      <w:r>
        <w:rPr>
          <w:spacing w:val="-2"/>
        </w:rPr>
        <w:t xml:space="preserve"> </w:t>
      </w:r>
      <w:r>
        <w:t>of</w:t>
      </w:r>
      <w:r>
        <w:rPr>
          <w:spacing w:val="-1"/>
        </w:rPr>
        <w:t xml:space="preserve"> </w:t>
      </w:r>
      <w:r>
        <w:t>prices</w:t>
      </w:r>
      <w:r>
        <w:rPr>
          <w:spacing w:val="-2"/>
        </w:rPr>
        <w:t xml:space="preserve"> </w:t>
      </w:r>
      <w:r>
        <w:t>for</w:t>
      </w:r>
      <w:r>
        <w:rPr>
          <w:spacing w:val="-3"/>
        </w:rPr>
        <w:t xml:space="preserve"> </w:t>
      </w:r>
      <w:r>
        <w:t>oncologic</w:t>
      </w:r>
      <w:r>
        <w:rPr>
          <w:spacing w:val="-4"/>
        </w:rPr>
        <w:t xml:space="preserve"> </w:t>
      </w:r>
      <w:r>
        <w:t>and</w:t>
      </w:r>
      <w:r>
        <w:rPr>
          <w:spacing w:val="-1"/>
        </w:rPr>
        <w:t xml:space="preserve"> </w:t>
      </w:r>
      <w:r>
        <w:t>other</w:t>
      </w:r>
      <w:r>
        <w:rPr>
          <w:spacing w:val="-5"/>
        </w:rPr>
        <w:t xml:space="preserve"> </w:t>
      </w:r>
      <w:r>
        <w:t>clinician-administered</w:t>
      </w:r>
      <w:r>
        <w:rPr>
          <w:spacing w:val="-1"/>
        </w:rPr>
        <w:t xml:space="preserve"> </w:t>
      </w:r>
      <w:r>
        <w:t>drugs,</w:t>
      </w:r>
      <w:r>
        <w:rPr>
          <w:spacing w:val="-2"/>
        </w:rPr>
        <w:t xml:space="preserve"> </w:t>
      </w:r>
      <w:r>
        <w:t>the</w:t>
      </w:r>
      <w:r>
        <w:rPr>
          <w:spacing w:val="-2"/>
        </w:rPr>
        <w:t xml:space="preserve"> </w:t>
      </w:r>
      <w:r>
        <w:t>HPC has consistently found substantial variation in commercial prices between providers. The HPC’s 2018 Cost Trends Report contained an analysis of the 2016 commercial prices for 15 high- volume chemotherapy drugs, as shown in Figure III.A.6 below.</w:t>
      </w:r>
      <w:r>
        <w:rPr>
          <w:spacing w:val="-33"/>
        </w:rPr>
        <w:t xml:space="preserve"> </w:t>
      </w:r>
      <w:r w:rsidR="008F79B1">
        <w:rPr>
          <w:rStyle w:val="FootnoteReference"/>
          <w:spacing w:val="-33"/>
        </w:rPr>
        <w:footnoteReference w:id="113"/>
      </w:r>
      <w:r>
        <w:t>The analysis found that for all but one of the drugs examined, the price at the highest-priced hospital was more than twice the price at the lowest-priced hospital. It also found that the two hospitals that provided the highest volume of the drugs examined had the highest prices for chemotherapy drugs. These two hospitals</w:t>
      </w:r>
      <w:r>
        <w:rPr>
          <w:spacing w:val="-2"/>
        </w:rPr>
        <w:t xml:space="preserve"> </w:t>
      </w:r>
      <w:r>
        <w:t>with</w:t>
      </w:r>
      <w:r>
        <w:rPr>
          <w:spacing w:val="-2"/>
        </w:rPr>
        <w:t xml:space="preserve"> </w:t>
      </w:r>
      <w:r>
        <w:t>the</w:t>
      </w:r>
      <w:r>
        <w:rPr>
          <w:spacing w:val="-4"/>
        </w:rPr>
        <w:t xml:space="preserve"> </w:t>
      </w:r>
      <w:r>
        <w:t>highest</w:t>
      </w:r>
      <w:r>
        <w:rPr>
          <w:spacing w:val="-5"/>
        </w:rPr>
        <w:t xml:space="preserve"> </w:t>
      </w:r>
      <w:r>
        <w:t>volume</w:t>
      </w:r>
      <w:r>
        <w:rPr>
          <w:spacing w:val="-4"/>
        </w:rPr>
        <w:t xml:space="preserve"> </w:t>
      </w:r>
      <w:r>
        <w:t>and</w:t>
      </w:r>
      <w:r>
        <w:rPr>
          <w:spacing w:val="-1"/>
        </w:rPr>
        <w:t xml:space="preserve"> </w:t>
      </w:r>
      <w:r>
        <w:t>the</w:t>
      </w:r>
      <w:r>
        <w:rPr>
          <w:spacing w:val="-4"/>
        </w:rPr>
        <w:t xml:space="preserve"> </w:t>
      </w:r>
      <w:r>
        <w:t>highest</w:t>
      </w:r>
      <w:r>
        <w:rPr>
          <w:spacing w:val="-3"/>
        </w:rPr>
        <w:t xml:space="preserve"> </w:t>
      </w:r>
      <w:r>
        <w:t>chemotherapy</w:t>
      </w:r>
      <w:r>
        <w:rPr>
          <w:spacing w:val="-5"/>
        </w:rPr>
        <w:t xml:space="preserve"> </w:t>
      </w:r>
      <w:r>
        <w:t>drug</w:t>
      </w:r>
      <w:r>
        <w:rPr>
          <w:spacing w:val="-3"/>
        </w:rPr>
        <w:t xml:space="preserve"> </w:t>
      </w:r>
      <w:r>
        <w:t>prices</w:t>
      </w:r>
      <w:r>
        <w:rPr>
          <w:spacing w:val="-2"/>
        </w:rPr>
        <w:t xml:space="preserve"> </w:t>
      </w:r>
      <w:r>
        <w:t>were</w:t>
      </w:r>
      <w:r>
        <w:rPr>
          <w:spacing w:val="-2"/>
        </w:rPr>
        <w:t xml:space="preserve"> </w:t>
      </w:r>
      <w:r>
        <w:t>DFCI</w:t>
      </w:r>
      <w:r>
        <w:rPr>
          <w:spacing w:val="-2"/>
        </w:rPr>
        <w:t xml:space="preserve"> </w:t>
      </w:r>
      <w:r>
        <w:t>and</w:t>
      </w:r>
      <w:r>
        <w:rPr>
          <w:spacing w:val="-4"/>
        </w:rPr>
        <w:t xml:space="preserve"> </w:t>
      </w:r>
      <w:r>
        <w:t>MGH.</w:t>
      </w:r>
    </w:p>
    <w:p w14:paraId="1C34E857" w14:textId="77777777" w:rsidR="004C558F" w:rsidRDefault="004C558F">
      <w:pPr>
        <w:pStyle w:val="BodyText"/>
        <w:spacing w:before="38"/>
      </w:pPr>
    </w:p>
    <w:p w14:paraId="1C34E858" w14:textId="77777777" w:rsidR="004C558F" w:rsidRDefault="00461887">
      <w:pPr>
        <w:pStyle w:val="BodyText"/>
        <w:spacing w:after="4" w:line="273" w:lineRule="auto"/>
        <w:ind w:left="4524" w:right="702" w:hanging="3204"/>
      </w:pPr>
      <w:r>
        <w:t>Figure</w:t>
      </w:r>
      <w:r>
        <w:rPr>
          <w:spacing w:val="-1"/>
        </w:rPr>
        <w:t xml:space="preserve"> </w:t>
      </w:r>
      <w:r>
        <w:t>III.A.6:</w:t>
      </w:r>
      <w:r>
        <w:rPr>
          <w:spacing w:val="-1"/>
        </w:rPr>
        <w:t xml:space="preserve"> </w:t>
      </w:r>
      <w:r>
        <w:t>Variation</w:t>
      </w:r>
      <w:r>
        <w:rPr>
          <w:spacing w:val="-1"/>
        </w:rPr>
        <w:t xml:space="preserve"> </w:t>
      </w:r>
      <w:r>
        <w:t>by</w:t>
      </w:r>
      <w:r>
        <w:rPr>
          <w:spacing w:val="-2"/>
        </w:rPr>
        <w:t xml:space="preserve"> </w:t>
      </w:r>
      <w:r>
        <w:t>hospital</w:t>
      </w:r>
      <w:r>
        <w:rPr>
          <w:spacing w:val="-2"/>
        </w:rPr>
        <w:t xml:space="preserve"> </w:t>
      </w:r>
      <w:r>
        <w:t>in</w:t>
      </w:r>
      <w:r>
        <w:rPr>
          <w:spacing w:val="-3"/>
        </w:rPr>
        <w:t xml:space="preserve"> </w:t>
      </w:r>
      <w:r>
        <w:t>chemotherapy</w:t>
      </w:r>
      <w:r>
        <w:rPr>
          <w:spacing w:val="-4"/>
        </w:rPr>
        <w:t xml:space="preserve"> </w:t>
      </w:r>
      <w:r>
        <w:t>drug</w:t>
      </w:r>
      <w:r>
        <w:rPr>
          <w:spacing w:val="-2"/>
        </w:rPr>
        <w:t xml:space="preserve"> </w:t>
      </w:r>
      <w:r>
        <w:t>unit</w:t>
      </w:r>
      <w:r>
        <w:rPr>
          <w:spacing w:val="-2"/>
        </w:rPr>
        <w:t xml:space="preserve"> </w:t>
      </w:r>
      <w:r>
        <w:t>prices</w:t>
      </w:r>
      <w:r>
        <w:rPr>
          <w:spacing w:val="-3"/>
        </w:rPr>
        <w:t xml:space="preserve"> </w:t>
      </w:r>
      <w:r>
        <w:t>and</w:t>
      </w:r>
      <w:r>
        <w:rPr>
          <w:spacing w:val="-1"/>
        </w:rPr>
        <w:t xml:space="preserve"> </w:t>
      </w:r>
      <w:r>
        <w:t>volume,</w:t>
      </w:r>
      <w:r>
        <w:rPr>
          <w:spacing w:val="-1"/>
        </w:rPr>
        <w:t xml:space="preserve"> </w:t>
      </w:r>
      <w:r>
        <w:t>2016</w:t>
      </w:r>
      <w:r>
        <w:rPr>
          <w:spacing w:val="-4"/>
        </w:rPr>
        <w:t xml:space="preserve"> </w:t>
      </w:r>
      <w:r>
        <w:t>(as previously published)</w:t>
      </w:r>
    </w:p>
    <w:p w14:paraId="1C34E859" w14:textId="77777777" w:rsidR="004C558F" w:rsidRDefault="00461887">
      <w:pPr>
        <w:pStyle w:val="BodyText"/>
        <w:ind w:left="960"/>
        <w:rPr>
          <w:sz w:val="20"/>
        </w:rPr>
      </w:pPr>
      <w:r>
        <w:rPr>
          <w:noProof/>
          <w:sz w:val="20"/>
        </w:rPr>
        <w:drawing>
          <wp:inline distT="0" distB="0" distL="0" distR="0" wp14:anchorId="1C34F0F6" wp14:editId="7F0E31B4">
            <wp:extent cx="5929102" cy="3683793"/>
            <wp:effectExtent l="0" t="0" r="0" b="0"/>
            <wp:docPr id="62" name="Image 62" descr="Graph illustrating variation by hospital uin chemotherapy drug unit prices and volu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Graph illustrating variation by hospital uin chemotherapy drug unit prices and volume"/>
                    <pic:cNvPicPr/>
                  </pic:nvPicPr>
                  <pic:blipFill>
                    <a:blip r:embed="rId36" cstate="print"/>
                    <a:stretch>
                      <a:fillRect/>
                    </a:stretch>
                  </pic:blipFill>
                  <pic:spPr>
                    <a:xfrm>
                      <a:off x="0" y="0"/>
                      <a:ext cx="5929102" cy="3683793"/>
                    </a:xfrm>
                    <a:prstGeom prst="rect">
                      <a:avLst/>
                    </a:prstGeom>
                  </pic:spPr>
                </pic:pic>
              </a:graphicData>
            </a:graphic>
          </wp:inline>
        </w:drawing>
      </w:r>
    </w:p>
    <w:p w14:paraId="1C34E85A" w14:textId="77777777" w:rsidR="004C558F" w:rsidRDefault="00461887">
      <w:pPr>
        <w:spacing w:before="55" w:line="276" w:lineRule="auto"/>
        <w:ind w:left="960" w:right="991"/>
        <w:rPr>
          <w:sz w:val="20"/>
        </w:rPr>
      </w:pPr>
      <w:r>
        <w:rPr>
          <w:sz w:val="20"/>
        </w:rPr>
        <w:t>Notes:</w:t>
      </w:r>
      <w:r>
        <w:rPr>
          <w:spacing w:val="-2"/>
          <w:sz w:val="20"/>
        </w:rPr>
        <w:t xml:space="preserve"> </w:t>
      </w:r>
      <w:r>
        <w:rPr>
          <w:sz w:val="20"/>
        </w:rPr>
        <w:t>Data</w:t>
      </w:r>
      <w:r>
        <w:rPr>
          <w:spacing w:val="-3"/>
          <w:sz w:val="20"/>
        </w:rPr>
        <w:t xml:space="preserve"> </w:t>
      </w:r>
      <w:proofErr w:type="gramStart"/>
      <w:r>
        <w:rPr>
          <w:sz w:val="20"/>
        </w:rPr>
        <w:t>include</w:t>
      </w:r>
      <w:proofErr w:type="gramEnd"/>
      <w:r>
        <w:rPr>
          <w:spacing w:val="-4"/>
          <w:sz w:val="20"/>
        </w:rPr>
        <w:t xml:space="preserve"> </w:t>
      </w:r>
      <w:r>
        <w:rPr>
          <w:sz w:val="20"/>
        </w:rPr>
        <w:t>2016</w:t>
      </w:r>
      <w:r>
        <w:rPr>
          <w:spacing w:val="-2"/>
          <w:sz w:val="20"/>
        </w:rPr>
        <w:t xml:space="preserve"> </w:t>
      </w:r>
      <w:r>
        <w:rPr>
          <w:sz w:val="20"/>
        </w:rPr>
        <w:t>Blue</w:t>
      </w:r>
      <w:r>
        <w:rPr>
          <w:spacing w:val="-4"/>
          <w:sz w:val="20"/>
        </w:rPr>
        <w:t xml:space="preserve"> </w:t>
      </w:r>
      <w:r>
        <w:rPr>
          <w:sz w:val="20"/>
        </w:rPr>
        <w:t>Cross</w:t>
      </w:r>
      <w:r>
        <w:rPr>
          <w:spacing w:val="-2"/>
          <w:sz w:val="20"/>
        </w:rPr>
        <w:t xml:space="preserve"> </w:t>
      </w:r>
      <w:r>
        <w:rPr>
          <w:sz w:val="20"/>
        </w:rPr>
        <w:t>Blue</w:t>
      </w:r>
      <w:r>
        <w:rPr>
          <w:spacing w:val="-4"/>
          <w:sz w:val="20"/>
        </w:rPr>
        <w:t xml:space="preserve"> </w:t>
      </w:r>
      <w:r>
        <w:rPr>
          <w:sz w:val="20"/>
        </w:rPr>
        <w:t>Shield</w:t>
      </w:r>
      <w:r>
        <w:rPr>
          <w:spacing w:val="-2"/>
          <w:sz w:val="20"/>
        </w:rPr>
        <w:t xml:space="preserve"> </w:t>
      </w:r>
      <w:r>
        <w:rPr>
          <w:sz w:val="20"/>
        </w:rPr>
        <w:t>of</w:t>
      </w:r>
      <w:r>
        <w:rPr>
          <w:spacing w:val="-3"/>
          <w:sz w:val="20"/>
        </w:rPr>
        <w:t xml:space="preserve"> </w:t>
      </w:r>
      <w:r>
        <w:rPr>
          <w:sz w:val="20"/>
        </w:rPr>
        <w:t>Massachusetts</w:t>
      </w:r>
      <w:r>
        <w:rPr>
          <w:spacing w:val="-2"/>
          <w:sz w:val="20"/>
        </w:rPr>
        <w:t xml:space="preserve"> </w:t>
      </w:r>
      <w:r>
        <w:rPr>
          <w:sz w:val="20"/>
        </w:rPr>
        <w:t>and</w:t>
      </w:r>
      <w:r>
        <w:rPr>
          <w:spacing w:val="-2"/>
          <w:sz w:val="20"/>
        </w:rPr>
        <w:t xml:space="preserve"> </w:t>
      </w:r>
      <w:r>
        <w:rPr>
          <w:sz w:val="20"/>
        </w:rPr>
        <w:t>Tufts</w:t>
      </w:r>
      <w:r>
        <w:rPr>
          <w:spacing w:val="-4"/>
          <w:sz w:val="20"/>
        </w:rPr>
        <w:t xml:space="preserve"> </w:t>
      </w:r>
      <w:r>
        <w:rPr>
          <w:sz w:val="20"/>
        </w:rPr>
        <w:t>Health</w:t>
      </w:r>
      <w:r>
        <w:rPr>
          <w:spacing w:val="-3"/>
          <w:sz w:val="20"/>
        </w:rPr>
        <w:t xml:space="preserve"> </w:t>
      </w:r>
      <w:r>
        <w:rPr>
          <w:sz w:val="20"/>
        </w:rPr>
        <w:t>Plan</w:t>
      </w:r>
      <w:r>
        <w:rPr>
          <w:spacing w:val="-3"/>
          <w:sz w:val="20"/>
        </w:rPr>
        <w:t xml:space="preserve"> </w:t>
      </w:r>
      <w:r>
        <w:rPr>
          <w:sz w:val="20"/>
        </w:rPr>
        <w:t>claims.</w:t>
      </w:r>
      <w:r>
        <w:rPr>
          <w:spacing w:val="-2"/>
          <w:sz w:val="20"/>
        </w:rPr>
        <w:t xml:space="preserve"> </w:t>
      </w:r>
      <w:r>
        <w:rPr>
          <w:sz w:val="20"/>
        </w:rPr>
        <w:t>Sample includes all injectable chemotherapy drugs for which there were more than 10 claims in at least 10 hospitals in 2016. Each bubble represents one hospital in Massachusetts. The area of each bubble is scaled by the total number of units administered by each hospital. Prices represent volume-weighted averages</w:t>
      </w:r>
      <w:r>
        <w:rPr>
          <w:spacing w:val="-3"/>
          <w:sz w:val="20"/>
        </w:rPr>
        <w:t xml:space="preserve"> </w:t>
      </w:r>
      <w:r>
        <w:rPr>
          <w:sz w:val="20"/>
        </w:rPr>
        <w:t>of</w:t>
      </w:r>
      <w:r>
        <w:rPr>
          <w:spacing w:val="-3"/>
          <w:sz w:val="20"/>
        </w:rPr>
        <w:t xml:space="preserve"> </w:t>
      </w:r>
      <w:r>
        <w:rPr>
          <w:sz w:val="20"/>
        </w:rPr>
        <w:t>claims.</w:t>
      </w:r>
      <w:r>
        <w:rPr>
          <w:spacing w:val="-3"/>
          <w:sz w:val="20"/>
        </w:rPr>
        <w:t xml:space="preserve"> </w:t>
      </w:r>
      <w:r>
        <w:rPr>
          <w:sz w:val="20"/>
        </w:rPr>
        <w:t>Claims</w:t>
      </w:r>
      <w:r>
        <w:rPr>
          <w:spacing w:val="-3"/>
          <w:sz w:val="20"/>
        </w:rPr>
        <w:t xml:space="preserve"> </w:t>
      </w:r>
      <w:r>
        <w:rPr>
          <w:sz w:val="20"/>
        </w:rPr>
        <w:t>from</w:t>
      </w:r>
      <w:r>
        <w:rPr>
          <w:spacing w:val="-3"/>
          <w:sz w:val="20"/>
        </w:rPr>
        <w:t xml:space="preserve"> </w:t>
      </w:r>
      <w:r>
        <w:rPr>
          <w:sz w:val="20"/>
        </w:rPr>
        <w:t>Harvard</w:t>
      </w:r>
      <w:r>
        <w:rPr>
          <w:spacing w:val="-3"/>
          <w:sz w:val="20"/>
        </w:rPr>
        <w:t xml:space="preserve"> </w:t>
      </w:r>
      <w:r>
        <w:rPr>
          <w:sz w:val="20"/>
        </w:rPr>
        <w:t>Pilgrim</w:t>
      </w:r>
      <w:r>
        <w:rPr>
          <w:spacing w:val="-3"/>
          <w:sz w:val="20"/>
        </w:rPr>
        <w:t xml:space="preserve"> </w:t>
      </w:r>
      <w:r>
        <w:rPr>
          <w:sz w:val="20"/>
        </w:rPr>
        <w:t>Health</w:t>
      </w:r>
      <w:r>
        <w:rPr>
          <w:spacing w:val="-3"/>
          <w:sz w:val="20"/>
        </w:rPr>
        <w:t xml:space="preserve"> </w:t>
      </w:r>
      <w:r>
        <w:rPr>
          <w:sz w:val="20"/>
        </w:rPr>
        <w:t>Care</w:t>
      </w:r>
      <w:r>
        <w:rPr>
          <w:spacing w:val="-4"/>
          <w:sz w:val="20"/>
        </w:rPr>
        <w:t xml:space="preserve"> </w:t>
      </w:r>
      <w:r>
        <w:rPr>
          <w:sz w:val="20"/>
        </w:rPr>
        <w:t>were</w:t>
      </w:r>
      <w:r>
        <w:rPr>
          <w:spacing w:val="-2"/>
          <w:sz w:val="20"/>
        </w:rPr>
        <w:t xml:space="preserve"> </w:t>
      </w:r>
      <w:r>
        <w:rPr>
          <w:sz w:val="20"/>
        </w:rPr>
        <w:t>excluded</w:t>
      </w:r>
      <w:r>
        <w:rPr>
          <w:spacing w:val="-3"/>
          <w:sz w:val="20"/>
        </w:rPr>
        <w:t xml:space="preserve"> </w:t>
      </w:r>
      <w:r>
        <w:rPr>
          <w:sz w:val="20"/>
        </w:rPr>
        <w:t>due</w:t>
      </w:r>
      <w:r>
        <w:rPr>
          <w:spacing w:val="-4"/>
          <w:sz w:val="20"/>
        </w:rPr>
        <w:t xml:space="preserve"> </w:t>
      </w:r>
      <w:r>
        <w:rPr>
          <w:sz w:val="20"/>
        </w:rPr>
        <w:t>to</w:t>
      </w:r>
      <w:r>
        <w:rPr>
          <w:spacing w:val="-3"/>
          <w:sz w:val="20"/>
        </w:rPr>
        <w:t xml:space="preserve"> </w:t>
      </w:r>
      <w:r>
        <w:rPr>
          <w:sz w:val="20"/>
        </w:rPr>
        <w:t>coding</w:t>
      </w:r>
      <w:r>
        <w:rPr>
          <w:spacing w:val="-4"/>
          <w:sz w:val="20"/>
        </w:rPr>
        <w:t xml:space="preserve"> </w:t>
      </w:r>
      <w:r>
        <w:rPr>
          <w:sz w:val="20"/>
        </w:rPr>
        <w:t>anomalies.</w:t>
      </w:r>
      <w:r>
        <w:rPr>
          <w:spacing w:val="-3"/>
          <w:sz w:val="20"/>
        </w:rPr>
        <w:t xml:space="preserve"> </w:t>
      </w:r>
      <w:r>
        <w:rPr>
          <w:sz w:val="20"/>
        </w:rPr>
        <w:t>See Technical Appendix for additional data.</w:t>
      </w:r>
    </w:p>
    <w:p w14:paraId="1C34E85B" w14:textId="77777777" w:rsidR="004C558F" w:rsidRDefault="00461887">
      <w:pPr>
        <w:ind w:left="959"/>
        <w:rPr>
          <w:sz w:val="20"/>
        </w:rPr>
      </w:pPr>
      <w:r>
        <w:rPr>
          <w:sz w:val="20"/>
        </w:rPr>
        <w:t>Sources:</w:t>
      </w:r>
      <w:r>
        <w:rPr>
          <w:spacing w:val="-7"/>
          <w:sz w:val="20"/>
        </w:rPr>
        <w:t xml:space="preserve"> </w:t>
      </w:r>
      <w:r>
        <w:rPr>
          <w:sz w:val="20"/>
        </w:rPr>
        <w:t>HPC</w:t>
      </w:r>
      <w:r>
        <w:rPr>
          <w:spacing w:val="-7"/>
          <w:sz w:val="20"/>
        </w:rPr>
        <w:t xml:space="preserve"> </w:t>
      </w:r>
      <w:r>
        <w:rPr>
          <w:sz w:val="20"/>
        </w:rPr>
        <w:t>analysis</w:t>
      </w:r>
      <w:r>
        <w:rPr>
          <w:spacing w:val="-7"/>
          <w:sz w:val="20"/>
        </w:rPr>
        <w:t xml:space="preserve"> </w:t>
      </w:r>
      <w:r>
        <w:rPr>
          <w:sz w:val="20"/>
        </w:rPr>
        <w:t>of</w:t>
      </w:r>
      <w:r>
        <w:rPr>
          <w:spacing w:val="-7"/>
          <w:sz w:val="20"/>
        </w:rPr>
        <w:t xml:space="preserve"> </w:t>
      </w:r>
      <w:r>
        <w:rPr>
          <w:sz w:val="20"/>
        </w:rPr>
        <w:t>Massachusetts</w:t>
      </w:r>
      <w:r>
        <w:rPr>
          <w:spacing w:val="-6"/>
          <w:sz w:val="20"/>
        </w:rPr>
        <w:t xml:space="preserve"> </w:t>
      </w:r>
      <w:r>
        <w:rPr>
          <w:sz w:val="20"/>
        </w:rPr>
        <w:t>All-Payer</w:t>
      </w:r>
      <w:r>
        <w:rPr>
          <w:spacing w:val="-8"/>
          <w:sz w:val="20"/>
        </w:rPr>
        <w:t xml:space="preserve"> </w:t>
      </w:r>
      <w:r>
        <w:rPr>
          <w:sz w:val="20"/>
        </w:rPr>
        <w:t>Claims</w:t>
      </w:r>
      <w:r>
        <w:rPr>
          <w:spacing w:val="-7"/>
          <w:sz w:val="20"/>
        </w:rPr>
        <w:t xml:space="preserve"> </w:t>
      </w:r>
      <w:r>
        <w:rPr>
          <w:sz w:val="20"/>
        </w:rPr>
        <w:t>Database,</w:t>
      </w:r>
      <w:r>
        <w:rPr>
          <w:spacing w:val="-6"/>
          <w:sz w:val="20"/>
        </w:rPr>
        <w:t xml:space="preserve"> </w:t>
      </w:r>
      <w:r>
        <w:rPr>
          <w:spacing w:val="-4"/>
          <w:sz w:val="20"/>
        </w:rPr>
        <w:t>2016</w:t>
      </w:r>
    </w:p>
    <w:p w14:paraId="1C34E85C" w14:textId="77777777" w:rsidR="004C558F" w:rsidRDefault="004C558F">
      <w:pPr>
        <w:pStyle w:val="BodyText"/>
        <w:rPr>
          <w:sz w:val="20"/>
        </w:rPr>
      </w:pPr>
    </w:p>
    <w:p w14:paraId="1C34E85D" w14:textId="24FC609F" w:rsidR="004C558F" w:rsidRDefault="004C558F">
      <w:pPr>
        <w:pStyle w:val="BodyText"/>
        <w:spacing w:before="89"/>
        <w:rPr>
          <w:sz w:val="20"/>
        </w:rPr>
      </w:pPr>
    </w:p>
    <w:p w14:paraId="1C34E861" w14:textId="7D81F66C" w:rsidR="004C558F" w:rsidRDefault="00461887">
      <w:pPr>
        <w:pStyle w:val="BodyText"/>
        <w:spacing w:before="88" w:line="276" w:lineRule="auto"/>
        <w:ind w:left="959" w:right="1185" w:firstLine="720"/>
      </w:pPr>
      <w:bookmarkStart w:id="113" w:name="_bookmark134"/>
      <w:bookmarkEnd w:id="113"/>
      <w:r>
        <w:lastRenderedPageBreak/>
        <w:t>More recently, the HPC examined 2022 commercial prices for the drug Keytruda, an immunotherapy drug used to treat 17 types of cancer.</w:t>
      </w:r>
      <w:r>
        <w:rPr>
          <w:spacing w:val="-33"/>
        </w:rPr>
        <w:t xml:space="preserve"> </w:t>
      </w:r>
      <w:r w:rsidR="000624DC">
        <w:rPr>
          <w:rStyle w:val="FootnoteReference"/>
          <w:spacing w:val="-33"/>
        </w:rPr>
        <w:footnoteReference w:id="114"/>
      </w:r>
      <w:r>
        <w:t>DFCI had the highest price statewide, and its price for a standard dose was double the lowest provider’s price. BIDMC was one of the lower-priced</w:t>
      </w:r>
      <w:r>
        <w:rPr>
          <w:spacing w:val="-1"/>
        </w:rPr>
        <w:t xml:space="preserve"> </w:t>
      </w:r>
      <w:r>
        <w:t>providers,</w:t>
      </w:r>
      <w:r>
        <w:rPr>
          <w:spacing w:val="-2"/>
        </w:rPr>
        <w:t xml:space="preserve"> </w:t>
      </w:r>
      <w:r>
        <w:t>with</w:t>
      </w:r>
      <w:r>
        <w:rPr>
          <w:spacing w:val="-2"/>
        </w:rPr>
        <w:t xml:space="preserve"> </w:t>
      </w:r>
      <w:r>
        <w:t>prices</w:t>
      </w:r>
      <w:r>
        <w:rPr>
          <w:spacing w:val="-4"/>
        </w:rPr>
        <w:t xml:space="preserve"> </w:t>
      </w:r>
      <w:r>
        <w:t>only</w:t>
      </w:r>
      <w:r>
        <w:rPr>
          <w:spacing w:val="-3"/>
        </w:rPr>
        <w:t xml:space="preserve"> </w:t>
      </w:r>
      <w:r>
        <w:t>5%</w:t>
      </w:r>
      <w:r>
        <w:rPr>
          <w:spacing w:val="-5"/>
        </w:rPr>
        <w:t xml:space="preserve"> </w:t>
      </w:r>
      <w:r>
        <w:t>above</w:t>
      </w:r>
      <w:r>
        <w:rPr>
          <w:spacing w:val="-2"/>
        </w:rPr>
        <w:t xml:space="preserve"> </w:t>
      </w:r>
      <w:r>
        <w:t>those</w:t>
      </w:r>
      <w:r>
        <w:rPr>
          <w:spacing w:val="-4"/>
        </w:rPr>
        <w:t xml:space="preserve"> </w:t>
      </w:r>
      <w:r>
        <w:t>of</w:t>
      </w:r>
      <w:r>
        <w:rPr>
          <w:spacing w:val="-2"/>
        </w:rPr>
        <w:t xml:space="preserve"> </w:t>
      </w:r>
      <w:r>
        <w:t>the</w:t>
      </w:r>
      <w:r>
        <w:rPr>
          <w:spacing w:val="-2"/>
        </w:rPr>
        <w:t xml:space="preserve"> </w:t>
      </w:r>
      <w:r>
        <w:t>lowest-priced</w:t>
      </w:r>
      <w:r>
        <w:rPr>
          <w:spacing w:val="-1"/>
        </w:rPr>
        <w:t xml:space="preserve"> </w:t>
      </w:r>
      <w:r>
        <w:t>provider.</w:t>
      </w:r>
      <w:r>
        <w:rPr>
          <w:spacing w:val="-5"/>
        </w:rPr>
        <w:t xml:space="preserve"> </w:t>
      </w:r>
      <w:r>
        <w:t>BWH</w:t>
      </w:r>
      <w:r>
        <w:rPr>
          <w:spacing w:val="-3"/>
        </w:rPr>
        <w:t xml:space="preserve"> </w:t>
      </w:r>
      <w:r>
        <w:t>does not provide medical oncology services and was not included in the analysis, but two MGB hospitals,</w:t>
      </w:r>
      <w:r>
        <w:rPr>
          <w:spacing w:val="-3"/>
        </w:rPr>
        <w:t xml:space="preserve"> </w:t>
      </w:r>
      <w:r>
        <w:t>MGH</w:t>
      </w:r>
      <w:r>
        <w:rPr>
          <w:spacing w:val="-1"/>
        </w:rPr>
        <w:t xml:space="preserve"> </w:t>
      </w:r>
      <w:r>
        <w:t>and</w:t>
      </w:r>
      <w:r>
        <w:rPr>
          <w:spacing w:val="-2"/>
        </w:rPr>
        <w:t xml:space="preserve"> </w:t>
      </w:r>
      <w:r>
        <w:t>Newton-Wellesley</w:t>
      </w:r>
      <w:r>
        <w:rPr>
          <w:spacing w:val="-1"/>
        </w:rPr>
        <w:t xml:space="preserve"> </w:t>
      </w:r>
      <w:r>
        <w:t>Hospital,</w:t>
      </w:r>
      <w:r>
        <w:rPr>
          <w:spacing w:val="-3"/>
        </w:rPr>
        <w:t xml:space="preserve"> </w:t>
      </w:r>
      <w:r>
        <w:t>had</w:t>
      </w:r>
      <w:r>
        <w:rPr>
          <w:spacing w:val="-2"/>
        </w:rPr>
        <w:t xml:space="preserve"> </w:t>
      </w:r>
      <w:r>
        <w:t>the second</w:t>
      </w:r>
      <w:r>
        <w:rPr>
          <w:spacing w:val="-2"/>
        </w:rPr>
        <w:t xml:space="preserve"> </w:t>
      </w:r>
      <w:r>
        <w:t>highest</w:t>
      </w:r>
      <w:r>
        <w:rPr>
          <w:spacing w:val="-1"/>
        </w:rPr>
        <w:t xml:space="preserve"> </w:t>
      </w:r>
      <w:r>
        <w:t>and third highest</w:t>
      </w:r>
      <w:r>
        <w:rPr>
          <w:spacing w:val="-1"/>
        </w:rPr>
        <w:t xml:space="preserve"> </w:t>
      </w:r>
      <w:r>
        <w:t>prices for Keytruda, respectively.</w:t>
      </w:r>
    </w:p>
    <w:p w14:paraId="1C34E862" w14:textId="77777777" w:rsidR="004C558F" w:rsidRDefault="004C558F">
      <w:pPr>
        <w:pStyle w:val="BodyText"/>
        <w:spacing w:before="36"/>
      </w:pPr>
    </w:p>
    <w:p w14:paraId="1C34E863" w14:textId="121E8B57" w:rsidR="004C558F" w:rsidRDefault="00461887">
      <w:pPr>
        <w:pStyle w:val="BodyText"/>
        <w:spacing w:line="276" w:lineRule="auto"/>
        <w:ind w:left="959" w:right="1092" w:firstLine="720"/>
        <w:rPr>
          <w:sz w:val="14"/>
        </w:rPr>
      </w:pPr>
      <w:r>
        <w:t>An updated analysis of prices for oncologic drugs yielded similar results. The HPC calculated the</w:t>
      </w:r>
      <w:r>
        <w:rPr>
          <w:spacing w:val="-1"/>
        </w:rPr>
        <w:t xml:space="preserve"> </w:t>
      </w:r>
      <w:r>
        <w:t>average</w:t>
      </w:r>
      <w:r>
        <w:rPr>
          <w:spacing w:val="-1"/>
        </w:rPr>
        <w:t xml:space="preserve"> </w:t>
      </w:r>
      <w:r>
        <w:t>commercial prices</w:t>
      </w:r>
      <w:r>
        <w:rPr>
          <w:spacing w:val="-1"/>
        </w:rPr>
        <w:t xml:space="preserve"> </w:t>
      </w:r>
      <w:r>
        <w:t>per unit</w:t>
      </w:r>
      <w:r>
        <w:rPr>
          <w:spacing w:val="-2"/>
        </w:rPr>
        <w:t xml:space="preserve"> </w:t>
      </w:r>
      <w:r>
        <w:t>of high-revenue chemotherapy drugs at</w:t>
      </w:r>
      <w:r>
        <w:rPr>
          <w:spacing w:val="-2"/>
        </w:rPr>
        <w:t xml:space="preserve"> </w:t>
      </w:r>
      <w:r>
        <w:t>DFCI, BIDMC,</w:t>
      </w:r>
      <w:r>
        <w:rPr>
          <w:spacing w:val="-5"/>
        </w:rPr>
        <w:t xml:space="preserve"> </w:t>
      </w:r>
      <w:r>
        <w:t>and</w:t>
      </w:r>
      <w:r>
        <w:rPr>
          <w:spacing w:val="-1"/>
        </w:rPr>
        <w:t xml:space="preserve"> </w:t>
      </w:r>
      <w:r>
        <w:t>MGH</w:t>
      </w:r>
      <w:r>
        <w:rPr>
          <w:spacing w:val="-3"/>
        </w:rPr>
        <w:t xml:space="preserve"> </w:t>
      </w:r>
      <w:r>
        <w:t>in</w:t>
      </w:r>
      <w:r>
        <w:rPr>
          <w:spacing w:val="-2"/>
        </w:rPr>
        <w:t xml:space="preserve"> </w:t>
      </w:r>
      <w:r>
        <w:t>the</w:t>
      </w:r>
      <w:r>
        <w:rPr>
          <w:spacing w:val="-4"/>
        </w:rPr>
        <w:t xml:space="preserve"> </w:t>
      </w:r>
      <w:r>
        <w:t>2022</w:t>
      </w:r>
      <w:r>
        <w:rPr>
          <w:spacing w:val="-2"/>
        </w:rPr>
        <w:t xml:space="preserve"> </w:t>
      </w:r>
      <w:r>
        <w:t>CHIA</w:t>
      </w:r>
      <w:r>
        <w:rPr>
          <w:spacing w:val="-3"/>
        </w:rPr>
        <w:t xml:space="preserve"> </w:t>
      </w:r>
      <w:r>
        <w:t>All-Payer</w:t>
      </w:r>
      <w:r>
        <w:rPr>
          <w:spacing w:val="-3"/>
        </w:rPr>
        <w:t xml:space="preserve"> </w:t>
      </w:r>
      <w:r>
        <w:t>Claims</w:t>
      </w:r>
      <w:r>
        <w:rPr>
          <w:spacing w:val="-4"/>
        </w:rPr>
        <w:t xml:space="preserve"> </w:t>
      </w:r>
      <w:r>
        <w:t>Database</w:t>
      </w:r>
      <w:bookmarkStart w:id="114" w:name="_bookmark135"/>
      <w:bookmarkEnd w:id="114"/>
      <w:r>
        <w:t>.</w:t>
      </w:r>
      <w:r>
        <w:rPr>
          <w:spacing w:val="-36"/>
        </w:rPr>
        <w:t xml:space="preserve"> </w:t>
      </w:r>
      <w:r w:rsidR="00B76B05">
        <w:rPr>
          <w:rStyle w:val="FootnoteReference"/>
          <w:spacing w:val="-36"/>
        </w:rPr>
        <w:footnoteReference w:id="115"/>
      </w:r>
      <w:r>
        <w:t>DFCI’s</w:t>
      </w:r>
      <w:r>
        <w:rPr>
          <w:spacing w:val="-1"/>
        </w:rPr>
        <w:t xml:space="preserve"> </w:t>
      </w:r>
      <w:r>
        <w:t>prices</w:t>
      </w:r>
      <w:r>
        <w:rPr>
          <w:spacing w:val="-4"/>
        </w:rPr>
        <w:t xml:space="preserve"> </w:t>
      </w:r>
      <w:r>
        <w:t>were</w:t>
      </w:r>
      <w:r>
        <w:rPr>
          <w:spacing w:val="-2"/>
        </w:rPr>
        <w:t xml:space="preserve"> </w:t>
      </w:r>
      <w:r>
        <w:t>on</w:t>
      </w:r>
      <w:r>
        <w:rPr>
          <w:spacing w:val="-4"/>
        </w:rPr>
        <w:t xml:space="preserve"> </w:t>
      </w:r>
      <w:r>
        <w:t>average 106% higher than BIDMC’s prices and 9% higher than MGH’s prices, adjusting for the mix of drugs provided at BIDMC and MGH.</w:t>
      </w:r>
      <w:r w:rsidR="00A76E62">
        <w:rPr>
          <w:rStyle w:val="FootnoteReference"/>
        </w:rPr>
        <w:footnoteReference w:id="116"/>
      </w:r>
      <w:r w:rsidR="00A76E62">
        <w:rPr>
          <w:sz w:val="14"/>
        </w:rPr>
        <w:t xml:space="preserve"> </w:t>
      </w:r>
    </w:p>
    <w:p w14:paraId="1C34E864" w14:textId="77777777" w:rsidR="004C558F" w:rsidRDefault="004C558F">
      <w:pPr>
        <w:pStyle w:val="BodyText"/>
        <w:spacing w:before="117"/>
      </w:pPr>
    </w:p>
    <w:p w14:paraId="1C34E865" w14:textId="77777777" w:rsidR="004C558F" w:rsidRDefault="00461887">
      <w:pPr>
        <w:pStyle w:val="ListParagraph"/>
        <w:numPr>
          <w:ilvl w:val="3"/>
          <w:numId w:val="16"/>
        </w:numPr>
        <w:tabs>
          <w:tab w:val="left" w:pos="959"/>
        </w:tabs>
        <w:ind w:left="959" w:hanging="359"/>
      </w:pPr>
      <w:bookmarkStart w:id="116" w:name="b._Other_Outpatient_Facility_Service_Lin"/>
      <w:bookmarkEnd w:id="116"/>
      <w:r>
        <w:rPr>
          <w:color w:val="063656"/>
        </w:rPr>
        <w:t>Other</w:t>
      </w:r>
      <w:r>
        <w:rPr>
          <w:color w:val="063656"/>
          <w:spacing w:val="-8"/>
        </w:rPr>
        <w:t xml:space="preserve"> </w:t>
      </w:r>
      <w:r>
        <w:rPr>
          <w:color w:val="063656"/>
        </w:rPr>
        <w:t>Outpatient</w:t>
      </w:r>
      <w:r>
        <w:rPr>
          <w:color w:val="063656"/>
          <w:spacing w:val="-5"/>
        </w:rPr>
        <w:t xml:space="preserve"> </w:t>
      </w:r>
      <w:r>
        <w:rPr>
          <w:color w:val="063656"/>
        </w:rPr>
        <w:t>Facility</w:t>
      </w:r>
      <w:r>
        <w:rPr>
          <w:color w:val="063656"/>
          <w:spacing w:val="-6"/>
        </w:rPr>
        <w:t xml:space="preserve"> </w:t>
      </w:r>
      <w:r>
        <w:rPr>
          <w:color w:val="063656"/>
        </w:rPr>
        <w:t>Service</w:t>
      </w:r>
      <w:r>
        <w:rPr>
          <w:color w:val="063656"/>
          <w:spacing w:val="-4"/>
        </w:rPr>
        <w:t xml:space="preserve"> </w:t>
      </w:r>
      <w:r>
        <w:rPr>
          <w:color w:val="063656"/>
          <w:spacing w:val="-2"/>
        </w:rPr>
        <w:t>Lines</w:t>
      </w:r>
    </w:p>
    <w:p w14:paraId="1C34E866" w14:textId="77777777" w:rsidR="004C558F" w:rsidRDefault="004C558F">
      <w:pPr>
        <w:pStyle w:val="BodyText"/>
        <w:spacing w:before="77"/>
      </w:pPr>
    </w:p>
    <w:p w14:paraId="1C34E867" w14:textId="4CF5A705" w:rsidR="004C558F" w:rsidRDefault="00461887">
      <w:pPr>
        <w:pStyle w:val="BodyText"/>
        <w:spacing w:line="276" w:lineRule="auto"/>
        <w:ind w:left="960" w:right="891" w:firstLine="720"/>
      </w:pPr>
      <w:r>
        <w:t>For</w:t>
      </w:r>
      <w:r>
        <w:rPr>
          <w:spacing w:val="-4"/>
        </w:rPr>
        <w:t xml:space="preserve"> </w:t>
      </w:r>
      <w:r>
        <w:t>the</w:t>
      </w:r>
      <w:r>
        <w:rPr>
          <w:spacing w:val="-5"/>
        </w:rPr>
        <w:t xml:space="preserve"> </w:t>
      </w:r>
      <w:r>
        <w:t>other</w:t>
      </w:r>
      <w:r>
        <w:rPr>
          <w:spacing w:val="-6"/>
        </w:rPr>
        <w:t xml:space="preserve"> </w:t>
      </w:r>
      <w:r>
        <w:t>outpatient</w:t>
      </w:r>
      <w:r>
        <w:rPr>
          <w:spacing w:val="-4"/>
        </w:rPr>
        <w:t xml:space="preserve"> </w:t>
      </w:r>
      <w:r>
        <w:t>facility</w:t>
      </w:r>
      <w:r>
        <w:rPr>
          <w:spacing w:val="-4"/>
        </w:rPr>
        <w:t xml:space="preserve"> </w:t>
      </w:r>
      <w:r>
        <w:t>service</w:t>
      </w:r>
      <w:r>
        <w:rPr>
          <w:spacing w:val="-3"/>
        </w:rPr>
        <w:t xml:space="preserve"> </w:t>
      </w:r>
      <w:r>
        <w:t>lines</w:t>
      </w:r>
      <w:r>
        <w:rPr>
          <w:spacing w:val="-3"/>
        </w:rPr>
        <w:t xml:space="preserve"> </w:t>
      </w:r>
      <w:r>
        <w:t>commonly</w:t>
      </w:r>
      <w:r>
        <w:rPr>
          <w:spacing w:val="-4"/>
        </w:rPr>
        <w:t xml:space="preserve"> </w:t>
      </w:r>
      <w:r>
        <w:t>provided</w:t>
      </w:r>
      <w:r>
        <w:rPr>
          <w:spacing w:val="-2"/>
        </w:rPr>
        <w:t xml:space="preserve"> </w:t>
      </w:r>
      <w:r>
        <w:t>as</w:t>
      </w:r>
      <w:r>
        <w:rPr>
          <w:spacing w:val="-3"/>
        </w:rPr>
        <w:t xml:space="preserve"> </w:t>
      </w:r>
      <w:r>
        <w:t>part</w:t>
      </w:r>
      <w:r>
        <w:rPr>
          <w:spacing w:val="-4"/>
        </w:rPr>
        <w:t xml:space="preserve"> </w:t>
      </w:r>
      <w:r>
        <w:t>of</w:t>
      </w:r>
      <w:r>
        <w:rPr>
          <w:spacing w:val="-2"/>
        </w:rPr>
        <w:t xml:space="preserve"> </w:t>
      </w:r>
      <w:r>
        <w:t>oncology</w:t>
      </w:r>
      <w:r>
        <w:rPr>
          <w:spacing w:val="-4"/>
        </w:rPr>
        <w:t xml:space="preserve"> </w:t>
      </w:r>
      <w:r>
        <w:t>care, the HPC compared each facility’s commercial price with the statewide average price for each service line.</w:t>
      </w:r>
      <w:r w:rsidR="00CD3DE8">
        <w:rPr>
          <w:rStyle w:val="FootnoteReference"/>
        </w:rPr>
        <w:footnoteReference w:id="117"/>
      </w:r>
      <w:r>
        <w:rPr>
          <w:spacing w:val="30"/>
          <w:position w:val="5"/>
          <w:sz w:val="14"/>
        </w:rPr>
        <w:t xml:space="preserve"> </w:t>
      </w:r>
      <w:r>
        <w:t>We found that for most service lines, DFCI is higher-priced than the average</w:t>
      </w:r>
    </w:p>
    <w:p w14:paraId="1C34E868" w14:textId="32C342EF" w:rsidR="004C558F" w:rsidRDefault="004C558F">
      <w:pPr>
        <w:pStyle w:val="BodyText"/>
        <w:spacing w:before="4"/>
        <w:rPr>
          <w:sz w:val="16"/>
        </w:rPr>
      </w:pPr>
    </w:p>
    <w:p w14:paraId="1C34E86E" w14:textId="77777777" w:rsidR="004C558F" w:rsidRDefault="00461887">
      <w:pPr>
        <w:pStyle w:val="BodyText"/>
        <w:spacing w:before="80" w:line="276" w:lineRule="auto"/>
        <w:ind w:left="959" w:right="1034"/>
      </w:pPr>
      <w:bookmarkStart w:id="117" w:name="_bookmark136"/>
      <w:bookmarkEnd w:id="117"/>
      <w:r>
        <w:t xml:space="preserve">provider. DFCI unit prices for lab services provided to cancer patients are more than two and a </w:t>
      </w:r>
      <w:r>
        <w:lastRenderedPageBreak/>
        <w:t>half times higher than the prices for the average provider. Its prices for infusion administration and</w:t>
      </w:r>
      <w:r>
        <w:rPr>
          <w:spacing w:val="-4"/>
        </w:rPr>
        <w:t xml:space="preserve"> </w:t>
      </w:r>
      <w:r>
        <w:t>radiation</w:t>
      </w:r>
      <w:r>
        <w:rPr>
          <w:spacing w:val="-4"/>
        </w:rPr>
        <w:t xml:space="preserve"> </w:t>
      </w:r>
      <w:r>
        <w:t>oncology</w:t>
      </w:r>
      <w:r>
        <w:rPr>
          <w:spacing w:val="-5"/>
        </w:rPr>
        <w:t xml:space="preserve"> </w:t>
      </w:r>
      <w:r>
        <w:t>are</w:t>
      </w:r>
      <w:r>
        <w:rPr>
          <w:spacing w:val="-2"/>
        </w:rPr>
        <w:t xml:space="preserve"> </w:t>
      </w:r>
      <w:r>
        <w:t>40%</w:t>
      </w:r>
      <w:r>
        <w:rPr>
          <w:spacing w:val="-3"/>
        </w:rPr>
        <w:t xml:space="preserve"> </w:t>
      </w:r>
      <w:r>
        <w:t>and</w:t>
      </w:r>
      <w:r>
        <w:rPr>
          <w:spacing w:val="-4"/>
        </w:rPr>
        <w:t xml:space="preserve"> </w:t>
      </w:r>
      <w:r>
        <w:t>60%</w:t>
      </w:r>
      <w:r>
        <w:rPr>
          <w:spacing w:val="-3"/>
        </w:rPr>
        <w:t xml:space="preserve"> </w:t>
      </w:r>
      <w:r>
        <w:t>higher</w:t>
      </w:r>
      <w:r>
        <w:rPr>
          <w:spacing w:val="-3"/>
        </w:rPr>
        <w:t xml:space="preserve"> </w:t>
      </w:r>
      <w:r>
        <w:t>than</w:t>
      </w:r>
      <w:r>
        <w:rPr>
          <w:spacing w:val="-2"/>
        </w:rPr>
        <w:t xml:space="preserve"> </w:t>
      </w:r>
      <w:r>
        <w:t>the</w:t>
      </w:r>
      <w:r>
        <w:rPr>
          <w:spacing w:val="-4"/>
        </w:rPr>
        <w:t xml:space="preserve"> </w:t>
      </w:r>
      <w:r>
        <w:t>average</w:t>
      </w:r>
      <w:r>
        <w:rPr>
          <w:spacing w:val="-2"/>
        </w:rPr>
        <w:t xml:space="preserve"> </w:t>
      </w:r>
      <w:r>
        <w:t>provider’s</w:t>
      </w:r>
      <w:r>
        <w:rPr>
          <w:spacing w:val="-4"/>
        </w:rPr>
        <w:t xml:space="preserve"> </w:t>
      </w:r>
      <w:r>
        <w:t>prices,</w:t>
      </w:r>
      <w:r>
        <w:rPr>
          <w:spacing w:val="-2"/>
        </w:rPr>
        <w:t xml:space="preserve"> </w:t>
      </w:r>
      <w:r>
        <w:t>respectively. Its prices for imaging services range from 6% to 38% above average.</w:t>
      </w:r>
    </w:p>
    <w:p w14:paraId="1C34E86F" w14:textId="77777777" w:rsidR="004C558F" w:rsidRDefault="004C558F">
      <w:pPr>
        <w:pStyle w:val="BodyText"/>
        <w:spacing w:before="37"/>
      </w:pPr>
    </w:p>
    <w:p w14:paraId="1C34E870" w14:textId="77777777" w:rsidR="004C558F" w:rsidRDefault="00461887">
      <w:pPr>
        <w:pStyle w:val="BodyText"/>
        <w:spacing w:before="1" w:line="276" w:lineRule="auto"/>
        <w:ind w:left="959" w:right="991" w:firstLine="720"/>
      </w:pPr>
      <w:r>
        <w:t>BIDMC</w:t>
      </w:r>
      <w:r>
        <w:rPr>
          <w:spacing w:val="-4"/>
        </w:rPr>
        <w:t xml:space="preserve"> </w:t>
      </w:r>
      <w:r>
        <w:t>outpatient</w:t>
      </w:r>
      <w:r>
        <w:rPr>
          <w:spacing w:val="-4"/>
        </w:rPr>
        <w:t xml:space="preserve"> </w:t>
      </w:r>
      <w:r>
        <w:t>oncology</w:t>
      </w:r>
      <w:r>
        <w:rPr>
          <w:spacing w:val="-4"/>
        </w:rPr>
        <w:t xml:space="preserve"> </w:t>
      </w:r>
      <w:r>
        <w:t>prices</w:t>
      </w:r>
      <w:r>
        <w:rPr>
          <w:spacing w:val="-3"/>
        </w:rPr>
        <w:t xml:space="preserve"> </w:t>
      </w:r>
      <w:r>
        <w:t>are</w:t>
      </w:r>
      <w:r>
        <w:rPr>
          <w:spacing w:val="-3"/>
        </w:rPr>
        <w:t xml:space="preserve"> </w:t>
      </w:r>
      <w:r>
        <w:t>moderate</w:t>
      </w:r>
      <w:r>
        <w:rPr>
          <w:spacing w:val="-3"/>
        </w:rPr>
        <w:t xml:space="preserve"> </w:t>
      </w:r>
      <w:r>
        <w:t>compared</w:t>
      </w:r>
      <w:r>
        <w:rPr>
          <w:spacing w:val="-2"/>
        </w:rPr>
        <w:t xml:space="preserve"> </w:t>
      </w:r>
      <w:r>
        <w:t>with</w:t>
      </w:r>
      <w:r>
        <w:rPr>
          <w:spacing w:val="-3"/>
        </w:rPr>
        <w:t xml:space="preserve"> </w:t>
      </w:r>
      <w:r>
        <w:t>those</w:t>
      </w:r>
      <w:r>
        <w:rPr>
          <w:spacing w:val="-3"/>
        </w:rPr>
        <w:t xml:space="preserve"> </w:t>
      </w:r>
      <w:r>
        <w:t>of</w:t>
      </w:r>
      <w:r>
        <w:rPr>
          <w:spacing w:val="-2"/>
        </w:rPr>
        <w:t xml:space="preserve"> </w:t>
      </w:r>
      <w:r>
        <w:t>other</w:t>
      </w:r>
      <w:r>
        <w:rPr>
          <w:spacing w:val="-4"/>
        </w:rPr>
        <w:t xml:space="preserve"> </w:t>
      </w:r>
      <w:r>
        <w:t>providers, ranging from 27% lower than average to 31% higher than average. BWH is one of the higher- priced providers for these service lines, with prices ranging from 3% lower than average to 61% higher</w:t>
      </w:r>
      <w:r>
        <w:rPr>
          <w:spacing w:val="-2"/>
        </w:rPr>
        <w:t xml:space="preserve"> </w:t>
      </w:r>
      <w:r>
        <w:t>than</w:t>
      </w:r>
      <w:r>
        <w:rPr>
          <w:spacing w:val="-3"/>
        </w:rPr>
        <w:t xml:space="preserve"> </w:t>
      </w:r>
      <w:r>
        <w:t>average.</w:t>
      </w:r>
      <w:r>
        <w:rPr>
          <w:spacing w:val="-4"/>
        </w:rPr>
        <w:t xml:space="preserve"> </w:t>
      </w:r>
      <w:r>
        <w:t>BWH</w:t>
      </w:r>
      <w:r>
        <w:rPr>
          <w:spacing w:val="-4"/>
        </w:rPr>
        <w:t xml:space="preserve"> </w:t>
      </w:r>
      <w:r>
        <w:t>average</w:t>
      </w:r>
      <w:r>
        <w:rPr>
          <w:spacing w:val="-1"/>
        </w:rPr>
        <w:t xml:space="preserve"> </w:t>
      </w:r>
      <w:r>
        <w:t>prices</w:t>
      </w:r>
      <w:r>
        <w:rPr>
          <w:spacing w:val="-3"/>
        </w:rPr>
        <w:t xml:space="preserve"> </w:t>
      </w:r>
      <w:r>
        <w:t>are</w:t>
      </w:r>
      <w:r>
        <w:rPr>
          <w:spacing w:val="-1"/>
        </w:rPr>
        <w:t xml:space="preserve"> </w:t>
      </w:r>
      <w:r>
        <w:t>lower</w:t>
      </w:r>
      <w:r>
        <w:rPr>
          <w:spacing w:val="-2"/>
        </w:rPr>
        <w:t xml:space="preserve"> </w:t>
      </w:r>
      <w:r>
        <w:t>than</w:t>
      </w:r>
      <w:r>
        <w:rPr>
          <w:spacing w:val="-3"/>
        </w:rPr>
        <w:t xml:space="preserve"> </w:t>
      </w:r>
      <w:r>
        <w:t>DFCI</w:t>
      </w:r>
      <w:r>
        <w:rPr>
          <w:spacing w:val="-1"/>
        </w:rPr>
        <w:t xml:space="preserve"> </w:t>
      </w:r>
      <w:r>
        <w:t>prices</w:t>
      </w:r>
      <w:r>
        <w:rPr>
          <w:spacing w:val="-3"/>
        </w:rPr>
        <w:t xml:space="preserve"> </w:t>
      </w:r>
      <w:r>
        <w:t>for</w:t>
      </w:r>
      <w:r>
        <w:rPr>
          <w:spacing w:val="-4"/>
        </w:rPr>
        <w:t xml:space="preserve"> </w:t>
      </w:r>
      <w:r>
        <w:t>all</w:t>
      </w:r>
      <w:r>
        <w:rPr>
          <w:spacing w:val="-2"/>
        </w:rPr>
        <w:t xml:space="preserve"> </w:t>
      </w:r>
      <w:r>
        <w:t>but</w:t>
      </w:r>
      <w:r>
        <w:rPr>
          <w:spacing w:val="-4"/>
        </w:rPr>
        <w:t xml:space="preserve"> </w:t>
      </w:r>
      <w:r>
        <w:t>two</w:t>
      </w:r>
      <w:r>
        <w:rPr>
          <w:spacing w:val="-1"/>
        </w:rPr>
        <w:t xml:space="preserve"> </w:t>
      </w:r>
      <w:r>
        <w:t>service</w:t>
      </w:r>
      <w:r>
        <w:rPr>
          <w:spacing w:val="-1"/>
        </w:rPr>
        <w:t xml:space="preserve"> </w:t>
      </w:r>
      <w:r>
        <w:t>lines.</w:t>
      </w:r>
    </w:p>
    <w:p w14:paraId="1C34E871" w14:textId="77777777" w:rsidR="004C558F" w:rsidRDefault="004C558F">
      <w:pPr>
        <w:pStyle w:val="BodyText"/>
        <w:spacing w:before="36"/>
      </w:pPr>
    </w:p>
    <w:p w14:paraId="1C34E872" w14:textId="77777777" w:rsidR="004C558F" w:rsidRDefault="00461887">
      <w:pPr>
        <w:pStyle w:val="BodyText"/>
        <w:ind w:right="7"/>
        <w:jc w:val="center"/>
      </w:pPr>
      <w:r>
        <w:rPr>
          <w:noProof/>
        </w:rPr>
        <mc:AlternateContent>
          <mc:Choice Requires="wpg">
            <w:drawing>
              <wp:anchor distT="0" distB="0" distL="0" distR="0" simplePos="0" relativeHeight="251660288" behindDoc="1" locked="0" layoutInCell="1" allowOverlap="1" wp14:anchorId="1C34F0FC" wp14:editId="0EC1E7A1">
                <wp:simplePos x="0" y="0"/>
                <wp:positionH relativeFrom="page">
                  <wp:posOffset>909637</wp:posOffset>
                </wp:positionH>
                <wp:positionV relativeFrom="paragraph">
                  <wp:posOffset>177929</wp:posOffset>
                </wp:positionV>
                <wp:extent cx="5838825" cy="3545840"/>
                <wp:effectExtent l="0" t="0" r="9525" b="16510"/>
                <wp:wrapTopAndBottom/>
                <wp:docPr id="65" name="Group 65" descr="Graph for Commercial Outpatient Price Relativities by Servic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3545840"/>
                          <a:chOff x="0" y="0"/>
                          <a:chExt cx="5838825" cy="3545840"/>
                        </a:xfrm>
                      </wpg:grpSpPr>
                      <wps:wsp>
                        <wps:cNvPr id="66" name="Graphic 66"/>
                        <wps:cNvSpPr/>
                        <wps:spPr>
                          <a:xfrm>
                            <a:off x="348500" y="144462"/>
                            <a:ext cx="5346065" cy="1372870"/>
                          </a:xfrm>
                          <a:custGeom>
                            <a:avLst/>
                            <a:gdLst/>
                            <a:ahLst/>
                            <a:cxnLst/>
                            <a:rect l="l" t="t" r="r" b="b"/>
                            <a:pathLst>
                              <a:path w="5346065" h="1372870">
                                <a:moveTo>
                                  <a:pt x="0" y="1372514"/>
                                </a:moveTo>
                                <a:lnTo>
                                  <a:pt x="5345861" y="1372514"/>
                                </a:lnTo>
                              </a:path>
                              <a:path w="5346065" h="1372870">
                                <a:moveTo>
                                  <a:pt x="0" y="686714"/>
                                </a:moveTo>
                                <a:lnTo>
                                  <a:pt x="5345861" y="686714"/>
                                </a:lnTo>
                              </a:path>
                              <a:path w="5346065" h="1372870">
                                <a:moveTo>
                                  <a:pt x="0" y="0"/>
                                </a:moveTo>
                                <a:lnTo>
                                  <a:pt x="5345861" y="0"/>
                                </a:lnTo>
                              </a:path>
                            </a:pathLst>
                          </a:custGeom>
                          <a:ln w="9525">
                            <a:solidFill>
                              <a:srgbClr val="ECECEC"/>
                            </a:solidFill>
                            <a:prstDash val="solid"/>
                          </a:ln>
                        </wps:spPr>
                        <wps:bodyPr wrap="square" lIns="0" tIns="0" rIns="0" bIns="0" rtlCol="0">
                          <a:prstTxWarp prst="textNoShape">
                            <a:avLst/>
                          </a:prstTxWarp>
                          <a:noAutofit/>
                        </wps:bodyPr>
                      </wps:wsp>
                      <wps:wsp>
                        <wps:cNvPr id="67" name="Graphic 67"/>
                        <wps:cNvSpPr/>
                        <wps:spPr>
                          <a:xfrm>
                            <a:off x="348500" y="2204179"/>
                            <a:ext cx="5346065" cy="1270"/>
                          </a:xfrm>
                          <a:custGeom>
                            <a:avLst/>
                            <a:gdLst/>
                            <a:ahLst/>
                            <a:cxnLst/>
                            <a:rect l="l" t="t" r="r" b="b"/>
                            <a:pathLst>
                              <a:path w="5346065">
                                <a:moveTo>
                                  <a:pt x="0" y="0"/>
                                </a:moveTo>
                                <a:lnTo>
                                  <a:pt x="5345861" y="0"/>
                                </a:lnTo>
                              </a:path>
                            </a:pathLst>
                          </a:custGeom>
                          <a:ln w="9525">
                            <a:solidFill>
                              <a:srgbClr val="BEBEBE"/>
                            </a:solidFill>
                            <a:prstDash val="solid"/>
                          </a:ln>
                        </wps:spPr>
                        <wps:bodyPr wrap="square" lIns="0" tIns="0" rIns="0" bIns="0" rtlCol="0">
                          <a:prstTxWarp prst="textNoShape">
                            <a:avLst/>
                          </a:prstTxWarp>
                          <a:noAutofit/>
                        </wps:bodyPr>
                      </wps:wsp>
                      <wps:wsp>
                        <wps:cNvPr id="68" name="Graphic 68"/>
                        <wps:cNvSpPr/>
                        <wps:spPr>
                          <a:xfrm>
                            <a:off x="666178" y="1240723"/>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084875"/>
                          </a:solidFill>
                        </wps:spPr>
                        <wps:bodyPr wrap="square" lIns="0" tIns="0" rIns="0" bIns="0" rtlCol="0">
                          <a:prstTxWarp prst="textNoShape">
                            <a:avLst/>
                          </a:prstTxWarp>
                          <a:noAutofit/>
                        </wps:bodyPr>
                      </wps:wsp>
                      <wps:wsp>
                        <wps:cNvPr id="69" name="Graphic 69"/>
                        <wps:cNvSpPr/>
                        <wps:spPr>
                          <a:xfrm>
                            <a:off x="666178" y="1240723"/>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084875"/>
                            </a:solidFill>
                            <a:prstDash val="solid"/>
                          </a:ln>
                        </wps:spPr>
                        <wps:bodyPr wrap="square" lIns="0" tIns="0" rIns="0" bIns="0" rtlCol="0">
                          <a:prstTxWarp prst="textNoShape">
                            <a:avLst/>
                          </a:prstTxWarp>
                          <a:noAutofit/>
                        </wps:bodyPr>
                      </wps:wsp>
                      <wps:wsp>
                        <wps:cNvPr id="70" name="Graphic 70"/>
                        <wps:cNvSpPr/>
                        <wps:spPr>
                          <a:xfrm>
                            <a:off x="1429702" y="1278823"/>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084875"/>
                          </a:solidFill>
                        </wps:spPr>
                        <wps:bodyPr wrap="square" lIns="0" tIns="0" rIns="0" bIns="0" rtlCol="0">
                          <a:prstTxWarp prst="textNoShape">
                            <a:avLst/>
                          </a:prstTxWarp>
                          <a:noAutofit/>
                        </wps:bodyPr>
                      </wps:wsp>
                      <wps:wsp>
                        <wps:cNvPr id="71" name="Graphic 71"/>
                        <wps:cNvSpPr/>
                        <wps:spPr>
                          <a:xfrm>
                            <a:off x="1429702" y="1278823"/>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084875"/>
                            </a:solidFill>
                            <a:prstDash val="solid"/>
                          </a:ln>
                        </wps:spPr>
                        <wps:bodyPr wrap="square" lIns="0" tIns="0" rIns="0" bIns="0" rtlCol="0">
                          <a:prstTxWarp prst="textNoShape">
                            <a:avLst/>
                          </a:prstTxWarp>
                          <a:noAutofit/>
                        </wps:bodyPr>
                      </wps:wsp>
                      <wps:wsp>
                        <wps:cNvPr id="72" name="Graphic 72"/>
                        <wps:cNvSpPr/>
                        <wps:spPr>
                          <a:xfrm>
                            <a:off x="2193226" y="1406840"/>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084875"/>
                          </a:solidFill>
                        </wps:spPr>
                        <wps:bodyPr wrap="square" lIns="0" tIns="0" rIns="0" bIns="0" rtlCol="0">
                          <a:prstTxWarp prst="textNoShape">
                            <a:avLst/>
                          </a:prstTxWarp>
                          <a:noAutofit/>
                        </wps:bodyPr>
                      </wps:wsp>
                      <wps:wsp>
                        <wps:cNvPr id="73" name="Graphic 73"/>
                        <wps:cNvSpPr/>
                        <wps:spPr>
                          <a:xfrm>
                            <a:off x="2193226" y="1406840"/>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084875"/>
                            </a:solidFill>
                            <a:prstDash val="solid"/>
                          </a:ln>
                        </wps:spPr>
                        <wps:bodyPr wrap="square" lIns="0" tIns="0" rIns="0" bIns="0" rtlCol="0">
                          <a:prstTxWarp prst="textNoShape">
                            <a:avLst/>
                          </a:prstTxWarp>
                          <a:noAutofit/>
                        </wps:bodyPr>
                      </wps:wsp>
                      <wps:wsp>
                        <wps:cNvPr id="74" name="Graphic 74"/>
                        <wps:cNvSpPr/>
                        <wps:spPr>
                          <a:xfrm>
                            <a:off x="2956750" y="147999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084875"/>
                          </a:solidFill>
                        </wps:spPr>
                        <wps:bodyPr wrap="square" lIns="0" tIns="0" rIns="0" bIns="0" rtlCol="0">
                          <a:prstTxWarp prst="textNoShape">
                            <a:avLst/>
                          </a:prstTxWarp>
                          <a:noAutofit/>
                        </wps:bodyPr>
                      </wps:wsp>
                      <wps:wsp>
                        <wps:cNvPr id="75" name="Graphic 75"/>
                        <wps:cNvSpPr/>
                        <wps:spPr>
                          <a:xfrm>
                            <a:off x="2956750" y="147999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084875"/>
                            </a:solidFill>
                            <a:prstDash val="solid"/>
                          </a:ln>
                        </wps:spPr>
                        <wps:bodyPr wrap="square" lIns="0" tIns="0" rIns="0" bIns="0" rtlCol="0">
                          <a:prstTxWarp prst="textNoShape">
                            <a:avLst/>
                          </a:prstTxWarp>
                          <a:noAutofit/>
                        </wps:bodyPr>
                      </wps:wsp>
                      <wps:wsp>
                        <wps:cNvPr id="76" name="Graphic 76"/>
                        <wps:cNvSpPr/>
                        <wps:spPr>
                          <a:xfrm>
                            <a:off x="3721798" y="1449512"/>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084875"/>
                          </a:solidFill>
                        </wps:spPr>
                        <wps:bodyPr wrap="square" lIns="0" tIns="0" rIns="0" bIns="0" rtlCol="0">
                          <a:prstTxWarp prst="textNoShape">
                            <a:avLst/>
                          </a:prstTxWarp>
                          <a:noAutofit/>
                        </wps:bodyPr>
                      </wps:wsp>
                      <wps:wsp>
                        <wps:cNvPr id="77" name="Graphic 77"/>
                        <wps:cNvSpPr/>
                        <wps:spPr>
                          <a:xfrm>
                            <a:off x="3721798" y="1449512"/>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084875"/>
                            </a:solidFill>
                            <a:prstDash val="solid"/>
                          </a:ln>
                        </wps:spPr>
                        <wps:bodyPr wrap="square" lIns="0" tIns="0" rIns="0" bIns="0" rtlCol="0">
                          <a:prstTxWarp prst="textNoShape">
                            <a:avLst/>
                          </a:prstTxWarp>
                          <a:noAutofit/>
                        </wps:bodyPr>
                      </wps:wsp>
                      <wps:wsp>
                        <wps:cNvPr id="78" name="Graphic 78"/>
                        <wps:cNvSpPr/>
                        <wps:spPr>
                          <a:xfrm>
                            <a:off x="4485322" y="1321495"/>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084875"/>
                          </a:solidFill>
                        </wps:spPr>
                        <wps:bodyPr wrap="square" lIns="0" tIns="0" rIns="0" bIns="0" rtlCol="0">
                          <a:prstTxWarp prst="textNoShape">
                            <a:avLst/>
                          </a:prstTxWarp>
                          <a:noAutofit/>
                        </wps:bodyPr>
                      </wps:wsp>
                      <wps:wsp>
                        <wps:cNvPr id="79" name="Graphic 79"/>
                        <wps:cNvSpPr/>
                        <wps:spPr>
                          <a:xfrm>
                            <a:off x="4485322" y="1321495"/>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084875"/>
                            </a:solidFill>
                            <a:prstDash val="solid"/>
                          </a:ln>
                        </wps:spPr>
                        <wps:bodyPr wrap="square" lIns="0" tIns="0" rIns="0" bIns="0" rtlCol="0">
                          <a:prstTxWarp prst="textNoShape">
                            <a:avLst/>
                          </a:prstTxWarp>
                          <a:noAutofit/>
                        </wps:bodyPr>
                      </wps:wsp>
                      <wps:wsp>
                        <wps:cNvPr id="80" name="Graphic 80"/>
                        <wps:cNvSpPr/>
                        <wps:spPr>
                          <a:xfrm>
                            <a:off x="5248845" y="123615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084875"/>
                          </a:solidFill>
                        </wps:spPr>
                        <wps:bodyPr wrap="square" lIns="0" tIns="0" rIns="0" bIns="0" rtlCol="0">
                          <a:prstTxWarp prst="textNoShape">
                            <a:avLst/>
                          </a:prstTxWarp>
                          <a:noAutofit/>
                        </wps:bodyPr>
                      </wps:wsp>
                      <wps:wsp>
                        <wps:cNvPr id="81" name="Graphic 81"/>
                        <wps:cNvSpPr/>
                        <wps:spPr>
                          <a:xfrm>
                            <a:off x="5248845" y="123615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084875"/>
                            </a:solidFill>
                            <a:prstDash val="solid"/>
                          </a:ln>
                        </wps:spPr>
                        <wps:bodyPr wrap="square" lIns="0" tIns="0" rIns="0" bIns="0" rtlCol="0">
                          <a:prstTxWarp prst="textNoShape">
                            <a:avLst/>
                          </a:prstTxWarp>
                          <a:noAutofit/>
                        </wps:bodyPr>
                      </wps:wsp>
                      <wps:wsp>
                        <wps:cNvPr id="82" name="Graphic 82"/>
                        <wps:cNvSpPr/>
                        <wps:spPr>
                          <a:xfrm>
                            <a:off x="666178" y="1173667"/>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1682A"/>
                          </a:solidFill>
                        </wps:spPr>
                        <wps:bodyPr wrap="square" lIns="0" tIns="0" rIns="0" bIns="0" rtlCol="0">
                          <a:prstTxWarp prst="textNoShape">
                            <a:avLst/>
                          </a:prstTxWarp>
                          <a:noAutofit/>
                        </wps:bodyPr>
                      </wps:wsp>
                      <wps:wsp>
                        <wps:cNvPr id="83" name="Graphic 83"/>
                        <wps:cNvSpPr/>
                        <wps:spPr>
                          <a:xfrm>
                            <a:off x="666178" y="1173667"/>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1682A"/>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7" cstate="print"/>
                          <a:stretch>
                            <a:fillRect/>
                          </a:stretch>
                        </pic:blipFill>
                        <pic:spPr>
                          <a:xfrm>
                            <a:off x="1424939" y="1030221"/>
                            <a:ext cx="136017" cy="136017"/>
                          </a:xfrm>
                          <a:prstGeom prst="rect">
                            <a:avLst/>
                          </a:prstGeom>
                        </pic:spPr>
                      </pic:pic>
                      <pic:pic xmlns:pic="http://schemas.openxmlformats.org/drawingml/2006/picture">
                        <pic:nvPicPr>
                          <pic:cNvPr id="85" name="Image 85"/>
                          <pic:cNvPicPr/>
                        </pic:nvPicPr>
                        <pic:blipFill>
                          <a:blip r:embed="rId38" cstate="print"/>
                          <a:stretch>
                            <a:fillRect/>
                          </a:stretch>
                        </pic:blipFill>
                        <pic:spPr>
                          <a:xfrm>
                            <a:off x="2188464" y="1187193"/>
                            <a:ext cx="136017" cy="136017"/>
                          </a:xfrm>
                          <a:prstGeom prst="rect">
                            <a:avLst/>
                          </a:prstGeom>
                        </pic:spPr>
                      </pic:pic>
                      <pic:pic xmlns:pic="http://schemas.openxmlformats.org/drawingml/2006/picture">
                        <pic:nvPicPr>
                          <pic:cNvPr id="86" name="Image 86"/>
                          <pic:cNvPicPr/>
                        </pic:nvPicPr>
                        <pic:blipFill>
                          <a:blip r:embed="rId39" cstate="print"/>
                          <a:stretch>
                            <a:fillRect/>
                          </a:stretch>
                        </pic:blipFill>
                        <pic:spPr>
                          <a:xfrm>
                            <a:off x="2951988" y="1228341"/>
                            <a:ext cx="136016" cy="136017"/>
                          </a:xfrm>
                          <a:prstGeom prst="rect">
                            <a:avLst/>
                          </a:prstGeom>
                        </pic:spPr>
                      </pic:pic>
                      <wps:wsp>
                        <wps:cNvPr id="87" name="Graphic 87"/>
                        <wps:cNvSpPr/>
                        <wps:spPr>
                          <a:xfrm>
                            <a:off x="3721798" y="140379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1682A"/>
                          </a:solidFill>
                        </wps:spPr>
                        <wps:bodyPr wrap="square" lIns="0" tIns="0" rIns="0" bIns="0" rtlCol="0">
                          <a:prstTxWarp prst="textNoShape">
                            <a:avLst/>
                          </a:prstTxWarp>
                          <a:noAutofit/>
                        </wps:bodyPr>
                      </wps:wsp>
                      <wps:wsp>
                        <wps:cNvPr id="88" name="Graphic 88"/>
                        <wps:cNvSpPr/>
                        <wps:spPr>
                          <a:xfrm>
                            <a:off x="3721798" y="140379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1682A"/>
                            </a:solidFill>
                            <a:prstDash val="solid"/>
                          </a:ln>
                        </wps:spPr>
                        <wps:bodyPr wrap="square" lIns="0" tIns="0" rIns="0" bIns="0" rtlCol="0">
                          <a:prstTxWarp prst="textNoShape">
                            <a:avLst/>
                          </a:prstTxWarp>
                          <a:noAutofit/>
                        </wps:bodyPr>
                      </wps:wsp>
                      <wps:wsp>
                        <wps:cNvPr id="89" name="Graphic 89"/>
                        <wps:cNvSpPr/>
                        <wps:spPr>
                          <a:xfrm>
                            <a:off x="4485322" y="1412935"/>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1682A"/>
                          </a:solidFill>
                        </wps:spPr>
                        <wps:bodyPr wrap="square" lIns="0" tIns="0" rIns="0" bIns="0" rtlCol="0">
                          <a:prstTxWarp prst="textNoShape">
                            <a:avLst/>
                          </a:prstTxWarp>
                          <a:noAutofit/>
                        </wps:bodyPr>
                      </wps:wsp>
                      <wps:wsp>
                        <wps:cNvPr id="90" name="Graphic 90"/>
                        <wps:cNvSpPr/>
                        <wps:spPr>
                          <a:xfrm>
                            <a:off x="4485322" y="1412935"/>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1682A"/>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7" cstate="print"/>
                          <a:stretch>
                            <a:fillRect/>
                          </a:stretch>
                        </pic:blipFill>
                        <pic:spPr>
                          <a:xfrm>
                            <a:off x="5244082" y="288033"/>
                            <a:ext cx="136016" cy="136017"/>
                          </a:xfrm>
                          <a:prstGeom prst="rect">
                            <a:avLst/>
                          </a:prstGeom>
                        </pic:spPr>
                      </pic:pic>
                      <wps:wsp>
                        <wps:cNvPr id="92" name="Graphic 92"/>
                        <wps:cNvSpPr/>
                        <wps:spPr>
                          <a:xfrm>
                            <a:off x="666178" y="1383979"/>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93" name="Graphic 93"/>
                        <wps:cNvSpPr/>
                        <wps:spPr>
                          <a:xfrm>
                            <a:off x="666178" y="1383979"/>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94" name="Graphic 94"/>
                        <wps:cNvSpPr/>
                        <wps:spPr>
                          <a:xfrm>
                            <a:off x="1429702" y="1374835"/>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95" name="Graphic 95"/>
                        <wps:cNvSpPr/>
                        <wps:spPr>
                          <a:xfrm>
                            <a:off x="1429702" y="1374835"/>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96" name="Graphic 96"/>
                        <wps:cNvSpPr/>
                        <wps:spPr>
                          <a:xfrm>
                            <a:off x="2193226" y="1640011"/>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97" name="Graphic 97"/>
                        <wps:cNvSpPr/>
                        <wps:spPr>
                          <a:xfrm>
                            <a:off x="2193226" y="1640011"/>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98" name="Graphic 98"/>
                        <wps:cNvSpPr/>
                        <wps:spPr>
                          <a:xfrm>
                            <a:off x="2956750" y="162477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99" name="Graphic 99"/>
                        <wps:cNvSpPr/>
                        <wps:spPr>
                          <a:xfrm>
                            <a:off x="2956750" y="162477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100" name="Graphic 100"/>
                        <wps:cNvSpPr/>
                        <wps:spPr>
                          <a:xfrm>
                            <a:off x="3721798" y="142665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101" name="Graphic 101"/>
                        <wps:cNvSpPr/>
                        <wps:spPr>
                          <a:xfrm>
                            <a:off x="3721798" y="142665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102" name="Graphic 102"/>
                        <wps:cNvSpPr/>
                        <wps:spPr>
                          <a:xfrm>
                            <a:off x="4485322" y="1481515"/>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103" name="Graphic 103"/>
                        <wps:cNvSpPr/>
                        <wps:spPr>
                          <a:xfrm>
                            <a:off x="4485322" y="1481515"/>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104" name="Graphic 104"/>
                        <wps:cNvSpPr/>
                        <wps:spPr>
                          <a:xfrm>
                            <a:off x="5248845" y="1242247"/>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105" name="Graphic 105"/>
                        <wps:cNvSpPr/>
                        <wps:spPr>
                          <a:xfrm>
                            <a:off x="5248845" y="1242247"/>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106" name="Graphic 106"/>
                        <wps:cNvSpPr/>
                        <wps:spPr>
                          <a:xfrm>
                            <a:off x="1429702" y="1246819"/>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339FC7"/>
                          </a:solidFill>
                        </wps:spPr>
                        <wps:bodyPr wrap="square" lIns="0" tIns="0" rIns="0" bIns="0" rtlCol="0">
                          <a:prstTxWarp prst="textNoShape">
                            <a:avLst/>
                          </a:prstTxWarp>
                          <a:noAutofit/>
                        </wps:bodyPr>
                      </wps:wsp>
                      <wps:wsp>
                        <wps:cNvPr id="107" name="Graphic 107"/>
                        <wps:cNvSpPr/>
                        <wps:spPr>
                          <a:xfrm>
                            <a:off x="1429702" y="1246819"/>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339FC7"/>
                            </a:solidFill>
                            <a:prstDash val="solid"/>
                          </a:ln>
                        </wps:spPr>
                        <wps:bodyPr wrap="square" lIns="0" tIns="0" rIns="0" bIns="0" rtlCol="0">
                          <a:prstTxWarp prst="textNoShape">
                            <a:avLst/>
                          </a:prstTxWarp>
                          <a:noAutofit/>
                        </wps:bodyPr>
                      </wps:wsp>
                      <wps:wsp>
                        <wps:cNvPr id="108" name="Graphic 108"/>
                        <wps:cNvSpPr/>
                        <wps:spPr>
                          <a:xfrm>
                            <a:off x="2193226" y="1400743"/>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339FC7"/>
                          </a:solidFill>
                        </wps:spPr>
                        <wps:bodyPr wrap="square" lIns="0" tIns="0" rIns="0" bIns="0" rtlCol="0">
                          <a:prstTxWarp prst="textNoShape">
                            <a:avLst/>
                          </a:prstTxWarp>
                          <a:noAutofit/>
                        </wps:bodyPr>
                      </wps:wsp>
                      <wps:wsp>
                        <wps:cNvPr id="109" name="Graphic 109"/>
                        <wps:cNvSpPr/>
                        <wps:spPr>
                          <a:xfrm>
                            <a:off x="2193226" y="1400743"/>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339FC7"/>
                            </a:solidFill>
                            <a:prstDash val="solid"/>
                          </a:ln>
                        </wps:spPr>
                        <wps:bodyPr wrap="square" lIns="0" tIns="0" rIns="0" bIns="0" rtlCol="0">
                          <a:prstTxWarp prst="textNoShape">
                            <a:avLst/>
                          </a:prstTxWarp>
                          <a:noAutofit/>
                        </wps:bodyPr>
                      </wps:wsp>
                      <wps:wsp>
                        <wps:cNvPr id="110" name="Graphic 110"/>
                        <wps:cNvSpPr/>
                        <wps:spPr>
                          <a:xfrm>
                            <a:off x="2956750" y="1473895"/>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339FC7"/>
                          </a:solidFill>
                        </wps:spPr>
                        <wps:bodyPr wrap="square" lIns="0" tIns="0" rIns="0" bIns="0" rtlCol="0">
                          <a:prstTxWarp prst="textNoShape">
                            <a:avLst/>
                          </a:prstTxWarp>
                          <a:noAutofit/>
                        </wps:bodyPr>
                      </wps:wsp>
                      <wps:wsp>
                        <wps:cNvPr id="111" name="Graphic 111"/>
                        <wps:cNvSpPr/>
                        <wps:spPr>
                          <a:xfrm>
                            <a:off x="2956750" y="1473895"/>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339FC7"/>
                            </a:solidFill>
                            <a:prstDash val="solid"/>
                          </a:ln>
                        </wps:spPr>
                        <wps:bodyPr wrap="square" lIns="0" tIns="0" rIns="0" bIns="0" rtlCol="0">
                          <a:prstTxWarp prst="textNoShape">
                            <a:avLst/>
                          </a:prstTxWarp>
                          <a:noAutofit/>
                        </wps:bodyPr>
                      </wps:wsp>
                      <wps:wsp>
                        <wps:cNvPr id="112" name="Graphic 112"/>
                        <wps:cNvSpPr/>
                        <wps:spPr>
                          <a:xfrm>
                            <a:off x="3721798" y="1385503"/>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339FC7"/>
                          </a:solidFill>
                        </wps:spPr>
                        <wps:bodyPr wrap="square" lIns="0" tIns="0" rIns="0" bIns="0" rtlCol="0">
                          <a:prstTxWarp prst="textNoShape">
                            <a:avLst/>
                          </a:prstTxWarp>
                          <a:noAutofit/>
                        </wps:bodyPr>
                      </wps:wsp>
                      <wps:wsp>
                        <wps:cNvPr id="113" name="Graphic 113"/>
                        <wps:cNvSpPr/>
                        <wps:spPr>
                          <a:xfrm>
                            <a:off x="3721798" y="1385503"/>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339FC7"/>
                            </a:solidFill>
                            <a:prstDash val="solid"/>
                          </a:ln>
                        </wps:spPr>
                        <wps:bodyPr wrap="square" lIns="0" tIns="0" rIns="0" bIns="0" rtlCol="0">
                          <a:prstTxWarp prst="textNoShape">
                            <a:avLst/>
                          </a:prstTxWarp>
                          <a:noAutofit/>
                        </wps:bodyPr>
                      </wps:wsp>
                      <wps:wsp>
                        <wps:cNvPr id="114" name="Graphic 114"/>
                        <wps:cNvSpPr/>
                        <wps:spPr>
                          <a:xfrm>
                            <a:off x="4485322" y="1304731"/>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339FC7"/>
                          </a:solidFill>
                        </wps:spPr>
                        <wps:bodyPr wrap="square" lIns="0" tIns="0" rIns="0" bIns="0" rtlCol="0">
                          <a:prstTxWarp prst="textNoShape">
                            <a:avLst/>
                          </a:prstTxWarp>
                          <a:noAutofit/>
                        </wps:bodyPr>
                      </wps:wsp>
                      <wps:wsp>
                        <wps:cNvPr id="115" name="Graphic 115"/>
                        <wps:cNvSpPr/>
                        <wps:spPr>
                          <a:xfrm>
                            <a:off x="4485322" y="1304731"/>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339FC7"/>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40" cstate="print"/>
                          <a:stretch>
                            <a:fillRect/>
                          </a:stretch>
                        </pic:blipFill>
                        <pic:spPr>
                          <a:xfrm>
                            <a:off x="5244082" y="1031746"/>
                            <a:ext cx="136016" cy="136017"/>
                          </a:xfrm>
                          <a:prstGeom prst="rect">
                            <a:avLst/>
                          </a:prstGeom>
                        </pic:spPr>
                      </pic:pic>
                      <wps:wsp>
                        <wps:cNvPr id="117" name="Graphic 117"/>
                        <wps:cNvSpPr/>
                        <wps:spPr>
                          <a:xfrm>
                            <a:off x="666940" y="1399981"/>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18" name="Graphic 118"/>
                        <wps:cNvSpPr/>
                        <wps:spPr>
                          <a:xfrm>
                            <a:off x="1430464" y="1572193"/>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19" name="Graphic 119"/>
                        <wps:cNvSpPr/>
                        <wps:spPr>
                          <a:xfrm>
                            <a:off x="2957512" y="1755073"/>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1" cstate="print"/>
                          <a:stretch>
                            <a:fillRect/>
                          </a:stretch>
                        </pic:blipFill>
                        <pic:spPr>
                          <a:xfrm>
                            <a:off x="4475035" y="1766884"/>
                            <a:ext cx="144017" cy="144018"/>
                          </a:xfrm>
                          <a:prstGeom prst="rect">
                            <a:avLst/>
                          </a:prstGeom>
                        </pic:spPr>
                      </pic:pic>
                      <wps:wsp>
                        <wps:cNvPr id="121" name="Graphic 121"/>
                        <wps:cNvSpPr/>
                        <wps:spPr>
                          <a:xfrm>
                            <a:off x="5248084" y="1675826"/>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22" name="Graphic 122"/>
                        <wps:cNvSpPr/>
                        <wps:spPr>
                          <a:xfrm>
                            <a:off x="666940" y="1512757"/>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23" name="Graphic 123"/>
                        <wps:cNvSpPr/>
                        <wps:spPr>
                          <a:xfrm>
                            <a:off x="1430464" y="1320733"/>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24" name="Graphic 124"/>
                        <wps:cNvSpPr/>
                        <wps:spPr>
                          <a:xfrm>
                            <a:off x="2957512" y="1741358"/>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25" name="Graphic 125"/>
                        <wps:cNvSpPr/>
                        <wps:spPr>
                          <a:xfrm>
                            <a:off x="4484560" y="1354262"/>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26" name="Graphic 126"/>
                        <wps:cNvSpPr/>
                        <wps:spPr>
                          <a:xfrm>
                            <a:off x="5248084" y="1284157"/>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27" name="Graphic 127"/>
                        <wps:cNvSpPr/>
                        <wps:spPr>
                          <a:xfrm>
                            <a:off x="666940" y="1276537"/>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28" name="Graphic 128"/>
                        <wps:cNvSpPr/>
                        <wps:spPr>
                          <a:xfrm>
                            <a:off x="1430464" y="122624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29" name="Graphic 129"/>
                        <wps:cNvSpPr/>
                        <wps:spPr>
                          <a:xfrm>
                            <a:off x="2957512" y="1425890"/>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0" name="Graphic 130"/>
                        <wps:cNvSpPr/>
                        <wps:spPr>
                          <a:xfrm>
                            <a:off x="5248084" y="1588957"/>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1" name="Graphic 131"/>
                        <wps:cNvSpPr/>
                        <wps:spPr>
                          <a:xfrm>
                            <a:off x="666940" y="154628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32" name="Graphic 132"/>
                        <wps:cNvSpPr/>
                        <wps:spPr>
                          <a:xfrm>
                            <a:off x="2193988" y="150056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33" name="Graphic 133"/>
                        <wps:cNvSpPr/>
                        <wps:spPr>
                          <a:xfrm>
                            <a:off x="2957512" y="1633153"/>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4" name="Graphic 134"/>
                        <wps:cNvSpPr/>
                        <wps:spPr>
                          <a:xfrm>
                            <a:off x="4484560" y="1436557"/>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5" name="Graphic 135"/>
                        <wps:cNvSpPr/>
                        <wps:spPr>
                          <a:xfrm>
                            <a:off x="5248084" y="1532569"/>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6" name="Graphic 136"/>
                        <wps:cNvSpPr/>
                        <wps:spPr>
                          <a:xfrm>
                            <a:off x="666940" y="1404553"/>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37" name="Graphic 137"/>
                        <wps:cNvSpPr/>
                        <wps:spPr>
                          <a:xfrm>
                            <a:off x="1430464" y="142436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38" name="Graphic 138"/>
                        <wps:cNvSpPr/>
                        <wps:spPr>
                          <a:xfrm>
                            <a:off x="5248084" y="1297873"/>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39" name="Graphic 139"/>
                        <wps:cNvSpPr/>
                        <wps:spPr>
                          <a:xfrm>
                            <a:off x="666940" y="1451797"/>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40" name="Graphic 140"/>
                        <wps:cNvSpPr/>
                        <wps:spPr>
                          <a:xfrm>
                            <a:off x="1430464" y="1573717"/>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41" name="Graphic 141"/>
                        <wps:cNvSpPr/>
                        <wps:spPr>
                          <a:xfrm>
                            <a:off x="2193988" y="1608769"/>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42" name="Graphic 142"/>
                        <wps:cNvSpPr/>
                        <wps:spPr>
                          <a:xfrm>
                            <a:off x="2957512" y="1631629"/>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43" name="Graphic 143"/>
                        <wps:cNvSpPr/>
                        <wps:spPr>
                          <a:xfrm>
                            <a:off x="3721036" y="1421317"/>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44" name="Graphic 144"/>
                        <wps:cNvSpPr/>
                        <wps:spPr>
                          <a:xfrm>
                            <a:off x="4484560" y="1439605"/>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45" name="Graphic 145"/>
                        <wps:cNvSpPr/>
                        <wps:spPr>
                          <a:xfrm>
                            <a:off x="5248084" y="1451797"/>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46" name="Graphic 146"/>
                        <wps:cNvSpPr/>
                        <wps:spPr>
                          <a:xfrm>
                            <a:off x="2193988" y="1633153"/>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47" name="Graphic 147"/>
                        <wps:cNvSpPr/>
                        <wps:spPr>
                          <a:xfrm>
                            <a:off x="3721036" y="1518853"/>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42" cstate="print"/>
                          <a:stretch>
                            <a:fillRect/>
                          </a:stretch>
                        </pic:blipFill>
                        <pic:spPr>
                          <a:xfrm>
                            <a:off x="113997" y="2324495"/>
                            <a:ext cx="1403448" cy="803325"/>
                          </a:xfrm>
                          <a:prstGeom prst="rect">
                            <a:avLst/>
                          </a:prstGeom>
                        </pic:spPr>
                      </pic:pic>
                      <pic:pic xmlns:pic="http://schemas.openxmlformats.org/drawingml/2006/picture">
                        <pic:nvPicPr>
                          <pic:cNvPr id="149" name="Image 149"/>
                          <pic:cNvPicPr/>
                        </pic:nvPicPr>
                        <pic:blipFill>
                          <a:blip r:embed="rId43" cstate="print"/>
                          <a:stretch>
                            <a:fillRect/>
                          </a:stretch>
                        </pic:blipFill>
                        <pic:spPr>
                          <a:xfrm>
                            <a:off x="2077469" y="2315881"/>
                            <a:ext cx="205828" cy="205816"/>
                          </a:xfrm>
                          <a:prstGeom prst="rect">
                            <a:avLst/>
                          </a:prstGeom>
                        </pic:spPr>
                      </pic:pic>
                      <pic:pic xmlns:pic="http://schemas.openxmlformats.org/drawingml/2006/picture">
                        <pic:nvPicPr>
                          <pic:cNvPr id="150" name="Image 150"/>
                          <pic:cNvPicPr/>
                        </pic:nvPicPr>
                        <pic:blipFill>
                          <a:blip r:embed="rId44" cstate="print"/>
                          <a:stretch>
                            <a:fillRect/>
                          </a:stretch>
                        </pic:blipFill>
                        <pic:spPr>
                          <a:xfrm>
                            <a:off x="2909246" y="2308920"/>
                            <a:ext cx="126544" cy="144657"/>
                          </a:xfrm>
                          <a:prstGeom prst="rect">
                            <a:avLst/>
                          </a:prstGeom>
                        </pic:spPr>
                      </pic:pic>
                      <pic:pic xmlns:pic="http://schemas.openxmlformats.org/drawingml/2006/picture">
                        <pic:nvPicPr>
                          <pic:cNvPr id="151" name="Image 151"/>
                          <pic:cNvPicPr/>
                        </pic:nvPicPr>
                        <pic:blipFill>
                          <a:blip r:embed="rId45" cstate="print"/>
                          <a:stretch>
                            <a:fillRect/>
                          </a:stretch>
                        </pic:blipFill>
                        <pic:spPr>
                          <a:xfrm>
                            <a:off x="3612494" y="2309111"/>
                            <a:ext cx="186804" cy="204952"/>
                          </a:xfrm>
                          <a:prstGeom prst="rect">
                            <a:avLst/>
                          </a:prstGeom>
                        </pic:spPr>
                      </pic:pic>
                      <pic:pic xmlns:pic="http://schemas.openxmlformats.org/drawingml/2006/picture">
                        <pic:nvPicPr>
                          <pic:cNvPr id="152" name="Image 152"/>
                          <pic:cNvPicPr/>
                        </pic:nvPicPr>
                        <pic:blipFill>
                          <a:blip r:embed="rId46" cstate="print"/>
                          <a:stretch>
                            <a:fillRect/>
                          </a:stretch>
                        </pic:blipFill>
                        <pic:spPr>
                          <a:xfrm>
                            <a:off x="3929912" y="2325338"/>
                            <a:ext cx="641684" cy="635000"/>
                          </a:xfrm>
                          <a:prstGeom prst="rect">
                            <a:avLst/>
                          </a:prstGeom>
                        </pic:spPr>
                      </pic:pic>
                      <pic:pic xmlns:pic="http://schemas.openxmlformats.org/drawingml/2006/picture">
                        <pic:nvPicPr>
                          <pic:cNvPr id="153" name="Image 153"/>
                          <pic:cNvPicPr/>
                        </pic:nvPicPr>
                        <pic:blipFill>
                          <a:blip r:embed="rId47" cstate="print"/>
                          <a:stretch>
                            <a:fillRect/>
                          </a:stretch>
                        </pic:blipFill>
                        <pic:spPr>
                          <a:xfrm>
                            <a:off x="5143332" y="2338467"/>
                            <a:ext cx="188506" cy="172148"/>
                          </a:xfrm>
                          <a:prstGeom prst="rect">
                            <a:avLst/>
                          </a:prstGeom>
                        </pic:spPr>
                      </pic:pic>
                      <pic:pic xmlns:pic="http://schemas.openxmlformats.org/drawingml/2006/picture">
                        <pic:nvPicPr>
                          <pic:cNvPr id="154" name="Image 154"/>
                          <pic:cNvPicPr/>
                        </pic:nvPicPr>
                        <pic:blipFill>
                          <a:blip r:embed="rId48" cstate="print"/>
                          <a:stretch>
                            <a:fillRect/>
                          </a:stretch>
                        </pic:blipFill>
                        <pic:spPr>
                          <a:xfrm>
                            <a:off x="1191767" y="3309010"/>
                            <a:ext cx="85725" cy="85725"/>
                          </a:xfrm>
                          <a:prstGeom prst="rect">
                            <a:avLst/>
                          </a:prstGeom>
                        </pic:spPr>
                      </pic:pic>
                      <pic:pic xmlns:pic="http://schemas.openxmlformats.org/drawingml/2006/picture">
                        <pic:nvPicPr>
                          <pic:cNvPr id="155" name="Image 155"/>
                          <pic:cNvPicPr/>
                        </pic:nvPicPr>
                        <pic:blipFill>
                          <a:blip r:embed="rId49" cstate="print"/>
                          <a:stretch>
                            <a:fillRect/>
                          </a:stretch>
                        </pic:blipFill>
                        <pic:spPr>
                          <a:xfrm>
                            <a:off x="1711451" y="3309010"/>
                            <a:ext cx="85725" cy="85725"/>
                          </a:xfrm>
                          <a:prstGeom prst="rect">
                            <a:avLst/>
                          </a:prstGeom>
                        </pic:spPr>
                      </pic:pic>
                      <pic:pic xmlns:pic="http://schemas.openxmlformats.org/drawingml/2006/picture">
                        <pic:nvPicPr>
                          <pic:cNvPr id="156" name="Image 156"/>
                          <pic:cNvPicPr/>
                        </pic:nvPicPr>
                        <pic:blipFill>
                          <a:blip r:embed="rId50" cstate="print"/>
                          <a:stretch>
                            <a:fillRect/>
                          </a:stretch>
                        </pic:blipFill>
                        <pic:spPr>
                          <a:xfrm>
                            <a:off x="2214372" y="3309010"/>
                            <a:ext cx="85725" cy="85725"/>
                          </a:xfrm>
                          <a:prstGeom prst="rect">
                            <a:avLst/>
                          </a:prstGeom>
                        </pic:spPr>
                      </pic:pic>
                      <pic:pic xmlns:pic="http://schemas.openxmlformats.org/drawingml/2006/picture">
                        <pic:nvPicPr>
                          <pic:cNvPr id="157" name="Image 157"/>
                          <pic:cNvPicPr/>
                        </pic:nvPicPr>
                        <pic:blipFill>
                          <a:blip r:embed="rId51" cstate="print"/>
                          <a:stretch>
                            <a:fillRect/>
                          </a:stretch>
                        </pic:blipFill>
                        <pic:spPr>
                          <a:xfrm>
                            <a:off x="2840735" y="3309010"/>
                            <a:ext cx="85725" cy="85725"/>
                          </a:xfrm>
                          <a:prstGeom prst="rect">
                            <a:avLst/>
                          </a:prstGeom>
                        </pic:spPr>
                      </pic:pic>
                      <pic:pic xmlns:pic="http://schemas.openxmlformats.org/drawingml/2006/picture">
                        <pic:nvPicPr>
                          <pic:cNvPr id="158" name="Image 158"/>
                          <pic:cNvPicPr/>
                        </pic:nvPicPr>
                        <pic:blipFill>
                          <a:blip r:embed="rId52" cstate="print"/>
                          <a:stretch>
                            <a:fillRect/>
                          </a:stretch>
                        </pic:blipFill>
                        <pic:spPr>
                          <a:xfrm>
                            <a:off x="3351847" y="3305009"/>
                            <a:ext cx="93725" cy="93725"/>
                          </a:xfrm>
                          <a:prstGeom prst="rect">
                            <a:avLst/>
                          </a:prstGeom>
                        </pic:spPr>
                      </pic:pic>
                      <wps:wsp>
                        <wps:cNvPr id="159" name="Graphic 159"/>
                        <wps:cNvSpPr/>
                        <wps:spPr>
                          <a:xfrm>
                            <a:off x="4762" y="4762"/>
                            <a:ext cx="5829300" cy="3536315"/>
                          </a:xfrm>
                          <a:custGeom>
                            <a:avLst/>
                            <a:gdLst/>
                            <a:ahLst/>
                            <a:cxnLst/>
                            <a:rect l="l" t="t" r="r" b="b"/>
                            <a:pathLst>
                              <a:path w="5829300" h="3536315">
                                <a:moveTo>
                                  <a:pt x="0" y="0"/>
                                </a:moveTo>
                                <a:lnTo>
                                  <a:pt x="5829300" y="0"/>
                                </a:lnTo>
                                <a:lnTo>
                                  <a:pt x="5829300" y="3536315"/>
                                </a:lnTo>
                                <a:lnTo>
                                  <a:pt x="0" y="353631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60" name="Textbox 160"/>
                        <wps:cNvSpPr txBox="1"/>
                        <wps:spPr>
                          <a:xfrm>
                            <a:off x="9525" y="5168"/>
                            <a:ext cx="5819775" cy="3531235"/>
                          </a:xfrm>
                          <a:prstGeom prst="rect">
                            <a:avLst/>
                          </a:prstGeom>
                        </wps:spPr>
                        <wps:txbx>
                          <w:txbxContent>
                            <w:p w14:paraId="1C34F181" w14:textId="77777777" w:rsidR="004C558F" w:rsidRDefault="00461887">
                              <w:pPr>
                                <w:spacing w:before="93"/>
                                <w:ind w:left="175"/>
                                <w:rPr>
                                  <w:sz w:val="21"/>
                                </w:rPr>
                              </w:pPr>
                              <w:r>
                                <w:rPr>
                                  <w:color w:val="585858"/>
                                  <w:spacing w:val="-10"/>
                                  <w:sz w:val="21"/>
                                </w:rPr>
                                <w:t>3</w:t>
                              </w:r>
                            </w:p>
                            <w:p w14:paraId="1C34F182" w14:textId="77777777" w:rsidR="004C558F" w:rsidRDefault="004C558F">
                              <w:pPr>
                                <w:rPr>
                                  <w:sz w:val="21"/>
                                </w:rPr>
                              </w:pPr>
                            </w:p>
                            <w:p w14:paraId="1C34F183" w14:textId="77777777" w:rsidR="004C558F" w:rsidRDefault="004C558F">
                              <w:pPr>
                                <w:rPr>
                                  <w:sz w:val="21"/>
                                </w:rPr>
                              </w:pPr>
                            </w:p>
                            <w:p w14:paraId="1C34F184" w14:textId="77777777" w:rsidR="004C558F" w:rsidRDefault="004C558F">
                              <w:pPr>
                                <w:spacing w:before="128"/>
                                <w:rPr>
                                  <w:sz w:val="21"/>
                                </w:rPr>
                              </w:pPr>
                            </w:p>
                            <w:p w14:paraId="1C34F185" w14:textId="77777777" w:rsidR="004C558F" w:rsidRDefault="00461887">
                              <w:pPr>
                                <w:spacing w:before="1"/>
                                <w:ind w:left="175"/>
                                <w:rPr>
                                  <w:sz w:val="21"/>
                                </w:rPr>
                              </w:pPr>
                              <w:r>
                                <w:rPr>
                                  <w:color w:val="585858"/>
                                  <w:spacing w:val="-10"/>
                                  <w:sz w:val="21"/>
                                </w:rPr>
                                <w:t>2</w:t>
                              </w:r>
                            </w:p>
                            <w:p w14:paraId="1C34F186" w14:textId="77777777" w:rsidR="004C558F" w:rsidRDefault="004C558F">
                              <w:pPr>
                                <w:rPr>
                                  <w:sz w:val="21"/>
                                </w:rPr>
                              </w:pPr>
                            </w:p>
                            <w:p w14:paraId="1C34F187" w14:textId="77777777" w:rsidR="004C558F" w:rsidRDefault="004C558F">
                              <w:pPr>
                                <w:rPr>
                                  <w:sz w:val="21"/>
                                </w:rPr>
                              </w:pPr>
                            </w:p>
                            <w:p w14:paraId="1C34F188" w14:textId="77777777" w:rsidR="004C558F" w:rsidRDefault="004C558F">
                              <w:pPr>
                                <w:spacing w:before="128"/>
                                <w:rPr>
                                  <w:sz w:val="21"/>
                                </w:rPr>
                              </w:pPr>
                            </w:p>
                            <w:p w14:paraId="1C34F189" w14:textId="77777777" w:rsidR="004C558F" w:rsidRDefault="00461887">
                              <w:pPr>
                                <w:ind w:left="175"/>
                                <w:rPr>
                                  <w:sz w:val="21"/>
                                </w:rPr>
                              </w:pPr>
                              <w:r>
                                <w:rPr>
                                  <w:color w:val="585858"/>
                                  <w:spacing w:val="-10"/>
                                  <w:sz w:val="21"/>
                                </w:rPr>
                                <w:t>1</w:t>
                              </w:r>
                            </w:p>
                            <w:p w14:paraId="1C34F18A" w14:textId="77777777" w:rsidR="004C558F" w:rsidRDefault="004C558F">
                              <w:pPr>
                                <w:rPr>
                                  <w:sz w:val="21"/>
                                </w:rPr>
                              </w:pPr>
                            </w:p>
                            <w:p w14:paraId="1C34F18B" w14:textId="77777777" w:rsidR="004C558F" w:rsidRDefault="004C558F">
                              <w:pPr>
                                <w:rPr>
                                  <w:sz w:val="21"/>
                                </w:rPr>
                              </w:pPr>
                            </w:p>
                            <w:p w14:paraId="1C34F18C" w14:textId="77777777" w:rsidR="004C558F" w:rsidRDefault="004C558F">
                              <w:pPr>
                                <w:spacing w:before="129"/>
                                <w:rPr>
                                  <w:sz w:val="21"/>
                                </w:rPr>
                              </w:pPr>
                            </w:p>
                            <w:p w14:paraId="1C34F18D" w14:textId="77777777" w:rsidR="004C558F" w:rsidRDefault="00461887">
                              <w:pPr>
                                <w:ind w:left="245"/>
                                <w:rPr>
                                  <w:sz w:val="21"/>
                                </w:rPr>
                              </w:pPr>
                              <w:r>
                                <w:rPr>
                                  <w:color w:val="585858"/>
                                  <w:spacing w:val="-10"/>
                                  <w:sz w:val="21"/>
                                </w:rPr>
                                <w:t>-</w:t>
                              </w:r>
                            </w:p>
                            <w:p w14:paraId="1C34F18E" w14:textId="77777777" w:rsidR="004C558F" w:rsidRDefault="004C558F">
                              <w:pPr>
                                <w:rPr>
                                  <w:sz w:val="21"/>
                                </w:rPr>
                              </w:pPr>
                            </w:p>
                            <w:p w14:paraId="1C34F18F" w14:textId="77777777" w:rsidR="004C558F" w:rsidRDefault="004C558F">
                              <w:pPr>
                                <w:rPr>
                                  <w:sz w:val="21"/>
                                </w:rPr>
                              </w:pPr>
                            </w:p>
                            <w:p w14:paraId="1C34F190" w14:textId="77777777" w:rsidR="004C558F" w:rsidRDefault="004C558F">
                              <w:pPr>
                                <w:rPr>
                                  <w:sz w:val="21"/>
                                </w:rPr>
                              </w:pPr>
                            </w:p>
                            <w:p w14:paraId="1C34F191" w14:textId="77777777" w:rsidR="004C558F" w:rsidRDefault="004C558F">
                              <w:pPr>
                                <w:rPr>
                                  <w:sz w:val="21"/>
                                </w:rPr>
                              </w:pPr>
                            </w:p>
                            <w:p w14:paraId="1C34F192" w14:textId="77777777" w:rsidR="004C558F" w:rsidRDefault="004C558F">
                              <w:pPr>
                                <w:rPr>
                                  <w:sz w:val="21"/>
                                </w:rPr>
                              </w:pPr>
                            </w:p>
                            <w:p w14:paraId="1C34F193" w14:textId="77777777" w:rsidR="004C558F" w:rsidRDefault="004C558F">
                              <w:pPr>
                                <w:spacing w:before="141"/>
                                <w:rPr>
                                  <w:sz w:val="21"/>
                                </w:rPr>
                              </w:pPr>
                            </w:p>
                            <w:p w14:paraId="1C34F194" w14:textId="77777777" w:rsidR="004C558F" w:rsidRDefault="00461887">
                              <w:pPr>
                                <w:tabs>
                                  <w:tab w:val="left" w:pos="1049"/>
                                  <w:tab w:val="left" w:pos="1843"/>
                                  <w:tab w:val="left" w:pos="2827"/>
                                  <w:tab w:val="left" w:pos="3638"/>
                                </w:tabs>
                                <w:ind w:left="230"/>
                                <w:jc w:val="center"/>
                                <w:rPr>
                                  <w:sz w:val="21"/>
                                </w:rPr>
                              </w:pPr>
                              <w:r>
                                <w:rPr>
                                  <w:color w:val="585858"/>
                                  <w:spacing w:val="-5"/>
                                  <w:sz w:val="21"/>
                                </w:rPr>
                                <w:t>MGH</w:t>
                              </w:r>
                              <w:r>
                                <w:rPr>
                                  <w:color w:val="585858"/>
                                  <w:sz w:val="21"/>
                                </w:rPr>
                                <w:tab/>
                              </w:r>
                              <w:r>
                                <w:rPr>
                                  <w:color w:val="585858"/>
                                  <w:spacing w:val="-4"/>
                                  <w:sz w:val="21"/>
                                </w:rPr>
                                <w:t>DFCI</w:t>
                              </w:r>
                              <w:r>
                                <w:rPr>
                                  <w:color w:val="585858"/>
                                  <w:sz w:val="21"/>
                                </w:rPr>
                                <w:tab/>
                              </w:r>
                              <w:r>
                                <w:rPr>
                                  <w:color w:val="585858"/>
                                  <w:spacing w:val="-4"/>
                                  <w:sz w:val="21"/>
                                </w:rPr>
                                <w:t>BIDMC</w:t>
                              </w:r>
                              <w:r>
                                <w:rPr>
                                  <w:color w:val="585858"/>
                                  <w:sz w:val="21"/>
                                </w:rPr>
                                <w:tab/>
                              </w:r>
                              <w:r>
                                <w:rPr>
                                  <w:color w:val="585858"/>
                                  <w:spacing w:val="-5"/>
                                  <w:sz w:val="21"/>
                                </w:rPr>
                                <w:t>BWH</w:t>
                              </w:r>
                              <w:r>
                                <w:rPr>
                                  <w:color w:val="585858"/>
                                  <w:sz w:val="21"/>
                                </w:rPr>
                                <w:tab/>
                                <w:t>Comparator</w:t>
                              </w:r>
                              <w:r>
                                <w:rPr>
                                  <w:color w:val="585858"/>
                                  <w:spacing w:val="-9"/>
                                  <w:sz w:val="21"/>
                                </w:rPr>
                                <w:t xml:space="preserve"> </w:t>
                              </w:r>
                              <w:r>
                                <w:rPr>
                                  <w:color w:val="585858"/>
                                  <w:spacing w:val="-2"/>
                                  <w:sz w:val="21"/>
                                </w:rPr>
                                <w:t>Providers</w:t>
                              </w:r>
                            </w:p>
                          </w:txbxContent>
                        </wps:txbx>
                        <wps:bodyPr wrap="square" lIns="0" tIns="0" rIns="0" bIns="0" rtlCol="0">
                          <a:noAutofit/>
                        </wps:bodyPr>
                      </wps:wsp>
                    </wpg:wgp>
                  </a:graphicData>
                </a:graphic>
              </wp:anchor>
            </w:drawing>
          </mc:Choice>
          <mc:Fallback>
            <w:pict>
              <v:group w14:anchorId="1C34F0FC" id="Group 65" o:spid="_x0000_s1026" alt="Graph for Commercial Outpatient Price Relativities by Service Line" style="position:absolute;left:0;text-align:left;margin-left:71.6pt;margin-top:14pt;width:459.75pt;height:279.2pt;z-index:-251656192;mso-wrap-distance-left:0;mso-wrap-distance-right:0;mso-position-horizontal-relative:page" coordsize="58388,3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">
                <v:shape id="Graphic 66" o:spid="_x0000_s1027" style="position:absolute;left:3485;top:1444;width:53460;height:13729;visibility:visible;mso-wrap-style:square;v-text-anchor:top" coordsize="5346065,1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" path="m,1372514r5345861,em,686714r5345861,em,l5345861,e" filled="f" strokecolor="#ececec">
                  <v:path arrowok="t"/>
                </v:shape>
                <v:shape id="Graphic 67" o:spid="_x0000_s1028" style="position:absolute;left:3485;top:22041;width:53460;height:13;visibility:visible;mso-wrap-style:square;v-text-anchor:top" coordsize="534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" path="m,l5345861,e" filled="f" strokecolor="#bebebe">
                  <v:path arrowok="t"/>
                </v:shape>
                <v:shape id="Graphic 68" o:spid="_x0000_s1029" style="position:absolute;left:6661;top:1240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" path="m63246,l38629,4970,18526,18526,4970,38629,,63246,4970,87862r13556,20103l38629,121521r24617,4971l87862,121521r20103,-13556l121521,87862r4971,-24616l121521,38629,107965,18526,87862,4970,63246,xe" fillcolor="#084875" stroked="f">
                  <v:path arrowok="t"/>
                </v:shape>
                <v:shape id="Graphic 69" o:spid="_x0000_s1030" style="position:absolute;left:6661;top:1240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" path="m126492,63246r-4971,24616l107965,107965,87862,121521r-24616,4971l38629,121521,18526,107965,4970,87862,,63246,4970,38629,18526,18526,38629,4970,63246,,87862,4970r20103,13556l121521,38629r4971,24617xe" filled="f" strokecolor="#084875">
                  <v:path arrowok="t"/>
                </v:shape>
                <v:shape id="Graphic 70" o:spid="_x0000_s1031" style="position:absolute;left:14297;top:1278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" path="m63246,l38629,4970,18526,18526,4970,38629,,63246,4970,87862r13556,20103l38629,121521r24617,4971l87862,121521r20103,-13556l121521,87862r4971,-24616l121521,38629,107965,18526,87862,4970,63246,xe" fillcolor="#084875" stroked="f">
                  <v:path arrowok="t"/>
                </v:shape>
                <v:shape id="Graphic 71" o:spid="_x0000_s1032" style="position:absolute;left:14297;top:1278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" path="m126492,63246r-4971,24616l107965,107965,87862,121521r-24616,4971l38629,121521,18526,107965,4970,87862,,63246,4970,38629,18526,18526,38629,4970,63246,,87862,4970r20103,13556l121521,38629r4971,24617xe" filled="f" strokecolor="#084875">
                  <v:path arrowok="t"/>
                </v:shape>
                <v:shape id="Graphic 72" o:spid="_x0000_s1033" style="position:absolute;left:21932;top:1406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" path="m63246,l38629,4970,18526,18526,4970,38629,,63246,4970,87862r13556,20103l38629,121521r24617,4971l87862,121521r20103,-13556l121521,87862r4971,-24616l121521,38629,107965,18526,87862,4970,63246,xe" fillcolor="#084875" stroked="f">
                  <v:path arrowok="t"/>
                </v:shape>
                <v:shape id="Graphic 73" o:spid="_x0000_s1034" style="position:absolute;left:21932;top:1406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" path="m126492,63246r-4971,24616l107965,107965,87862,121521r-24616,4971l38629,121521,18526,107965,4970,87862,,63246,4970,38629,18526,18526,38629,4970,63246,,87862,4970r20103,13556l121521,38629r4971,24617xe" filled="f" strokecolor="#084875">
                  <v:path arrowok="t"/>
                </v:shape>
                <v:shape id="Graphic 74" o:spid="_x0000_s1035" style="position:absolute;left:29567;top:1479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" path="m63245,l38629,4970,18526,18526,4970,38629,,63246,4970,87862r13556,20103l38629,121521r24616,4971l87862,121521r20103,-13556l121521,87862r4970,-24616l121521,38629,107965,18526,87862,4970,63245,xe" fillcolor="#084875" stroked="f">
                  <v:path arrowok="t"/>
                </v:shape>
                <v:shape id="Graphic 75" o:spid="_x0000_s1036" style="position:absolute;left:29567;top:1479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" path="m126491,63246r-4970,24616l107965,107965,87862,121521r-24617,4971l38629,121521,18526,107965,4970,87862,,63246,4970,38629,18526,18526,38629,4970,63245,,87862,4970r20103,13556l121521,38629r4970,24617xe" filled="f" strokecolor="#084875">
                  <v:path arrowok="t"/>
                </v:shape>
                <v:shape id="Graphic 76" o:spid="_x0000_s1037" style="position:absolute;left:37217;top:1449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" path="m63245,l38629,4970,18526,18526,4970,38629,,63246,4970,87862r13556,20103l38629,121521r24616,4971l87862,121521r20103,-13556l121521,87862r4970,-24616l121521,38629,107965,18526,87862,4970,63245,xe" fillcolor="#084875" stroked="f">
                  <v:path arrowok="t"/>
                </v:shape>
                <v:shape id="Graphic 77" o:spid="_x0000_s1038" style="position:absolute;left:37217;top:1449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" path="m126491,63246r-4970,24616l107965,107965,87862,121521r-24617,4971l38629,121521,18526,107965,4970,87862,,63246,4970,38629,18526,18526,38629,4970,63245,,87862,4970r20103,13556l121521,38629r4970,24617xe" filled="f" strokecolor="#084875">
                  <v:path arrowok="t"/>
                </v:shape>
                <v:shape id="Graphic 78" o:spid="_x0000_s1039" style="position:absolute;left:44853;top:13214;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" path="m63245,l38629,4970,18526,18526,4970,38629,,63246,4970,87862r13556,20103l38629,121521r24616,4971l87862,121521r20103,-13556l121521,87862r4970,-24616l121521,38629,107965,18526,87862,4970,63245,xe" fillcolor="#084875" stroked="f">
                  <v:path arrowok="t"/>
                </v:shape>
                <v:shape id="Graphic 79" o:spid="_x0000_s1040" style="position:absolute;left:44853;top:13214;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" path="m126491,63246r-4970,24616l107965,107965,87862,121521r-24617,4971l38629,121521,18526,107965,4970,87862,,63246,4970,38629,18526,18526,38629,4970,63245,,87862,4970r20103,13556l121521,38629r4970,24617xe" filled="f" strokecolor="#084875">
                  <v:path arrowok="t"/>
                </v:shape>
                <v:shape id="Graphic 80" o:spid="_x0000_s1041" style="position:absolute;left:52488;top:12361;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" path="m63245,l38629,4970,18526,18526,4970,38629,,63246,4970,87862r13556,20103l38629,121521r24616,4971l87862,121521r20103,-13556l121521,87862r4970,-24616l121521,38629,107965,18526,87862,4970,63245,xe" fillcolor="#084875" stroked="f">
                  <v:path arrowok="t"/>
                </v:shape>
                <v:shape id="Graphic 81" o:spid="_x0000_s1042" style="position:absolute;left:52488;top:12361;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" path="m126491,63246r-4970,24616l107965,107965,87862,121521r-24617,4971l38629,121521,18526,107965,4970,87862,,63246,4970,38629,18526,18526,38629,4970,63245,,87862,4970r20103,13556l121521,38629r4970,24617xe" filled="f" strokecolor="#084875">
                  <v:path arrowok="t"/>
                </v:shape>
                <v:shape id="Graphic 82" o:spid="_x0000_s1043" style="position:absolute;left:6661;top:1173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" path="m63246,l38629,4970,18526,18526,4970,38629,,63246,4970,87862r13556,20103l38629,121521r24617,4971l87862,121521r20103,-13556l121521,87862r4971,-24616l121521,38629,107965,18526,87862,4970,63246,xe" fillcolor="#f1682a" stroked="f">
                  <v:path arrowok="t"/>
                </v:shape>
                <v:shape id="Graphic 83" o:spid="_x0000_s1044" style="position:absolute;left:6661;top:1173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" path="m126492,63246r-4971,24616l107965,107965,87862,121521r-24616,4971l38629,121521,18526,107965,4970,87862,,63246,4970,38629,18526,18526,38629,4970,63246,,87862,4970r20103,13556l121521,38629r4971,24617xe" filled="f" strokecolor="#f1682a">
                  <v:path arrowok="t"/>
                </v:shape>
                <v:shape id="Image 84" o:spid="_x0000_s1045" type="#_x0000_t75" style="position:absolute;left:14249;top:10302;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">
                  <v:imagedata r:id="rId53" o:title=""/>
                </v:shape>
                <v:shape id="Image 85" o:spid="_x0000_s1046" type="#_x0000_t75" style="position:absolute;left:21884;top:11871;width:1360;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">
                  <v:imagedata r:id="rId54" o:title=""/>
                </v:shape>
                <v:shape id="Image 86" o:spid="_x0000_s1047" type="#_x0000_t75" style="position:absolute;left:29519;top:12283;width:1361;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">
                  <v:imagedata r:id="rId55" o:title=""/>
                </v:shape>
                <v:shape id="Graphic 87" o:spid="_x0000_s1048" style="position:absolute;left:37217;top:1403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" path="m63245,l38629,4970,18526,18526,4970,38629,,63246,4970,87862r13556,20103l38629,121521r24616,4971l87862,121521r20103,-13556l121521,87862r4970,-24616l121521,38629,107965,18526,87862,4970,63245,xe" fillcolor="#f1682a" stroked="f">
                  <v:path arrowok="t"/>
                </v:shape>
                <v:shape id="Graphic 88" o:spid="_x0000_s1049" style="position:absolute;left:37217;top:1403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" path="m126491,63246r-4970,24616l107965,107965,87862,121521r-24617,4971l38629,121521,18526,107965,4970,87862,,63246,4970,38629,18526,18526,38629,4970,63245,,87862,4970r20103,13556l121521,38629r4970,24617xe" filled="f" strokecolor="#f1682a">
                  <v:path arrowok="t"/>
                </v:shape>
                <v:shape id="Graphic 89" o:spid="_x0000_s1050" style="position:absolute;left:44853;top:1412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" path="m63245,l38629,4970,18526,18526,4970,38629,,63246,4970,87862r13556,20103l38629,121521r24616,4971l87862,121521r20103,-13556l121521,87862r4970,-24616l121521,38629,107965,18526,87862,4970,63245,xe" fillcolor="#f1682a" stroked="f">
                  <v:path arrowok="t"/>
                </v:shape>
                <v:shape id="Graphic 90" o:spid="_x0000_s1051" style="position:absolute;left:44853;top:1412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" path="m126491,63246r-4970,24616l107965,107965,87862,121521r-24617,4971l38629,121521,18526,107965,4970,87862,,63246,4970,38629,18526,18526,38629,4970,63245,,87862,4970r20103,13556l121521,38629r4970,24617xe" filled="f" strokecolor="#f1682a">
                  <v:path arrowok="t"/>
                </v:shape>
                <v:shape id="Image 91" o:spid="_x0000_s1052" type="#_x0000_t75" style="position:absolute;left:52440;top:2880;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">
                  <v:imagedata r:id="rId53" o:title=""/>
                </v:shape>
                <v:shape id="Graphic 92" o:spid="_x0000_s1053" style="position:absolute;left:6661;top:1383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" path="m63246,l38629,4970,18526,18526,4970,38629,,63246,4970,87862r13556,20103l38629,121521r24617,4971l87862,121521r20103,-13556l121521,87862r4971,-24616l121521,38629,107965,18526,87862,4970,63246,xe" fillcolor="#f9a720" stroked="f">
                  <v:path arrowok="t"/>
                </v:shape>
                <v:shape id="Graphic 93" o:spid="_x0000_s1054" style="position:absolute;left:6661;top:1383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" path="m126492,63246r-4971,24616l107965,107965,87862,121521r-24616,4971l38629,121521,18526,107965,4970,87862,,63246,4970,38629,18526,18526,38629,4970,63246,,87862,4970r20103,13556l121521,38629r4971,24617xe" filled="f" strokecolor="#f9a720">
                  <v:path arrowok="t"/>
                </v:shape>
                <v:shape id="Graphic 94" o:spid="_x0000_s1055" style="position:absolute;left:14297;top:1374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" path="m63246,l38629,4970,18526,18526,4970,38629,,63246,4970,87862r13556,20103l38629,121521r24617,4971l87862,121521r20103,-13556l121521,87862r4971,-24616l121521,38629,107965,18526,87862,4970,63246,xe" fillcolor="#f9a720" stroked="f">
                  <v:path arrowok="t"/>
                </v:shape>
                <v:shape id="Graphic 95" o:spid="_x0000_s1056" style="position:absolute;left:14297;top:1374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" path="m126492,63246r-4971,24616l107965,107965,87862,121521r-24616,4971l38629,121521,18526,107965,4970,87862,,63246,4970,38629,18526,18526,38629,4970,63246,,87862,4970r20103,13556l121521,38629r4971,24617xe" filled="f" strokecolor="#f9a720">
                  <v:path arrowok="t"/>
                </v:shape>
                <v:shape id="Graphic 96" o:spid="_x0000_s1057" style="position:absolute;left:21932;top:16400;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" path="m63246,l38629,4970,18526,18526,4970,38629,,63246,4970,87862r13556,20103l38629,121521r24617,4971l87862,121521r20103,-13556l121521,87862r4971,-24616l121521,38629,107965,18526,87862,4970,63246,xe" fillcolor="#f9a720" stroked="f">
                  <v:path arrowok="t"/>
                </v:shape>
                <v:shape id="Graphic 97" o:spid="_x0000_s1058" style="position:absolute;left:21932;top:16400;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" path="m126492,63246r-4971,24616l107965,107965,87862,121521r-24616,4971l38629,121521,18526,107965,4970,87862,,63246,4970,38629,18526,18526,38629,4970,63246,,87862,4970r20103,13556l121521,38629r4971,24617xe" filled="f" strokecolor="#f9a720">
                  <v:path arrowok="t"/>
                </v:shape>
                <v:shape id="Graphic 98" o:spid="_x0000_s1059" style="position:absolute;left:29567;top:1624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" path="m63245,l38629,4970,18526,18526,4970,38629,,63246,4970,87862r13556,20103l38629,121521r24616,4971l87862,121521r20103,-13556l121521,87862r4970,-24616l121521,38629,107965,18526,87862,4970,63245,xe" fillcolor="#f9a720" stroked="f">
                  <v:path arrowok="t"/>
                </v:shape>
                <v:shape id="Graphic 99" o:spid="_x0000_s1060" style="position:absolute;left:29567;top:1624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" path="m126491,63246r-4970,24616l107965,107965,87862,121521r-24617,4971l38629,121521,18526,107965,4970,87862,,63246,4970,38629,18526,18526,38629,4970,63245,,87862,4970r20103,13556l121521,38629r4970,24617xe" filled="f" strokecolor="#f9a720">
                  <v:path arrowok="t"/>
                </v:shape>
                <v:shape id="Graphic 100" o:spid="_x0000_s1061" style="position:absolute;left:37217;top:1426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" path="m63245,l38629,4970,18526,18526,4970,38629,,63246,4970,87862r13556,20103l38629,121521r24616,4971l87862,121521r20103,-13556l121521,87862r4970,-24616l121521,38629,107965,18526,87862,4970,63245,xe" fillcolor="#f9a720" stroked="f">
                  <v:path arrowok="t"/>
                </v:shape>
                <v:shape id="Graphic 101" o:spid="_x0000_s1062" style="position:absolute;left:37217;top:1426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" path="m126491,63246r-4970,24616l107965,107965,87862,121521r-24617,4971l38629,121521,18526,107965,4970,87862,,63246,4970,38629,18526,18526,38629,4970,63245,,87862,4970r20103,13556l121521,38629r4970,24617xe" filled="f" strokecolor="#f9a720">
                  <v:path arrowok="t"/>
                </v:shape>
                <v:shape id="Graphic 102" o:spid="_x0000_s1063" style="position:absolute;left:44853;top:1481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" path="m63245,l38629,4970,18526,18526,4970,38629,,63246,4970,87862r13556,20103l38629,121521r24616,4971l87862,121521r20103,-13556l121521,87862r4970,-24616l121521,38629,107965,18526,87862,4970,63245,xe" fillcolor="#f9a720" stroked="f">
                  <v:path arrowok="t"/>
                </v:shape>
                <v:shape id="Graphic 103" o:spid="_x0000_s1064" style="position:absolute;left:44853;top:1481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" path="m126491,63246r-4970,24616l107965,107965,87862,121521r-24617,4971l38629,121521,18526,107965,4970,87862,,63246,4970,38629,18526,18526,38629,4970,63245,,87862,4970r20103,13556l121521,38629r4970,24617xe" filled="f" strokecolor="#f9a720">
                  <v:path arrowok="t"/>
                </v:shape>
                <v:shape id="Graphic 104" o:spid="_x0000_s1065" style="position:absolute;left:52488;top:12422;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" path="m63245,l38629,4970,18526,18526,4970,38629,,63246,4970,87862r13556,20103l38629,121521r24616,4971l87862,121521r20103,-13556l121521,87862r4970,-24616l121521,38629,107965,18526,87862,4970,63245,xe" fillcolor="#f9a720" stroked="f">
                  <v:path arrowok="t"/>
                </v:shape>
                <v:shape id="Graphic 105" o:spid="_x0000_s1066" style="position:absolute;left:52488;top:12422;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" path="m126491,63246r-4970,24616l107965,107965,87862,121521r-24617,4971l38629,121521,18526,107965,4970,87862,,63246,4970,38629,18526,18526,38629,4970,63245,,87862,4970r20103,13556l121521,38629r4970,24617xe" filled="f" strokecolor="#f9a720">
                  <v:path arrowok="t"/>
                </v:shape>
                <v:shape id="Graphic 106" o:spid="_x0000_s1067" style="position:absolute;left:14297;top:1246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" path="m63246,l38629,4970,18526,18526,4970,38629,,63246,4970,87862r13556,20103l38629,121521r24617,4971l87862,121521r20103,-13556l121521,87862r4971,-24616l121521,38629,107965,18526,87862,4970,63246,xe" fillcolor="#339fc7" stroked="f">
                  <v:path arrowok="t"/>
                </v:shape>
                <v:shape id="Graphic 107" o:spid="_x0000_s1068" style="position:absolute;left:14297;top:1246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" path="m126492,63246r-4971,24616l107965,107965,87862,121521r-24616,4971l38629,121521,18526,107965,4970,87862,,63246,4970,38629,18526,18526,38629,4970,63246,,87862,4970r20103,13556l121521,38629r4971,24617xe" filled="f" strokecolor="#339fc7">
                  <v:path arrowok="t"/>
                </v:shape>
                <v:shape id="Graphic 108" o:spid="_x0000_s1069" style="position:absolute;left:21932;top:1400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" path="m63246,l38629,4970,18526,18526,4970,38629,,63246,4970,87862r13556,20103l38629,121521r24617,4971l87862,121521r20103,-13556l121521,87862r4971,-24616l121521,38629,107965,18526,87862,4970,63246,xe" fillcolor="#339fc7" stroked="f">
                  <v:path arrowok="t"/>
                </v:shape>
                <v:shape id="Graphic 109" o:spid="_x0000_s1070" style="position:absolute;left:21932;top:1400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" path="m126492,63246r-4971,24616l107965,107965,87862,121521r-24616,4971l38629,121521,18526,107965,4970,87862,,63246,4970,38629,18526,18526,38629,4970,63246,,87862,4970r20103,13556l121521,38629r4971,24617xe" filled="f" strokecolor="#339fc7">
                  <v:path arrowok="t"/>
                </v:shape>
                <v:shape id="Graphic 110" o:spid="_x0000_s1071" style="position:absolute;left:29567;top:1473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" path="m63245,l38629,4970,18526,18526,4970,38629,,63246,4970,87862r13556,20103l38629,121521r24616,4971l87862,121521r20103,-13556l121521,87862r4970,-24616l121521,38629,107965,18526,87862,4970,63245,xe" fillcolor="#339fc7" stroked="f">
                  <v:path arrowok="t"/>
                </v:shape>
                <v:shape id="Graphic 111" o:spid="_x0000_s1072" style="position:absolute;left:29567;top:1473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" path="m126491,63246r-4970,24616l107965,107965,87862,121521r-24617,4971l38629,121521,18526,107965,4970,87862,,63246,4970,38629,18526,18526,38629,4970,63245,,87862,4970r20103,13556l121521,38629r4970,24617xe" filled="f" strokecolor="#339fc7">
                  <v:path arrowok="t"/>
                </v:shape>
                <v:shape id="Graphic 112" o:spid="_x0000_s1073" style="position:absolute;left:37217;top:1385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" path="m63245,l38629,4970,18526,18526,4970,38629,,63246,4970,87862r13556,20103l38629,121521r24616,4971l87862,121521r20103,-13556l121521,87862r4970,-24616l121521,38629,107965,18526,87862,4970,63245,xe" fillcolor="#339fc7" stroked="f">
                  <v:path arrowok="t"/>
                </v:shape>
                <v:shape id="Graphic 113" o:spid="_x0000_s1074" style="position:absolute;left:37217;top:1385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" path="m126491,63246r-4970,24616l107965,107965,87862,121521r-24617,4971l38629,121521,18526,107965,4970,87862,,63246,4970,38629,18526,18526,38629,4970,63245,,87862,4970r20103,13556l121521,38629r4970,24617xe" filled="f" strokecolor="#339fc7">
                  <v:path arrowok="t"/>
                </v:shape>
                <v:shape id="Graphic 114" o:spid="_x0000_s1075" style="position:absolute;left:44853;top:1304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" path="m63245,l38629,4970,18526,18526,4970,38629,,63246,4970,87862r13556,20103l38629,121521r24616,4971l87862,121521r20103,-13556l121521,87862r4970,-24616l121521,38629,107965,18526,87862,4970,63245,xe" fillcolor="#339fc7" stroked="f">
                  <v:path arrowok="t"/>
                </v:shape>
                <v:shape id="Graphic 115" o:spid="_x0000_s1076" style="position:absolute;left:44853;top:1304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" path="m126491,63246r-4970,24616l107965,107965,87862,121521r-24617,4971l38629,121521,18526,107965,4970,87862,,63246,4970,38629,18526,18526,38629,4970,63245,,87862,4970r20103,13556l121521,38629r4970,24617xe" filled="f" strokecolor="#339fc7">
                  <v:path arrowok="t"/>
                </v:shape>
                <v:shape id="Image 116" o:spid="_x0000_s1077" type="#_x0000_t75" style="position:absolute;left:52440;top:10317;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">
                  <v:imagedata r:id="rId56" o:title=""/>
                </v:shape>
                <v:shape id="Graphic 117" o:spid="_x0000_s1078" style="position:absolute;left:6669;top:1399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118" o:spid="_x0000_s1079" style="position:absolute;left:14304;top:1572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119" o:spid="_x0000_s1080" style="position:absolute;left:29575;top:17550;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Image 120" o:spid="_x0000_s1081" type="#_x0000_t75" style="position:absolute;left:44750;top:17668;width:1440;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">
                  <v:imagedata r:id="rId57" o:title=""/>
                </v:shape>
                <v:shape id="Graphic 121" o:spid="_x0000_s1082" style="position:absolute;left:52480;top:1675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Graphic 122" o:spid="_x0000_s1083" style="position:absolute;left:6669;top:1512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123" o:spid="_x0000_s1084" style="position:absolute;left:14304;top:1320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24" o:spid="_x0000_s1085" style="position:absolute;left:29575;top:1741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25" o:spid="_x0000_s1086" style="position:absolute;left:44845;top:1354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26" o:spid="_x0000_s1087" style="position:absolute;left:52480;top:1284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Graphic 127" o:spid="_x0000_s1088" style="position:absolute;left:6669;top:1276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28" o:spid="_x0000_s1089" style="position:absolute;left:14304;top:1226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" path="m124968,62484r-4911,24320l106665,106665,86804,120057r-24320,4911l38163,120057,18302,106665,4910,86804,,62484,4910,38163,18302,18302,38163,4910,62484,,86804,4910r19861,13392l120057,38163r4911,24321xe" filled="f" strokecolor="#a6a6a6" strokeweight="1.5pt">
                  <v:path arrowok="t"/>
                </v:shape>
                <v:shape id="Graphic 129" o:spid="_x0000_s1090" style="position:absolute;left:29575;top:1425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30" o:spid="_x0000_s1091" style="position:absolute;left:52480;top:1588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" path="m124967,62484r-4910,24320l106665,106665,86804,120057r-24321,4911l38163,120057,18302,106665,4910,86804,,62484,4910,38163,18302,18302,38163,4910,62483,,86804,4910r19861,13392l120057,38163r4910,24321xe" filled="f" strokecolor="#a6a6a6" strokeweight="1.5pt">
                  <v:path arrowok="t"/>
                </v:shape>
                <v:shape id="Graphic 131" o:spid="_x0000_s1092" style="position:absolute;left:6669;top:1546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132" o:spid="_x0000_s1093" style="position:absolute;left:21939;top:1500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33" o:spid="_x0000_s1094" style="position:absolute;left:29575;top:1633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34" o:spid="_x0000_s1095" style="position:absolute;left:44845;top:1436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35" o:spid="_x0000_s1096" style="position:absolute;left:52480;top:1532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36" o:spid="_x0000_s1097" style="position:absolute;left:6669;top:1404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37" o:spid="_x0000_s1098" style="position:absolute;left:14304;top:1424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38" o:spid="_x0000_s1099" style="position:absolute;left:52480;top:1297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" path="m124967,62484r-4910,24320l106665,106665,86804,120057r-24321,4911l38163,120057,18302,106665,4910,86804,,62484,4910,38163,18302,18302,38163,4910,62483,,86804,4910r19861,13392l120057,38163r4910,24321xe" filled="f" strokecolor="#a6a6a6" strokeweight="1.5pt">
                  <v:path arrowok="t"/>
                </v:shape>
                <v:shape id="Graphic 139" o:spid="_x0000_s1100" style="position:absolute;left:6669;top:1451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" path="m124968,62484r-4911,24320l106665,106665,86804,120057r-24320,4911l38163,120057,18302,106665,4910,86804,,62484,4910,38163,18302,18302,38163,4910,62484,,86804,4910r19861,13392l120057,38163r4911,24321xe" filled="f" strokecolor="#a6a6a6" strokeweight="1.5pt">
                  <v:path arrowok="t"/>
                </v:shape>
                <v:shape id="Graphic 140" o:spid="_x0000_s1101" style="position:absolute;left:14304;top:1573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" path="m124968,62484r-4911,24320l106665,106665,86804,120057r-24320,4911l38163,120057,18302,106665,4910,86804,,62484,4910,38163,18302,18302,38163,4910,62484,,86804,4910r19861,13392l120057,38163r4911,24321xe" filled="f" strokecolor="#a6a6a6" strokeweight="1.5pt">
                  <v:path arrowok="t"/>
                </v:shape>
                <v:shape id="Graphic 141" o:spid="_x0000_s1102" style="position:absolute;left:21939;top:1608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142" o:spid="_x0000_s1103" style="position:absolute;left:29575;top:16316;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43" o:spid="_x0000_s1104" style="position:absolute;left:37210;top:1421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44" o:spid="_x0000_s1105" style="position:absolute;left:44845;top:14396;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Graphic 145" o:spid="_x0000_s1106" style="position:absolute;left:52480;top:14517;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46" o:spid="_x0000_s1107" style="position:absolute;left:21939;top:1633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" path="m124968,62484r-4911,24320l106665,106665,86804,120057r-24320,4911l38163,120057,18302,106665,4910,86804,,62484,4910,38163,18302,18302,38163,4910,62484,,86804,4910r19861,13392l120057,38163r4911,24321xe" filled="f" strokecolor="#a6a6a6" strokeweight="1.5pt">
                  <v:path arrowok="t"/>
                </v:shape>
                <v:shape id="Graphic 147" o:spid="_x0000_s1108" style="position:absolute;left:37210;top:1518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Image 148" o:spid="_x0000_s1109" type="#_x0000_t75" style="position:absolute;left:1139;top:23244;width:14035;height: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">
                  <v:imagedata r:id="rId58" o:title=""/>
                </v:shape>
                <v:shape id="Image 149" o:spid="_x0000_s1110" type="#_x0000_t75" style="position:absolute;left:20774;top:23158;width:2058;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">
                  <v:imagedata r:id="rId59" o:title=""/>
                </v:shape>
                <v:shape id="Image 150" o:spid="_x0000_s1111" type="#_x0000_t75" style="position:absolute;left:29092;top:23089;width:1265;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">
                  <v:imagedata r:id="rId60" o:title=""/>
                </v:shape>
                <v:shape id="Image 151" o:spid="_x0000_s1112" type="#_x0000_t75" style="position:absolute;left:36124;top:23091;width:1868;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">
                  <v:imagedata r:id="rId61" o:title=""/>
                </v:shape>
                <v:shape id="Image 152" o:spid="_x0000_s1113" type="#_x0000_t75" style="position:absolute;left:39299;top:23253;width:6416;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">
                  <v:imagedata r:id="rId62" o:title=""/>
                </v:shape>
                <v:shape id="Image 153" o:spid="_x0000_s1114" type="#_x0000_t75" style="position:absolute;left:51433;top:23384;width:188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">
                  <v:imagedata r:id="rId63" o:title=""/>
                </v:shape>
                <v:shape id="Image 154" o:spid="_x0000_s1115" type="#_x0000_t75" style="position:absolute;left:11917;top:33090;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">
                  <v:imagedata r:id="rId64" o:title=""/>
                </v:shape>
                <v:shape id="Image 155" o:spid="_x0000_s1116" type="#_x0000_t75" style="position:absolute;left:17114;top:33090;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">
                  <v:imagedata r:id="rId65" o:title=""/>
                </v:shape>
                <v:shape id="Image 156" o:spid="_x0000_s1117" type="#_x0000_t75" style="position:absolute;left:22143;top:33090;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">
                  <v:imagedata r:id="rId66" o:title=""/>
                </v:shape>
                <v:shape id="Image 157" o:spid="_x0000_s1118" type="#_x0000_t75" style="position:absolute;left:28407;top:33090;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">
                  <v:imagedata r:id="rId67" o:title=""/>
                </v:shape>
                <v:shape id="Image 158" o:spid="_x0000_s1119" type="#_x0000_t75" style="position:absolute;left:33518;top:33050;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">
                  <v:imagedata r:id="rId68" o:title=""/>
                </v:shape>
                <v:shape id="Graphic 159" o:spid="_x0000_s1120" style="position:absolute;left:47;top:47;width:58293;height:35363;visibility:visible;mso-wrap-style:square;v-text-anchor:top" coordsize="582930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" path="m,l5829300,r,3536315l,3536315,,xe" filled="f" strokecolor="#d9d9d9">
                  <v:path arrowok="t"/>
                </v:shape>
                <v:shapetype id="_x0000_t202" coordsize="21600,21600" o:spt="202" path="m,l,21600r21600,l21600,xe">
                  <v:stroke joinstyle="miter"/>
                  <v:path gradientshapeok="t" o:connecttype="rect"/>
                </v:shapetype>
                <v:shape id="Textbox 160" o:spid="_x0000_s1121" type="#_x0000_t202" style="position:absolute;left:95;top:51;width:58198;height:35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C34F181" w14:textId="77777777" w:rsidR="004C558F" w:rsidRDefault="00461887">
                        <w:pPr>
                          <w:spacing w:before="93"/>
                          <w:ind w:left="175"/>
                          <w:rPr>
                            <w:sz w:val="21"/>
                          </w:rPr>
                        </w:pPr>
                        <w:r>
                          <w:rPr>
                            <w:color w:val="585858"/>
                            <w:spacing w:val="-10"/>
                            <w:sz w:val="21"/>
                          </w:rPr>
                          <w:t>3</w:t>
                        </w:r>
                      </w:p>
                      <w:p w14:paraId="1C34F182" w14:textId="77777777" w:rsidR="004C558F" w:rsidRDefault="004C558F">
                        <w:pPr>
                          <w:rPr>
                            <w:sz w:val="21"/>
                          </w:rPr>
                        </w:pPr>
                      </w:p>
                      <w:p w14:paraId="1C34F183" w14:textId="77777777" w:rsidR="004C558F" w:rsidRDefault="004C558F">
                        <w:pPr>
                          <w:rPr>
                            <w:sz w:val="21"/>
                          </w:rPr>
                        </w:pPr>
                      </w:p>
                      <w:p w14:paraId="1C34F184" w14:textId="77777777" w:rsidR="004C558F" w:rsidRDefault="004C558F">
                        <w:pPr>
                          <w:spacing w:before="128"/>
                          <w:rPr>
                            <w:sz w:val="21"/>
                          </w:rPr>
                        </w:pPr>
                      </w:p>
                      <w:p w14:paraId="1C34F185" w14:textId="77777777" w:rsidR="004C558F" w:rsidRDefault="00461887">
                        <w:pPr>
                          <w:spacing w:before="1"/>
                          <w:ind w:left="175"/>
                          <w:rPr>
                            <w:sz w:val="21"/>
                          </w:rPr>
                        </w:pPr>
                        <w:r>
                          <w:rPr>
                            <w:color w:val="585858"/>
                            <w:spacing w:val="-10"/>
                            <w:sz w:val="21"/>
                          </w:rPr>
                          <w:t>2</w:t>
                        </w:r>
                      </w:p>
                      <w:p w14:paraId="1C34F186" w14:textId="77777777" w:rsidR="004C558F" w:rsidRDefault="004C558F">
                        <w:pPr>
                          <w:rPr>
                            <w:sz w:val="21"/>
                          </w:rPr>
                        </w:pPr>
                      </w:p>
                      <w:p w14:paraId="1C34F187" w14:textId="77777777" w:rsidR="004C558F" w:rsidRDefault="004C558F">
                        <w:pPr>
                          <w:rPr>
                            <w:sz w:val="21"/>
                          </w:rPr>
                        </w:pPr>
                      </w:p>
                      <w:p w14:paraId="1C34F188" w14:textId="77777777" w:rsidR="004C558F" w:rsidRDefault="004C558F">
                        <w:pPr>
                          <w:spacing w:before="128"/>
                          <w:rPr>
                            <w:sz w:val="21"/>
                          </w:rPr>
                        </w:pPr>
                      </w:p>
                      <w:p w14:paraId="1C34F189" w14:textId="77777777" w:rsidR="004C558F" w:rsidRDefault="00461887">
                        <w:pPr>
                          <w:ind w:left="175"/>
                          <w:rPr>
                            <w:sz w:val="21"/>
                          </w:rPr>
                        </w:pPr>
                        <w:r>
                          <w:rPr>
                            <w:color w:val="585858"/>
                            <w:spacing w:val="-10"/>
                            <w:sz w:val="21"/>
                          </w:rPr>
                          <w:t>1</w:t>
                        </w:r>
                      </w:p>
                      <w:p w14:paraId="1C34F18A" w14:textId="77777777" w:rsidR="004C558F" w:rsidRDefault="004C558F">
                        <w:pPr>
                          <w:rPr>
                            <w:sz w:val="21"/>
                          </w:rPr>
                        </w:pPr>
                      </w:p>
                      <w:p w14:paraId="1C34F18B" w14:textId="77777777" w:rsidR="004C558F" w:rsidRDefault="004C558F">
                        <w:pPr>
                          <w:rPr>
                            <w:sz w:val="21"/>
                          </w:rPr>
                        </w:pPr>
                      </w:p>
                      <w:p w14:paraId="1C34F18C" w14:textId="77777777" w:rsidR="004C558F" w:rsidRDefault="004C558F">
                        <w:pPr>
                          <w:spacing w:before="129"/>
                          <w:rPr>
                            <w:sz w:val="21"/>
                          </w:rPr>
                        </w:pPr>
                      </w:p>
                      <w:p w14:paraId="1C34F18D" w14:textId="77777777" w:rsidR="004C558F" w:rsidRDefault="00461887">
                        <w:pPr>
                          <w:ind w:left="245"/>
                          <w:rPr>
                            <w:sz w:val="21"/>
                          </w:rPr>
                        </w:pPr>
                        <w:r>
                          <w:rPr>
                            <w:color w:val="585858"/>
                            <w:spacing w:val="-10"/>
                            <w:sz w:val="21"/>
                          </w:rPr>
                          <w:t>-</w:t>
                        </w:r>
                      </w:p>
                      <w:p w14:paraId="1C34F18E" w14:textId="77777777" w:rsidR="004C558F" w:rsidRDefault="004C558F">
                        <w:pPr>
                          <w:rPr>
                            <w:sz w:val="21"/>
                          </w:rPr>
                        </w:pPr>
                      </w:p>
                      <w:p w14:paraId="1C34F18F" w14:textId="77777777" w:rsidR="004C558F" w:rsidRDefault="004C558F">
                        <w:pPr>
                          <w:rPr>
                            <w:sz w:val="21"/>
                          </w:rPr>
                        </w:pPr>
                      </w:p>
                      <w:p w14:paraId="1C34F190" w14:textId="77777777" w:rsidR="004C558F" w:rsidRDefault="004C558F">
                        <w:pPr>
                          <w:rPr>
                            <w:sz w:val="21"/>
                          </w:rPr>
                        </w:pPr>
                      </w:p>
                      <w:p w14:paraId="1C34F191" w14:textId="77777777" w:rsidR="004C558F" w:rsidRDefault="004C558F">
                        <w:pPr>
                          <w:rPr>
                            <w:sz w:val="21"/>
                          </w:rPr>
                        </w:pPr>
                      </w:p>
                      <w:p w14:paraId="1C34F192" w14:textId="77777777" w:rsidR="004C558F" w:rsidRDefault="004C558F">
                        <w:pPr>
                          <w:rPr>
                            <w:sz w:val="21"/>
                          </w:rPr>
                        </w:pPr>
                      </w:p>
                      <w:p w14:paraId="1C34F193" w14:textId="77777777" w:rsidR="004C558F" w:rsidRDefault="004C558F">
                        <w:pPr>
                          <w:spacing w:before="141"/>
                          <w:rPr>
                            <w:sz w:val="21"/>
                          </w:rPr>
                        </w:pPr>
                      </w:p>
                      <w:p w14:paraId="1C34F194" w14:textId="77777777" w:rsidR="004C558F" w:rsidRDefault="00461887">
                        <w:pPr>
                          <w:tabs>
                            <w:tab w:val="left" w:pos="1049"/>
                            <w:tab w:val="left" w:pos="1843"/>
                            <w:tab w:val="left" w:pos="2827"/>
                            <w:tab w:val="left" w:pos="3638"/>
                          </w:tabs>
                          <w:ind w:left="230"/>
                          <w:jc w:val="center"/>
                          <w:rPr>
                            <w:sz w:val="21"/>
                          </w:rPr>
                        </w:pPr>
                        <w:r>
                          <w:rPr>
                            <w:color w:val="585858"/>
                            <w:spacing w:val="-5"/>
                            <w:sz w:val="21"/>
                          </w:rPr>
                          <w:t>MGH</w:t>
                        </w:r>
                        <w:r>
                          <w:rPr>
                            <w:color w:val="585858"/>
                            <w:sz w:val="21"/>
                          </w:rPr>
                          <w:tab/>
                        </w:r>
                        <w:r>
                          <w:rPr>
                            <w:color w:val="585858"/>
                            <w:spacing w:val="-4"/>
                            <w:sz w:val="21"/>
                          </w:rPr>
                          <w:t>DFCI</w:t>
                        </w:r>
                        <w:r>
                          <w:rPr>
                            <w:color w:val="585858"/>
                            <w:sz w:val="21"/>
                          </w:rPr>
                          <w:tab/>
                        </w:r>
                        <w:r>
                          <w:rPr>
                            <w:color w:val="585858"/>
                            <w:spacing w:val="-4"/>
                            <w:sz w:val="21"/>
                          </w:rPr>
                          <w:t>BIDMC</w:t>
                        </w:r>
                        <w:r>
                          <w:rPr>
                            <w:color w:val="585858"/>
                            <w:sz w:val="21"/>
                          </w:rPr>
                          <w:tab/>
                        </w:r>
                        <w:r>
                          <w:rPr>
                            <w:color w:val="585858"/>
                            <w:spacing w:val="-5"/>
                            <w:sz w:val="21"/>
                          </w:rPr>
                          <w:t>BWH</w:t>
                        </w:r>
                        <w:r>
                          <w:rPr>
                            <w:color w:val="585858"/>
                            <w:sz w:val="21"/>
                          </w:rPr>
                          <w:tab/>
                          <w:t>Comparator</w:t>
                        </w:r>
                        <w:r>
                          <w:rPr>
                            <w:color w:val="585858"/>
                            <w:spacing w:val="-9"/>
                            <w:sz w:val="21"/>
                          </w:rPr>
                          <w:t xml:space="preserve"> </w:t>
                        </w:r>
                        <w:r>
                          <w:rPr>
                            <w:color w:val="585858"/>
                            <w:spacing w:val="-2"/>
                            <w:sz w:val="21"/>
                          </w:rPr>
                          <w:t>Providers</w:t>
                        </w:r>
                      </w:p>
                    </w:txbxContent>
                  </v:textbox>
                </v:shape>
                <w10:wrap type="topAndBottom" anchorx="page"/>
              </v:group>
            </w:pict>
          </mc:Fallback>
        </mc:AlternateContent>
      </w:r>
      <w:r>
        <w:t>Figure</w:t>
      </w:r>
      <w:r>
        <w:rPr>
          <w:spacing w:val="-5"/>
        </w:rPr>
        <w:t xml:space="preserve"> </w:t>
      </w:r>
      <w:r>
        <w:t>III.A.7:</w:t>
      </w:r>
      <w:r>
        <w:rPr>
          <w:spacing w:val="-4"/>
        </w:rPr>
        <w:t xml:space="preserve"> </w:t>
      </w:r>
      <w:r>
        <w:t>Commercial</w:t>
      </w:r>
      <w:r>
        <w:rPr>
          <w:spacing w:val="-7"/>
        </w:rPr>
        <w:t xml:space="preserve"> </w:t>
      </w:r>
      <w:r>
        <w:t>Outpatient</w:t>
      </w:r>
      <w:r>
        <w:rPr>
          <w:spacing w:val="-5"/>
        </w:rPr>
        <w:t xml:space="preserve"> </w:t>
      </w:r>
      <w:r>
        <w:t>Price</w:t>
      </w:r>
      <w:r>
        <w:rPr>
          <w:spacing w:val="-4"/>
        </w:rPr>
        <w:t xml:space="preserve"> </w:t>
      </w:r>
      <w:r>
        <w:t>Relativities</w:t>
      </w:r>
      <w:r>
        <w:rPr>
          <w:spacing w:val="-4"/>
        </w:rPr>
        <w:t xml:space="preserve"> </w:t>
      </w:r>
      <w:r>
        <w:t>by</w:t>
      </w:r>
      <w:r>
        <w:rPr>
          <w:spacing w:val="-5"/>
        </w:rPr>
        <w:t xml:space="preserve"> </w:t>
      </w:r>
      <w:r>
        <w:t>Service</w:t>
      </w:r>
      <w:r>
        <w:rPr>
          <w:spacing w:val="-4"/>
        </w:rPr>
        <w:t xml:space="preserve"> Line</w:t>
      </w:r>
    </w:p>
    <w:p w14:paraId="1C34E873" w14:textId="77777777" w:rsidR="004C558F" w:rsidRDefault="00461887">
      <w:pPr>
        <w:spacing w:before="39"/>
        <w:ind w:left="960"/>
        <w:rPr>
          <w:sz w:val="21"/>
        </w:rPr>
      </w:pPr>
      <w:r>
        <w:rPr>
          <w:sz w:val="21"/>
        </w:rPr>
        <w:t>Source:</w:t>
      </w:r>
      <w:r>
        <w:rPr>
          <w:spacing w:val="-9"/>
          <w:sz w:val="21"/>
        </w:rPr>
        <w:t xml:space="preserve"> </w:t>
      </w:r>
      <w:r>
        <w:rPr>
          <w:sz w:val="21"/>
        </w:rPr>
        <w:t>HPC</w:t>
      </w:r>
      <w:r>
        <w:rPr>
          <w:spacing w:val="-4"/>
          <w:sz w:val="21"/>
        </w:rPr>
        <w:t xml:space="preserve"> </w:t>
      </w:r>
      <w:r>
        <w:rPr>
          <w:sz w:val="21"/>
        </w:rPr>
        <w:t>analysis</w:t>
      </w:r>
      <w:r>
        <w:rPr>
          <w:spacing w:val="-6"/>
          <w:sz w:val="21"/>
        </w:rPr>
        <w:t xml:space="preserve"> </w:t>
      </w:r>
      <w:r>
        <w:rPr>
          <w:sz w:val="21"/>
        </w:rPr>
        <w:t>of</w:t>
      </w:r>
      <w:r>
        <w:rPr>
          <w:spacing w:val="-5"/>
          <w:sz w:val="21"/>
        </w:rPr>
        <w:t xml:space="preserve"> </w:t>
      </w:r>
      <w:r>
        <w:rPr>
          <w:sz w:val="21"/>
        </w:rPr>
        <w:t>the</w:t>
      </w:r>
      <w:r>
        <w:rPr>
          <w:spacing w:val="-6"/>
          <w:sz w:val="21"/>
        </w:rPr>
        <w:t xml:space="preserve"> </w:t>
      </w:r>
      <w:r>
        <w:rPr>
          <w:sz w:val="21"/>
        </w:rPr>
        <w:t>2022</w:t>
      </w:r>
      <w:r>
        <w:rPr>
          <w:spacing w:val="-3"/>
          <w:sz w:val="21"/>
        </w:rPr>
        <w:t xml:space="preserve"> </w:t>
      </w:r>
      <w:r>
        <w:rPr>
          <w:sz w:val="21"/>
        </w:rPr>
        <w:t>CHIA</w:t>
      </w:r>
      <w:r>
        <w:rPr>
          <w:spacing w:val="-7"/>
          <w:sz w:val="21"/>
        </w:rPr>
        <w:t xml:space="preserve"> </w:t>
      </w:r>
      <w:r>
        <w:rPr>
          <w:sz w:val="21"/>
        </w:rPr>
        <w:t>All-Payer</w:t>
      </w:r>
      <w:r>
        <w:rPr>
          <w:spacing w:val="-4"/>
          <w:sz w:val="21"/>
        </w:rPr>
        <w:t xml:space="preserve"> </w:t>
      </w:r>
      <w:r>
        <w:rPr>
          <w:sz w:val="21"/>
        </w:rPr>
        <w:t>Claims</w:t>
      </w:r>
      <w:r>
        <w:rPr>
          <w:spacing w:val="-3"/>
          <w:sz w:val="21"/>
        </w:rPr>
        <w:t xml:space="preserve"> </w:t>
      </w:r>
      <w:r>
        <w:rPr>
          <w:spacing w:val="-2"/>
          <w:sz w:val="21"/>
        </w:rPr>
        <w:t>Database</w:t>
      </w:r>
    </w:p>
    <w:p w14:paraId="1C34E874" w14:textId="77777777" w:rsidR="004C558F" w:rsidRDefault="00461887">
      <w:pPr>
        <w:spacing w:before="36" w:line="276" w:lineRule="auto"/>
        <w:ind w:left="960" w:right="1034"/>
        <w:rPr>
          <w:sz w:val="21"/>
        </w:rPr>
      </w:pPr>
      <w:r>
        <w:rPr>
          <w:sz w:val="21"/>
        </w:rPr>
        <w:t>Notes:</w:t>
      </w:r>
      <w:r>
        <w:rPr>
          <w:spacing w:val="-5"/>
          <w:sz w:val="21"/>
        </w:rPr>
        <w:t xml:space="preserve"> </w:t>
      </w:r>
      <w:r>
        <w:rPr>
          <w:sz w:val="21"/>
        </w:rPr>
        <w:t>Comparator</w:t>
      </w:r>
      <w:r>
        <w:rPr>
          <w:spacing w:val="-5"/>
          <w:sz w:val="21"/>
        </w:rPr>
        <w:t xml:space="preserve"> </w:t>
      </w:r>
      <w:r>
        <w:rPr>
          <w:sz w:val="21"/>
        </w:rPr>
        <w:t>providers</w:t>
      </w:r>
      <w:r>
        <w:rPr>
          <w:spacing w:val="-2"/>
          <w:sz w:val="21"/>
        </w:rPr>
        <w:t xml:space="preserve"> </w:t>
      </w:r>
      <w:r>
        <w:rPr>
          <w:sz w:val="21"/>
        </w:rPr>
        <w:t>include</w:t>
      </w:r>
      <w:r>
        <w:rPr>
          <w:spacing w:val="-2"/>
          <w:sz w:val="21"/>
        </w:rPr>
        <w:t xml:space="preserve"> </w:t>
      </w:r>
      <w:r>
        <w:rPr>
          <w:sz w:val="21"/>
        </w:rPr>
        <w:t>Baystate</w:t>
      </w:r>
      <w:r>
        <w:rPr>
          <w:spacing w:val="-4"/>
          <w:sz w:val="21"/>
        </w:rPr>
        <w:t xml:space="preserve"> </w:t>
      </w:r>
      <w:r>
        <w:rPr>
          <w:sz w:val="21"/>
        </w:rPr>
        <w:t>Medical</w:t>
      </w:r>
      <w:r>
        <w:rPr>
          <w:spacing w:val="-5"/>
          <w:sz w:val="21"/>
        </w:rPr>
        <w:t xml:space="preserve"> </w:t>
      </w:r>
      <w:r>
        <w:rPr>
          <w:sz w:val="21"/>
        </w:rPr>
        <w:t>Center,</w:t>
      </w:r>
      <w:r>
        <w:rPr>
          <w:spacing w:val="-2"/>
          <w:sz w:val="21"/>
        </w:rPr>
        <w:t xml:space="preserve"> </w:t>
      </w:r>
      <w:r>
        <w:rPr>
          <w:sz w:val="21"/>
        </w:rPr>
        <w:t>UMass</w:t>
      </w:r>
      <w:r>
        <w:rPr>
          <w:spacing w:val="-2"/>
          <w:sz w:val="21"/>
        </w:rPr>
        <w:t xml:space="preserve"> </w:t>
      </w:r>
      <w:r>
        <w:rPr>
          <w:sz w:val="21"/>
        </w:rPr>
        <w:t>Memorial</w:t>
      </w:r>
      <w:r>
        <w:rPr>
          <w:spacing w:val="-3"/>
          <w:sz w:val="21"/>
        </w:rPr>
        <w:t xml:space="preserve"> </w:t>
      </w:r>
      <w:r>
        <w:rPr>
          <w:sz w:val="21"/>
        </w:rPr>
        <w:t>Medical</w:t>
      </w:r>
      <w:r>
        <w:rPr>
          <w:spacing w:val="-5"/>
          <w:sz w:val="21"/>
        </w:rPr>
        <w:t xml:space="preserve"> </w:t>
      </w:r>
      <w:r>
        <w:rPr>
          <w:sz w:val="21"/>
        </w:rPr>
        <w:t>Center,</w:t>
      </w:r>
      <w:r>
        <w:rPr>
          <w:spacing w:val="-5"/>
          <w:sz w:val="21"/>
        </w:rPr>
        <w:t xml:space="preserve"> </w:t>
      </w:r>
      <w:r>
        <w:rPr>
          <w:sz w:val="21"/>
        </w:rPr>
        <w:t>Cape Cod Hospital, Newton-Wellesley Hospital, Tufts Medical Center, Lahey Hospital and Medical Center, and Shields. Relative prices are adjusted for the mix of services and commercial payers within each service line.</w:t>
      </w:r>
    </w:p>
    <w:p w14:paraId="1C34E875" w14:textId="77777777" w:rsidR="004C558F" w:rsidRDefault="004C558F">
      <w:pPr>
        <w:pStyle w:val="BodyText"/>
        <w:spacing w:before="128"/>
        <w:rPr>
          <w:sz w:val="21"/>
        </w:rPr>
      </w:pPr>
    </w:p>
    <w:p w14:paraId="1C34E876" w14:textId="77777777" w:rsidR="004C558F" w:rsidRDefault="00461887">
      <w:pPr>
        <w:pStyle w:val="ListParagraph"/>
        <w:numPr>
          <w:ilvl w:val="3"/>
          <w:numId w:val="16"/>
        </w:numPr>
        <w:tabs>
          <w:tab w:val="left" w:pos="959"/>
        </w:tabs>
        <w:spacing w:before="1"/>
        <w:ind w:left="959" w:hanging="359"/>
      </w:pPr>
      <w:bookmarkStart w:id="118" w:name="c._Oncologist_Office_Visits"/>
      <w:bookmarkEnd w:id="118"/>
      <w:r>
        <w:rPr>
          <w:color w:val="063656"/>
        </w:rPr>
        <w:t>Oncologist</w:t>
      </w:r>
      <w:r>
        <w:rPr>
          <w:color w:val="063656"/>
          <w:spacing w:val="-6"/>
        </w:rPr>
        <w:t xml:space="preserve"> </w:t>
      </w:r>
      <w:r>
        <w:rPr>
          <w:color w:val="063656"/>
        </w:rPr>
        <w:t>Office</w:t>
      </w:r>
      <w:r>
        <w:rPr>
          <w:color w:val="063656"/>
          <w:spacing w:val="-4"/>
        </w:rPr>
        <w:t xml:space="preserve"> </w:t>
      </w:r>
      <w:r>
        <w:rPr>
          <w:color w:val="063656"/>
          <w:spacing w:val="-2"/>
        </w:rPr>
        <w:t>Visits</w:t>
      </w:r>
    </w:p>
    <w:p w14:paraId="1C34E877" w14:textId="77777777" w:rsidR="004C558F" w:rsidRDefault="004C558F">
      <w:pPr>
        <w:pStyle w:val="BodyText"/>
        <w:rPr>
          <w:sz w:val="20"/>
        </w:rPr>
      </w:pPr>
    </w:p>
    <w:p w14:paraId="1C34E878" w14:textId="77777777" w:rsidR="004C558F" w:rsidRDefault="004C558F">
      <w:pPr>
        <w:pStyle w:val="BodyText"/>
        <w:rPr>
          <w:sz w:val="20"/>
        </w:rPr>
      </w:pPr>
    </w:p>
    <w:p w14:paraId="1C34E879" w14:textId="77777777" w:rsidR="004C558F" w:rsidRDefault="004C558F">
      <w:pPr>
        <w:pStyle w:val="BodyText"/>
        <w:rPr>
          <w:sz w:val="20"/>
        </w:rPr>
      </w:pPr>
    </w:p>
    <w:p w14:paraId="1C34E87A" w14:textId="77777777" w:rsidR="004C558F" w:rsidRDefault="004C558F">
      <w:pPr>
        <w:pStyle w:val="BodyText"/>
        <w:rPr>
          <w:sz w:val="20"/>
        </w:rPr>
      </w:pPr>
    </w:p>
    <w:p w14:paraId="1C34E87B" w14:textId="77777777" w:rsidR="004C558F" w:rsidRDefault="004C558F">
      <w:pPr>
        <w:pStyle w:val="BodyText"/>
        <w:rPr>
          <w:sz w:val="20"/>
        </w:rPr>
      </w:pPr>
    </w:p>
    <w:p w14:paraId="1C34E87C" w14:textId="77777777" w:rsidR="004C558F" w:rsidRDefault="004C558F">
      <w:pPr>
        <w:pStyle w:val="BodyText"/>
        <w:rPr>
          <w:sz w:val="20"/>
        </w:rPr>
      </w:pPr>
    </w:p>
    <w:p w14:paraId="1C34E87D" w14:textId="2BB36CEB" w:rsidR="004C558F" w:rsidRDefault="004C558F">
      <w:pPr>
        <w:pStyle w:val="BodyText"/>
        <w:spacing w:before="32"/>
        <w:rPr>
          <w:sz w:val="20"/>
        </w:rPr>
      </w:pPr>
    </w:p>
    <w:p w14:paraId="1C34E87F" w14:textId="77777777" w:rsidR="004C558F" w:rsidRDefault="004C558F">
      <w:pPr>
        <w:rPr>
          <w:sz w:val="20"/>
        </w:rPr>
        <w:sectPr w:rsidR="004C558F">
          <w:pgSz w:w="12240" w:h="15840"/>
          <w:pgMar w:top="1360" w:right="740" w:bottom="720" w:left="480" w:header="0" w:footer="521" w:gutter="0"/>
          <w:cols w:space="720"/>
        </w:sectPr>
      </w:pPr>
    </w:p>
    <w:p w14:paraId="1C34E880" w14:textId="0A1B3C79" w:rsidR="004C558F" w:rsidRDefault="00461887">
      <w:pPr>
        <w:pStyle w:val="BodyText"/>
        <w:spacing w:before="80" w:line="276" w:lineRule="auto"/>
        <w:ind w:left="959" w:right="1005" w:firstLine="720"/>
      </w:pPr>
      <w:r>
        <w:lastRenderedPageBreak/>
        <w:t>The HPC also examined provider organizations’ commercial prices for office visits with oncologists.</w:t>
      </w:r>
      <w:r w:rsidR="007578F2">
        <w:rPr>
          <w:rStyle w:val="FootnoteReference"/>
        </w:rPr>
        <w:footnoteReference w:id="118"/>
      </w:r>
      <w:r>
        <w:rPr>
          <w:spacing w:val="21"/>
          <w:position w:val="5"/>
          <w:sz w:val="14"/>
        </w:rPr>
        <w:t xml:space="preserve"> </w:t>
      </w:r>
      <w:r>
        <w:t>DFCI</w:t>
      </w:r>
      <w:r>
        <w:rPr>
          <w:spacing w:val="-2"/>
        </w:rPr>
        <w:t xml:space="preserve"> </w:t>
      </w:r>
      <w:r>
        <w:t>has the</w:t>
      </w:r>
      <w:r>
        <w:rPr>
          <w:spacing w:val="-1"/>
        </w:rPr>
        <w:t xml:space="preserve"> </w:t>
      </w:r>
      <w:r>
        <w:t>highest prices</w:t>
      </w:r>
      <w:r>
        <w:rPr>
          <w:spacing w:val="-1"/>
        </w:rPr>
        <w:t xml:space="preserve"> </w:t>
      </w:r>
      <w:r>
        <w:t>for</w:t>
      </w:r>
      <w:r>
        <w:rPr>
          <w:spacing w:val="-2"/>
        </w:rPr>
        <w:t xml:space="preserve"> </w:t>
      </w:r>
      <w:r>
        <w:t>oncologist office visits statewide, and</w:t>
      </w:r>
      <w:r>
        <w:rPr>
          <w:spacing w:val="-1"/>
        </w:rPr>
        <w:t xml:space="preserve"> </w:t>
      </w:r>
      <w:r>
        <w:t>MGB</w:t>
      </w:r>
      <w:r>
        <w:rPr>
          <w:spacing w:val="-1"/>
        </w:rPr>
        <w:t xml:space="preserve"> </w:t>
      </w:r>
      <w:r>
        <w:t>has the second-highest prices for most codes. Depending on the code billed, DFCI prices are between 23%</w:t>
      </w:r>
      <w:r>
        <w:rPr>
          <w:spacing w:val="-3"/>
        </w:rPr>
        <w:t xml:space="preserve"> </w:t>
      </w:r>
      <w:r>
        <w:t>and</w:t>
      </w:r>
      <w:r>
        <w:rPr>
          <w:spacing w:val="-1"/>
        </w:rPr>
        <w:t xml:space="preserve"> </w:t>
      </w:r>
      <w:r>
        <w:t>100%</w:t>
      </w:r>
      <w:r>
        <w:rPr>
          <w:spacing w:val="-3"/>
        </w:rPr>
        <w:t xml:space="preserve"> </w:t>
      </w:r>
      <w:r>
        <w:t>higher</w:t>
      </w:r>
      <w:r>
        <w:rPr>
          <w:spacing w:val="-3"/>
        </w:rPr>
        <w:t xml:space="preserve"> </w:t>
      </w:r>
      <w:r>
        <w:t>than</w:t>
      </w:r>
      <w:r>
        <w:rPr>
          <w:spacing w:val="-2"/>
        </w:rPr>
        <w:t xml:space="preserve"> </w:t>
      </w:r>
      <w:r>
        <w:t>MGB</w:t>
      </w:r>
      <w:r>
        <w:rPr>
          <w:spacing w:val="-4"/>
        </w:rPr>
        <w:t xml:space="preserve"> </w:t>
      </w:r>
      <w:r>
        <w:t>prices.</w:t>
      </w:r>
      <w:r>
        <w:rPr>
          <w:spacing w:val="-5"/>
        </w:rPr>
        <w:t xml:space="preserve"> </w:t>
      </w:r>
      <w:r>
        <w:t>DFCI</w:t>
      </w:r>
      <w:r>
        <w:rPr>
          <w:spacing w:val="-2"/>
        </w:rPr>
        <w:t xml:space="preserve"> </w:t>
      </w:r>
      <w:r>
        <w:t>prices</w:t>
      </w:r>
      <w:r>
        <w:rPr>
          <w:spacing w:val="-4"/>
        </w:rPr>
        <w:t xml:space="preserve"> </w:t>
      </w:r>
      <w:r>
        <w:t>are</w:t>
      </w:r>
      <w:r>
        <w:rPr>
          <w:spacing w:val="-2"/>
        </w:rPr>
        <w:t xml:space="preserve"> </w:t>
      </w:r>
      <w:r>
        <w:t>between</w:t>
      </w:r>
      <w:r>
        <w:rPr>
          <w:spacing w:val="-2"/>
        </w:rPr>
        <w:t xml:space="preserve"> </w:t>
      </w:r>
      <w:r>
        <w:t>two</w:t>
      </w:r>
      <w:r>
        <w:rPr>
          <w:spacing w:val="-4"/>
        </w:rPr>
        <w:t xml:space="preserve"> </w:t>
      </w:r>
      <w:r>
        <w:t>and</w:t>
      </w:r>
      <w:r>
        <w:rPr>
          <w:spacing w:val="-1"/>
        </w:rPr>
        <w:t xml:space="preserve"> </w:t>
      </w:r>
      <w:r>
        <w:t>three</w:t>
      </w:r>
      <w:r>
        <w:rPr>
          <w:spacing w:val="-2"/>
        </w:rPr>
        <w:t xml:space="preserve"> </w:t>
      </w:r>
      <w:r>
        <w:t>times</w:t>
      </w:r>
      <w:r>
        <w:rPr>
          <w:spacing w:val="-4"/>
        </w:rPr>
        <w:t xml:space="preserve"> </w:t>
      </w:r>
      <w:r>
        <w:t>higher</w:t>
      </w:r>
      <w:r>
        <w:rPr>
          <w:spacing w:val="-3"/>
        </w:rPr>
        <w:t xml:space="preserve"> </w:t>
      </w:r>
      <w:r>
        <w:t>than BILH prices for oncologist office visits. We note, however, that shorter, less-expensive visit codes made up a higher proportion of DFCI’s office visits than for BIDMC and BWH.</w:t>
      </w:r>
    </w:p>
    <w:p w14:paraId="1C34E881" w14:textId="77777777" w:rsidR="004C558F" w:rsidRDefault="004C558F">
      <w:pPr>
        <w:pStyle w:val="BodyText"/>
        <w:spacing w:before="38"/>
      </w:pPr>
    </w:p>
    <w:p w14:paraId="1C34E882" w14:textId="77777777" w:rsidR="004C558F" w:rsidRDefault="00461887">
      <w:pPr>
        <w:pStyle w:val="BodyText"/>
        <w:ind w:right="96"/>
        <w:jc w:val="center"/>
      </w:pPr>
      <w:r>
        <w:rPr>
          <w:noProof/>
        </w:rPr>
        <mc:AlternateContent>
          <mc:Choice Requires="wpg">
            <w:drawing>
              <wp:anchor distT="0" distB="0" distL="0" distR="0" simplePos="0" relativeHeight="251662336" behindDoc="1" locked="0" layoutInCell="1" allowOverlap="1" wp14:anchorId="1C34F100" wp14:editId="744D47D7">
                <wp:simplePos x="0" y="0"/>
                <wp:positionH relativeFrom="page">
                  <wp:posOffset>909637</wp:posOffset>
                </wp:positionH>
                <wp:positionV relativeFrom="paragraph">
                  <wp:posOffset>177021</wp:posOffset>
                </wp:positionV>
                <wp:extent cx="5794375" cy="3668395"/>
                <wp:effectExtent l="0" t="0" r="15875" b="8255"/>
                <wp:wrapTopAndBottom/>
                <wp:docPr id="162" name="Group 162" descr="Graph for Commercial Outpatient Prices for Oncologist Office Visi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4375" cy="3668395"/>
                          <a:chOff x="0" y="0"/>
                          <a:chExt cx="5794375" cy="3668395"/>
                        </a:xfrm>
                      </wpg:grpSpPr>
                      <wps:wsp>
                        <wps:cNvPr id="163" name="Graphic 163"/>
                        <wps:cNvSpPr/>
                        <wps:spPr>
                          <a:xfrm>
                            <a:off x="516331" y="144462"/>
                            <a:ext cx="3683000" cy="2848610"/>
                          </a:xfrm>
                          <a:custGeom>
                            <a:avLst/>
                            <a:gdLst/>
                            <a:ahLst/>
                            <a:cxnLst/>
                            <a:rect l="l" t="t" r="r" b="b"/>
                            <a:pathLst>
                              <a:path w="3683000" h="2848610">
                                <a:moveTo>
                                  <a:pt x="0" y="2848610"/>
                                </a:moveTo>
                                <a:lnTo>
                                  <a:pt x="3682796" y="2848610"/>
                                </a:lnTo>
                              </a:path>
                              <a:path w="3683000" h="2848610">
                                <a:moveTo>
                                  <a:pt x="0" y="2491994"/>
                                </a:moveTo>
                                <a:lnTo>
                                  <a:pt x="3682796" y="2491994"/>
                                </a:lnTo>
                              </a:path>
                              <a:path w="3683000" h="2848610">
                                <a:moveTo>
                                  <a:pt x="0" y="2135378"/>
                                </a:moveTo>
                                <a:lnTo>
                                  <a:pt x="3682796" y="2135378"/>
                                </a:lnTo>
                              </a:path>
                              <a:path w="3683000" h="2848610">
                                <a:moveTo>
                                  <a:pt x="0" y="1780286"/>
                                </a:moveTo>
                                <a:lnTo>
                                  <a:pt x="3682796" y="1780286"/>
                                </a:lnTo>
                              </a:path>
                              <a:path w="3683000" h="2848610">
                                <a:moveTo>
                                  <a:pt x="0" y="1423670"/>
                                </a:moveTo>
                                <a:lnTo>
                                  <a:pt x="3682796" y="1423670"/>
                                </a:lnTo>
                              </a:path>
                              <a:path w="3683000" h="2848610">
                                <a:moveTo>
                                  <a:pt x="0" y="1068578"/>
                                </a:moveTo>
                                <a:lnTo>
                                  <a:pt x="3682796" y="1068578"/>
                                </a:lnTo>
                              </a:path>
                              <a:path w="3683000" h="2848610">
                                <a:moveTo>
                                  <a:pt x="0" y="711962"/>
                                </a:moveTo>
                                <a:lnTo>
                                  <a:pt x="3682796" y="711962"/>
                                </a:lnTo>
                              </a:path>
                              <a:path w="3683000" h="2848610">
                                <a:moveTo>
                                  <a:pt x="0" y="355346"/>
                                </a:moveTo>
                                <a:lnTo>
                                  <a:pt x="3682796" y="355346"/>
                                </a:lnTo>
                              </a:path>
                              <a:path w="3683000" h="2848610">
                                <a:moveTo>
                                  <a:pt x="0" y="0"/>
                                </a:moveTo>
                                <a:lnTo>
                                  <a:pt x="3682796" y="0"/>
                                </a:lnTo>
                              </a:path>
                            </a:pathLst>
                          </a:custGeom>
                          <a:ln w="9525">
                            <a:solidFill>
                              <a:srgbClr val="D9D9D9"/>
                            </a:solidFill>
                            <a:prstDash val="solid"/>
                          </a:ln>
                        </wps:spPr>
                        <wps:bodyPr wrap="square" lIns="0" tIns="0" rIns="0" bIns="0" rtlCol="0">
                          <a:prstTxWarp prst="textNoShape">
                            <a:avLst/>
                          </a:prstTxWarp>
                          <a:noAutofit/>
                        </wps:bodyPr>
                      </wps:wsp>
                      <wps:wsp>
                        <wps:cNvPr id="164" name="Graphic 164"/>
                        <wps:cNvSpPr/>
                        <wps:spPr>
                          <a:xfrm>
                            <a:off x="516331" y="3348399"/>
                            <a:ext cx="3683000" cy="1270"/>
                          </a:xfrm>
                          <a:custGeom>
                            <a:avLst/>
                            <a:gdLst/>
                            <a:ahLst/>
                            <a:cxnLst/>
                            <a:rect l="l" t="t" r="r" b="b"/>
                            <a:pathLst>
                              <a:path w="3683000">
                                <a:moveTo>
                                  <a:pt x="0" y="0"/>
                                </a:moveTo>
                                <a:lnTo>
                                  <a:pt x="368279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7" cstate="print"/>
                          <a:stretch>
                            <a:fillRect/>
                          </a:stretch>
                        </pic:blipFill>
                        <pic:spPr>
                          <a:xfrm>
                            <a:off x="815339" y="486158"/>
                            <a:ext cx="136017" cy="136017"/>
                          </a:xfrm>
                          <a:prstGeom prst="rect">
                            <a:avLst/>
                          </a:prstGeom>
                        </pic:spPr>
                      </pic:pic>
                      <pic:pic xmlns:pic="http://schemas.openxmlformats.org/drawingml/2006/picture">
                        <pic:nvPicPr>
                          <pic:cNvPr id="166" name="Image 166"/>
                          <pic:cNvPicPr/>
                        </pic:nvPicPr>
                        <pic:blipFill>
                          <a:blip r:embed="rId37" cstate="print"/>
                          <a:stretch>
                            <a:fillRect/>
                          </a:stretch>
                        </pic:blipFill>
                        <pic:spPr>
                          <a:xfrm>
                            <a:off x="1552955" y="2444499"/>
                            <a:ext cx="136017" cy="136017"/>
                          </a:xfrm>
                          <a:prstGeom prst="rect">
                            <a:avLst/>
                          </a:prstGeom>
                        </pic:spPr>
                      </pic:pic>
                      <pic:pic xmlns:pic="http://schemas.openxmlformats.org/drawingml/2006/picture">
                        <pic:nvPicPr>
                          <pic:cNvPr id="167" name="Image 167"/>
                          <pic:cNvPicPr/>
                        </pic:nvPicPr>
                        <pic:blipFill>
                          <a:blip r:embed="rId38" cstate="print"/>
                          <a:stretch>
                            <a:fillRect/>
                          </a:stretch>
                        </pic:blipFill>
                        <pic:spPr>
                          <a:xfrm>
                            <a:off x="2289048" y="1915670"/>
                            <a:ext cx="136017" cy="136017"/>
                          </a:xfrm>
                          <a:prstGeom prst="rect">
                            <a:avLst/>
                          </a:prstGeom>
                        </pic:spPr>
                      </pic:pic>
                      <pic:pic xmlns:pic="http://schemas.openxmlformats.org/drawingml/2006/picture">
                        <pic:nvPicPr>
                          <pic:cNvPr id="168" name="Image 168"/>
                          <pic:cNvPicPr/>
                        </pic:nvPicPr>
                        <pic:blipFill>
                          <a:blip r:embed="rId37" cstate="print"/>
                          <a:stretch>
                            <a:fillRect/>
                          </a:stretch>
                        </pic:blipFill>
                        <pic:spPr>
                          <a:xfrm>
                            <a:off x="3025139" y="1664211"/>
                            <a:ext cx="136016" cy="136017"/>
                          </a:xfrm>
                          <a:prstGeom prst="rect">
                            <a:avLst/>
                          </a:prstGeom>
                        </pic:spPr>
                      </pic:pic>
                      <pic:pic xmlns:pic="http://schemas.openxmlformats.org/drawingml/2006/picture">
                        <pic:nvPicPr>
                          <pic:cNvPr id="169" name="Image 169"/>
                          <pic:cNvPicPr/>
                        </pic:nvPicPr>
                        <pic:blipFill>
                          <a:blip r:embed="rId37" cstate="print"/>
                          <a:stretch>
                            <a:fillRect/>
                          </a:stretch>
                        </pic:blipFill>
                        <pic:spPr>
                          <a:xfrm>
                            <a:off x="3762755" y="1062230"/>
                            <a:ext cx="136016" cy="136017"/>
                          </a:xfrm>
                          <a:prstGeom prst="rect">
                            <a:avLst/>
                          </a:prstGeom>
                        </pic:spPr>
                      </pic:pic>
                      <pic:pic xmlns:pic="http://schemas.openxmlformats.org/drawingml/2006/picture">
                        <pic:nvPicPr>
                          <pic:cNvPr id="170" name="Image 170"/>
                          <pic:cNvPicPr/>
                        </pic:nvPicPr>
                        <pic:blipFill>
                          <a:blip r:embed="rId40" cstate="print"/>
                          <a:stretch>
                            <a:fillRect/>
                          </a:stretch>
                        </pic:blipFill>
                        <pic:spPr>
                          <a:xfrm>
                            <a:off x="815339" y="1005842"/>
                            <a:ext cx="136017" cy="136017"/>
                          </a:xfrm>
                          <a:prstGeom prst="rect">
                            <a:avLst/>
                          </a:prstGeom>
                        </pic:spPr>
                      </pic:pic>
                      <wps:wsp>
                        <wps:cNvPr id="171" name="Graphic 171"/>
                        <wps:cNvSpPr/>
                        <wps:spPr>
                          <a:xfrm>
                            <a:off x="1557718" y="2786065"/>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339FC7"/>
                          </a:solidFill>
                        </wps:spPr>
                        <wps:bodyPr wrap="square" lIns="0" tIns="0" rIns="0" bIns="0" rtlCol="0">
                          <a:prstTxWarp prst="textNoShape">
                            <a:avLst/>
                          </a:prstTxWarp>
                          <a:noAutofit/>
                        </wps:bodyPr>
                      </wps:wsp>
                      <wps:wsp>
                        <wps:cNvPr id="172" name="Graphic 172"/>
                        <wps:cNvSpPr/>
                        <wps:spPr>
                          <a:xfrm>
                            <a:off x="1557718" y="2786065"/>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339FC7"/>
                            </a:solidFill>
                            <a:prstDash val="solid"/>
                          </a:ln>
                        </wps:spPr>
                        <wps:bodyPr wrap="square" lIns="0" tIns="0" rIns="0" bIns="0" rtlCol="0">
                          <a:prstTxWarp prst="textNoShape">
                            <a:avLst/>
                          </a:prstTxWarp>
                          <a:noAutofit/>
                        </wps:bodyPr>
                      </wps:wsp>
                      <wps:wsp>
                        <wps:cNvPr id="173" name="Graphic 173"/>
                        <wps:cNvSpPr/>
                        <wps:spPr>
                          <a:xfrm>
                            <a:off x="2293810" y="2601662"/>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339FC7"/>
                          </a:solidFill>
                        </wps:spPr>
                        <wps:bodyPr wrap="square" lIns="0" tIns="0" rIns="0" bIns="0" rtlCol="0">
                          <a:prstTxWarp prst="textNoShape">
                            <a:avLst/>
                          </a:prstTxWarp>
                          <a:noAutofit/>
                        </wps:bodyPr>
                      </wps:wsp>
                      <wps:wsp>
                        <wps:cNvPr id="174" name="Graphic 174"/>
                        <wps:cNvSpPr/>
                        <wps:spPr>
                          <a:xfrm>
                            <a:off x="2293810" y="2601662"/>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339FC7"/>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69" cstate="print"/>
                          <a:stretch>
                            <a:fillRect/>
                          </a:stretch>
                        </pic:blipFill>
                        <pic:spPr>
                          <a:xfrm>
                            <a:off x="3025139" y="2289050"/>
                            <a:ext cx="136016" cy="136017"/>
                          </a:xfrm>
                          <a:prstGeom prst="rect">
                            <a:avLst/>
                          </a:prstGeom>
                        </pic:spPr>
                      </pic:pic>
                      <pic:pic xmlns:pic="http://schemas.openxmlformats.org/drawingml/2006/picture">
                        <pic:nvPicPr>
                          <pic:cNvPr id="176" name="Image 176"/>
                          <pic:cNvPicPr/>
                        </pic:nvPicPr>
                        <pic:blipFill>
                          <a:blip r:embed="rId69" cstate="print"/>
                          <a:stretch>
                            <a:fillRect/>
                          </a:stretch>
                        </pic:blipFill>
                        <pic:spPr>
                          <a:xfrm>
                            <a:off x="3762755" y="1894334"/>
                            <a:ext cx="136016" cy="136017"/>
                          </a:xfrm>
                          <a:prstGeom prst="rect">
                            <a:avLst/>
                          </a:prstGeom>
                        </pic:spPr>
                      </pic:pic>
                      <pic:pic xmlns:pic="http://schemas.openxmlformats.org/drawingml/2006/picture">
                        <pic:nvPicPr>
                          <pic:cNvPr id="177" name="Image 177"/>
                          <pic:cNvPicPr/>
                        </pic:nvPicPr>
                        <pic:blipFill>
                          <a:blip r:embed="rId70" cstate="print"/>
                          <a:stretch>
                            <a:fillRect/>
                          </a:stretch>
                        </pic:blipFill>
                        <pic:spPr>
                          <a:xfrm>
                            <a:off x="811339" y="1702882"/>
                            <a:ext cx="144018" cy="144018"/>
                          </a:xfrm>
                          <a:prstGeom prst="rect">
                            <a:avLst/>
                          </a:prstGeom>
                        </pic:spPr>
                      </pic:pic>
                      <wps:wsp>
                        <wps:cNvPr id="178" name="Graphic 178"/>
                        <wps:cNvSpPr/>
                        <wps:spPr>
                          <a:xfrm>
                            <a:off x="1556956" y="2955992"/>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79" name="Graphic 179"/>
                        <wps:cNvSpPr/>
                        <wps:spPr>
                          <a:xfrm>
                            <a:off x="2293048" y="2699959"/>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0" name="Graphic 180"/>
                        <wps:cNvSpPr/>
                        <wps:spPr>
                          <a:xfrm>
                            <a:off x="3030663" y="2500315"/>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81" name="Graphic 181"/>
                        <wps:cNvSpPr/>
                        <wps:spPr>
                          <a:xfrm>
                            <a:off x="3766756" y="2079692"/>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82" name="Graphic 182"/>
                        <wps:cNvSpPr/>
                        <wps:spPr>
                          <a:xfrm>
                            <a:off x="820864" y="1937959"/>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3" name="Graphic 183"/>
                        <wps:cNvSpPr/>
                        <wps:spPr>
                          <a:xfrm>
                            <a:off x="1556956" y="3012380"/>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4" name="Graphic 184"/>
                        <wps:cNvSpPr/>
                        <wps:spPr>
                          <a:xfrm>
                            <a:off x="2293048" y="2750251"/>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5" name="Graphic 185"/>
                        <wps:cNvSpPr/>
                        <wps:spPr>
                          <a:xfrm>
                            <a:off x="3030663" y="2509459"/>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86" name="Graphic 186"/>
                        <wps:cNvSpPr/>
                        <wps:spPr>
                          <a:xfrm>
                            <a:off x="3766756" y="2145224"/>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87" name="Graphic 187"/>
                        <wps:cNvSpPr/>
                        <wps:spPr>
                          <a:xfrm>
                            <a:off x="820864" y="202787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8" name="Graphic 188"/>
                        <wps:cNvSpPr/>
                        <wps:spPr>
                          <a:xfrm>
                            <a:off x="1556956" y="3015426"/>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89" name="Graphic 189"/>
                        <wps:cNvSpPr/>
                        <wps:spPr>
                          <a:xfrm>
                            <a:off x="2293048" y="2792924"/>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190" name="Graphic 190"/>
                        <wps:cNvSpPr/>
                        <wps:spPr>
                          <a:xfrm>
                            <a:off x="3030663" y="2582612"/>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91" name="Graphic 191"/>
                        <wps:cNvSpPr/>
                        <wps:spPr>
                          <a:xfrm>
                            <a:off x="3766756" y="2197040"/>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192" name="Graphic 192"/>
                        <wps:cNvSpPr/>
                        <wps:spPr>
                          <a:xfrm>
                            <a:off x="820102" y="1894525"/>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193" name="Graphic 193"/>
                        <wps:cNvSpPr/>
                        <wps:spPr>
                          <a:xfrm>
                            <a:off x="820102" y="1894525"/>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194" name="Graphic 194"/>
                        <wps:cNvSpPr/>
                        <wps:spPr>
                          <a:xfrm>
                            <a:off x="1557718" y="3000950"/>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195" name="Graphic 195"/>
                        <wps:cNvSpPr/>
                        <wps:spPr>
                          <a:xfrm>
                            <a:off x="1557718" y="3000950"/>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196" name="Graphic 196"/>
                        <wps:cNvSpPr/>
                        <wps:spPr>
                          <a:xfrm>
                            <a:off x="2293810" y="2776922"/>
                            <a:ext cx="127000" cy="127000"/>
                          </a:xfrm>
                          <a:custGeom>
                            <a:avLst/>
                            <a:gdLst/>
                            <a:ahLst/>
                            <a:cxnLst/>
                            <a:rect l="l" t="t" r="r" b="b"/>
                            <a:pathLst>
                              <a:path w="127000" h="127000">
                                <a:moveTo>
                                  <a:pt x="63246" y="0"/>
                                </a:moveTo>
                                <a:lnTo>
                                  <a:pt x="38629" y="4970"/>
                                </a:lnTo>
                                <a:lnTo>
                                  <a:pt x="18526" y="18526"/>
                                </a:lnTo>
                                <a:lnTo>
                                  <a:pt x="4970" y="38629"/>
                                </a:lnTo>
                                <a:lnTo>
                                  <a:pt x="0" y="63246"/>
                                </a:lnTo>
                                <a:lnTo>
                                  <a:pt x="4970" y="87862"/>
                                </a:lnTo>
                                <a:lnTo>
                                  <a:pt x="18526" y="107965"/>
                                </a:lnTo>
                                <a:lnTo>
                                  <a:pt x="38629" y="121521"/>
                                </a:lnTo>
                                <a:lnTo>
                                  <a:pt x="63246" y="126492"/>
                                </a:lnTo>
                                <a:lnTo>
                                  <a:pt x="87862" y="121521"/>
                                </a:lnTo>
                                <a:lnTo>
                                  <a:pt x="107965" y="107965"/>
                                </a:lnTo>
                                <a:lnTo>
                                  <a:pt x="121521" y="87862"/>
                                </a:lnTo>
                                <a:lnTo>
                                  <a:pt x="126492" y="63246"/>
                                </a:lnTo>
                                <a:lnTo>
                                  <a:pt x="121521" y="38629"/>
                                </a:lnTo>
                                <a:lnTo>
                                  <a:pt x="107965" y="18526"/>
                                </a:lnTo>
                                <a:lnTo>
                                  <a:pt x="87862" y="4970"/>
                                </a:lnTo>
                                <a:lnTo>
                                  <a:pt x="63246" y="0"/>
                                </a:lnTo>
                                <a:close/>
                              </a:path>
                            </a:pathLst>
                          </a:custGeom>
                          <a:solidFill>
                            <a:srgbClr val="F9A720"/>
                          </a:solidFill>
                        </wps:spPr>
                        <wps:bodyPr wrap="square" lIns="0" tIns="0" rIns="0" bIns="0" rtlCol="0">
                          <a:prstTxWarp prst="textNoShape">
                            <a:avLst/>
                          </a:prstTxWarp>
                          <a:noAutofit/>
                        </wps:bodyPr>
                      </wps:wsp>
                      <wps:wsp>
                        <wps:cNvPr id="197" name="Graphic 197"/>
                        <wps:cNvSpPr/>
                        <wps:spPr>
                          <a:xfrm>
                            <a:off x="2293810" y="2776922"/>
                            <a:ext cx="127000" cy="127000"/>
                          </a:xfrm>
                          <a:custGeom>
                            <a:avLst/>
                            <a:gdLst/>
                            <a:ahLst/>
                            <a:cxnLst/>
                            <a:rect l="l" t="t" r="r" b="b"/>
                            <a:pathLst>
                              <a:path w="127000" h="127000">
                                <a:moveTo>
                                  <a:pt x="126492" y="63246"/>
                                </a:moveTo>
                                <a:lnTo>
                                  <a:pt x="121521" y="87862"/>
                                </a:lnTo>
                                <a:lnTo>
                                  <a:pt x="107965" y="107965"/>
                                </a:lnTo>
                                <a:lnTo>
                                  <a:pt x="87862" y="121521"/>
                                </a:lnTo>
                                <a:lnTo>
                                  <a:pt x="63246" y="126492"/>
                                </a:lnTo>
                                <a:lnTo>
                                  <a:pt x="38629" y="121521"/>
                                </a:lnTo>
                                <a:lnTo>
                                  <a:pt x="18526" y="107965"/>
                                </a:lnTo>
                                <a:lnTo>
                                  <a:pt x="4970" y="87862"/>
                                </a:lnTo>
                                <a:lnTo>
                                  <a:pt x="0" y="63246"/>
                                </a:lnTo>
                                <a:lnTo>
                                  <a:pt x="4970" y="38629"/>
                                </a:lnTo>
                                <a:lnTo>
                                  <a:pt x="18526" y="18526"/>
                                </a:lnTo>
                                <a:lnTo>
                                  <a:pt x="38629" y="4970"/>
                                </a:lnTo>
                                <a:lnTo>
                                  <a:pt x="63246" y="0"/>
                                </a:lnTo>
                                <a:lnTo>
                                  <a:pt x="87862" y="4970"/>
                                </a:lnTo>
                                <a:lnTo>
                                  <a:pt x="107965" y="18526"/>
                                </a:lnTo>
                                <a:lnTo>
                                  <a:pt x="121521" y="38629"/>
                                </a:lnTo>
                                <a:lnTo>
                                  <a:pt x="126492" y="63246"/>
                                </a:lnTo>
                                <a:close/>
                              </a:path>
                            </a:pathLst>
                          </a:custGeom>
                          <a:ln w="9525">
                            <a:solidFill>
                              <a:srgbClr val="F9A720"/>
                            </a:solidFill>
                            <a:prstDash val="solid"/>
                          </a:ln>
                        </wps:spPr>
                        <wps:bodyPr wrap="square" lIns="0" tIns="0" rIns="0" bIns="0" rtlCol="0">
                          <a:prstTxWarp prst="textNoShape">
                            <a:avLst/>
                          </a:prstTxWarp>
                          <a:noAutofit/>
                        </wps:bodyPr>
                      </wps:wsp>
                      <wps:wsp>
                        <wps:cNvPr id="198" name="Graphic 198"/>
                        <wps:cNvSpPr/>
                        <wps:spPr>
                          <a:xfrm>
                            <a:off x="3029902" y="2511746"/>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199" name="Graphic 199"/>
                        <wps:cNvSpPr/>
                        <wps:spPr>
                          <a:xfrm>
                            <a:off x="3029902" y="2511746"/>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200" name="Graphic 200"/>
                        <wps:cNvSpPr/>
                        <wps:spPr>
                          <a:xfrm>
                            <a:off x="3767518" y="2199326"/>
                            <a:ext cx="127000" cy="127000"/>
                          </a:xfrm>
                          <a:custGeom>
                            <a:avLst/>
                            <a:gdLst/>
                            <a:ahLst/>
                            <a:cxnLst/>
                            <a:rect l="l" t="t" r="r" b="b"/>
                            <a:pathLst>
                              <a:path w="127000" h="127000">
                                <a:moveTo>
                                  <a:pt x="63245" y="0"/>
                                </a:moveTo>
                                <a:lnTo>
                                  <a:pt x="38629" y="4970"/>
                                </a:lnTo>
                                <a:lnTo>
                                  <a:pt x="18526" y="18526"/>
                                </a:lnTo>
                                <a:lnTo>
                                  <a:pt x="4970" y="38629"/>
                                </a:lnTo>
                                <a:lnTo>
                                  <a:pt x="0" y="63246"/>
                                </a:lnTo>
                                <a:lnTo>
                                  <a:pt x="4970" y="87862"/>
                                </a:lnTo>
                                <a:lnTo>
                                  <a:pt x="18526" y="107965"/>
                                </a:lnTo>
                                <a:lnTo>
                                  <a:pt x="38629" y="121521"/>
                                </a:lnTo>
                                <a:lnTo>
                                  <a:pt x="63245" y="126492"/>
                                </a:lnTo>
                                <a:lnTo>
                                  <a:pt x="87862" y="121521"/>
                                </a:lnTo>
                                <a:lnTo>
                                  <a:pt x="107965" y="107965"/>
                                </a:lnTo>
                                <a:lnTo>
                                  <a:pt x="121521" y="87862"/>
                                </a:lnTo>
                                <a:lnTo>
                                  <a:pt x="126491" y="63246"/>
                                </a:lnTo>
                                <a:lnTo>
                                  <a:pt x="121521" y="38629"/>
                                </a:lnTo>
                                <a:lnTo>
                                  <a:pt x="107965" y="18526"/>
                                </a:lnTo>
                                <a:lnTo>
                                  <a:pt x="87862" y="4970"/>
                                </a:lnTo>
                                <a:lnTo>
                                  <a:pt x="63245" y="0"/>
                                </a:lnTo>
                                <a:close/>
                              </a:path>
                            </a:pathLst>
                          </a:custGeom>
                          <a:solidFill>
                            <a:srgbClr val="F9A720"/>
                          </a:solidFill>
                        </wps:spPr>
                        <wps:bodyPr wrap="square" lIns="0" tIns="0" rIns="0" bIns="0" rtlCol="0">
                          <a:prstTxWarp prst="textNoShape">
                            <a:avLst/>
                          </a:prstTxWarp>
                          <a:noAutofit/>
                        </wps:bodyPr>
                      </wps:wsp>
                      <wps:wsp>
                        <wps:cNvPr id="201" name="Graphic 201"/>
                        <wps:cNvSpPr/>
                        <wps:spPr>
                          <a:xfrm>
                            <a:off x="3767518" y="2199326"/>
                            <a:ext cx="127000" cy="127000"/>
                          </a:xfrm>
                          <a:custGeom>
                            <a:avLst/>
                            <a:gdLst/>
                            <a:ahLst/>
                            <a:cxnLst/>
                            <a:rect l="l" t="t" r="r" b="b"/>
                            <a:pathLst>
                              <a:path w="127000" h="127000">
                                <a:moveTo>
                                  <a:pt x="126491" y="63246"/>
                                </a:moveTo>
                                <a:lnTo>
                                  <a:pt x="121521" y="87862"/>
                                </a:lnTo>
                                <a:lnTo>
                                  <a:pt x="107965" y="107965"/>
                                </a:lnTo>
                                <a:lnTo>
                                  <a:pt x="87862" y="121521"/>
                                </a:lnTo>
                                <a:lnTo>
                                  <a:pt x="63245" y="126492"/>
                                </a:lnTo>
                                <a:lnTo>
                                  <a:pt x="38629" y="121521"/>
                                </a:lnTo>
                                <a:lnTo>
                                  <a:pt x="18526" y="107965"/>
                                </a:lnTo>
                                <a:lnTo>
                                  <a:pt x="4970" y="87862"/>
                                </a:lnTo>
                                <a:lnTo>
                                  <a:pt x="0" y="63246"/>
                                </a:lnTo>
                                <a:lnTo>
                                  <a:pt x="4970" y="38629"/>
                                </a:lnTo>
                                <a:lnTo>
                                  <a:pt x="18526" y="18526"/>
                                </a:lnTo>
                                <a:lnTo>
                                  <a:pt x="38629" y="4970"/>
                                </a:lnTo>
                                <a:lnTo>
                                  <a:pt x="63245" y="0"/>
                                </a:lnTo>
                                <a:lnTo>
                                  <a:pt x="87862" y="4970"/>
                                </a:lnTo>
                                <a:lnTo>
                                  <a:pt x="107965" y="18526"/>
                                </a:lnTo>
                                <a:lnTo>
                                  <a:pt x="121521" y="38629"/>
                                </a:lnTo>
                                <a:lnTo>
                                  <a:pt x="126491" y="63246"/>
                                </a:lnTo>
                                <a:close/>
                              </a:path>
                            </a:pathLst>
                          </a:custGeom>
                          <a:ln w="9525">
                            <a:solidFill>
                              <a:srgbClr val="F9A720"/>
                            </a:solidFill>
                            <a:prstDash val="solid"/>
                          </a:ln>
                        </wps:spPr>
                        <wps:bodyPr wrap="square" lIns="0" tIns="0" rIns="0" bIns="0" rtlCol="0">
                          <a:prstTxWarp prst="textNoShape">
                            <a:avLst/>
                          </a:prstTxWarp>
                          <a:noAutofit/>
                        </wps:bodyPr>
                      </wps:wsp>
                      <wps:wsp>
                        <wps:cNvPr id="202" name="Graphic 202"/>
                        <wps:cNvSpPr/>
                        <wps:spPr>
                          <a:xfrm>
                            <a:off x="820864" y="2081215"/>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03" name="Graphic 203"/>
                        <wps:cNvSpPr/>
                        <wps:spPr>
                          <a:xfrm>
                            <a:off x="1556956" y="3044382"/>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04" name="Graphic 204"/>
                        <wps:cNvSpPr/>
                        <wps:spPr>
                          <a:xfrm>
                            <a:off x="2293048" y="2786826"/>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05" name="Graphic 205"/>
                        <wps:cNvSpPr/>
                        <wps:spPr>
                          <a:xfrm>
                            <a:off x="3030663" y="2599375"/>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06" name="Graphic 206"/>
                        <wps:cNvSpPr/>
                        <wps:spPr>
                          <a:xfrm>
                            <a:off x="3766756" y="2288480"/>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07" name="Graphic 207"/>
                        <wps:cNvSpPr/>
                        <wps:spPr>
                          <a:xfrm>
                            <a:off x="820864" y="1947104"/>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08" name="Graphic 208"/>
                        <wps:cNvSpPr/>
                        <wps:spPr>
                          <a:xfrm>
                            <a:off x="1556956" y="2745680"/>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09" name="Graphic 209"/>
                        <wps:cNvSpPr/>
                        <wps:spPr>
                          <a:xfrm>
                            <a:off x="2293048" y="2832548"/>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10" name="Graphic 210"/>
                        <wps:cNvSpPr/>
                        <wps:spPr>
                          <a:xfrm>
                            <a:off x="3030663" y="2629856"/>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11" name="Graphic 211"/>
                        <wps:cNvSpPr/>
                        <wps:spPr>
                          <a:xfrm>
                            <a:off x="3766756" y="2308292"/>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12" name="Graphic 212"/>
                        <wps:cNvSpPr/>
                        <wps:spPr>
                          <a:xfrm>
                            <a:off x="820864" y="2163512"/>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13" name="Graphic 213"/>
                        <wps:cNvSpPr/>
                        <wps:spPr>
                          <a:xfrm>
                            <a:off x="1556956" y="3093152"/>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14" name="Graphic 214"/>
                        <wps:cNvSpPr/>
                        <wps:spPr>
                          <a:xfrm>
                            <a:off x="2293048" y="2888936"/>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15" name="Graphic 215"/>
                        <wps:cNvSpPr/>
                        <wps:spPr>
                          <a:xfrm>
                            <a:off x="3030663" y="2677100"/>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16" name="Graphic 216"/>
                        <wps:cNvSpPr/>
                        <wps:spPr>
                          <a:xfrm>
                            <a:off x="3766756" y="2483551"/>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70" cstate="print"/>
                          <a:stretch>
                            <a:fillRect/>
                          </a:stretch>
                        </pic:blipFill>
                        <pic:spPr>
                          <a:xfrm>
                            <a:off x="811339" y="2391731"/>
                            <a:ext cx="144018" cy="144018"/>
                          </a:xfrm>
                          <a:prstGeom prst="rect">
                            <a:avLst/>
                          </a:prstGeom>
                        </pic:spPr>
                      </pic:pic>
                      <wps:wsp>
                        <wps:cNvPr id="218" name="Graphic 218"/>
                        <wps:cNvSpPr/>
                        <wps:spPr>
                          <a:xfrm>
                            <a:off x="1556956" y="3061148"/>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19" name="Graphic 219"/>
                        <wps:cNvSpPr/>
                        <wps:spPr>
                          <a:xfrm>
                            <a:off x="2293048" y="2945324"/>
                            <a:ext cx="125095" cy="125095"/>
                          </a:xfrm>
                          <a:custGeom>
                            <a:avLst/>
                            <a:gdLst/>
                            <a:ahLst/>
                            <a:cxnLst/>
                            <a:rect l="l" t="t" r="r" b="b"/>
                            <a:pathLst>
                              <a:path w="125095" h="125095">
                                <a:moveTo>
                                  <a:pt x="124968" y="62484"/>
                                </a:moveTo>
                                <a:lnTo>
                                  <a:pt x="120057" y="86804"/>
                                </a:lnTo>
                                <a:lnTo>
                                  <a:pt x="106665" y="106665"/>
                                </a:lnTo>
                                <a:lnTo>
                                  <a:pt x="86804" y="120057"/>
                                </a:lnTo>
                                <a:lnTo>
                                  <a:pt x="62484" y="124968"/>
                                </a:lnTo>
                                <a:lnTo>
                                  <a:pt x="38163" y="120057"/>
                                </a:lnTo>
                                <a:lnTo>
                                  <a:pt x="18302" y="106665"/>
                                </a:lnTo>
                                <a:lnTo>
                                  <a:pt x="4910" y="86804"/>
                                </a:lnTo>
                                <a:lnTo>
                                  <a:pt x="0" y="62484"/>
                                </a:lnTo>
                                <a:lnTo>
                                  <a:pt x="4910" y="38163"/>
                                </a:lnTo>
                                <a:lnTo>
                                  <a:pt x="18302" y="18302"/>
                                </a:lnTo>
                                <a:lnTo>
                                  <a:pt x="38163" y="4910"/>
                                </a:lnTo>
                                <a:lnTo>
                                  <a:pt x="62484" y="0"/>
                                </a:lnTo>
                                <a:lnTo>
                                  <a:pt x="86804" y="4910"/>
                                </a:lnTo>
                                <a:lnTo>
                                  <a:pt x="106665" y="18302"/>
                                </a:lnTo>
                                <a:lnTo>
                                  <a:pt x="120057" y="38163"/>
                                </a:lnTo>
                                <a:lnTo>
                                  <a:pt x="124968" y="62484"/>
                                </a:lnTo>
                                <a:close/>
                              </a:path>
                            </a:pathLst>
                          </a:custGeom>
                          <a:ln w="19050">
                            <a:solidFill>
                              <a:srgbClr val="A6A6A6"/>
                            </a:solidFill>
                            <a:prstDash val="solid"/>
                          </a:ln>
                        </wps:spPr>
                        <wps:bodyPr wrap="square" lIns="0" tIns="0" rIns="0" bIns="0" rtlCol="0">
                          <a:prstTxWarp prst="textNoShape">
                            <a:avLst/>
                          </a:prstTxWarp>
                          <a:noAutofit/>
                        </wps:bodyPr>
                      </wps:wsp>
                      <wps:wsp>
                        <wps:cNvPr id="220" name="Graphic 220"/>
                        <wps:cNvSpPr/>
                        <wps:spPr>
                          <a:xfrm>
                            <a:off x="3030663" y="2730440"/>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wps:wsp>
                        <wps:cNvPr id="221" name="Graphic 221"/>
                        <wps:cNvSpPr/>
                        <wps:spPr>
                          <a:xfrm>
                            <a:off x="3766756" y="2568896"/>
                            <a:ext cx="125095" cy="125095"/>
                          </a:xfrm>
                          <a:custGeom>
                            <a:avLst/>
                            <a:gdLst/>
                            <a:ahLst/>
                            <a:cxnLst/>
                            <a:rect l="l" t="t" r="r" b="b"/>
                            <a:pathLst>
                              <a:path w="125095" h="125095">
                                <a:moveTo>
                                  <a:pt x="124967" y="62484"/>
                                </a:moveTo>
                                <a:lnTo>
                                  <a:pt x="120057" y="86804"/>
                                </a:lnTo>
                                <a:lnTo>
                                  <a:pt x="106665" y="106665"/>
                                </a:lnTo>
                                <a:lnTo>
                                  <a:pt x="86804" y="120057"/>
                                </a:lnTo>
                                <a:lnTo>
                                  <a:pt x="62483" y="124968"/>
                                </a:lnTo>
                                <a:lnTo>
                                  <a:pt x="38163" y="120057"/>
                                </a:lnTo>
                                <a:lnTo>
                                  <a:pt x="18302" y="106665"/>
                                </a:lnTo>
                                <a:lnTo>
                                  <a:pt x="4910" y="86804"/>
                                </a:lnTo>
                                <a:lnTo>
                                  <a:pt x="0" y="62484"/>
                                </a:lnTo>
                                <a:lnTo>
                                  <a:pt x="4910" y="38163"/>
                                </a:lnTo>
                                <a:lnTo>
                                  <a:pt x="18302" y="18302"/>
                                </a:lnTo>
                                <a:lnTo>
                                  <a:pt x="38163" y="4910"/>
                                </a:lnTo>
                                <a:lnTo>
                                  <a:pt x="62483" y="0"/>
                                </a:lnTo>
                                <a:lnTo>
                                  <a:pt x="86804" y="4910"/>
                                </a:lnTo>
                                <a:lnTo>
                                  <a:pt x="106665" y="18302"/>
                                </a:lnTo>
                                <a:lnTo>
                                  <a:pt x="120057" y="38163"/>
                                </a:lnTo>
                                <a:lnTo>
                                  <a:pt x="124967" y="62484"/>
                                </a:lnTo>
                                <a:close/>
                              </a:path>
                            </a:pathLst>
                          </a:custGeom>
                          <a:ln w="190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49" cstate="print"/>
                          <a:stretch>
                            <a:fillRect/>
                          </a:stretch>
                        </pic:blipFill>
                        <pic:spPr>
                          <a:xfrm>
                            <a:off x="4392167" y="1151889"/>
                            <a:ext cx="85725" cy="85724"/>
                          </a:xfrm>
                          <a:prstGeom prst="rect">
                            <a:avLst/>
                          </a:prstGeom>
                        </pic:spPr>
                      </pic:pic>
                      <pic:pic xmlns:pic="http://schemas.openxmlformats.org/drawingml/2006/picture">
                        <pic:nvPicPr>
                          <pic:cNvPr id="223" name="Image 223"/>
                          <pic:cNvPicPr/>
                        </pic:nvPicPr>
                        <pic:blipFill>
                          <a:blip r:embed="rId51" cstate="print"/>
                          <a:stretch>
                            <a:fillRect/>
                          </a:stretch>
                        </pic:blipFill>
                        <pic:spPr>
                          <a:xfrm>
                            <a:off x="4392167" y="1528317"/>
                            <a:ext cx="85725" cy="85725"/>
                          </a:xfrm>
                          <a:prstGeom prst="rect">
                            <a:avLst/>
                          </a:prstGeom>
                        </pic:spPr>
                      </pic:pic>
                      <pic:pic xmlns:pic="http://schemas.openxmlformats.org/drawingml/2006/picture">
                        <pic:nvPicPr>
                          <pic:cNvPr id="224" name="Image 224"/>
                          <pic:cNvPicPr/>
                        </pic:nvPicPr>
                        <pic:blipFill>
                          <a:blip r:embed="rId50" cstate="print"/>
                          <a:stretch>
                            <a:fillRect/>
                          </a:stretch>
                        </pic:blipFill>
                        <pic:spPr>
                          <a:xfrm>
                            <a:off x="4392167" y="1903222"/>
                            <a:ext cx="85725" cy="85725"/>
                          </a:xfrm>
                          <a:prstGeom prst="rect">
                            <a:avLst/>
                          </a:prstGeom>
                        </pic:spPr>
                      </pic:pic>
                      <pic:pic xmlns:pic="http://schemas.openxmlformats.org/drawingml/2006/picture">
                        <pic:nvPicPr>
                          <pic:cNvPr id="225" name="Image 225"/>
                          <pic:cNvPicPr/>
                        </pic:nvPicPr>
                        <pic:blipFill>
                          <a:blip r:embed="rId71" cstate="print"/>
                          <a:stretch>
                            <a:fillRect/>
                          </a:stretch>
                        </pic:blipFill>
                        <pic:spPr>
                          <a:xfrm>
                            <a:off x="4388167" y="2275649"/>
                            <a:ext cx="93725" cy="93725"/>
                          </a:xfrm>
                          <a:prstGeom prst="rect">
                            <a:avLst/>
                          </a:prstGeom>
                        </pic:spPr>
                      </pic:pic>
                      <wps:wsp>
                        <wps:cNvPr id="226" name="Graphic 226"/>
                        <wps:cNvSpPr/>
                        <wps:spPr>
                          <a:xfrm>
                            <a:off x="4762" y="4762"/>
                            <a:ext cx="5784850" cy="3658870"/>
                          </a:xfrm>
                          <a:custGeom>
                            <a:avLst/>
                            <a:gdLst/>
                            <a:ahLst/>
                            <a:cxnLst/>
                            <a:rect l="l" t="t" r="r" b="b"/>
                            <a:pathLst>
                              <a:path w="5784850" h="3658870">
                                <a:moveTo>
                                  <a:pt x="0" y="0"/>
                                </a:moveTo>
                                <a:lnTo>
                                  <a:pt x="5784850" y="0"/>
                                </a:lnTo>
                                <a:lnTo>
                                  <a:pt x="5784850" y="3658870"/>
                                </a:lnTo>
                                <a:lnTo>
                                  <a:pt x="0" y="365887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227" name="Textbox 227"/>
                        <wps:cNvSpPr txBox="1"/>
                        <wps:spPr>
                          <a:xfrm>
                            <a:off x="87276" y="63947"/>
                            <a:ext cx="325120" cy="1220470"/>
                          </a:xfrm>
                          <a:prstGeom prst="rect">
                            <a:avLst/>
                          </a:prstGeom>
                        </wps:spPr>
                        <wps:txbx>
                          <w:txbxContent>
                            <w:p w14:paraId="1C34F195" w14:textId="77777777" w:rsidR="004C558F" w:rsidRDefault="00461887">
                              <w:pPr>
                                <w:spacing w:before="1"/>
                                <w:rPr>
                                  <w:sz w:val="21"/>
                                </w:rPr>
                              </w:pPr>
                              <w:r>
                                <w:rPr>
                                  <w:color w:val="585858"/>
                                  <w:spacing w:val="-4"/>
                                  <w:sz w:val="21"/>
                                </w:rPr>
                                <w:t>$900</w:t>
                              </w:r>
                            </w:p>
                            <w:p w14:paraId="1C34F196" w14:textId="77777777" w:rsidR="004C558F" w:rsidRDefault="004C558F">
                              <w:pPr>
                                <w:spacing w:before="84"/>
                                <w:rPr>
                                  <w:sz w:val="21"/>
                                </w:rPr>
                              </w:pPr>
                            </w:p>
                            <w:p w14:paraId="1C34F197" w14:textId="77777777" w:rsidR="004C558F" w:rsidRDefault="00461887">
                              <w:pPr>
                                <w:rPr>
                                  <w:sz w:val="21"/>
                                </w:rPr>
                              </w:pPr>
                              <w:r>
                                <w:rPr>
                                  <w:color w:val="585858"/>
                                  <w:spacing w:val="-4"/>
                                  <w:sz w:val="21"/>
                                </w:rPr>
                                <w:t>$800</w:t>
                              </w:r>
                            </w:p>
                            <w:p w14:paraId="1C34F198" w14:textId="77777777" w:rsidR="004C558F" w:rsidRDefault="004C558F">
                              <w:pPr>
                                <w:spacing w:before="84"/>
                                <w:rPr>
                                  <w:sz w:val="21"/>
                                </w:rPr>
                              </w:pPr>
                            </w:p>
                            <w:p w14:paraId="1C34F199" w14:textId="77777777" w:rsidR="004C558F" w:rsidRDefault="00461887">
                              <w:pPr>
                                <w:rPr>
                                  <w:sz w:val="21"/>
                                </w:rPr>
                              </w:pPr>
                              <w:r>
                                <w:rPr>
                                  <w:color w:val="585858"/>
                                  <w:spacing w:val="-4"/>
                                  <w:sz w:val="21"/>
                                </w:rPr>
                                <w:t>$700</w:t>
                              </w:r>
                            </w:p>
                            <w:p w14:paraId="1C34F19A" w14:textId="77777777" w:rsidR="004C558F" w:rsidRDefault="004C558F">
                              <w:pPr>
                                <w:spacing w:before="85"/>
                                <w:rPr>
                                  <w:sz w:val="21"/>
                                </w:rPr>
                              </w:pPr>
                            </w:p>
                            <w:p w14:paraId="1C34F19B" w14:textId="77777777" w:rsidR="004C558F" w:rsidRDefault="00461887">
                              <w:pPr>
                                <w:rPr>
                                  <w:sz w:val="21"/>
                                </w:rPr>
                              </w:pPr>
                              <w:r>
                                <w:rPr>
                                  <w:color w:val="585858"/>
                                  <w:spacing w:val="-4"/>
                                  <w:sz w:val="21"/>
                                </w:rPr>
                                <w:t>$600</w:t>
                              </w:r>
                            </w:p>
                          </w:txbxContent>
                        </wps:txbx>
                        <wps:bodyPr wrap="square" lIns="0" tIns="0" rIns="0" bIns="0" rtlCol="0">
                          <a:noAutofit/>
                        </wps:bodyPr>
                      </wps:wsp>
                      <wps:wsp>
                        <wps:cNvPr id="228" name="Textbox 228"/>
                        <wps:cNvSpPr txBox="1"/>
                        <wps:spPr>
                          <a:xfrm>
                            <a:off x="4498716" y="1114963"/>
                            <a:ext cx="278765" cy="152400"/>
                          </a:xfrm>
                          <a:prstGeom prst="rect">
                            <a:avLst/>
                          </a:prstGeom>
                        </wps:spPr>
                        <wps:txbx>
                          <w:txbxContent>
                            <w:p w14:paraId="1C34F19C" w14:textId="77777777" w:rsidR="004C558F" w:rsidRDefault="00461887">
                              <w:pPr>
                                <w:spacing w:before="1"/>
                                <w:rPr>
                                  <w:sz w:val="21"/>
                                </w:rPr>
                              </w:pPr>
                              <w:r>
                                <w:rPr>
                                  <w:color w:val="585858"/>
                                  <w:spacing w:val="-4"/>
                                  <w:sz w:val="21"/>
                                </w:rPr>
                                <w:t>DFCI</w:t>
                              </w:r>
                            </w:p>
                          </w:txbxContent>
                        </wps:txbx>
                        <wps:bodyPr wrap="square" lIns="0" tIns="0" rIns="0" bIns="0" rtlCol="0">
                          <a:noAutofit/>
                        </wps:bodyPr>
                      </wps:wsp>
                      <wps:wsp>
                        <wps:cNvPr id="229" name="Textbox 229"/>
                        <wps:cNvSpPr txBox="1"/>
                        <wps:spPr>
                          <a:xfrm>
                            <a:off x="87276" y="1487680"/>
                            <a:ext cx="325120" cy="152400"/>
                          </a:xfrm>
                          <a:prstGeom prst="rect">
                            <a:avLst/>
                          </a:prstGeom>
                        </wps:spPr>
                        <wps:txbx>
                          <w:txbxContent>
                            <w:p w14:paraId="1C34F19D" w14:textId="77777777" w:rsidR="004C558F" w:rsidRDefault="00461887">
                              <w:pPr>
                                <w:spacing w:before="1"/>
                                <w:rPr>
                                  <w:sz w:val="21"/>
                                </w:rPr>
                              </w:pPr>
                              <w:r>
                                <w:rPr>
                                  <w:color w:val="585858"/>
                                  <w:spacing w:val="-4"/>
                                  <w:sz w:val="21"/>
                                </w:rPr>
                                <w:t>$500</w:t>
                              </w:r>
                            </w:p>
                          </w:txbxContent>
                        </wps:txbx>
                        <wps:bodyPr wrap="square" lIns="0" tIns="0" rIns="0" bIns="0" rtlCol="0">
                          <a:noAutofit/>
                        </wps:bodyPr>
                      </wps:wsp>
                      <wps:wsp>
                        <wps:cNvPr id="230" name="Textbox 230"/>
                        <wps:cNvSpPr txBox="1"/>
                        <wps:spPr>
                          <a:xfrm>
                            <a:off x="4498716" y="1490526"/>
                            <a:ext cx="288925" cy="152400"/>
                          </a:xfrm>
                          <a:prstGeom prst="rect">
                            <a:avLst/>
                          </a:prstGeom>
                        </wps:spPr>
                        <wps:txbx>
                          <w:txbxContent>
                            <w:p w14:paraId="1C34F19E" w14:textId="77777777" w:rsidR="004C558F" w:rsidRDefault="00461887">
                              <w:pPr>
                                <w:spacing w:before="1"/>
                                <w:rPr>
                                  <w:sz w:val="21"/>
                                </w:rPr>
                              </w:pPr>
                              <w:r>
                                <w:rPr>
                                  <w:color w:val="585858"/>
                                  <w:spacing w:val="-5"/>
                                  <w:sz w:val="21"/>
                                </w:rPr>
                                <w:t>MGB</w:t>
                              </w:r>
                            </w:p>
                          </w:txbxContent>
                        </wps:txbx>
                        <wps:bodyPr wrap="square" lIns="0" tIns="0" rIns="0" bIns="0" rtlCol="0">
                          <a:noAutofit/>
                        </wps:bodyPr>
                      </wps:wsp>
                      <wps:wsp>
                        <wps:cNvPr id="231" name="Textbox 231"/>
                        <wps:cNvSpPr txBox="1"/>
                        <wps:spPr>
                          <a:xfrm>
                            <a:off x="87276" y="1843614"/>
                            <a:ext cx="325120" cy="152400"/>
                          </a:xfrm>
                          <a:prstGeom prst="rect">
                            <a:avLst/>
                          </a:prstGeom>
                        </wps:spPr>
                        <wps:txbx>
                          <w:txbxContent>
                            <w:p w14:paraId="1C34F19F" w14:textId="77777777" w:rsidR="004C558F" w:rsidRDefault="00461887">
                              <w:pPr>
                                <w:spacing w:before="1"/>
                                <w:rPr>
                                  <w:sz w:val="21"/>
                                </w:rPr>
                              </w:pPr>
                              <w:r>
                                <w:rPr>
                                  <w:color w:val="585858"/>
                                  <w:spacing w:val="-4"/>
                                  <w:sz w:val="21"/>
                                </w:rPr>
                                <w:t>$400</w:t>
                              </w:r>
                            </w:p>
                          </w:txbxContent>
                        </wps:txbx>
                        <wps:bodyPr wrap="square" lIns="0" tIns="0" rIns="0" bIns="0" rtlCol="0">
                          <a:noAutofit/>
                        </wps:bodyPr>
                      </wps:wsp>
                      <wps:wsp>
                        <wps:cNvPr id="232" name="Textbox 232"/>
                        <wps:cNvSpPr txBox="1"/>
                        <wps:spPr>
                          <a:xfrm>
                            <a:off x="4498716" y="1866088"/>
                            <a:ext cx="278765" cy="152400"/>
                          </a:xfrm>
                          <a:prstGeom prst="rect">
                            <a:avLst/>
                          </a:prstGeom>
                        </wps:spPr>
                        <wps:txbx>
                          <w:txbxContent>
                            <w:p w14:paraId="1C34F1A0" w14:textId="77777777" w:rsidR="004C558F" w:rsidRDefault="00461887">
                              <w:pPr>
                                <w:spacing w:before="1"/>
                                <w:rPr>
                                  <w:sz w:val="21"/>
                                </w:rPr>
                              </w:pPr>
                              <w:r>
                                <w:rPr>
                                  <w:color w:val="585858"/>
                                  <w:spacing w:val="-4"/>
                                  <w:sz w:val="21"/>
                                </w:rPr>
                                <w:t>BILH</w:t>
                              </w:r>
                            </w:p>
                          </w:txbxContent>
                        </wps:txbx>
                        <wps:bodyPr wrap="square" lIns="0" tIns="0" rIns="0" bIns="0" rtlCol="0">
                          <a:noAutofit/>
                        </wps:bodyPr>
                      </wps:wsp>
                      <wps:wsp>
                        <wps:cNvPr id="233" name="Textbox 233"/>
                        <wps:cNvSpPr txBox="1"/>
                        <wps:spPr>
                          <a:xfrm>
                            <a:off x="87276" y="2199547"/>
                            <a:ext cx="325120" cy="152400"/>
                          </a:xfrm>
                          <a:prstGeom prst="rect">
                            <a:avLst/>
                          </a:prstGeom>
                        </wps:spPr>
                        <wps:txbx>
                          <w:txbxContent>
                            <w:p w14:paraId="1C34F1A1" w14:textId="77777777" w:rsidR="004C558F" w:rsidRDefault="00461887">
                              <w:pPr>
                                <w:spacing w:before="1"/>
                                <w:rPr>
                                  <w:sz w:val="21"/>
                                </w:rPr>
                              </w:pPr>
                              <w:r>
                                <w:rPr>
                                  <w:color w:val="585858"/>
                                  <w:spacing w:val="-4"/>
                                  <w:sz w:val="21"/>
                                </w:rPr>
                                <w:t>$300</w:t>
                              </w:r>
                            </w:p>
                          </w:txbxContent>
                        </wps:txbx>
                        <wps:bodyPr wrap="square" lIns="0" tIns="0" rIns="0" bIns="0" rtlCol="0">
                          <a:noAutofit/>
                        </wps:bodyPr>
                      </wps:wsp>
                      <wps:wsp>
                        <wps:cNvPr id="234" name="Textbox 234"/>
                        <wps:cNvSpPr txBox="1"/>
                        <wps:spPr>
                          <a:xfrm>
                            <a:off x="4498716" y="2241650"/>
                            <a:ext cx="1176020" cy="303530"/>
                          </a:xfrm>
                          <a:prstGeom prst="rect">
                            <a:avLst/>
                          </a:prstGeom>
                        </wps:spPr>
                        <wps:txbx>
                          <w:txbxContent>
                            <w:p w14:paraId="1C34F1A2" w14:textId="77777777" w:rsidR="004C558F" w:rsidRDefault="00461887">
                              <w:pPr>
                                <w:spacing w:before="1"/>
                                <w:ind w:right="18"/>
                                <w:rPr>
                                  <w:sz w:val="21"/>
                                </w:rPr>
                              </w:pPr>
                              <w:r>
                                <w:rPr>
                                  <w:color w:val="585858"/>
                                  <w:sz w:val="21"/>
                                </w:rPr>
                                <w:t>Comparator</w:t>
                              </w:r>
                              <w:r>
                                <w:rPr>
                                  <w:color w:val="585858"/>
                                  <w:spacing w:val="-14"/>
                                  <w:sz w:val="21"/>
                                </w:rPr>
                                <w:t xml:space="preserve"> </w:t>
                              </w:r>
                              <w:r>
                                <w:rPr>
                                  <w:color w:val="585858"/>
                                  <w:sz w:val="21"/>
                                </w:rPr>
                                <w:t xml:space="preserve">Provider </w:t>
                              </w:r>
                              <w:r>
                                <w:rPr>
                                  <w:color w:val="585858"/>
                                  <w:spacing w:val="-2"/>
                                  <w:sz w:val="21"/>
                                </w:rPr>
                                <w:t>Organization</w:t>
                              </w:r>
                            </w:p>
                          </w:txbxContent>
                        </wps:txbx>
                        <wps:bodyPr wrap="square" lIns="0" tIns="0" rIns="0" bIns="0" rtlCol="0">
                          <a:noAutofit/>
                        </wps:bodyPr>
                      </wps:wsp>
                      <wps:wsp>
                        <wps:cNvPr id="235" name="Textbox 235"/>
                        <wps:cNvSpPr txBox="1"/>
                        <wps:spPr>
                          <a:xfrm>
                            <a:off x="87276" y="2555480"/>
                            <a:ext cx="325755" cy="864235"/>
                          </a:xfrm>
                          <a:prstGeom prst="rect">
                            <a:avLst/>
                          </a:prstGeom>
                        </wps:spPr>
                        <wps:txbx>
                          <w:txbxContent>
                            <w:p w14:paraId="1C34F1A3" w14:textId="77777777" w:rsidR="004C558F" w:rsidRDefault="00461887">
                              <w:pPr>
                                <w:spacing w:before="1"/>
                                <w:ind w:right="18"/>
                                <w:jc w:val="right"/>
                                <w:rPr>
                                  <w:sz w:val="21"/>
                                </w:rPr>
                              </w:pPr>
                              <w:r>
                                <w:rPr>
                                  <w:color w:val="585858"/>
                                  <w:spacing w:val="-4"/>
                                  <w:sz w:val="21"/>
                                </w:rPr>
                                <w:t>$200</w:t>
                              </w:r>
                            </w:p>
                            <w:p w14:paraId="1C34F1A4" w14:textId="77777777" w:rsidR="004C558F" w:rsidRDefault="004C558F">
                              <w:pPr>
                                <w:spacing w:before="84"/>
                                <w:rPr>
                                  <w:sz w:val="21"/>
                                </w:rPr>
                              </w:pPr>
                            </w:p>
                            <w:p w14:paraId="1C34F1A5" w14:textId="77777777" w:rsidR="004C558F" w:rsidRDefault="00461887">
                              <w:pPr>
                                <w:ind w:right="18"/>
                                <w:jc w:val="right"/>
                                <w:rPr>
                                  <w:sz w:val="21"/>
                                </w:rPr>
                              </w:pPr>
                              <w:r>
                                <w:rPr>
                                  <w:color w:val="585858"/>
                                  <w:spacing w:val="-4"/>
                                  <w:sz w:val="21"/>
                                </w:rPr>
                                <w:t>$100</w:t>
                              </w:r>
                            </w:p>
                            <w:p w14:paraId="1C34F1A6" w14:textId="77777777" w:rsidR="004C558F" w:rsidRDefault="004C558F">
                              <w:pPr>
                                <w:spacing w:before="84"/>
                                <w:rPr>
                                  <w:sz w:val="21"/>
                                </w:rPr>
                              </w:pPr>
                            </w:p>
                            <w:p w14:paraId="1C34F1A7" w14:textId="77777777" w:rsidR="004C558F" w:rsidRDefault="00461887">
                              <w:pPr>
                                <w:ind w:right="18"/>
                                <w:jc w:val="right"/>
                                <w:rPr>
                                  <w:sz w:val="21"/>
                                </w:rPr>
                              </w:pPr>
                              <w:r>
                                <w:rPr>
                                  <w:color w:val="585858"/>
                                  <w:spacing w:val="-5"/>
                                  <w:sz w:val="21"/>
                                </w:rPr>
                                <w:t>$0</w:t>
                              </w:r>
                            </w:p>
                          </w:txbxContent>
                        </wps:txbx>
                        <wps:bodyPr wrap="square" lIns="0" tIns="0" rIns="0" bIns="0" rtlCol="0">
                          <a:noAutofit/>
                        </wps:bodyPr>
                      </wps:wsp>
                      <wps:wsp>
                        <wps:cNvPr id="236" name="Textbox 236"/>
                        <wps:cNvSpPr txBox="1"/>
                        <wps:spPr>
                          <a:xfrm>
                            <a:off x="689170" y="3429488"/>
                            <a:ext cx="403860" cy="152400"/>
                          </a:xfrm>
                          <a:prstGeom prst="rect">
                            <a:avLst/>
                          </a:prstGeom>
                        </wps:spPr>
                        <wps:txbx>
                          <w:txbxContent>
                            <w:p w14:paraId="1C34F1A8" w14:textId="77777777" w:rsidR="004C558F" w:rsidRDefault="00461887">
                              <w:pPr>
                                <w:spacing w:before="1"/>
                                <w:rPr>
                                  <w:sz w:val="21"/>
                                </w:rPr>
                              </w:pPr>
                              <w:r>
                                <w:rPr>
                                  <w:color w:val="585858"/>
                                  <w:spacing w:val="-2"/>
                                  <w:sz w:val="21"/>
                                </w:rPr>
                                <w:t>99205</w:t>
                              </w:r>
                            </w:p>
                          </w:txbxContent>
                        </wps:txbx>
                        <wps:bodyPr wrap="square" lIns="0" tIns="0" rIns="0" bIns="0" rtlCol="0">
                          <a:noAutofit/>
                        </wps:bodyPr>
                      </wps:wsp>
                      <wps:wsp>
                        <wps:cNvPr id="237" name="Textbox 237"/>
                        <wps:cNvSpPr txBox="1"/>
                        <wps:spPr>
                          <a:xfrm>
                            <a:off x="1425713" y="3429488"/>
                            <a:ext cx="403860" cy="152400"/>
                          </a:xfrm>
                          <a:prstGeom prst="rect">
                            <a:avLst/>
                          </a:prstGeom>
                        </wps:spPr>
                        <wps:txbx>
                          <w:txbxContent>
                            <w:p w14:paraId="1C34F1A9" w14:textId="77777777" w:rsidR="004C558F" w:rsidRDefault="00461887">
                              <w:pPr>
                                <w:spacing w:before="1"/>
                                <w:rPr>
                                  <w:sz w:val="21"/>
                                </w:rPr>
                              </w:pPr>
                              <w:r>
                                <w:rPr>
                                  <w:color w:val="585858"/>
                                  <w:spacing w:val="-2"/>
                                  <w:sz w:val="21"/>
                                </w:rPr>
                                <w:t>99212</w:t>
                              </w:r>
                            </w:p>
                          </w:txbxContent>
                        </wps:txbx>
                        <wps:bodyPr wrap="square" lIns="0" tIns="0" rIns="0" bIns="0" rtlCol="0">
                          <a:noAutofit/>
                        </wps:bodyPr>
                      </wps:wsp>
                      <wps:wsp>
                        <wps:cNvPr id="238" name="Textbox 238"/>
                        <wps:cNvSpPr txBox="1"/>
                        <wps:spPr>
                          <a:xfrm>
                            <a:off x="2162256" y="3429488"/>
                            <a:ext cx="403860" cy="152400"/>
                          </a:xfrm>
                          <a:prstGeom prst="rect">
                            <a:avLst/>
                          </a:prstGeom>
                        </wps:spPr>
                        <wps:txbx>
                          <w:txbxContent>
                            <w:p w14:paraId="1C34F1AA" w14:textId="77777777" w:rsidR="004C558F" w:rsidRDefault="00461887">
                              <w:pPr>
                                <w:spacing w:before="1"/>
                                <w:rPr>
                                  <w:sz w:val="21"/>
                                </w:rPr>
                              </w:pPr>
                              <w:r>
                                <w:rPr>
                                  <w:color w:val="585858"/>
                                  <w:spacing w:val="-2"/>
                                  <w:sz w:val="21"/>
                                </w:rPr>
                                <w:t>99213</w:t>
                              </w:r>
                            </w:p>
                          </w:txbxContent>
                        </wps:txbx>
                        <wps:bodyPr wrap="square" lIns="0" tIns="0" rIns="0" bIns="0" rtlCol="0">
                          <a:noAutofit/>
                        </wps:bodyPr>
                      </wps:wsp>
                      <wps:wsp>
                        <wps:cNvPr id="239" name="Textbox 239"/>
                        <wps:cNvSpPr txBox="1"/>
                        <wps:spPr>
                          <a:xfrm>
                            <a:off x="2898800" y="3429488"/>
                            <a:ext cx="403860" cy="152400"/>
                          </a:xfrm>
                          <a:prstGeom prst="rect">
                            <a:avLst/>
                          </a:prstGeom>
                        </wps:spPr>
                        <wps:txbx>
                          <w:txbxContent>
                            <w:p w14:paraId="1C34F1AB" w14:textId="77777777" w:rsidR="004C558F" w:rsidRDefault="00461887">
                              <w:pPr>
                                <w:spacing w:before="1"/>
                                <w:rPr>
                                  <w:sz w:val="21"/>
                                </w:rPr>
                              </w:pPr>
                              <w:r>
                                <w:rPr>
                                  <w:color w:val="585858"/>
                                  <w:spacing w:val="-2"/>
                                  <w:sz w:val="21"/>
                                </w:rPr>
                                <w:t>99214</w:t>
                              </w:r>
                            </w:p>
                          </w:txbxContent>
                        </wps:txbx>
                        <wps:bodyPr wrap="square" lIns="0" tIns="0" rIns="0" bIns="0" rtlCol="0">
                          <a:noAutofit/>
                        </wps:bodyPr>
                      </wps:wsp>
                      <wps:wsp>
                        <wps:cNvPr id="240" name="Textbox 240"/>
                        <wps:cNvSpPr txBox="1"/>
                        <wps:spPr>
                          <a:xfrm>
                            <a:off x="3635343" y="3429488"/>
                            <a:ext cx="403860" cy="152400"/>
                          </a:xfrm>
                          <a:prstGeom prst="rect">
                            <a:avLst/>
                          </a:prstGeom>
                        </wps:spPr>
                        <wps:txbx>
                          <w:txbxContent>
                            <w:p w14:paraId="1C34F1AC" w14:textId="77777777" w:rsidR="004C558F" w:rsidRDefault="00461887">
                              <w:pPr>
                                <w:spacing w:before="1"/>
                                <w:rPr>
                                  <w:sz w:val="21"/>
                                </w:rPr>
                              </w:pPr>
                              <w:r>
                                <w:rPr>
                                  <w:color w:val="585858"/>
                                  <w:spacing w:val="-2"/>
                                  <w:sz w:val="21"/>
                                </w:rPr>
                                <w:t>99215</w:t>
                              </w:r>
                            </w:p>
                          </w:txbxContent>
                        </wps:txbx>
                        <wps:bodyPr wrap="square" lIns="0" tIns="0" rIns="0" bIns="0" rtlCol="0">
                          <a:noAutofit/>
                        </wps:bodyPr>
                      </wps:wsp>
                    </wpg:wgp>
                  </a:graphicData>
                </a:graphic>
              </wp:anchor>
            </w:drawing>
          </mc:Choice>
          <mc:Fallback>
            <w:pict>
              <v:group w14:anchorId="1C34F100" id="Group 162" o:spid="_x0000_s1122" alt="Graph for Commercial Outpatient Prices for Oncologist Office Visits" style="position:absolute;left:0;text-align:left;margin-left:71.6pt;margin-top:13.95pt;width:456.25pt;height:288.85pt;z-index:-251654144;mso-wrap-distance-left:0;mso-wrap-distance-right:0;mso-position-horizontal-relative:page" coordsize="57943,3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">
                <v:shape id="Graphic 163" o:spid="_x0000_s1123" style="position:absolute;left:5163;top:1444;width:36830;height:28486;visibility:visible;mso-wrap-style:square;v-text-anchor:top" coordsize="3683000,28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" path="m,2848610r3682796,em,2491994r3682796,em,2135378r3682796,em,1780286r3682796,em,1423670r3682796,em,1068578r3682796,em,711962r3682796,em,355346r3682796,em,l3682796,e" filled="f" strokecolor="#d9d9d9">
                  <v:path arrowok="t"/>
                </v:shape>
                <v:shape id="Graphic 164" o:spid="_x0000_s1124" style="position:absolute;left:5163;top:33483;width:36830;height:13;visibility:visible;mso-wrap-style:square;v-text-anchor:top" coordsize="368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" path="m,l3682796,e" filled="f" strokecolor="#d9d9d9">
                  <v:path arrowok="t"/>
                </v:shape>
                <v:shape id="Image 165" o:spid="_x0000_s1125" type="#_x0000_t75" style="position:absolute;left:8153;top:4861;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">
                  <v:imagedata r:id="rId53" o:title=""/>
                </v:shape>
                <v:shape id="Image 166" o:spid="_x0000_s1126" type="#_x0000_t75" style="position:absolute;left:15529;top:24444;width:1360;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">
                  <v:imagedata r:id="rId53" o:title=""/>
                </v:shape>
                <v:shape id="Image 167" o:spid="_x0000_s1127" type="#_x0000_t75" style="position:absolute;left:22890;top:19156;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">
                  <v:imagedata r:id="rId54" o:title=""/>
                </v:shape>
                <v:shape id="Image 168" o:spid="_x0000_s1128" type="#_x0000_t75" style="position:absolute;left:30251;top:16642;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">
                  <v:imagedata r:id="rId53" o:title=""/>
                </v:shape>
                <v:shape id="Image 169" o:spid="_x0000_s1129" type="#_x0000_t75" style="position:absolute;left:37627;top:10622;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">
                  <v:imagedata r:id="rId53" o:title=""/>
                </v:shape>
                <v:shape id="Image 170" o:spid="_x0000_s1130" type="#_x0000_t75" style="position:absolute;left:8153;top:10058;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">
                  <v:imagedata r:id="rId56" o:title=""/>
                </v:shape>
                <v:shape id="Graphic 171" o:spid="_x0000_s1131" style="position:absolute;left:15577;top:27860;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" path="m63246,l38629,4970,18526,18526,4970,38629,,63246,4970,87862r13556,20103l38629,121521r24617,4971l87862,121521r20103,-13556l121521,87862r4971,-24616l121521,38629,107965,18526,87862,4970,63246,xe" fillcolor="#339fc7" stroked="f">
                  <v:path arrowok="t"/>
                </v:shape>
                <v:shape id="Graphic 172" o:spid="_x0000_s1132" style="position:absolute;left:15577;top:27860;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" path="m126492,63246r-4971,24616l107965,107965,87862,121521r-24616,4971l38629,121521,18526,107965,4970,87862,,63246,4970,38629,18526,18526,38629,4970,63246,,87862,4970r20103,13556l121521,38629r4971,24617xe" filled="f" strokecolor="#339fc7">
                  <v:path arrowok="t"/>
                </v:shape>
                <v:shape id="Graphic 173" o:spid="_x0000_s1133" style="position:absolute;left:22938;top:2601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" path="m63246,l38629,4970,18526,18526,4970,38629,,63246,4970,87862r13556,20103l38629,121521r24617,4971l87862,121521r20103,-13556l121521,87862r4971,-24616l121521,38629,107965,18526,87862,4970,63246,xe" fillcolor="#339fc7" stroked="f">
                  <v:path arrowok="t"/>
                </v:shape>
                <v:shape id="Graphic 174" o:spid="_x0000_s1134" style="position:absolute;left:22938;top:2601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" path="m126492,63246r-4971,24616l107965,107965,87862,121521r-24616,4971l38629,121521,18526,107965,4970,87862,,63246,4970,38629,18526,18526,38629,4970,63246,,87862,4970r20103,13556l121521,38629r4971,24617xe" filled="f" strokecolor="#339fc7">
                  <v:path arrowok="t"/>
                </v:shape>
                <v:shape id="Image 175" o:spid="_x0000_s1135" type="#_x0000_t75" style="position:absolute;left:30251;top:22890;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">
                  <v:imagedata r:id="rId72" o:title=""/>
                </v:shape>
                <v:shape id="Image 176" o:spid="_x0000_s1136" type="#_x0000_t75" style="position:absolute;left:37627;top:18943;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">
                  <v:imagedata r:id="rId72" o:title=""/>
                </v:shape>
                <v:shape id="Image 177" o:spid="_x0000_s1137" type="#_x0000_t75" style="position:absolute;left:8113;top:17028;width:1440;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">
                  <v:imagedata r:id="rId73" o:title=""/>
                </v:shape>
                <v:shape id="Graphic 178" o:spid="_x0000_s1138" style="position:absolute;left:15569;top:2955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" path="m124968,62484r-4911,24320l106665,106665,86804,120057r-24320,4911l38163,120057,18302,106665,4910,86804,,62484,4910,38163,18302,18302,38163,4910,62484,,86804,4910r19861,13392l120057,38163r4911,24321xe" filled="f" strokecolor="#a6a6a6" strokeweight="1.5pt">
                  <v:path arrowok="t"/>
                </v:shape>
                <v:shape id="Graphic 179" o:spid="_x0000_s1139" style="position:absolute;left:22930;top:2699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80" o:spid="_x0000_s1140" style="position:absolute;left:30306;top:2500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" path="m124967,62484r-4910,24320l106665,106665,86804,120057r-24321,4911l38163,120057,18302,106665,4910,86804,,62484,4910,38163,18302,18302,38163,4910,62483,,86804,4910r19861,13392l120057,38163r4910,24321xe" filled="f" strokecolor="#a6a6a6" strokeweight="1.5pt">
                  <v:path arrowok="t"/>
                </v:shape>
                <v:shape id="Graphic 181" o:spid="_x0000_s1141" style="position:absolute;left:37667;top:20796;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Graphic 182" o:spid="_x0000_s1142" style="position:absolute;left:8208;top:1937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" path="m124968,62484r-4911,24320l106665,106665,86804,120057r-24320,4911l38163,120057,18302,106665,4910,86804,,62484,4910,38163,18302,18302,38163,4910,62484,,86804,4910r19861,13392l120057,38163r4911,24321xe" filled="f" strokecolor="#a6a6a6" strokeweight="1.5pt">
                  <v:path arrowok="t"/>
                </v:shape>
                <v:shape id="Graphic 183" o:spid="_x0000_s1143" style="position:absolute;left:15569;top:3012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84" o:spid="_x0000_s1144" style="position:absolute;left:22930;top:2750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" path="m124968,62484r-4911,24320l106665,106665,86804,120057r-24320,4911l38163,120057,18302,106665,4910,86804,,62484,4910,38163,18302,18302,38163,4910,62484,,86804,4910r19861,13392l120057,38163r4911,24321xe" filled="f" strokecolor="#a6a6a6" strokeweight="1.5pt">
                  <v:path arrowok="t"/>
                </v:shape>
                <v:shape id="Graphic 185" o:spid="_x0000_s1145" style="position:absolute;left:30306;top:25094;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" path="m124967,62484r-4910,24320l106665,106665,86804,120057r-24321,4911l38163,120057,18302,106665,4910,86804,,62484,4910,38163,18302,18302,38163,4910,62483,,86804,4910r19861,13392l120057,38163r4910,24321xe" filled="f" strokecolor="#a6a6a6" strokeweight="1.5pt">
                  <v:path arrowok="t"/>
                </v:shape>
                <v:shape id="Graphic 186" o:spid="_x0000_s1146" style="position:absolute;left:37667;top:2145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" path="m124967,62484r-4910,24320l106665,106665,86804,120057r-24321,4911l38163,120057,18302,106665,4910,86804,,62484,4910,38163,18302,18302,38163,4910,62483,,86804,4910r19861,13392l120057,38163r4910,24321xe" filled="f" strokecolor="#a6a6a6" strokeweight="1.5pt">
                  <v:path arrowok="t"/>
                </v:shape>
                <v:shape id="Graphic 187" o:spid="_x0000_s1147" style="position:absolute;left:8208;top:2027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" path="m124968,62484r-4911,24320l106665,106665,86804,120057r-24320,4911l38163,120057,18302,106665,4910,86804,,62484,4910,38163,18302,18302,38163,4910,62484,,86804,4910r19861,13392l120057,38163r4911,24321xe" filled="f" strokecolor="#a6a6a6" strokeweight="1.5pt">
                  <v:path arrowok="t"/>
                </v:shape>
                <v:shape id="Graphic 188" o:spid="_x0000_s1148" style="position:absolute;left:15569;top:30154;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189" o:spid="_x0000_s1149" style="position:absolute;left:22930;top:2792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190" o:spid="_x0000_s1150" style="position:absolute;left:30306;top:25826;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" path="m124967,62484r-4910,24320l106665,106665,86804,120057r-24321,4911l38163,120057,18302,106665,4910,86804,,62484,4910,38163,18302,18302,38163,4910,62483,,86804,4910r19861,13392l120057,38163r4910,24321xe" filled="f" strokecolor="#a6a6a6" strokeweight="1.5pt">
                  <v:path arrowok="t"/>
                </v:shape>
                <v:shape id="Graphic 191" o:spid="_x0000_s1151" style="position:absolute;left:37667;top:21970;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" path="m124967,62484r-4910,24320l106665,106665,86804,120057r-24321,4911l38163,120057,18302,106665,4910,86804,,62484,4910,38163,18302,18302,38163,4910,62483,,86804,4910r19861,13392l120057,38163r4910,24321xe" filled="f" strokecolor="#a6a6a6" strokeweight="1.5pt">
                  <v:path arrowok="t"/>
                </v:shape>
                <v:shape id="Graphic 192" o:spid="_x0000_s1152" style="position:absolute;left:8201;top:1894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" path="m63246,l38629,4970,18526,18526,4970,38629,,63246,4970,87862r13556,20103l38629,121521r24617,4971l87862,121521r20103,-13556l121521,87862r4971,-24616l121521,38629,107965,18526,87862,4970,63246,xe" fillcolor="#f9a720" stroked="f">
                  <v:path arrowok="t"/>
                </v:shape>
                <v:shape id="Graphic 193" o:spid="_x0000_s1153" style="position:absolute;left:8201;top:1894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" path="m126492,63246r-4971,24616l107965,107965,87862,121521r-24616,4971l38629,121521,18526,107965,4970,87862,,63246,4970,38629,18526,18526,38629,4970,63246,,87862,4970r20103,13556l121521,38629r4971,24617xe" filled="f" strokecolor="#f9a720">
                  <v:path arrowok="t"/>
                </v:shape>
                <v:shape id="Graphic 194" o:spid="_x0000_s1154" style="position:absolute;left:15577;top:3000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" path="m63246,l38629,4970,18526,18526,4970,38629,,63246,4970,87862r13556,20103l38629,121521r24617,4971l87862,121521r20103,-13556l121521,87862r4971,-24616l121521,38629,107965,18526,87862,4970,63246,xe" fillcolor="#f9a720" stroked="f">
                  <v:path arrowok="t"/>
                </v:shape>
                <v:shape id="Graphic 195" o:spid="_x0000_s1155" style="position:absolute;left:15577;top:3000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" path="m126492,63246r-4971,24616l107965,107965,87862,121521r-24616,4971l38629,121521,18526,107965,4970,87862,,63246,4970,38629,18526,18526,38629,4970,63246,,87862,4970r20103,13556l121521,38629r4971,24617xe" filled="f" strokecolor="#f9a720">
                  <v:path arrowok="t"/>
                </v:shape>
                <v:shape id="Graphic 196" o:spid="_x0000_s1156" style="position:absolute;left:22938;top:2776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" path="m63246,l38629,4970,18526,18526,4970,38629,,63246,4970,87862r13556,20103l38629,121521r24617,4971l87862,121521r20103,-13556l121521,87862r4971,-24616l121521,38629,107965,18526,87862,4970,63246,xe" fillcolor="#f9a720" stroked="f">
                  <v:path arrowok="t"/>
                </v:shape>
                <v:shape id="Graphic 197" o:spid="_x0000_s1157" style="position:absolute;left:22938;top:27769;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" path="m126492,63246r-4971,24616l107965,107965,87862,121521r-24616,4971l38629,121521,18526,107965,4970,87862,,63246,4970,38629,18526,18526,38629,4970,63246,,87862,4970r20103,13556l121521,38629r4971,24617xe" filled="f" strokecolor="#f9a720">
                  <v:path arrowok="t"/>
                </v:shape>
                <v:shape id="Graphic 198" o:spid="_x0000_s1158" style="position:absolute;left:30299;top:2511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" path="m63245,l38629,4970,18526,18526,4970,38629,,63246,4970,87862r13556,20103l38629,121521r24616,4971l87862,121521r20103,-13556l121521,87862r4970,-24616l121521,38629,107965,18526,87862,4970,63245,xe" fillcolor="#f9a720" stroked="f">
                  <v:path arrowok="t"/>
                </v:shape>
                <v:shape id="Graphic 199" o:spid="_x0000_s1159" style="position:absolute;left:30299;top:2511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" path="m126491,63246r-4970,24616l107965,107965,87862,121521r-24617,4971l38629,121521,18526,107965,4970,87862,,63246,4970,38629,18526,18526,38629,4970,63245,,87862,4970r20103,13556l121521,38629r4970,24617xe" filled="f" strokecolor="#f9a720">
                  <v:path arrowok="t"/>
                </v:shape>
                <v:shape id="Graphic 200" o:spid="_x0000_s1160" style="position:absolute;left:37675;top:21993;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" path="m63245,l38629,4970,18526,18526,4970,38629,,63246,4970,87862r13556,20103l38629,121521r24616,4971l87862,121521r20103,-13556l121521,87862r4970,-24616l121521,38629,107965,18526,87862,4970,63245,xe" fillcolor="#f9a720" stroked="f">
                  <v:path arrowok="t"/>
                </v:shape>
                <v:shape id="Graphic 201" o:spid="_x0000_s1161" style="position:absolute;left:37675;top:21993;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" path="m126491,63246r-4970,24616l107965,107965,87862,121521r-24617,4971l38629,121521,18526,107965,4970,87862,,63246,4970,38629,18526,18526,38629,4970,63245,,87862,4970r20103,13556l121521,38629r4970,24617xe" filled="f" strokecolor="#f9a720">
                  <v:path arrowok="t"/>
                </v:shape>
                <v:shape id="Graphic 202" o:spid="_x0000_s1162" style="position:absolute;left:8208;top:2081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03" o:spid="_x0000_s1163" style="position:absolute;left:15569;top:3044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04" o:spid="_x0000_s1164" style="position:absolute;left:22930;top:2786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05" o:spid="_x0000_s1165" style="position:absolute;left:30306;top:2599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" path="m124967,62484r-4910,24320l106665,106665,86804,120057r-24321,4911l38163,120057,18302,106665,4910,86804,,62484,4910,38163,18302,18302,38163,4910,62483,,86804,4910r19861,13392l120057,38163r4910,24321xe" filled="f" strokecolor="#a6a6a6" strokeweight="1.5pt">
                  <v:path arrowok="t"/>
                </v:shape>
                <v:shape id="Graphic 206" o:spid="_x0000_s1166" style="position:absolute;left:37667;top:22884;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" path="m124967,62484r-4910,24320l106665,106665,86804,120057r-24321,4911l38163,120057,18302,106665,4910,86804,,62484,4910,38163,18302,18302,38163,4910,62483,,86804,4910r19861,13392l120057,38163r4910,24321xe" filled="f" strokecolor="#a6a6a6" strokeweight="1.5pt">
                  <v:path arrowok="t"/>
                </v:shape>
                <v:shape id="Graphic 207" o:spid="_x0000_s1167" style="position:absolute;left:8208;top:19471;width:1251;height:1250;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08" o:spid="_x0000_s1168" style="position:absolute;left:15569;top:27456;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" path="m124968,62484r-4911,24320l106665,106665,86804,120057r-24320,4911l38163,120057,18302,106665,4910,86804,,62484,4910,38163,18302,18302,38163,4910,62484,,86804,4910r19861,13392l120057,38163r4911,24321xe" filled="f" strokecolor="#a6a6a6" strokeweight="1.5pt">
                  <v:path arrowok="t"/>
                </v:shape>
                <v:shape id="Graphic 209" o:spid="_x0000_s1169" style="position:absolute;left:22930;top:2832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10" o:spid="_x0000_s1170" style="position:absolute;left:30306;top:2629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" path="m124967,62484r-4910,24320l106665,106665,86804,120057r-24321,4911l38163,120057,18302,106665,4910,86804,,62484,4910,38163,18302,18302,38163,4910,62483,,86804,4910r19861,13392l120057,38163r4910,24321xe" filled="f" strokecolor="#a6a6a6" strokeweight="1.5pt">
                  <v:path arrowok="t"/>
                </v:shape>
                <v:shape id="Graphic 211" o:spid="_x0000_s1171" style="position:absolute;left:37667;top:23082;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" path="m124967,62484r-4910,24320l106665,106665,86804,120057r-24321,4911l38163,120057,18302,106665,4910,86804,,62484,4910,38163,18302,18302,38163,4910,62483,,86804,4910r19861,13392l120057,38163r4910,24321xe" filled="f" strokecolor="#a6a6a6" strokeweight="1.5pt">
                  <v:path arrowok="t"/>
                </v:shape>
                <v:shape id="Graphic 212" o:spid="_x0000_s1172" style="position:absolute;left:8208;top:2163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13" o:spid="_x0000_s1173" style="position:absolute;left:15569;top:3093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14" o:spid="_x0000_s1174" style="position:absolute;left:22930;top:28889;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15" o:spid="_x0000_s1175" style="position:absolute;left:30306;top:26771;width:1251;height:1250;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" path="m124967,62484r-4910,24320l106665,106665,86804,120057r-24321,4911l38163,120057,18302,106665,4910,86804,,62484,4910,38163,18302,18302,38163,4910,62483,,86804,4910r19861,13392l120057,38163r4910,24321xe" filled="f" strokecolor="#a6a6a6" strokeweight="1.5pt">
                  <v:path arrowok="t"/>
                </v:shape>
                <v:shape id="Graphic 216" o:spid="_x0000_s1176" style="position:absolute;left:37667;top:24835;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" path="m124967,62484r-4910,24320l106665,106665,86804,120057r-24321,4911l38163,120057,18302,106665,4910,86804,,62484,4910,38163,18302,18302,38163,4910,62483,,86804,4910r19861,13392l120057,38163r4910,24321xe" filled="f" strokecolor="#a6a6a6" strokeweight="1.5pt">
                  <v:path arrowok="t"/>
                </v:shape>
                <v:shape id="Image 217" o:spid="_x0000_s1177" type="#_x0000_t75" style="position:absolute;left:8113;top:23917;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">
                  <v:imagedata r:id="rId73" o:title=""/>
                </v:shape>
                <v:shape id="Graphic 218" o:spid="_x0000_s1178" style="position:absolute;left:15569;top:30611;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" path="m124968,62484r-4911,24320l106665,106665,86804,120057r-24320,4911l38163,120057,18302,106665,4910,86804,,62484,4910,38163,18302,18302,38163,4910,62484,,86804,4910r19861,13392l120057,38163r4911,24321xe" filled="f" strokecolor="#a6a6a6" strokeweight="1.5pt">
                  <v:path arrowok="t"/>
                </v:shape>
                <v:shape id="Graphic 219" o:spid="_x0000_s1179" style="position:absolute;left:22930;top:29453;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" path="m124968,62484r-4911,24320l106665,106665,86804,120057r-24320,4911l38163,120057,18302,106665,4910,86804,,62484,4910,38163,18302,18302,38163,4910,62484,,86804,4910r19861,13392l120057,38163r4911,24321xe" filled="f" strokecolor="#a6a6a6" strokeweight="1.5pt">
                  <v:path arrowok="t"/>
                </v:shape>
                <v:shape id="Graphic 220" o:spid="_x0000_s1180" style="position:absolute;left:30306;top:27304;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" path="m124967,62484r-4910,24320l106665,106665,86804,120057r-24321,4911l38163,120057,18302,106665,4910,86804,,62484,4910,38163,18302,18302,38163,4910,62483,,86804,4910r19861,13392l120057,38163r4910,24321xe" filled="f" strokecolor="#a6a6a6" strokeweight="1.5pt">
                  <v:path arrowok="t"/>
                </v:shape>
                <v:shape id="Graphic 221" o:spid="_x0000_s1181" style="position:absolute;left:37667;top:25688;width:1251;height:1251;visibility:visible;mso-wrap-style:square;v-text-anchor:top" coordsize="12509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" path="m124967,62484r-4910,24320l106665,106665,86804,120057r-24321,4911l38163,120057,18302,106665,4910,86804,,62484,4910,38163,18302,18302,38163,4910,62483,,86804,4910r19861,13392l120057,38163r4910,24321xe" filled="f" strokecolor="#a6a6a6" strokeweight="1.5pt">
                  <v:path arrowok="t"/>
                </v:shape>
                <v:shape id="Image 222" o:spid="_x0000_s1182" type="#_x0000_t75" style="position:absolute;left:43921;top:11518;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">
                  <v:imagedata r:id="rId65" o:title=""/>
                </v:shape>
                <v:shape id="Image 223" o:spid="_x0000_s1183" type="#_x0000_t75" style="position:absolute;left:43921;top:15283;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">
                  <v:imagedata r:id="rId67" o:title=""/>
                </v:shape>
                <v:shape id="Image 224" o:spid="_x0000_s1184" type="#_x0000_t75" style="position:absolute;left:43921;top:19032;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">
                  <v:imagedata r:id="rId66" o:title=""/>
                </v:shape>
                <v:shape id="Image 225" o:spid="_x0000_s1185" type="#_x0000_t75" style="position:absolute;left:43881;top:22756;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">
                  <v:imagedata r:id="rId74" o:title=""/>
                </v:shape>
                <v:shape id="Graphic 226" o:spid="_x0000_s1186" style="position:absolute;left:47;top:47;width:57849;height:36589;visibility:visible;mso-wrap-style:square;v-text-anchor:top" coordsize="5784850,36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" path="m,l5784850,r,3658870l,3658870,,xe" filled="f" strokecolor="#d9d9d9">
                  <v:path arrowok="t"/>
                </v:shape>
                <v:shape id="Textbox 227" o:spid="_x0000_s1187" type="#_x0000_t202" style="position:absolute;left:872;top:639;width:3251;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C34F195" w14:textId="77777777" w:rsidR="004C558F" w:rsidRDefault="00461887">
                        <w:pPr>
                          <w:spacing w:before="1"/>
                          <w:rPr>
                            <w:sz w:val="21"/>
                          </w:rPr>
                        </w:pPr>
                        <w:r>
                          <w:rPr>
                            <w:color w:val="585858"/>
                            <w:spacing w:val="-4"/>
                            <w:sz w:val="21"/>
                          </w:rPr>
                          <w:t>$900</w:t>
                        </w:r>
                      </w:p>
                      <w:p w14:paraId="1C34F196" w14:textId="77777777" w:rsidR="004C558F" w:rsidRDefault="004C558F">
                        <w:pPr>
                          <w:spacing w:before="84"/>
                          <w:rPr>
                            <w:sz w:val="21"/>
                          </w:rPr>
                        </w:pPr>
                      </w:p>
                      <w:p w14:paraId="1C34F197" w14:textId="77777777" w:rsidR="004C558F" w:rsidRDefault="00461887">
                        <w:pPr>
                          <w:rPr>
                            <w:sz w:val="21"/>
                          </w:rPr>
                        </w:pPr>
                        <w:r>
                          <w:rPr>
                            <w:color w:val="585858"/>
                            <w:spacing w:val="-4"/>
                            <w:sz w:val="21"/>
                          </w:rPr>
                          <w:t>$800</w:t>
                        </w:r>
                      </w:p>
                      <w:p w14:paraId="1C34F198" w14:textId="77777777" w:rsidR="004C558F" w:rsidRDefault="004C558F">
                        <w:pPr>
                          <w:spacing w:before="84"/>
                          <w:rPr>
                            <w:sz w:val="21"/>
                          </w:rPr>
                        </w:pPr>
                      </w:p>
                      <w:p w14:paraId="1C34F199" w14:textId="77777777" w:rsidR="004C558F" w:rsidRDefault="00461887">
                        <w:pPr>
                          <w:rPr>
                            <w:sz w:val="21"/>
                          </w:rPr>
                        </w:pPr>
                        <w:r>
                          <w:rPr>
                            <w:color w:val="585858"/>
                            <w:spacing w:val="-4"/>
                            <w:sz w:val="21"/>
                          </w:rPr>
                          <w:t>$700</w:t>
                        </w:r>
                      </w:p>
                      <w:p w14:paraId="1C34F19A" w14:textId="77777777" w:rsidR="004C558F" w:rsidRDefault="004C558F">
                        <w:pPr>
                          <w:spacing w:before="85"/>
                          <w:rPr>
                            <w:sz w:val="21"/>
                          </w:rPr>
                        </w:pPr>
                      </w:p>
                      <w:p w14:paraId="1C34F19B" w14:textId="77777777" w:rsidR="004C558F" w:rsidRDefault="00461887">
                        <w:pPr>
                          <w:rPr>
                            <w:sz w:val="21"/>
                          </w:rPr>
                        </w:pPr>
                        <w:r>
                          <w:rPr>
                            <w:color w:val="585858"/>
                            <w:spacing w:val="-4"/>
                            <w:sz w:val="21"/>
                          </w:rPr>
                          <w:t>$600</w:t>
                        </w:r>
                      </w:p>
                    </w:txbxContent>
                  </v:textbox>
                </v:shape>
                <v:shape id="Textbox 228" o:spid="_x0000_s1188" type="#_x0000_t202" style="position:absolute;left:44987;top:11149;width:27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C34F19C" w14:textId="77777777" w:rsidR="004C558F" w:rsidRDefault="00461887">
                        <w:pPr>
                          <w:spacing w:before="1"/>
                          <w:rPr>
                            <w:sz w:val="21"/>
                          </w:rPr>
                        </w:pPr>
                        <w:r>
                          <w:rPr>
                            <w:color w:val="585858"/>
                            <w:spacing w:val="-4"/>
                            <w:sz w:val="21"/>
                          </w:rPr>
                          <w:t>DFCI</w:t>
                        </w:r>
                      </w:p>
                    </w:txbxContent>
                  </v:textbox>
                </v:shape>
                <v:shape id="Textbox 229" o:spid="_x0000_s1189" type="#_x0000_t202" style="position:absolute;left:872;top:14876;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C34F19D" w14:textId="77777777" w:rsidR="004C558F" w:rsidRDefault="00461887">
                        <w:pPr>
                          <w:spacing w:before="1"/>
                          <w:rPr>
                            <w:sz w:val="21"/>
                          </w:rPr>
                        </w:pPr>
                        <w:r>
                          <w:rPr>
                            <w:color w:val="585858"/>
                            <w:spacing w:val="-4"/>
                            <w:sz w:val="21"/>
                          </w:rPr>
                          <w:t>$500</w:t>
                        </w:r>
                      </w:p>
                    </w:txbxContent>
                  </v:textbox>
                </v:shape>
                <v:shape id="Textbox 230" o:spid="_x0000_s1190" type="#_x0000_t202" style="position:absolute;left:44987;top:14905;width:28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C34F19E" w14:textId="77777777" w:rsidR="004C558F" w:rsidRDefault="00461887">
                        <w:pPr>
                          <w:spacing w:before="1"/>
                          <w:rPr>
                            <w:sz w:val="21"/>
                          </w:rPr>
                        </w:pPr>
                        <w:r>
                          <w:rPr>
                            <w:color w:val="585858"/>
                            <w:spacing w:val="-5"/>
                            <w:sz w:val="21"/>
                          </w:rPr>
                          <w:t>MGB</w:t>
                        </w:r>
                      </w:p>
                    </w:txbxContent>
                  </v:textbox>
                </v:shape>
                <v:shape id="Textbox 231" o:spid="_x0000_s1191" type="#_x0000_t202" style="position:absolute;left:872;top:18436;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C34F19F" w14:textId="77777777" w:rsidR="004C558F" w:rsidRDefault="00461887">
                        <w:pPr>
                          <w:spacing w:before="1"/>
                          <w:rPr>
                            <w:sz w:val="21"/>
                          </w:rPr>
                        </w:pPr>
                        <w:r>
                          <w:rPr>
                            <w:color w:val="585858"/>
                            <w:spacing w:val="-4"/>
                            <w:sz w:val="21"/>
                          </w:rPr>
                          <w:t>$400</w:t>
                        </w:r>
                      </w:p>
                    </w:txbxContent>
                  </v:textbox>
                </v:shape>
                <v:shape id="Textbox 232" o:spid="_x0000_s1192" type="#_x0000_t202" style="position:absolute;left:44987;top:18660;width:27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C34F1A0" w14:textId="77777777" w:rsidR="004C558F" w:rsidRDefault="00461887">
                        <w:pPr>
                          <w:spacing w:before="1"/>
                          <w:rPr>
                            <w:sz w:val="21"/>
                          </w:rPr>
                        </w:pPr>
                        <w:r>
                          <w:rPr>
                            <w:color w:val="585858"/>
                            <w:spacing w:val="-4"/>
                            <w:sz w:val="21"/>
                          </w:rPr>
                          <w:t>BILH</w:t>
                        </w:r>
                      </w:p>
                    </w:txbxContent>
                  </v:textbox>
                </v:shape>
                <v:shape id="Textbox 233" o:spid="_x0000_s1193" type="#_x0000_t202" style="position:absolute;left:872;top:21995;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C34F1A1" w14:textId="77777777" w:rsidR="004C558F" w:rsidRDefault="00461887">
                        <w:pPr>
                          <w:spacing w:before="1"/>
                          <w:rPr>
                            <w:sz w:val="21"/>
                          </w:rPr>
                        </w:pPr>
                        <w:r>
                          <w:rPr>
                            <w:color w:val="585858"/>
                            <w:spacing w:val="-4"/>
                            <w:sz w:val="21"/>
                          </w:rPr>
                          <w:t>$300</w:t>
                        </w:r>
                      </w:p>
                    </w:txbxContent>
                  </v:textbox>
                </v:shape>
                <v:shape id="Textbox 234" o:spid="_x0000_s1194" type="#_x0000_t202" style="position:absolute;left:44987;top:22416;width:1176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C34F1A2" w14:textId="77777777" w:rsidR="004C558F" w:rsidRDefault="00461887">
                        <w:pPr>
                          <w:spacing w:before="1"/>
                          <w:ind w:right="18"/>
                          <w:rPr>
                            <w:sz w:val="21"/>
                          </w:rPr>
                        </w:pPr>
                        <w:r>
                          <w:rPr>
                            <w:color w:val="585858"/>
                            <w:sz w:val="21"/>
                          </w:rPr>
                          <w:t>Comparator</w:t>
                        </w:r>
                        <w:r>
                          <w:rPr>
                            <w:color w:val="585858"/>
                            <w:spacing w:val="-14"/>
                            <w:sz w:val="21"/>
                          </w:rPr>
                          <w:t xml:space="preserve"> </w:t>
                        </w:r>
                        <w:r>
                          <w:rPr>
                            <w:color w:val="585858"/>
                            <w:sz w:val="21"/>
                          </w:rPr>
                          <w:t xml:space="preserve">Provider </w:t>
                        </w:r>
                        <w:r>
                          <w:rPr>
                            <w:color w:val="585858"/>
                            <w:spacing w:val="-2"/>
                            <w:sz w:val="21"/>
                          </w:rPr>
                          <w:t>Organization</w:t>
                        </w:r>
                      </w:p>
                    </w:txbxContent>
                  </v:textbox>
                </v:shape>
                <v:shape id="Textbox 235" o:spid="_x0000_s1195" type="#_x0000_t202" style="position:absolute;left:872;top:25554;width:3258;height: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C34F1A3" w14:textId="77777777" w:rsidR="004C558F" w:rsidRDefault="00461887">
                        <w:pPr>
                          <w:spacing w:before="1"/>
                          <w:ind w:right="18"/>
                          <w:jc w:val="right"/>
                          <w:rPr>
                            <w:sz w:val="21"/>
                          </w:rPr>
                        </w:pPr>
                        <w:r>
                          <w:rPr>
                            <w:color w:val="585858"/>
                            <w:spacing w:val="-4"/>
                            <w:sz w:val="21"/>
                          </w:rPr>
                          <w:t>$200</w:t>
                        </w:r>
                      </w:p>
                      <w:p w14:paraId="1C34F1A4" w14:textId="77777777" w:rsidR="004C558F" w:rsidRDefault="004C558F">
                        <w:pPr>
                          <w:spacing w:before="84"/>
                          <w:rPr>
                            <w:sz w:val="21"/>
                          </w:rPr>
                        </w:pPr>
                      </w:p>
                      <w:p w14:paraId="1C34F1A5" w14:textId="77777777" w:rsidR="004C558F" w:rsidRDefault="00461887">
                        <w:pPr>
                          <w:ind w:right="18"/>
                          <w:jc w:val="right"/>
                          <w:rPr>
                            <w:sz w:val="21"/>
                          </w:rPr>
                        </w:pPr>
                        <w:r>
                          <w:rPr>
                            <w:color w:val="585858"/>
                            <w:spacing w:val="-4"/>
                            <w:sz w:val="21"/>
                          </w:rPr>
                          <w:t>$100</w:t>
                        </w:r>
                      </w:p>
                      <w:p w14:paraId="1C34F1A6" w14:textId="77777777" w:rsidR="004C558F" w:rsidRDefault="004C558F">
                        <w:pPr>
                          <w:spacing w:before="84"/>
                          <w:rPr>
                            <w:sz w:val="21"/>
                          </w:rPr>
                        </w:pPr>
                      </w:p>
                      <w:p w14:paraId="1C34F1A7" w14:textId="77777777" w:rsidR="004C558F" w:rsidRDefault="00461887">
                        <w:pPr>
                          <w:ind w:right="18"/>
                          <w:jc w:val="right"/>
                          <w:rPr>
                            <w:sz w:val="21"/>
                          </w:rPr>
                        </w:pPr>
                        <w:r>
                          <w:rPr>
                            <w:color w:val="585858"/>
                            <w:spacing w:val="-5"/>
                            <w:sz w:val="21"/>
                          </w:rPr>
                          <w:t>$0</w:t>
                        </w:r>
                      </w:p>
                    </w:txbxContent>
                  </v:textbox>
                </v:shape>
                <v:shape id="Textbox 236" o:spid="_x0000_s1196" type="#_x0000_t202" style="position:absolute;left:6891;top:34294;width:40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C34F1A8" w14:textId="77777777" w:rsidR="004C558F" w:rsidRDefault="00461887">
                        <w:pPr>
                          <w:spacing w:before="1"/>
                          <w:rPr>
                            <w:sz w:val="21"/>
                          </w:rPr>
                        </w:pPr>
                        <w:r>
                          <w:rPr>
                            <w:color w:val="585858"/>
                            <w:spacing w:val="-2"/>
                            <w:sz w:val="21"/>
                          </w:rPr>
                          <w:t>99205</w:t>
                        </w:r>
                      </w:p>
                    </w:txbxContent>
                  </v:textbox>
                </v:shape>
                <v:shape id="Textbox 237" o:spid="_x0000_s1197" type="#_x0000_t202" style="position:absolute;left:14257;top:34294;width:40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C34F1A9" w14:textId="77777777" w:rsidR="004C558F" w:rsidRDefault="00461887">
                        <w:pPr>
                          <w:spacing w:before="1"/>
                          <w:rPr>
                            <w:sz w:val="21"/>
                          </w:rPr>
                        </w:pPr>
                        <w:r>
                          <w:rPr>
                            <w:color w:val="585858"/>
                            <w:spacing w:val="-2"/>
                            <w:sz w:val="21"/>
                          </w:rPr>
                          <w:t>99212</w:t>
                        </w:r>
                      </w:p>
                    </w:txbxContent>
                  </v:textbox>
                </v:shape>
                <v:shape id="Textbox 238" o:spid="_x0000_s1198" type="#_x0000_t202" style="position:absolute;left:21622;top:34294;width:40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C34F1AA" w14:textId="77777777" w:rsidR="004C558F" w:rsidRDefault="00461887">
                        <w:pPr>
                          <w:spacing w:before="1"/>
                          <w:rPr>
                            <w:sz w:val="21"/>
                          </w:rPr>
                        </w:pPr>
                        <w:r>
                          <w:rPr>
                            <w:color w:val="585858"/>
                            <w:spacing w:val="-2"/>
                            <w:sz w:val="21"/>
                          </w:rPr>
                          <w:t>99213</w:t>
                        </w:r>
                      </w:p>
                    </w:txbxContent>
                  </v:textbox>
                </v:shape>
                <v:shape id="Textbox 239" o:spid="_x0000_s1199" type="#_x0000_t202" style="position:absolute;left:28988;top:34294;width:40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C34F1AB" w14:textId="77777777" w:rsidR="004C558F" w:rsidRDefault="00461887">
                        <w:pPr>
                          <w:spacing w:before="1"/>
                          <w:rPr>
                            <w:sz w:val="21"/>
                          </w:rPr>
                        </w:pPr>
                        <w:r>
                          <w:rPr>
                            <w:color w:val="585858"/>
                            <w:spacing w:val="-2"/>
                            <w:sz w:val="21"/>
                          </w:rPr>
                          <w:t>99214</w:t>
                        </w:r>
                      </w:p>
                    </w:txbxContent>
                  </v:textbox>
                </v:shape>
                <v:shape id="Textbox 240" o:spid="_x0000_s1200" type="#_x0000_t202" style="position:absolute;left:36353;top:34294;width:40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C34F1AC" w14:textId="77777777" w:rsidR="004C558F" w:rsidRDefault="00461887">
                        <w:pPr>
                          <w:spacing w:before="1"/>
                          <w:rPr>
                            <w:sz w:val="21"/>
                          </w:rPr>
                        </w:pPr>
                        <w:r>
                          <w:rPr>
                            <w:color w:val="585858"/>
                            <w:spacing w:val="-2"/>
                            <w:sz w:val="21"/>
                          </w:rPr>
                          <w:t>99215</w:t>
                        </w:r>
                      </w:p>
                    </w:txbxContent>
                  </v:textbox>
                </v:shape>
                <w10:wrap type="topAndBottom" anchorx="page"/>
              </v:group>
            </w:pict>
          </mc:Fallback>
        </mc:AlternateContent>
      </w:r>
      <w:r>
        <w:t>Figure</w:t>
      </w:r>
      <w:r>
        <w:rPr>
          <w:spacing w:val="-6"/>
        </w:rPr>
        <w:t xml:space="preserve"> </w:t>
      </w:r>
      <w:r>
        <w:t>III.A.8:</w:t>
      </w:r>
      <w:r>
        <w:rPr>
          <w:spacing w:val="-4"/>
        </w:rPr>
        <w:t xml:space="preserve"> </w:t>
      </w:r>
      <w:r>
        <w:t>Commercial</w:t>
      </w:r>
      <w:r>
        <w:rPr>
          <w:spacing w:val="-7"/>
        </w:rPr>
        <w:t xml:space="preserve"> </w:t>
      </w:r>
      <w:r>
        <w:t>Outpatient</w:t>
      </w:r>
      <w:r>
        <w:rPr>
          <w:spacing w:val="-5"/>
        </w:rPr>
        <w:t xml:space="preserve"> </w:t>
      </w:r>
      <w:r>
        <w:t>Prices</w:t>
      </w:r>
      <w:r>
        <w:rPr>
          <w:spacing w:val="-4"/>
        </w:rPr>
        <w:t xml:space="preserve"> </w:t>
      </w:r>
      <w:r>
        <w:t>for</w:t>
      </w:r>
      <w:r>
        <w:rPr>
          <w:spacing w:val="-5"/>
        </w:rPr>
        <w:t xml:space="preserve"> </w:t>
      </w:r>
      <w:r>
        <w:t>Oncologist</w:t>
      </w:r>
      <w:r>
        <w:rPr>
          <w:spacing w:val="-5"/>
        </w:rPr>
        <w:t xml:space="preserve"> </w:t>
      </w:r>
      <w:r>
        <w:t>Office</w:t>
      </w:r>
      <w:r>
        <w:rPr>
          <w:spacing w:val="-3"/>
        </w:rPr>
        <w:t xml:space="preserve"> </w:t>
      </w:r>
      <w:r>
        <w:rPr>
          <w:spacing w:val="-2"/>
        </w:rPr>
        <w:t>Visits</w:t>
      </w:r>
    </w:p>
    <w:p w14:paraId="1C34E883" w14:textId="77777777" w:rsidR="004C558F" w:rsidRDefault="00461887">
      <w:pPr>
        <w:spacing w:before="57"/>
        <w:ind w:left="960"/>
        <w:rPr>
          <w:sz w:val="21"/>
        </w:rPr>
      </w:pPr>
      <w:r>
        <w:rPr>
          <w:sz w:val="21"/>
        </w:rPr>
        <w:t>Source:</w:t>
      </w:r>
      <w:r>
        <w:rPr>
          <w:spacing w:val="-9"/>
          <w:sz w:val="21"/>
        </w:rPr>
        <w:t xml:space="preserve"> </w:t>
      </w:r>
      <w:r>
        <w:rPr>
          <w:sz w:val="21"/>
        </w:rPr>
        <w:t>HPC</w:t>
      </w:r>
      <w:r>
        <w:rPr>
          <w:spacing w:val="-4"/>
          <w:sz w:val="21"/>
        </w:rPr>
        <w:t xml:space="preserve"> </w:t>
      </w:r>
      <w:r>
        <w:rPr>
          <w:sz w:val="21"/>
        </w:rPr>
        <w:t>analysis</w:t>
      </w:r>
      <w:r>
        <w:rPr>
          <w:spacing w:val="-6"/>
          <w:sz w:val="21"/>
        </w:rPr>
        <w:t xml:space="preserve"> </w:t>
      </w:r>
      <w:r>
        <w:rPr>
          <w:sz w:val="21"/>
        </w:rPr>
        <w:t>of</w:t>
      </w:r>
      <w:r>
        <w:rPr>
          <w:spacing w:val="-5"/>
          <w:sz w:val="21"/>
        </w:rPr>
        <w:t xml:space="preserve"> </w:t>
      </w:r>
      <w:r>
        <w:rPr>
          <w:sz w:val="21"/>
        </w:rPr>
        <w:t>the</w:t>
      </w:r>
      <w:r>
        <w:rPr>
          <w:spacing w:val="-6"/>
          <w:sz w:val="21"/>
        </w:rPr>
        <w:t xml:space="preserve"> </w:t>
      </w:r>
      <w:r>
        <w:rPr>
          <w:sz w:val="21"/>
        </w:rPr>
        <w:t>2022</w:t>
      </w:r>
      <w:r>
        <w:rPr>
          <w:spacing w:val="-3"/>
          <w:sz w:val="21"/>
        </w:rPr>
        <w:t xml:space="preserve"> </w:t>
      </w:r>
      <w:r>
        <w:rPr>
          <w:sz w:val="21"/>
        </w:rPr>
        <w:t>CHIA</w:t>
      </w:r>
      <w:r>
        <w:rPr>
          <w:spacing w:val="-7"/>
          <w:sz w:val="21"/>
        </w:rPr>
        <w:t xml:space="preserve"> </w:t>
      </w:r>
      <w:r>
        <w:rPr>
          <w:sz w:val="21"/>
        </w:rPr>
        <w:t>All-Payer</w:t>
      </w:r>
      <w:r>
        <w:rPr>
          <w:spacing w:val="-4"/>
          <w:sz w:val="21"/>
        </w:rPr>
        <w:t xml:space="preserve"> </w:t>
      </w:r>
      <w:r>
        <w:rPr>
          <w:sz w:val="21"/>
        </w:rPr>
        <w:t>Claims</w:t>
      </w:r>
      <w:r>
        <w:rPr>
          <w:spacing w:val="-3"/>
          <w:sz w:val="21"/>
        </w:rPr>
        <w:t xml:space="preserve"> </w:t>
      </w:r>
      <w:r>
        <w:rPr>
          <w:spacing w:val="-2"/>
          <w:sz w:val="21"/>
        </w:rPr>
        <w:t>Database</w:t>
      </w:r>
    </w:p>
    <w:p w14:paraId="1C34E884" w14:textId="77777777" w:rsidR="004C558F" w:rsidRDefault="00461887">
      <w:pPr>
        <w:spacing w:before="35" w:line="276" w:lineRule="auto"/>
        <w:ind w:left="959" w:right="702"/>
        <w:rPr>
          <w:sz w:val="21"/>
        </w:rPr>
      </w:pPr>
      <w:r>
        <w:rPr>
          <w:sz w:val="21"/>
        </w:rPr>
        <w:t>Notes:</w:t>
      </w:r>
      <w:r>
        <w:rPr>
          <w:spacing w:val="-2"/>
          <w:sz w:val="21"/>
        </w:rPr>
        <w:t xml:space="preserve"> </w:t>
      </w:r>
      <w:r>
        <w:rPr>
          <w:sz w:val="21"/>
        </w:rPr>
        <w:t>Prices</w:t>
      </w:r>
      <w:r>
        <w:rPr>
          <w:spacing w:val="-3"/>
          <w:sz w:val="21"/>
        </w:rPr>
        <w:t xml:space="preserve"> </w:t>
      </w:r>
      <w:r>
        <w:rPr>
          <w:sz w:val="21"/>
        </w:rPr>
        <w:t>are</w:t>
      </w:r>
      <w:r>
        <w:rPr>
          <w:spacing w:val="-2"/>
          <w:sz w:val="21"/>
        </w:rPr>
        <w:t xml:space="preserve"> </w:t>
      </w:r>
      <w:proofErr w:type="gramStart"/>
      <w:r>
        <w:rPr>
          <w:sz w:val="21"/>
        </w:rPr>
        <w:t>weighted</w:t>
      </w:r>
      <w:proofErr w:type="gramEnd"/>
      <w:r>
        <w:rPr>
          <w:spacing w:val="-4"/>
          <w:sz w:val="21"/>
        </w:rPr>
        <w:t xml:space="preserve"> </w:t>
      </w:r>
      <w:r>
        <w:rPr>
          <w:sz w:val="21"/>
        </w:rPr>
        <w:t>by</w:t>
      </w:r>
      <w:r>
        <w:rPr>
          <w:spacing w:val="-1"/>
          <w:sz w:val="21"/>
        </w:rPr>
        <w:t xml:space="preserve"> </w:t>
      </w:r>
      <w:r>
        <w:rPr>
          <w:sz w:val="21"/>
        </w:rPr>
        <w:t>the</w:t>
      </w:r>
      <w:r>
        <w:rPr>
          <w:spacing w:val="-3"/>
          <w:sz w:val="21"/>
        </w:rPr>
        <w:t xml:space="preserve"> </w:t>
      </w:r>
      <w:r>
        <w:rPr>
          <w:sz w:val="21"/>
        </w:rPr>
        <w:t>statewide</w:t>
      </w:r>
      <w:r>
        <w:rPr>
          <w:spacing w:val="-3"/>
          <w:sz w:val="21"/>
        </w:rPr>
        <w:t xml:space="preserve"> </w:t>
      </w:r>
      <w:r>
        <w:rPr>
          <w:sz w:val="21"/>
        </w:rPr>
        <w:t>average</w:t>
      </w:r>
      <w:r>
        <w:rPr>
          <w:spacing w:val="-3"/>
          <w:sz w:val="21"/>
        </w:rPr>
        <w:t xml:space="preserve"> </w:t>
      </w:r>
      <w:r>
        <w:rPr>
          <w:sz w:val="21"/>
        </w:rPr>
        <w:t>payer</w:t>
      </w:r>
      <w:r>
        <w:rPr>
          <w:spacing w:val="-4"/>
          <w:sz w:val="21"/>
        </w:rPr>
        <w:t xml:space="preserve"> </w:t>
      </w:r>
      <w:r>
        <w:rPr>
          <w:sz w:val="21"/>
        </w:rPr>
        <w:t>mix</w:t>
      </w:r>
      <w:r>
        <w:rPr>
          <w:spacing w:val="-3"/>
          <w:sz w:val="21"/>
        </w:rPr>
        <w:t xml:space="preserve"> </w:t>
      </w:r>
      <w:r>
        <w:rPr>
          <w:sz w:val="21"/>
        </w:rPr>
        <w:t>for</w:t>
      </w:r>
      <w:r>
        <w:rPr>
          <w:spacing w:val="-4"/>
          <w:sz w:val="21"/>
        </w:rPr>
        <w:t xml:space="preserve"> </w:t>
      </w:r>
      <w:r>
        <w:rPr>
          <w:sz w:val="21"/>
        </w:rPr>
        <w:t>each</w:t>
      </w:r>
      <w:r>
        <w:rPr>
          <w:spacing w:val="-2"/>
          <w:sz w:val="21"/>
        </w:rPr>
        <w:t xml:space="preserve"> </w:t>
      </w:r>
      <w:r>
        <w:rPr>
          <w:sz w:val="21"/>
        </w:rPr>
        <w:t>code.</w:t>
      </w:r>
      <w:r>
        <w:rPr>
          <w:spacing w:val="-2"/>
          <w:sz w:val="21"/>
        </w:rPr>
        <w:t xml:space="preserve"> </w:t>
      </w:r>
      <w:r>
        <w:rPr>
          <w:sz w:val="21"/>
        </w:rPr>
        <w:t>Comparator</w:t>
      </w:r>
      <w:r>
        <w:rPr>
          <w:spacing w:val="-4"/>
          <w:sz w:val="21"/>
        </w:rPr>
        <w:t xml:space="preserve"> </w:t>
      </w:r>
      <w:r>
        <w:rPr>
          <w:sz w:val="21"/>
        </w:rPr>
        <w:t>provider systems include UMass Memorial Healthcare, Atrius Health, Tufts Medicine, Steward Healthcare, Southcoast Health, Baystate Health, and Berkshire Health System.</w:t>
      </w:r>
    </w:p>
    <w:p w14:paraId="1C34E885" w14:textId="77777777" w:rsidR="004C558F" w:rsidRDefault="004C558F">
      <w:pPr>
        <w:pStyle w:val="BodyText"/>
        <w:spacing w:before="49"/>
        <w:rPr>
          <w:sz w:val="21"/>
        </w:rPr>
      </w:pPr>
    </w:p>
    <w:p w14:paraId="1C34E886" w14:textId="77777777" w:rsidR="004C558F" w:rsidRDefault="00461887">
      <w:pPr>
        <w:pStyle w:val="BodyText"/>
        <w:spacing w:before="1" w:line="276" w:lineRule="auto"/>
        <w:ind w:left="959" w:right="799" w:firstLine="720"/>
      </w:pPr>
      <w:r>
        <w:t>The</w:t>
      </w:r>
      <w:r>
        <w:rPr>
          <w:spacing w:val="-2"/>
        </w:rPr>
        <w:t xml:space="preserve"> </w:t>
      </w:r>
      <w:r>
        <w:t>HPC’s</w:t>
      </w:r>
      <w:r>
        <w:rPr>
          <w:spacing w:val="-2"/>
        </w:rPr>
        <w:t xml:space="preserve"> </w:t>
      </w:r>
      <w:r>
        <w:t>assessment</w:t>
      </w:r>
      <w:r>
        <w:rPr>
          <w:spacing w:val="-5"/>
        </w:rPr>
        <w:t xml:space="preserve"> </w:t>
      </w:r>
      <w:r>
        <w:t>of</w:t>
      </w:r>
      <w:r>
        <w:rPr>
          <w:spacing w:val="-4"/>
        </w:rPr>
        <w:t xml:space="preserve"> </w:t>
      </w:r>
      <w:r>
        <w:t>outpatient</w:t>
      </w:r>
      <w:r>
        <w:rPr>
          <w:spacing w:val="-3"/>
        </w:rPr>
        <w:t xml:space="preserve"> </w:t>
      </w:r>
      <w:r>
        <w:t>prices</w:t>
      </w:r>
      <w:r>
        <w:rPr>
          <w:spacing w:val="-2"/>
        </w:rPr>
        <w:t xml:space="preserve"> </w:t>
      </w:r>
      <w:r>
        <w:t>varies</w:t>
      </w:r>
      <w:r>
        <w:rPr>
          <w:spacing w:val="-4"/>
        </w:rPr>
        <w:t xml:space="preserve"> </w:t>
      </w:r>
      <w:r>
        <w:t>somewhat</w:t>
      </w:r>
      <w:r>
        <w:rPr>
          <w:spacing w:val="-3"/>
        </w:rPr>
        <w:t xml:space="preserve"> </w:t>
      </w:r>
      <w:r>
        <w:t>from</w:t>
      </w:r>
      <w:r>
        <w:rPr>
          <w:spacing w:val="-2"/>
        </w:rPr>
        <w:t xml:space="preserve"> </w:t>
      </w:r>
      <w:r>
        <w:t>that</w:t>
      </w:r>
      <w:r>
        <w:rPr>
          <w:spacing w:val="-3"/>
        </w:rPr>
        <w:t xml:space="preserve"> </w:t>
      </w:r>
      <w:r>
        <w:t>in</w:t>
      </w:r>
      <w:r>
        <w:rPr>
          <w:spacing w:val="-2"/>
        </w:rPr>
        <w:t xml:space="preserve"> </w:t>
      </w:r>
      <w:r>
        <w:t>the</w:t>
      </w:r>
      <w:r>
        <w:rPr>
          <w:spacing w:val="-4"/>
        </w:rPr>
        <w:t xml:space="preserve"> </w:t>
      </w:r>
      <w:r>
        <w:t>ICA.</w:t>
      </w:r>
      <w:r>
        <w:rPr>
          <w:spacing w:val="-2"/>
        </w:rPr>
        <w:t xml:space="preserve"> </w:t>
      </w:r>
      <w:r>
        <w:t>The</w:t>
      </w:r>
      <w:r>
        <w:rPr>
          <w:spacing w:val="-2"/>
        </w:rPr>
        <w:t xml:space="preserve"> </w:t>
      </w:r>
      <w:r>
        <w:t>ICA only estimated outpatient prices for CT and PET imaging and radiation oncology services, finding</w:t>
      </w:r>
    </w:p>
    <w:p w14:paraId="1C34E887" w14:textId="6713B77A" w:rsidR="004C558F" w:rsidRDefault="004C558F">
      <w:pPr>
        <w:pStyle w:val="BodyText"/>
        <w:spacing w:before="32"/>
        <w:rPr>
          <w:sz w:val="20"/>
        </w:rPr>
      </w:pPr>
    </w:p>
    <w:p w14:paraId="1C34E889" w14:textId="77777777" w:rsidR="004C558F" w:rsidRDefault="004C558F">
      <w:pPr>
        <w:rPr>
          <w:sz w:val="20"/>
        </w:rPr>
        <w:sectPr w:rsidR="004C558F">
          <w:pgSz w:w="12240" w:h="15840"/>
          <w:pgMar w:top="1360" w:right="740" w:bottom="720" w:left="480" w:header="0" w:footer="521" w:gutter="0"/>
          <w:cols w:space="720"/>
        </w:sectPr>
      </w:pPr>
      <w:bookmarkStart w:id="119" w:name="_bookmark140"/>
      <w:bookmarkEnd w:id="119"/>
    </w:p>
    <w:p w14:paraId="1C34E88A" w14:textId="4A50DC8A" w:rsidR="004C558F" w:rsidRDefault="00461887">
      <w:pPr>
        <w:pStyle w:val="BodyText"/>
        <w:spacing w:before="80" w:line="276" w:lineRule="auto"/>
        <w:ind w:left="960" w:right="1001" w:hanging="1"/>
      </w:pPr>
      <w:r>
        <w:lastRenderedPageBreak/>
        <w:t>DFCI had lower commercial prices for LINAC treatment than BIDMC and BWH and higher prices</w:t>
      </w:r>
      <w:r>
        <w:rPr>
          <w:spacing w:val="40"/>
        </w:rPr>
        <w:t xml:space="preserve"> </w:t>
      </w:r>
      <w:r>
        <w:t>for</w:t>
      </w:r>
      <w:r>
        <w:rPr>
          <w:spacing w:val="-2"/>
        </w:rPr>
        <w:t xml:space="preserve"> </w:t>
      </w:r>
      <w:r>
        <w:t>CT,</w:t>
      </w:r>
      <w:r>
        <w:rPr>
          <w:spacing w:val="-1"/>
        </w:rPr>
        <w:t xml:space="preserve"> </w:t>
      </w:r>
      <w:r>
        <w:t>PET,</w:t>
      </w:r>
      <w:r>
        <w:rPr>
          <w:spacing w:val="-3"/>
        </w:rPr>
        <w:t xml:space="preserve"> </w:t>
      </w:r>
      <w:r>
        <w:t>and CT</w:t>
      </w:r>
      <w:r>
        <w:rPr>
          <w:spacing w:val="-3"/>
        </w:rPr>
        <w:t xml:space="preserve"> </w:t>
      </w:r>
      <w:r>
        <w:t>simulator</w:t>
      </w:r>
      <w:r>
        <w:rPr>
          <w:spacing w:val="-2"/>
        </w:rPr>
        <w:t xml:space="preserve"> </w:t>
      </w:r>
      <w:r>
        <w:t>services.</w:t>
      </w:r>
      <w:r w:rsidR="00802BE6">
        <w:rPr>
          <w:rStyle w:val="FootnoteReference"/>
        </w:rPr>
        <w:footnoteReference w:id="119"/>
      </w:r>
      <w:r>
        <w:rPr>
          <w:spacing w:val="19"/>
          <w:position w:val="5"/>
          <w:sz w:val="14"/>
        </w:rPr>
        <w:t xml:space="preserve"> </w:t>
      </w:r>
      <w:r>
        <w:t>The</w:t>
      </w:r>
      <w:r>
        <w:rPr>
          <w:spacing w:val="-1"/>
        </w:rPr>
        <w:t xml:space="preserve"> </w:t>
      </w:r>
      <w:r>
        <w:t>ICA</w:t>
      </w:r>
      <w:r>
        <w:rPr>
          <w:spacing w:val="-4"/>
        </w:rPr>
        <w:t xml:space="preserve"> </w:t>
      </w:r>
      <w:r>
        <w:t>did not</w:t>
      </w:r>
      <w:r>
        <w:rPr>
          <w:spacing w:val="-2"/>
        </w:rPr>
        <w:t xml:space="preserve"> </w:t>
      </w:r>
      <w:r>
        <w:t>assess</w:t>
      </w:r>
      <w:r>
        <w:rPr>
          <w:spacing w:val="-1"/>
        </w:rPr>
        <w:t xml:space="preserve"> </w:t>
      </w:r>
      <w:r>
        <w:t>other</w:t>
      </w:r>
      <w:r>
        <w:rPr>
          <w:spacing w:val="-2"/>
        </w:rPr>
        <w:t xml:space="preserve"> </w:t>
      </w:r>
      <w:r>
        <w:t>outpatient</w:t>
      </w:r>
      <w:r>
        <w:rPr>
          <w:spacing w:val="-4"/>
        </w:rPr>
        <w:t xml:space="preserve"> </w:t>
      </w:r>
      <w:r>
        <w:t>prices,</w:t>
      </w:r>
      <w:r>
        <w:rPr>
          <w:spacing w:val="-1"/>
        </w:rPr>
        <w:t xml:space="preserve"> </w:t>
      </w:r>
      <w:r>
        <w:t>including prices for infusion administration, oncologic drugs, mammography, or laboratory services.</w:t>
      </w:r>
    </w:p>
    <w:p w14:paraId="1C34E88B" w14:textId="77777777" w:rsidR="004C558F" w:rsidRDefault="004C558F">
      <w:pPr>
        <w:pStyle w:val="BodyText"/>
        <w:spacing w:before="194"/>
      </w:pPr>
    </w:p>
    <w:p w14:paraId="1C34E88C" w14:textId="77777777" w:rsidR="004C558F" w:rsidRDefault="00461887">
      <w:pPr>
        <w:pStyle w:val="Heading3"/>
        <w:numPr>
          <w:ilvl w:val="2"/>
          <w:numId w:val="16"/>
        </w:numPr>
        <w:tabs>
          <w:tab w:val="left" w:pos="958"/>
          <w:tab w:val="left" w:pos="960"/>
        </w:tabs>
        <w:spacing w:before="1" w:line="242" w:lineRule="auto"/>
        <w:ind w:left="960" w:right="1398" w:hanging="361"/>
        <w:rPr>
          <w:color w:val="042339"/>
        </w:rPr>
      </w:pPr>
      <w:bookmarkStart w:id="120" w:name="5._At_current_prices,_commercial_inpatie"/>
      <w:bookmarkStart w:id="121" w:name="_bookmark141"/>
      <w:bookmarkEnd w:id="120"/>
      <w:bookmarkEnd w:id="121"/>
      <w:r>
        <w:rPr>
          <w:color w:val="042339"/>
        </w:rPr>
        <w:t>At</w:t>
      </w:r>
      <w:r>
        <w:rPr>
          <w:color w:val="042339"/>
          <w:spacing w:val="-4"/>
        </w:rPr>
        <w:t xml:space="preserve"> </w:t>
      </w:r>
      <w:r>
        <w:rPr>
          <w:color w:val="042339"/>
        </w:rPr>
        <w:t>current</w:t>
      </w:r>
      <w:r>
        <w:rPr>
          <w:color w:val="042339"/>
          <w:spacing w:val="-4"/>
        </w:rPr>
        <w:t xml:space="preserve"> </w:t>
      </w:r>
      <w:r>
        <w:rPr>
          <w:color w:val="042339"/>
        </w:rPr>
        <w:t>prices,</w:t>
      </w:r>
      <w:r>
        <w:rPr>
          <w:color w:val="042339"/>
          <w:spacing w:val="-5"/>
        </w:rPr>
        <w:t xml:space="preserve"> </w:t>
      </w:r>
      <w:r>
        <w:rPr>
          <w:color w:val="042339"/>
        </w:rPr>
        <w:t>commercial</w:t>
      </w:r>
      <w:r>
        <w:rPr>
          <w:color w:val="042339"/>
          <w:spacing w:val="-4"/>
        </w:rPr>
        <w:t xml:space="preserve"> </w:t>
      </w:r>
      <w:r>
        <w:rPr>
          <w:color w:val="042339"/>
        </w:rPr>
        <w:t>inpatient</w:t>
      </w:r>
      <w:r>
        <w:rPr>
          <w:color w:val="042339"/>
          <w:spacing w:val="-4"/>
        </w:rPr>
        <w:t xml:space="preserve"> </w:t>
      </w:r>
      <w:r>
        <w:rPr>
          <w:color w:val="042339"/>
        </w:rPr>
        <w:t>spending</w:t>
      </w:r>
      <w:r>
        <w:rPr>
          <w:color w:val="042339"/>
          <w:spacing w:val="-5"/>
        </w:rPr>
        <w:t xml:space="preserve"> </w:t>
      </w:r>
      <w:r>
        <w:rPr>
          <w:color w:val="042339"/>
        </w:rPr>
        <w:t>may</w:t>
      </w:r>
      <w:r>
        <w:rPr>
          <w:color w:val="042339"/>
          <w:spacing w:val="-2"/>
        </w:rPr>
        <w:t xml:space="preserve"> </w:t>
      </w:r>
      <w:r>
        <w:rPr>
          <w:color w:val="042339"/>
        </w:rPr>
        <w:t>decline</w:t>
      </w:r>
      <w:r>
        <w:rPr>
          <w:color w:val="042339"/>
          <w:spacing w:val="-4"/>
        </w:rPr>
        <w:t xml:space="preserve"> </w:t>
      </w:r>
      <w:r>
        <w:rPr>
          <w:color w:val="042339"/>
        </w:rPr>
        <w:t>as</w:t>
      </w:r>
      <w:r>
        <w:rPr>
          <w:color w:val="042339"/>
          <w:spacing w:val="-2"/>
        </w:rPr>
        <w:t xml:space="preserve"> </w:t>
      </w:r>
      <w:r>
        <w:rPr>
          <w:color w:val="042339"/>
        </w:rPr>
        <w:t>care</w:t>
      </w:r>
      <w:r>
        <w:rPr>
          <w:color w:val="042339"/>
          <w:spacing w:val="-4"/>
        </w:rPr>
        <w:t xml:space="preserve"> </w:t>
      </w:r>
      <w:r>
        <w:rPr>
          <w:color w:val="042339"/>
        </w:rPr>
        <w:t>shifts</w:t>
      </w:r>
      <w:r>
        <w:rPr>
          <w:color w:val="042339"/>
          <w:spacing w:val="-5"/>
        </w:rPr>
        <w:t xml:space="preserve"> </w:t>
      </w:r>
      <w:r>
        <w:rPr>
          <w:color w:val="042339"/>
        </w:rPr>
        <w:t>to DFCI and BIDMC, although backfill at BWH would increase spending.</w:t>
      </w:r>
    </w:p>
    <w:p w14:paraId="1C34E88D" w14:textId="77777777" w:rsidR="004C558F" w:rsidRDefault="004C558F">
      <w:pPr>
        <w:pStyle w:val="BodyText"/>
        <w:spacing w:before="67"/>
        <w:rPr>
          <w:rFonts w:ascii="Franklin Gothic Medium"/>
          <w:sz w:val="26"/>
        </w:rPr>
      </w:pPr>
    </w:p>
    <w:p w14:paraId="1C34E88E" w14:textId="6BB78A80" w:rsidR="004C558F" w:rsidRDefault="00461887">
      <w:pPr>
        <w:pStyle w:val="BodyText"/>
        <w:spacing w:before="1" w:line="276" w:lineRule="auto"/>
        <w:ind w:left="959" w:right="1024" w:firstLine="720"/>
      </w:pPr>
      <w:r>
        <w:t>DFCI</w:t>
      </w:r>
      <w:r>
        <w:rPr>
          <w:spacing w:val="-5"/>
        </w:rPr>
        <w:t xml:space="preserve"> </w:t>
      </w:r>
      <w:r>
        <w:t>has</w:t>
      </w:r>
      <w:r>
        <w:rPr>
          <w:spacing w:val="-2"/>
        </w:rPr>
        <w:t xml:space="preserve"> </w:t>
      </w:r>
      <w:r>
        <w:t>proposed</w:t>
      </w:r>
      <w:r>
        <w:rPr>
          <w:spacing w:val="-1"/>
        </w:rPr>
        <w:t xml:space="preserve"> </w:t>
      </w:r>
      <w:r>
        <w:t>a</w:t>
      </w:r>
      <w:r>
        <w:rPr>
          <w:spacing w:val="-4"/>
        </w:rPr>
        <w:t xml:space="preserve"> </w:t>
      </w:r>
      <w:r>
        <w:t>new</w:t>
      </w:r>
      <w:r>
        <w:rPr>
          <w:spacing w:val="-5"/>
        </w:rPr>
        <w:t xml:space="preserve"> </w:t>
      </w:r>
      <w:r>
        <w:t>facility</w:t>
      </w:r>
      <w:r>
        <w:rPr>
          <w:spacing w:val="-3"/>
        </w:rPr>
        <w:t xml:space="preserve"> </w:t>
      </w:r>
      <w:r>
        <w:t>that</w:t>
      </w:r>
      <w:r>
        <w:rPr>
          <w:spacing w:val="-3"/>
        </w:rPr>
        <w:t xml:space="preserve"> </w:t>
      </w:r>
      <w:r>
        <w:t>would</w:t>
      </w:r>
      <w:r>
        <w:rPr>
          <w:spacing w:val="-1"/>
        </w:rPr>
        <w:t xml:space="preserve"> </w:t>
      </w:r>
      <w:r>
        <w:t>include</w:t>
      </w:r>
      <w:r>
        <w:rPr>
          <w:spacing w:val="-4"/>
        </w:rPr>
        <w:t xml:space="preserve"> </w:t>
      </w:r>
      <w:r>
        <w:t>300</w:t>
      </w:r>
      <w:r>
        <w:rPr>
          <w:spacing w:val="-2"/>
        </w:rPr>
        <w:t xml:space="preserve"> </w:t>
      </w:r>
      <w:r>
        <w:t>inpatient</w:t>
      </w:r>
      <w:r>
        <w:rPr>
          <w:spacing w:val="-3"/>
        </w:rPr>
        <w:t xml:space="preserve"> </w:t>
      </w:r>
      <w:r>
        <w:t>medical</w:t>
      </w:r>
      <w:r>
        <w:rPr>
          <w:spacing w:val="-3"/>
        </w:rPr>
        <w:t xml:space="preserve"> </w:t>
      </w:r>
      <w:r>
        <w:t>oncology</w:t>
      </w:r>
      <w:r>
        <w:rPr>
          <w:spacing w:val="-3"/>
        </w:rPr>
        <w:t xml:space="preserve"> </w:t>
      </w:r>
      <w:r>
        <w:t xml:space="preserve">beds, which DFCI expects would have </w:t>
      </w:r>
      <w:proofErr w:type="gramStart"/>
      <w:r>
        <w:t>average</w:t>
      </w:r>
      <w:proofErr w:type="gramEnd"/>
      <w:r>
        <w:t xml:space="preserve"> occupancy of 95%.</w:t>
      </w:r>
      <w:r w:rsidR="002E58C8">
        <w:rPr>
          <w:rStyle w:val="FootnoteReference"/>
        </w:rPr>
        <w:footnoteReference w:id="120"/>
      </w:r>
      <w:r>
        <w:rPr>
          <w:spacing w:val="33"/>
          <w:position w:val="5"/>
          <w:sz w:val="14"/>
        </w:rPr>
        <w:t xml:space="preserve"> </w:t>
      </w:r>
      <w:r>
        <w:t xml:space="preserve">BIDMC would stop providing medical oncology services and HMFP medical oncologists would become DFCI medical oncologists under the transaction, and the parties anticipate that most of BIDMC’s medical oncology discharges would likely transition to the new DFCI facility. The parties also expect that most BWH medical oncology discharges </w:t>
      </w:r>
      <w:proofErr w:type="gramStart"/>
      <w:r>
        <w:t>would</w:t>
      </w:r>
      <w:proofErr w:type="gramEnd"/>
      <w:r>
        <w:t xml:space="preserve"> transition to DFCI’s new facility, following their DFCI medical oncologist, although given MGB’s stated intention to continue medical oncology at BWH it is not clear to what extent BWH would lose discharges </w:t>
      </w:r>
      <w:proofErr w:type="gramStart"/>
      <w:r>
        <w:t>as a result of</w:t>
      </w:r>
      <w:proofErr w:type="gramEnd"/>
      <w:r>
        <w:t xml:space="preserve"> the proposed transaction.</w:t>
      </w:r>
      <w:r>
        <w:rPr>
          <w:spacing w:val="40"/>
        </w:rPr>
        <w:t xml:space="preserve"> </w:t>
      </w:r>
      <w:r>
        <w:t>Research literature cited by DFCI and in the ICA support the proposition that patient relationships with their medical oncologist frequently determine how and where patients receive oncology care. However, by the time the new DFCI facility opens, many new oncology patients will have been diagnosed while other current patients will no longer need inpatient care. Current patient</w:t>
      </w:r>
      <w:r>
        <w:rPr>
          <w:spacing w:val="-1"/>
        </w:rPr>
        <w:t xml:space="preserve"> </w:t>
      </w:r>
      <w:r>
        <w:t>relationships with</w:t>
      </w:r>
      <w:r>
        <w:rPr>
          <w:spacing w:val="-2"/>
        </w:rPr>
        <w:t xml:space="preserve"> </w:t>
      </w:r>
      <w:r>
        <w:t>medical</w:t>
      </w:r>
      <w:r>
        <w:rPr>
          <w:spacing w:val="-1"/>
        </w:rPr>
        <w:t xml:space="preserve"> </w:t>
      </w:r>
      <w:r>
        <w:t>oncologists</w:t>
      </w:r>
      <w:r>
        <w:rPr>
          <w:spacing w:val="-2"/>
        </w:rPr>
        <w:t xml:space="preserve"> </w:t>
      </w:r>
      <w:r>
        <w:t>will</w:t>
      </w:r>
      <w:r>
        <w:rPr>
          <w:spacing w:val="-1"/>
        </w:rPr>
        <w:t xml:space="preserve"> </w:t>
      </w:r>
      <w:r>
        <w:t>therefore</w:t>
      </w:r>
      <w:r>
        <w:rPr>
          <w:spacing w:val="-2"/>
        </w:rPr>
        <w:t xml:space="preserve"> </w:t>
      </w:r>
      <w:r>
        <w:t>not</w:t>
      </w:r>
      <w:r>
        <w:rPr>
          <w:spacing w:val="-1"/>
        </w:rPr>
        <w:t xml:space="preserve"> </w:t>
      </w:r>
      <w:r>
        <w:t>necessarily</w:t>
      </w:r>
      <w:r>
        <w:rPr>
          <w:spacing w:val="-1"/>
        </w:rPr>
        <w:t xml:space="preserve"> </w:t>
      </w:r>
      <w:r>
        <w:t>fully</w:t>
      </w:r>
      <w:r>
        <w:rPr>
          <w:spacing w:val="-1"/>
        </w:rPr>
        <w:t xml:space="preserve"> </w:t>
      </w:r>
      <w:r>
        <w:t>determine where future patients receive inpatient care.</w:t>
      </w:r>
    </w:p>
    <w:p w14:paraId="1C34E88F" w14:textId="77777777" w:rsidR="004C558F" w:rsidRDefault="004C558F">
      <w:pPr>
        <w:pStyle w:val="BodyText"/>
        <w:spacing w:before="37"/>
      </w:pPr>
    </w:p>
    <w:p w14:paraId="1C34E890" w14:textId="1B14BBEB" w:rsidR="004C558F" w:rsidRDefault="00461887">
      <w:pPr>
        <w:pStyle w:val="BodyText"/>
        <w:spacing w:line="276" w:lineRule="auto"/>
        <w:ind w:left="959" w:right="1017" w:firstLine="720"/>
        <w:rPr>
          <w:sz w:val="14"/>
        </w:rPr>
      </w:pPr>
      <w:r>
        <w:t>The HPC modeled potential shifts in inpatient care under several scenarios to assess where patients of the proposed DFCI facility would be likely to come from if DFCI achieves its expected utilization.</w:t>
      </w:r>
      <w:r>
        <w:rPr>
          <w:spacing w:val="-1"/>
        </w:rPr>
        <w:t xml:space="preserve"> </w:t>
      </w:r>
      <w:r>
        <w:t>In</w:t>
      </w:r>
      <w:r>
        <w:rPr>
          <w:spacing w:val="-1"/>
        </w:rPr>
        <w:t xml:space="preserve"> </w:t>
      </w:r>
      <w:r>
        <w:t>one</w:t>
      </w:r>
      <w:r>
        <w:rPr>
          <w:spacing w:val="-1"/>
        </w:rPr>
        <w:t xml:space="preserve"> </w:t>
      </w:r>
      <w:r>
        <w:t>scenario,</w:t>
      </w:r>
      <w:r>
        <w:rPr>
          <w:spacing w:val="-4"/>
        </w:rPr>
        <w:t xml:space="preserve"> </w:t>
      </w:r>
      <w:r>
        <w:t>the</w:t>
      </w:r>
      <w:r>
        <w:rPr>
          <w:spacing w:val="-1"/>
        </w:rPr>
        <w:t xml:space="preserve"> </w:t>
      </w:r>
      <w:r>
        <w:t>“party</w:t>
      </w:r>
      <w:r>
        <w:rPr>
          <w:spacing w:val="-2"/>
        </w:rPr>
        <w:t xml:space="preserve"> </w:t>
      </w:r>
      <w:r>
        <w:t>scenario”</w:t>
      </w:r>
      <w:r>
        <w:rPr>
          <w:spacing w:val="-3"/>
        </w:rPr>
        <w:t xml:space="preserve"> </w:t>
      </w:r>
      <w:r>
        <w:t>mirroring</w:t>
      </w:r>
      <w:r>
        <w:rPr>
          <w:spacing w:val="-2"/>
        </w:rPr>
        <w:t xml:space="preserve"> </w:t>
      </w:r>
      <w:r>
        <w:t>DFCI’s</w:t>
      </w:r>
      <w:r>
        <w:rPr>
          <w:spacing w:val="-3"/>
        </w:rPr>
        <w:t xml:space="preserve"> </w:t>
      </w:r>
      <w:r>
        <w:t>expectations</w:t>
      </w:r>
      <w:r>
        <w:rPr>
          <w:spacing w:val="-1"/>
        </w:rPr>
        <w:t xml:space="preserve"> </w:t>
      </w:r>
      <w:r>
        <w:t>in</w:t>
      </w:r>
      <w:r>
        <w:rPr>
          <w:spacing w:val="-1"/>
        </w:rPr>
        <w:t xml:space="preserve"> </w:t>
      </w:r>
      <w:r>
        <w:t>its</w:t>
      </w:r>
      <w:r>
        <w:rPr>
          <w:spacing w:val="-1"/>
        </w:rPr>
        <w:t xml:space="preserve"> </w:t>
      </w:r>
      <w:proofErr w:type="spellStart"/>
      <w:r>
        <w:t>DoN</w:t>
      </w:r>
      <w:proofErr w:type="spellEnd"/>
      <w:r>
        <w:t xml:space="preserve"> application,</w:t>
      </w:r>
      <w:r>
        <w:rPr>
          <w:spacing w:val="-2"/>
        </w:rPr>
        <w:t xml:space="preserve"> </w:t>
      </w:r>
      <w:r>
        <w:t>we</w:t>
      </w:r>
      <w:r>
        <w:rPr>
          <w:spacing w:val="-4"/>
        </w:rPr>
        <w:t xml:space="preserve"> </w:t>
      </w:r>
      <w:r>
        <w:t>first</w:t>
      </w:r>
      <w:r>
        <w:rPr>
          <w:spacing w:val="-5"/>
        </w:rPr>
        <w:t xml:space="preserve"> </w:t>
      </w:r>
      <w:r>
        <w:t>assumed</w:t>
      </w:r>
      <w:r>
        <w:rPr>
          <w:spacing w:val="-1"/>
        </w:rPr>
        <w:t xml:space="preserve"> </w:t>
      </w:r>
      <w:r>
        <w:t>that</w:t>
      </w:r>
      <w:r>
        <w:rPr>
          <w:spacing w:val="-5"/>
        </w:rPr>
        <w:t xml:space="preserve"> </w:t>
      </w:r>
      <w:r>
        <w:t>all</w:t>
      </w:r>
      <w:r>
        <w:rPr>
          <w:spacing w:val="-3"/>
        </w:rPr>
        <w:t xml:space="preserve"> </w:t>
      </w:r>
      <w:r>
        <w:t>current</w:t>
      </w:r>
      <w:r>
        <w:rPr>
          <w:spacing w:val="-5"/>
        </w:rPr>
        <w:t xml:space="preserve"> </w:t>
      </w:r>
      <w:r>
        <w:t>medical</w:t>
      </w:r>
      <w:r>
        <w:rPr>
          <w:spacing w:val="-3"/>
        </w:rPr>
        <w:t xml:space="preserve"> </w:t>
      </w:r>
      <w:r>
        <w:t>oncology</w:t>
      </w:r>
      <w:r>
        <w:rPr>
          <w:spacing w:val="-5"/>
        </w:rPr>
        <w:t xml:space="preserve"> </w:t>
      </w:r>
      <w:r>
        <w:t>discharges</w:t>
      </w:r>
      <w:r>
        <w:rPr>
          <w:spacing w:val="-4"/>
        </w:rPr>
        <w:t xml:space="preserve"> </w:t>
      </w:r>
      <w:r>
        <w:t>from</w:t>
      </w:r>
      <w:r>
        <w:rPr>
          <w:spacing w:val="-2"/>
        </w:rPr>
        <w:t xml:space="preserve"> </w:t>
      </w:r>
      <w:r>
        <w:t>DFCI,</w:t>
      </w:r>
      <w:r>
        <w:rPr>
          <w:spacing w:val="-2"/>
        </w:rPr>
        <w:t xml:space="preserve"> </w:t>
      </w:r>
      <w:r>
        <w:t>BIDMC,</w:t>
      </w:r>
      <w:r>
        <w:rPr>
          <w:spacing w:val="-2"/>
        </w:rPr>
        <w:t xml:space="preserve"> </w:t>
      </w:r>
      <w:r>
        <w:t>and BWH would shift to the new DFCI facility, and then predicted the origin of the remaining discharges using an econometric model based on the characteristics of oncology patients that have historically used each hospital.</w:t>
      </w:r>
      <w:r w:rsidR="00432392">
        <w:rPr>
          <w:rStyle w:val="FootnoteReference"/>
        </w:rPr>
        <w:footnoteReference w:id="121"/>
      </w:r>
      <w:r>
        <w:rPr>
          <w:spacing w:val="32"/>
          <w:position w:val="5"/>
          <w:sz w:val="14"/>
        </w:rPr>
        <w:t xml:space="preserve"> </w:t>
      </w:r>
      <w:r>
        <w:t>In the second “model-driven scenario,” we assumed all current DFCI and BIDMC discharges would shift to the new facility, then used the econometric patient choice model to predict the origin of all other discharges. We then combined these projected shifts with oncology-specific hospital prices and adjusted for the case mix of shifting discharges to estimate the spending impacts of predicted inpatient shifts.</w:t>
      </w:r>
      <w:r>
        <w:rPr>
          <w:spacing w:val="-32"/>
        </w:rPr>
        <w:t xml:space="preserve"> </w:t>
      </w:r>
      <w:r w:rsidR="00432392">
        <w:rPr>
          <w:rStyle w:val="FootnoteReference"/>
          <w:spacing w:val="-32"/>
        </w:rPr>
        <w:footnoteReference w:id="122"/>
      </w:r>
    </w:p>
    <w:p w14:paraId="1C34E897" w14:textId="442AFA65" w:rsidR="004C558F" w:rsidRDefault="00461887">
      <w:pPr>
        <w:pStyle w:val="BodyText"/>
        <w:spacing w:before="88" w:line="276" w:lineRule="auto"/>
        <w:ind w:left="959" w:right="799" w:firstLine="720"/>
        <w:rPr>
          <w:sz w:val="14"/>
        </w:rPr>
      </w:pPr>
      <w:bookmarkStart w:id="122" w:name="_bookmark142"/>
      <w:bookmarkEnd w:id="122"/>
      <w:r>
        <w:lastRenderedPageBreak/>
        <w:t>We found that most discharges shifting to DFCI would come from hospitals with higher historic commercial prices than DFCI for medical oncology services, and therefore both models predict a decrease in annual commercial spending based on current prices.</w:t>
      </w:r>
      <w:r w:rsidR="004A4709">
        <w:rPr>
          <w:rStyle w:val="FootnoteReference"/>
        </w:rPr>
        <w:footnoteReference w:id="123"/>
      </w:r>
      <w:r>
        <w:rPr>
          <w:spacing w:val="30"/>
          <w:position w:val="5"/>
          <w:sz w:val="14"/>
        </w:rPr>
        <w:t xml:space="preserve"> </w:t>
      </w:r>
      <w:r>
        <w:t>Savings would be greater if more discharges originate from BWH, as in Scenario 1. The HPC estimates that the expected</w:t>
      </w:r>
      <w:r>
        <w:rPr>
          <w:spacing w:val="-2"/>
        </w:rPr>
        <w:t xml:space="preserve"> </w:t>
      </w:r>
      <w:r>
        <w:t>shift</w:t>
      </w:r>
      <w:r>
        <w:rPr>
          <w:spacing w:val="-5"/>
        </w:rPr>
        <w:t xml:space="preserve"> </w:t>
      </w:r>
      <w:r>
        <w:t>of</w:t>
      </w:r>
      <w:r>
        <w:rPr>
          <w:spacing w:val="-4"/>
        </w:rPr>
        <w:t xml:space="preserve"> </w:t>
      </w:r>
      <w:r>
        <w:t>approximately</w:t>
      </w:r>
      <w:r>
        <w:rPr>
          <w:spacing w:val="-3"/>
        </w:rPr>
        <w:t xml:space="preserve"> </w:t>
      </w:r>
      <w:r>
        <w:t>2,339</w:t>
      </w:r>
      <w:r>
        <w:rPr>
          <w:spacing w:val="-2"/>
        </w:rPr>
        <w:t xml:space="preserve"> </w:t>
      </w:r>
      <w:r>
        <w:t>to</w:t>
      </w:r>
      <w:r>
        <w:rPr>
          <w:spacing w:val="-2"/>
        </w:rPr>
        <w:t xml:space="preserve"> </w:t>
      </w:r>
      <w:r>
        <w:t>2,477</w:t>
      </w:r>
      <w:r>
        <w:rPr>
          <w:spacing w:val="-2"/>
        </w:rPr>
        <w:t xml:space="preserve"> </w:t>
      </w:r>
      <w:r>
        <w:t>commercial</w:t>
      </w:r>
      <w:r>
        <w:rPr>
          <w:spacing w:val="-5"/>
        </w:rPr>
        <w:t xml:space="preserve"> </w:t>
      </w:r>
      <w:r>
        <w:t>discharges</w:t>
      </w:r>
      <w:r>
        <w:rPr>
          <w:spacing w:val="-2"/>
        </w:rPr>
        <w:t xml:space="preserve"> </w:t>
      </w:r>
      <w:r>
        <w:t>each</w:t>
      </w:r>
      <w:r>
        <w:rPr>
          <w:spacing w:val="-2"/>
        </w:rPr>
        <w:t xml:space="preserve"> </w:t>
      </w:r>
      <w:r>
        <w:t>year</w:t>
      </w:r>
      <w:r>
        <w:rPr>
          <w:spacing w:val="-3"/>
        </w:rPr>
        <w:t xml:space="preserve"> </w:t>
      </w:r>
      <w:r>
        <w:t>would</w:t>
      </w:r>
      <w:r>
        <w:rPr>
          <w:spacing w:val="-4"/>
        </w:rPr>
        <w:t xml:space="preserve"> </w:t>
      </w:r>
      <w:r>
        <w:t>decrease commercial spending on inpatient care by $18.5 million to $23 million annually, adjusting for patient acuity.</w:t>
      </w:r>
      <w:r w:rsidR="004A4709">
        <w:rPr>
          <w:rStyle w:val="FootnoteReference"/>
        </w:rPr>
        <w:footnoteReference w:id="124"/>
      </w:r>
      <w:r w:rsidR="004A4709">
        <w:rPr>
          <w:sz w:val="14"/>
        </w:rPr>
        <w:t xml:space="preserve"> </w:t>
      </w:r>
    </w:p>
    <w:p w14:paraId="1C34E898" w14:textId="77777777" w:rsidR="004C558F" w:rsidRDefault="004C558F">
      <w:pPr>
        <w:pStyle w:val="BodyText"/>
        <w:spacing w:before="37"/>
      </w:pPr>
    </w:p>
    <w:p w14:paraId="1C34E899" w14:textId="77777777" w:rsidR="004C558F" w:rsidRDefault="00461887">
      <w:pPr>
        <w:pStyle w:val="BodyText"/>
        <w:spacing w:after="36"/>
        <w:ind w:right="4"/>
        <w:jc w:val="center"/>
      </w:pPr>
      <w:r>
        <w:t>Figure</w:t>
      </w:r>
      <w:r>
        <w:rPr>
          <w:spacing w:val="-6"/>
        </w:rPr>
        <w:t xml:space="preserve"> </w:t>
      </w:r>
      <w:r>
        <w:t>III.A.9:</w:t>
      </w:r>
      <w:r>
        <w:rPr>
          <w:spacing w:val="-3"/>
        </w:rPr>
        <w:t xml:space="preserve"> </w:t>
      </w:r>
      <w:r>
        <w:t>Commercial</w:t>
      </w:r>
      <w:r>
        <w:rPr>
          <w:spacing w:val="-6"/>
        </w:rPr>
        <w:t xml:space="preserve"> </w:t>
      </w:r>
      <w:r>
        <w:t>Spending</w:t>
      </w:r>
      <w:r>
        <w:rPr>
          <w:spacing w:val="-4"/>
        </w:rPr>
        <w:t xml:space="preserve"> </w:t>
      </w:r>
      <w:r>
        <w:t>Impacts</w:t>
      </w:r>
      <w:r>
        <w:rPr>
          <w:spacing w:val="-5"/>
        </w:rPr>
        <w:t xml:space="preserve"> </w:t>
      </w:r>
      <w:r>
        <w:t>of</w:t>
      </w:r>
      <w:r>
        <w:rPr>
          <w:spacing w:val="-2"/>
        </w:rPr>
        <w:t xml:space="preserve"> </w:t>
      </w:r>
      <w:r>
        <w:t>Inpatient</w:t>
      </w:r>
      <w:r>
        <w:rPr>
          <w:spacing w:val="-4"/>
        </w:rPr>
        <w:t xml:space="preserve"> </w:t>
      </w:r>
      <w:r>
        <w:t>Shifts</w:t>
      </w:r>
      <w:r>
        <w:rPr>
          <w:spacing w:val="-3"/>
        </w:rPr>
        <w:t xml:space="preserve"> </w:t>
      </w:r>
      <w:r>
        <w:t>to</w:t>
      </w:r>
      <w:r>
        <w:rPr>
          <w:spacing w:val="-5"/>
        </w:rPr>
        <w:t xml:space="preserve"> </w:t>
      </w:r>
      <w:r>
        <w:rPr>
          <w:spacing w:val="-4"/>
        </w:rPr>
        <w:t>DFCI</w:t>
      </w: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3026"/>
        <w:gridCol w:w="3434"/>
        <w:gridCol w:w="2618"/>
      </w:tblGrid>
      <w:tr w:rsidR="004C558F" w14:paraId="1C34E89D" w14:textId="77777777" w:rsidTr="00461887">
        <w:trPr>
          <w:cantSplit/>
          <w:trHeight w:val="299"/>
          <w:tblHeader/>
        </w:trPr>
        <w:tc>
          <w:tcPr>
            <w:tcW w:w="3026" w:type="dxa"/>
            <w:shd w:val="clear" w:color="auto" w:fill="084875"/>
          </w:tcPr>
          <w:p w14:paraId="1C34E89A" w14:textId="77777777" w:rsidR="004C558F" w:rsidRDefault="004C558F">
            <w:pPr>
              <w:pStyle w:val="TableParagraph"/>
              <w:spacing w:before="0"/>
              <w:jc w:val="left"/>
              <w:rPr>
                <w:rFonts w:ascii="Times New Roman"/>
                <w:sz w:val="20"/>
              </w:rPr>
            </w:pPr>
          </w:p>
        </w:tc>
        <w:tc>
          <w:tcPr>
            <w:tcW w:w="3434" w:type="dxa"/>
            <w:tcBorders>
              <w:bottom w:val="single" w:sz="12" w:space="0" w:color="084875"/>
            </w:tcBorders>
            <w:shd w:val="clear" w:color="auto" w:fill="084875"/>
          </w:tcPr>
          <w:p w14:paraId="1C34E89B" w14:textId="77777777" w:rsidR="004C558F" w:rsidRDefault="00461887">
            <w:pPr>
              <w:pStyle w:val="TableParagraph"/>
              <w:spacing w:before="14"/>
              <w:ind w:left="8"/>
              <w:jc w:val="center"/>
              <w:rPr>
                <w:rFonts w:ascii="Franklin Gothic Medium Cond"/>
              </w:rPr>
            </w:pPr>
            <w:r>
              <w:rPr>
                <w:rFonts w:ascii="Franklin Gothic Medium Cond"/>
                <w:color w:val="FFFFFF"/>
              </w:rPr>
              <w:t>Commercial</w:t>
            </w:r>
            <w:r>
              <w:rPr>
                <w:rFonts w:ascii="Franklin Gothic Medium Cond"/>
                <w:color w:val="FFFFFF"/>
                <w:spacing w:val="-7"/>
              </w:rPr>
              <w:t xml:space="preserve"> </w:t>
            </w:r>
            <w:r>
              <w:rPr>
                <w:rFonts w:ascii="Franklin Gothic Medium Cond"/>
                <w:color w:val="FFFFFF"/>
              </w:rPr>
              <w:t>discharges</w:t>
            </w:r>
            <w:r>
              <w:rPr>
                <w:rFonts w:ascii="Franklin Gothic Medium Cond"/>
                <w:color w:val="FFFFFF"/>
                <w:spacing w:val="-5"/>
              </w:rPr>
              <w:t xml:space="preserve"> </w:t>
            </w:r>
            <w:r>
              <w:rPr>
                <w:rFonts w:ascii="Franklin Gothic Medium Cond"/>
                <w:color w:val="FFFFFF"/>
              </w:rPr>
              <w:t>to</w:t>
            </w:r>
            <w:r>
              <w:rPr>
                <w:rFonts w:ascii="Franklin Gothic Medium Cond"/>
                <w:color w:val="FFFFFF"/>
                <w:spacing w:val="-5"/>
              </w:rPr>
              <w:t xml:space="preserve"> </w:t>
            </w:r>
            <w:r>
              <w:rPr>
                <w:rFonts w:ascii="Franklin Gothic Medium Cond"/>
                <w:color w:val="FFFFFF"/>
                <w:spacing w:val="-4"/>
              </w:rPr>
              <w:t>DFCI</w:t>
            </w:r>
          </w:p>
        </w:tc>
        <w:tc>
          <w:tcPr>
            <w:tcW w:w="2618" w:type="dxa"/>
            <w:tcBorders>
              <w:bottom w:val="single" w:sz="12" w:space="0" w:color="084875"/>
            </w:tcBorders>
            <w:shd w:val="clear" w:color="auto" w:fill="084875"/>
          </w:tcPr>
          <w:p w14:paraId="1C34E89C" w14:textId="77777777" w:rsidR="004C558F" w:rsidRDefault="00461887">
            <w:pPr>
              <w:pStyle w:val="TableParagraph"/>
              <w:spacing w:before="14"/>
              <w:ind w:left="16"/>
              <w:jc w:val="center"/>
              <w:rPr>
                <w:rFonts w:ascii="Franklin Gothic Medium Cond"/>
              </w:rPr>
            </w:pPr>
            <w:r>
              <w:rPr>
                <w:rFonts w:ascii="Franklin Gothic Medium Cond"/>
                <w:color w:val="FFFFFF"/>
              </w:rPr>
              <w:t>Spending</w:t>
            </w:r>
            <w:r>
              <w:rPr>
                <w:rFonts w:ascii="Franklin Gothic Medium Cond"/>
                <w:color w:val="FFFFFF"/>
                <w:spacing w:val="-6"/>
              </w:rPr>
              <w:t xml:space="preserve"> </w:t>
            </w:r>
            <w:r>
              <w:rPr>
                <w:rFonts w:ascii="Franklin Gothic Medium Cond"/>
                <w:color w:val="FFFFFF"/>
                <w:spacing w:val="-2"/>
              </w:rPr>
              <w:t>impact</w:t>
            </w:r>
          </w:p>
        </w:tc>
      </w:tr>
      <w:tr w:rsidR="004C558F" w14:paraId="1C34E8A2" w14:textId="77777777" w:rsidTr="00461887">
        <w:trPr>
          <w:cantSplit/>
          <w:trHeight w:val="596"/>
        </w:trPr>
        <w:tc>
          <w:tcPr>
            <w:tcW w:w="3026" w:type="dxa"/>
            <w:shd w:val="clear" w:color="auto" w:fill="084875"/>
          </w:tcPr>
          <w:p w14:paraId="1C34E89E" w14:textId="77777777" w:rsidR="004C558F" w:rsidRDefault="00461887">
            <w:pPr>
              <w:pStyle w:val="TableParagraph"/>
              <w:spacing w:before="11"/>
              <w:ind w:left="115"/>
              <w:jc w:val="left"/>
              <w:rPr>
                <w:rFonts w:ascii="Franklin Gothic Medium Cond"/>
              </w:rPr>
            </w:pPr>
            <w:r>
              <w:rPr>
                <w:rFonts w:ascii="Franklin Gothic Medium Cond"/>
                <w:color w:val="FFFFFF"/>
              </w:rPr>
              <w:t>Scenario</w:t>
            </w:r>
            <w:r>
              <w:rPr>
                <w:rFonts w:ascii="Franklin Gothic Medium Cond"/>
                <w:color w:val="FFFFFF"/>
                <w:spacing w:val="-6"/>
              </w:rPr>
              <w:t xml:space="preserve"> </w:t>
            </w:r>
            <w:r>
              <w:rPr>
                <w:rFonts w:ascii="Franklin Gothic Medium Cond"/>
                <w:color w:val="FFFFFF"/>
                <w:spacing w:val="-10"/>
              </w:rPr>
              <w:t>1</w:t>
            </w:r>
          </w:p>
          <w:p w14:paraId="1C34E89F" w14:textId="77777777" w:rsidR="004C558F" w:rsidRDefault="00461887">
            <w:pPr>
              <w:pStyle w:val="TableParagraph"/>
              <w:spacing w:before="36"/>
              <w:ind w:left="115"/>
              <w:jc w:val="left"/>
              <w:rPr>
                <w:rFonts w:ascii="Franklin Gothic Medium Cond" w:hAnsi="Franklin Gothic Medium Cond"/>
              </w:rPr>
            </w:pPr>
            <w:r>
              <w:rPr>
                <w:rFonts w:ascii="Franklin Gothic Medium Cond" w:hAnsi="Franklin Gothic Medium Cond"/>
                <w:color w:val="FFFFFF"/>
              </w:rPr>
              <w:t>(“party</w:t>
            </w:r>
            <w:r>
              <w:rPr>
                <w:rFonts w:ascii="Franklin Gothic Medium Cond" w:hAnsi="Franklin Gothic Medium Cond"/>
                <w:color w:val="FFFFFF"/>
                <w:spacing w:val="-4"/>
              </w:rPr>
              <w:t xml:space="preserve"> </w:t>
            </w:r>
            <w:r>
              <w:rPr>
                <w:rFonts w:ascii="Franklin Gothic Medium Cond" w:hAnsi="Franklin Gothic Medium Cond"/>
                <w:color w:val="FFFFFF"/>
                <w:spacing w:val="-2"/>
              </w:rPr>
              <w:t>scenario”)</w:t>
            </w:r>
          </w:p>
        </w:tc>
        <w:tc>
          <w:tcPr>
            <w:tcW w:w="3434" w:type="dxa"/>
            <w:tcBorders>
              <w:top w:val="single" w:sz="12" w:space="0" w:color="084875"/>
            </w:tcBorders>
          </w:tcPr>
          <w:p w14:paraId="1C34E8A0" w14:textId="77777777" w:rsidR="004C558F" w:rsidRDefault="00461887">
            <w:pPr>
              <w:pStyle w:val="TableParagraph"/>
              <w:spacing w:before="13"/>
              <w:ind w:left="8" w:right="3"/>
              <w:jc w:val="center"/>
              <w:rPr>
                <w:sz w:val="20"/>
              </w:rPr>
            </w:pPr>
            <w:r>
              <w:rPr>
                <w:spacing w:val="-2"/>
                <w:sz w:val="20"/>
              </w:rPr>
              <w:t>2,339</w:t>
            </w:r>
          </w:p>
        </w:tc>
        <w:tc>
          <w:tcPr>
            <w:tcW w:w="2618" w:type="dxa"/>
            <w:tcBorders>
              <w:top w:val="single" w:sz="12" w:space="0" w:color="084875"/>
            </w:tcBorders>
          </w:tcPr>
          <w:p w14:paraId="1C34E8A1" w14:textId="77777777" w:rsidR="004C558F" w:rsidRDefault="00461887">
            <w:pPr>
              <w:pStyle w:val="TableParagraph"/>
              <w:spacing w:before="13"/>
              <w:ind w:left="16" w:right="6"/>
              <w:jc w:val="center"/>
              <w:rPr>
                <w:sz w:val="20"/>
              </w:rPr>
            </w:pPr>
            <w:r>
              <w:rPr>
                <w:sz w:val="20"/>
              </w:rPr>
              <w:t>($23</w:t>
            </w:r>
            <w:r>
              <w:rPr>
                <w:spacing w:val="-5"/>
                <w:sz w:val="20"/>
              </w:rPr>
              <w:t xml:space="preserve"> </w:t>
            </w:r>
            <w:r>
              <w:rPr>
                <w:spacing w:val="-2"/>
                <w:sz w:val="20"/>
              </w:rPr>
              <w:t>million)</w:t>
            </w:r>
          </w:p>
        </w:tc>
      </w:tr>
      <w:tr w:rsidR="004C558F" w14:paraId="1C34E8A7" w14:textId="77777777" w:rsidTr="00461887">
        <w:trPr>
          <w:cantSplit/>
          <w:trHeight w:val="602"/>
        </w:trPr>
        <w:tc>
          <w:tcPr>
            <w:tcW w:w="3026" w:type="dxa"/>
            <w:shd w:val="clear" w:color="auto" w:fill="084875"/>
          </w:tcPr>
          <w:p w14:paraId="1C34E8A3" w14:textId="77777777" w:rsidR="004C558F" w:rsidRDefault="00461887">
            <w:pPr>
              <w:pStyle w:val="TableParagraph"/>
              <w:spacing w:before="14"/>
              <w:ind w:left="115"/>
              <w:jc w:val="left"/>
              <w:rPr>
                <w:rFonts w:ascii="Franklin Gothic Medium Cond"/>
              </w:rPr>
            </w:pPr>
            <w:r>
              <w:rPr>
                <w:rFonts w:ascii="Franklin Gothic Medium Cond"/>
                <w:color w:val="FFFFFF"/>
              </w:rPr>
              <w:t>Scenario</w:t>
            </w:r>
            <w:r>
              <w:rPr>
                <w:rFonts w:ascii="Franklin Gothic Medium Cond"/>
                <w:color w:val="FFFFFF"/>
                <w:spacing w:val="-6"/>
              </w:rPr>
              <w:t xml:space="preserve"> </w:t>
            </w:r>
            <w:r>
              <w:rPr>
                <w:rFonts w:ascii="Franklin Gothic Medium Cond"/>
                <w:color w:val="FFFFFF"/>
                <w:spacing w:val="-10"/>
              </w:rPr>
              <w:t>2</w:t>
            </w:r>
          </w:p>
          <w:p w14:paraId="1C34E8A4" w14:textId="77777777" w:rsidR="004C558F" w:rsidRDefault="00461887">
            <w:pPr>
              <w:pStyle w:val="TableParagraph"/>
              <w:spacing w:before="38"/>
              <w:ind w:left="115"/>
              <w:jc w:val="left"/>
              <w:rPr>
                <w:rFonts w:ascii="Franklin Gothic Medium Cond" w:hAnsi="Franklin Gothic Medium Cond"/>
              </w:rPr>
            </w:pPr>
            <w:r>
              <w:rPr>
                <w:rFonts w:ascii="Franklin Gothic Medium Cond" w:hAnsi="Franklin Gothic Medium Cond"/>
                <w:color w:val="FFFFFF"/>
              </w:rPr>
              <w:t>(“model-driven</w:t>
            </w:r>
            <w:r>
              <w:rPr>
                <w:rFonts w:ascii="Franklin Gothic Medium Cond" w:hAnsi="Franklin Gothic Medium Cond"/>
                <w:color w:val="FFFFFF"/>
                <w:spacing w:val="-7"/>
              </w:rPr>
              <w:t xml:space="preserve"> </w:t>
            </w:r>
            <w:r>
              <w:rPr>
                <w:rFonts w:ascii="Franklin Gothic Medium Cond" w:hAnsi="Franklin Gothic Medium Cond"/>
                <w:color w:val="FFFFFF"/>
                <w:spacing w:val="-2"/>
              </w:rPr>
              <w:t>scenario”)</w:t>
            </w:r>
          </w:p>
        </w:tc>
        <w:tc>
          <w:tcPr>
            <w:tcW w:w="3434" w:type="dxa"/>
          </w:tcPr>
          <w:p w14:paraId="1C34E8A5" w14:textId="77777777" w:rsidR="004C558F" w:rsidRDefault="00461887">
            <w:pPr>
              <w:pStyle w:val="TableParagraph"/>
              <w:spacing w:before="15"/>
              <w:ind w:left="8" w:right="3"/>
              <w:jc w:val="center"/>
              <w:rPr>
                <w:sz w:val="20"/>
              </w:rPr>
            </w:pPr>
            <w:r>
              <w:rPr>
                <w:spacing w:val="-2"/>
                <w:sz w:val="20"/>
              </w:rPr>
              <w:t>2,477</w:t>
            </w:r>
          </w:p>
        </w:tc>
        <w:tc>
          <w:tcPr>
            <w:tcW w:w="2618" w:type="dxa"/>
          </w:tcPr>
          <w:p w14:paraId="1C34E8A6" w14:textId="77777777" w:rsidR="004C558F" w:rsidRDefault="00461887">
            <w:pPr>
              <w:pStyle w:val="TableParagraph"/>
              <w:spacing w:before="15"/>
              <w:ind w:left="16" w:right="6"/>
              <w:jc w:val="center"/>
              <w:rPr>
                <w:sz w:val="20"/>
              </w:rPr>
            </w:pPr>
            <w:r>
              <w:rPr>
                <w:sz w:val="20"/>
              </w:rPr>
              <w:t>($18.5</w:t>
            </w:r>
            <w:r>
              <w:rPr>
                <w:spacing w:val="-6"/>
                <w:sz w:val="20"/>
              </w:rPr>
              <w:t xml:space="preserve"> </w:t>
            </w:r>
            <w:r>
              <w:rPr>
                <w:spacing w:val="-2"/>
                <w:sz w:val="20"/>
              </w:rPr>
              <w:t>million)</w:t>
            </w:r>
          </w:p>
        </w:tc>
      </w:tr>
    </w:tbl>
    <w:p w14:paraId="1C34E8A8" w14:textId="77777777" w:rsidR="004C558F" w:rsidRDefault="004C558F">
      <w:pPr>
        <w:pStyle w:val="BodyText"/>
        <w:spacing w:before="39"/>
      </w:pPr>
    </w:p>
    <w:p w14:paraId="1C34E8A9" w14:textId="77777777" w:rsidR="004C558F" w:rsidRDefault="00461887">
      <w:pPr>
        <w:pStyle w:val="BodyText"/>
        <w:spacing w:line="276" w:lineRule="auto"/>
        <w:ind w:left="959" w:right="975" w:firstLine="720"/>
      </w:pPr>
      <w:r>
        <w:t>As</w:t>
      </w:r>
      <w:r>
        <w:rPr>
          <w:spacing w:val="-2"/>
        </w:rPr>
        <w:t xml:space="preserve"> </w:t>
      </w:r>
      <w:r>
        <w:t>medical</w:t>
      </w:r>
      <w:r>
        <w:rPr>
          <w:spacing w:val="-3"/>
        </w:rPr>
        <w:t xml:space="preserve"> </w:t>
      </w:r>
      <w:r>
        <w:t>oncology</w:t>
      </w:r>
      <w:r>
        <w:rPr>
          <w:spacing w:val="-5"/>
        </w:rPr>
        <w:t xml:space="preserve"> </w:t>
      </w:r>
      <w:r>
        <w:t>discharges</w:t>
      </w:r>
      <w:r>
        <w:rPr>
          <w:spacing w:val="-4"/>
        </w:rPr>
        <w:t xml:space="preserve"> </w:t>
      </w:r>
      <w:r>
        <w:t>shift</w:t>
      </w:r>
      <w:r>
        <w:rPr>
          <w:spacing w:val="-3"/>
        </w:rPr>
        <w:t xml:space="preserve"> </w:t>
      </w:r>
      <w:r>
        <w:t>to</w:t>
      </w:r>
      <w:r>
        <w:rPr>
          <w:spacing w:val="-2"/>
        </w:rPr>
        <w:t xml:space="preserve"> </w:t>
      </w:r>
      <w:r>
        <w:t>DFCI,</w:t>
      </w:r>
      <w:r>
        <w:rPr>
          <w:spacing w:val="-5"/>
        </w:rPr>
        <w:t xml:space="preserve"> </w:t>
      </w:r>
      <w:r>
        <w:t>BIDMC</w:t>
      </w:r>
      <w:r>
        <w:rPr>
          <w:spacing w:val="-5"/>
        </w:rPr>
        <w:t xml:space="preserve"> </w:t>
      </w:r>
      <w:r>
        <w:t>and</w:t>
      </w:r>
      <w:r>
        <w:rPr>
          <w:spacing w:val="-1"/>
        </w:rPr>
        <w:t xml:space="preserve"> </w:t>
      </w:r>
      <w:r>
        <w:t>BWH</w:t>
      </w:r>
      <w:r>
        <w:rPr>
          <w:spacing w:val="-5"/>
        </w:rPr>
        <w:t xml:space="preserve"> </w:t>
      </w:r>
      <w:r>
        <w:t>would</w:t>
      </w:r>
      <w:r>
        <w:rPr>
          <w:spacing w:val="-1"/>
        </w:rPr>
        <w:t xml:space="preserve"> </w:t>
      </w:r>
      <w:r>
        <w:t>have</w:t>
      </w:r>
      <w:r>
        <w:rPr>
          <w:spacing w:val="-2"/>
        </w:rPr>
        <w:t xml:space="preserve"> </w:t>
      </w:r>
      <w:r>
        <w:t>newly</w:t>
      </w:r>
      <w:r>
        <w:rPr>
          <w:spacing w:val="-3"/>
        </w:rPr>
        <w:t xml:space="preserve"> </w:t>
      </w:r>
      <w:r>
        <w:t>available inpatient capacity. At least some of BIDMC’s capacity is likely to be backfilled with surgical oncology services needed by DFCI patients. We modeled two backfill scenarios for BIDMC’s newly available capacity using econometric models, one in which the capacity would be filled with surgical oncology discharges, and another in which it would be filled with general acute care discharges other than medical oncology. Because both models indicate BIDMC capacity would likely be backfilled by patients from higher-priced hospitals on average, we estimate that backfill at BIDMC would further reduce annual commercial spending by $3.5 million if the backfill were exclusively surgical oncology discharges, or up to $5.3 million if the backfill were non-oncology</w:t>
      </w:r>
    </w:p>
    <w:p w14:paraId="1C34E8AA" w14:textId="1D20ADF2" w:rsidR="004C558F" w:rsidRDefault="004C558F">
      <w:pPr>
        <w:pStyle w:val="BodyText"/>
        <w:spacing w:before="93"/>
        <w:rPr>
          <w:sz w:val="20"/>
        </w:rPr>
      </w:pPr>
    </w:p>
    <w:p w14:paraId="1C34E8AE" w14:textId="77777777" w:rsidR="004C558F" w:rsidRDefault="004C558F">
      <w:pPr>
        <w:rPr>
          <w:sz w:val="20"/>
        </w:rPr>
        <w:sectPr w:rsidR="004C558F">
          <w:pgSz w:w="12240" w:h="15840"/>
          <w:pgMar w:top="1640" w:right="740" w:bottom="720" w:left="480" w:header="0" w:footer="521" w:gutter="0"/>
          <w:cols w:space="720"/>
        </w:sectPr>
      </w:pPr>
      <w:bookmarkStart w:id="123" w:name="_bookmark146"/>
      <w:bookmarkEnd w:id="123"/>
    </w:p>
    <w:p w14:paraId="1C34E8AF" w14:textId="5AC91D9A" w:rsidR="004C558F" w:rsidRDefault="00461887">
      <w:pPr>
        <w:pStyle w:val="BodyText"/>
        <w:spacing w:before="80" w:line="276" w:lineRule="auto"/>
        <w:ind w:left="959" w:right="799"/>
        <w:rPr>
          <w:sz w:val="14"/>
        </w:rPr>
      </w:pPr>
      <w:r>
        <w:lastRenderedPageBreak/>
        <w:t>general</w:t>
      </w:r>
      <w:r>
        <w:rPr>
          <w:spacing w:val="-6"/>
        </w:rPr>
        <w:t xml:space="preserve"> </w:t>
      </w:r>
      <w:r>
        <w:t>acute</w:t>
      </w:r>
      <w:r>
        <w:rPr>
          <w:spacing w:val="-5"/>
        </w:rPr>
        <w:t xml:space="preserve"> </w:t>
      </w:r>
      <w:r>
        <w:t>care</w:t>
      </w:r>
      <w:r>
        <w:rPr>
          <w:spacing w:val="-5"/>
        </w:rPr>
        <w:t xml:space="preserve"> </w:t>
      </w:r>
      <w:r>
        <w:t>discharges.</w:t>
      </w:r>
      <w:r>
        <w:rPr>
          <w:spacing w:val="-36"/>
        </w:rPr>
        <w:t xml:space="preserve"> </w:t>
      </w:r>
      <w:r w:rsidR="00A80420">
        <w:rPr>
          <w:rStyle w:val="FootnoteReference"/>
          <w:spacing w:val="-36"/>
        </w:rPr>
        <w:footnoteReference w:id="125"/>
      </w:r>
      <w:r>
        <w:t>If</w:t>
      </w:r>
      <w:r>
        <w:rPr>
          <w:spacing w:val="-2"/>
        </w:rPr>
        <w:t xml:space="preserve"> </w:t>
      </w:r>
      <w:r>
        <w:t>BIDMC</w:t>
      </w:r>
      <w:r>
        <w:rPr>
          <w:spacing w:val="-4"/>
        </w:rPr>
        <w:t xml:space="preserve"> </w:t>
      </w:r>
      <w:r>
        <w:t>were</w:t>
      </w:r>
      <w:r>
        <w:rPr>
          <w:spacing w:val="-3"/>
        </w:rPr>
        <w:t xml:space="preserve"> </w:t>
      </w:r>
      <w:r>
        <w:t>backfilled</w:t>
      </w:r>
      <w:r>
        <w:rPr>
          <w:spacing w:val="-2"/>
        </w:rPr>
        <w:t xml:space="preserve"> </w:t>
      </w:r>
      <w:r>
        <w:t>solely</w:t>
      </w:r>
      <w:r>
        <w:rPr>
          <w:spacing w:val="-4"/>
        </w:rPr>
        <w:t xml:space="preserve"> </w:t>
      </w:r>
      <w:r>
        <w:t>by</w:t>
      </w:r>
      <w:r>
        <w:rPr>
          <w:spacing w:val="-4"/>
        </w:rPr>
        <w:t xml:space="preserve"> </w:t>
      </w:r>
      <w:r>
        <w:t>surgical</w:t>
      </w:r>
      <w:r>
        <w:rPr>
          <w:spacing w:val="-4"/>
        </w:rPr>
        <w:t xml:space="preserve"> </w:t>
      </w:r>
      <w:r>
        <w:t>oncology</w:t>
      </w:r>
      <w:r>
        <w:rPr>
          <w:spacing w:val="-4"/>
        </w:rPr>
        <w:t xml:space="preserve"> </w:t>
      </w:r>
      <w:r>
        <w:t>inpatients from BWH, this shift would reduce annual commercial spending by up to $7.4 million.</w:t>
      </w:r>
      <w:r>
        <w:rPr>
          <w:spacing w:val="-33"/>
        </w:rPr>
        <w:t xml:space="preserve"> </w:t>
      </w:r>
      <w:r w:rsidR="00DF421F">
        <w:rPr>
          <w:rStyle w:val="FootnoteReference"/>
          <w:spacing w:val="-33"/>
        </w:rPr>
        <w:footnoteReference w:id="126"/>
      </w:r>
    </w:p>
    <w:p w14:paraId="1C34E8B0" w14:textId="77777777" w:rsidR="004C558F" w:rsidRDefault="004C558F">
      <w:pPr>
        <w:pStyle w:val="BodyText"/>
        <w:spacing w:before="38"/>
      </w:pPr>
    </w:p>
    <w:p w14:paraId="1C34E8B1" w14:textId="3E393D4C" w:rsidR="004C558F" w:rsidRDefault="00461887">
      <w:pPr>
        <w:pStyle w:val="BodyText"/>
        <w:spacing w:line="276" w:lineRule="auto"/>
        <w:ind w:left="959" w:right="1290" w:firstLine="720"/>
      </w:pPr>
      <w:r>
        <w:t>Similarly,</w:t>
      </w:r>
      <w:r>
        <w:rPr>
          <w:spacing w:val="-3"/>
        </w:rPr>
        <w:t xml:space="preserve"> </w:t>
      </w:r>
      <w:r>
        <w:t>we</w:t>
      </w:r>
      <w:r>
        <w:rPr>
          <w:spacing w:val="-3"/>
        </w:rPr>
        <w:t xml:space="preserve"> </w:t>
      </w:r>
      <w:r>
        <w:t>modeled</w:t>
      </w:r>
      <w:r>
        <w:rPr>
          <w:spacing w:val="-2"/>
        </w:rPr>
        <w:t xml:space="preserve"> </w:t>
      </w:r>
      <w:r>
        <w:t>two</w:t>
      </w:r>
      <w:r>
        <w:rPr>
          <w:spacing w:val="-4"/>
        </w:rPr>
        <w:t xml:space="preserve"> </w:t>
      </w:r>
      <w:r>
        <w:t>scenarios</w:t>
      </w:r>
      <w:r>
        <w:rPr>
          <w:spacing w:val="-3"/>
        </w:rPr>
        <w:t xml:space="preserve"> </w:t>
      </w:r>
      <w:r>
        <w:t>for</w:t>
      </w:r>
      <w:r>
        <w:rPr>
          <w:spacing w:val="-3"/>
        </w:rPr>
        <w:t xml:space="preserve"> </w:t>
      </w:r>
      <w:r>
        <w:t>backfill</w:t>
      </w:r>
      <w:r>
        <w:rPr>
          <w:spacing w:val="-3"/>
        </w:rPr>
        <w:t xml:space="preserve"> </w:t>
      </w:r>
      <w:r>
        <w:t>at</w:t>
      </w:r>
      <w:r>
        <w:rPr>
          <w:spacing w:val="-3"/>
        </w:rPr>
        <w:t xml:space="preserve"> </w:t>
      </w:r>
      <w:r>
        <w:t>BWH</w:t>
      </w:r>
      <w:r>
        <w:rPr>
          <w:spacing w:val="-3"/>
        </w:rPr>
        <w:t xml:space="preserve"> </w:t>
      </w:r>
      <w:r>
        <w:t>depending</w:t>
      </w:r>
      <w:r>
        <w:rPr>
          <w:spacing w:val="-3"/>
        </w:rPr>
        <w:t xml:space="preserve"> </w:t>
      </w:r>
      <w:r>
        <w:t>on</w:t>
      </w:r>
      <w:r>
        <w:rPr>
          <w:spacing w:val="-4"/>
        </w:rPr>
        <w:t xml:space="preserve"> </w:t>
      </w:r>
      <w:r>
        <w:t>whether</w:t>
      </w:r>
      <w:r>
        <w:rPr>
          <w:spacing w:val="-5"/>
        </w:rPr>
        <w:t xml:space="preserve"> </w:t>
      </w:r>
      <w:r>
        <w:t>newly available beds would be filled with general acute care discharges or other medical oncology discharges.</w:t>
      </w:r>
      <w:r>
        <w:rPr>
          <w:spacing w:val="-32"/>
        </w:rPr>
        <w:t xml:space="preserve"> </w:t>
      </w:r>
      <w:r w:rsidR="00CF1EEE">
        <w:rPr>
          <w:rStyle w:val="FootnoteReference"/>
          <w:spacing w:val="-32"/>
        </w:rPr>
        <w:footnoteReference w:id="127"/>
      </w:r>
      <w:r>
        <w:t xml:space="preserve">We found that </w:t>
      </w:r>
      <w:proofErr w:type="gramStart"/>
      <w:r>
        <w:t>both of these</w:t>
      </w:r>
      <w:proofErr w:type="gramEnd"/>
      <w:r>
        <w:t xml:space="preserve"> scenarios would increase annual commercial </w:t>
      </w:r>
      <w:proofErr w:type="gramStart"/>
      <w:r>
        <w:t>spending,</w:t>
      </w:r>
      <w:proofErr w:type="gramEnd"/>
      <w:r>
        <w:t xml:space="preserve"> by</w:t>
      </w:r>
      <w:r>
        <w:rPr>
          <w:spacing w:val="-1"/>
        </w:rPr>
        <w:t xml:space="preserve"> </w:t>
      </w:r>
      <w:r>
        <w:t>$4.2 million if the backfill</w:t>
      </w:r>
      <w:r>
        <w:rPr>
          <w:spacing w:val="-1"/>
        </w:rPr>
        <w:t xml:space="preserve"> </w:t>
      </w:r>
      <w:r>
        <w:t>were exclusively</w:t>
      </w:r>
      <w:r>
        <w:rPr>
          <w:spacing w:val="-1"/>
        </w:rPr>
        <w:t xml:space="preserve"> </w:t>
      </w:r>
      <w:r>
        <w:t>medical</w:t>
      </w:r>
      <w:r>
        <w:rPr>
          <w:spacing w:val="-3"/>
        </w:rPr>
        <w:t xml:space="preserve"> </w:t>
      </w:r>
      <w:r>
        <w:t>oncology</w:t>
      </w:r>
      <w:r>
        <w:rPr>
          <w:spacing w:val="-3"/>
        </w:rPr>
        <w:t xml:space="preserve"> </w:t>
      </w:r>
      <w:r>
        <w:t>discharges and by</w:t>
      </w:r>
    </w:p>
    <w:p w14:paraId="1C34E8B2" w14:textId="77777777" w:rsidR="004C558F" w:rsidRDefault="00461887">
      <w:pPr>
        <w:pStyle w:val="BodyText"/>
        <w:spacing w:line="273" w:lineRule="auto"/>
        <w:ind w:left="959" w:right="702"/>
      </w:pPr>
      <w:r>
        <w:t>$15.9</w:t>
      </w:r>
      <w:r>
        <w:rPr>
          <w:spacing w:val="-5"/>
        </w:rPr>
        <w:t xml:space="preserve"> </w:t>
      </w:r>
      <w:r>
        <w:t>million</w:t>
      </w:r>
      <w:r>
        <w:rPr>
          <w:spacing w:val="-2"/>
        </w:rPr>
        <w:t xml:space="preserve"> </w:t>
      </w:r>
      <w:r>
        <w:t>if</w:t>
      </w:r>
      <w:r>
        <w:rPr>
          <w:spacing w:val="-1"/>
        </w:rPr>
        <w:t xml:space="preserve"> </w:t>
      </w:r>
      <w:r>
        <w:t>the</w:t>
      </w:r>
      <w:r>
        <w:rPr>
          <w:spacing w:val="-2"/>
        </w:rPr>
        <w:t xml:space="preserve"> </w:t>
      </w:r>
      <w:r>
        <w:t>backfill</w:t>
      </w:r>
      <w:r>
        <w:rPr>
          <w:spacing w:val="-3"/>
        </w:rPr>
        <w:t xml:space="preserve"> </w:t>
      </w:r>
      <w:r>
        <w:t>were</w:t>
      </w:r>
      <w:r>
        <w:rPr>
          <w:spacing w:val="-2"/>
        </w:rPr>
        <w:t xml:space="preserve"> </w:t>
      </w:r>
      <w:r>
        <w:t>other</w:t>
      </w:r>
      <w:r>
        <w:rPr>
          <w:spacing w:val="-3"/>
        </w:rPr>
        <w:t xml:space="preserve"> </w:t>
      </w:r>
      <w:r>
        <w:t>discharges,</w:t>
      </w:r>
      <w:r>
        <w:rPr>
          <w:spacing w:val="-5"/>
        </w:rPr>
        <w:t xml:space="preserve"> </w:t>
      </w:r>
      <w:r>
        <w:t>as</w:t>
      </w:r>
      <w:r>
        <w:rPr>
          <w:spacing w:val="-2"/>
        </w:rPr>
        <w:t xml:space="preserve"> </w:t>
      </w:r>
      <w:r>
        <w:t>BWH</w:t>
      </w:r>
      <w:r>
        <w:rPr>
          <w:spacing w:val="-3"/>
        </w:rPr>
        <w:t xml:space="preserve"> </w:t>
      </w:r>
      <w:r>
        <w:t>is</w:t>
      </w:r>
      <w:r>
        <w:rPr>
          <w:spacing w:val="-2"/>
        </w:rPr>
        <w:t xml:space="preserve"> </w:t>
      </w:r>
      <w:r>
        <w:t>more</w:t>
      </w:r>
      <w:r>
        <w:rPr>
          <w:spacing w:val="-2"/>
        </w:rPr>
        <w:t xml:space="preserve"> </w:t>
      </w:r>
      <w:r>
        <w:t>expensive</w:t>
      </w:r>
      <w:r>
        <w:rPr>
          <w:spacing w:val="-4"/>
        </w:rPr>
        <w:t xml:space="preserve"> </w:t>
      </w:r>
      <w:r>
        <w:t>than</w:t>
      </w:r>
      <w:r>
        <w:rPr>
          <w:spacing w:val="-4"/>
        </w:rPr>
        <w:t xml:space="preserve"> </w:t>
      </w:r>
      <w:r>
        <w:t>most</w:t>
      </w:r>
      <w:r>
        <w:rPr>
          <w:spacing w:val="-5"/>
        </w:rPr>
        <w:t xml:space="preserve"> </w:t>
      </w:r>
      <w:r>
        <w:t xml:space="preserve">other </w:t>
      </w:r>
      <w:r>
        <w:rPr>
          <w:spacing w:val="-2"/>
        </w:rPr>
        <w:t>hospitals.</w:t>
      </w:r>
    </w:p>
    <w:p w14:paraId="1C34E8B3" w14:textId="77777777" w:rsidR="004C558F" w:rsidRDefault="004C558F">
      <w:pPr>
        <w:pStyle w:val="BodyText"/>
        <w:spacing w:before="185"/>
      </w:pPr>
    </w:p>
    <w:p w14:paraId="1C34E8B4" w14:textId="77777777" w:rsidR="004C558F" w:rsidRDefault="00461887">
      <w:pPr>
        <w:pStyle w:val="BodyText"/>
        <w:spacing w:after="36"/>
        <w:ind w:left="1180"/>
      </w:pPr>
      <w:r>
        <w:t>Figure</w:t>
      </w:r>
      <w:r>
        <w:rPr>
          <w:spacing w:val="-5"/>
        </w:rPr>
        <w:t xml:space="preserve"> </w:t>
      </w:r>
      <w:r>
        <w:t>III.A.10:</w:t>
      </w:r>
      <w:r>
        <w:rPr>
          <w:spacing w:val="-5"/>
        </w:rPr>
        <w:t xml:space="preserve"> </w:t>
      </w:r>
      <w:r>
        <w:t>Commercial</w:t>
      </w:r>
      <w:r>
        <w:rPr>
          <w:spacing w:val="-6"/>
        </w:rPr>
        <w:t xml:space="preserve"> </w:t>
      </w:r>
      <w:r>
        <w:t>Spending</w:t>
      </w:r>
      <w:r>
        <w:rPr>
          <w:spacing w:val="-6"/>
        </w:rPr>
        <w:t xml:space="preserve"> </w:t>
      </w:r>
      <w:r>
        <w:t>Impacts</w:t>
      </w:r>
      <w:r>
        <w:rPr>
          <w:spacing w:val="-7"/>
        </w:rPr>
        <w:t xml:space="preserve"> </w:t>
      </w:r>
      <w:r>
        <w:t>of</w:t>
      </w:r>
      <w:r>
        <w:rPr>
          <w:spacing w:val="-4"/>
        </w:rPr>
        <w:t xml:space="preserve"> </w:t>
      </w:r>
      <w:r>
        <w:t>Inpatient</w:t>
      </w:r>
      <w:r>
        <w:rPr>
          <w:spacing w:val="-6"/>
        </w:rPr>
        <w:t xml:space="preserve"> </w:t>
      </w:r>
      <w:r>
        <w:t>Backfills</w:t>
      </w:r>
      <w:r>
        <w:rPr>
          <w:spacing w:val="-5"/>
        </w:rPr>
        <w:t xml:space="preserve"> </w:t>
      </w:r>
      <w:r>
        <w:t>(“Model-Driven”</w:t>
      </w:r>
      <w:r>
        <w:rPr>
          <w:spacing w:val="-4"/>
        </w:rPr>
        <w:t xml:space="preserve"> </w:t>
      </w:r>
      <w:r>
        <w:rPr>
          <w:spacing w:val="-2"/>
        </w:rPr>
        <w:t>Scenario)</w:t>
      </w: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2441"/>
        <w:gridCol w:w="2866"/>
        <w:gridCol w:w="2864"/>
      </w:tblGrid>
      <w:tr w:rsidR="004C558F" w14:paraId="1C34E8B8" w14:textId="77777777">
        <w:trPr>
          <w:trHeight w:val="340"/>
        </w:trPr>
        <w:tc>
          <w:tcPr>
            <w:tcW w:w="2441" w:type="dxa"/>
            <w:shd w:val="clear" w:color="auto" w:fill="084875"/>
          </w:tcPr>
          <w:p w14:paraId="1C34E8B5" w14:textId="77777777" w:rsidR="004C558F" w:rsidRDefault="004C558F">
            <w:pPr>
              <w:pStyle w:val="TableParagraph"/>
              <w:spacing w:before="0"/>
              <w:jc w:val="left"/>
              <w:rPr>
                <w:rFonts w:ascii="Times New Roman"/>
                <w:sz w:val="20"/>
              </w:rPr>
            </w:pPr>
          </w:p>
        </w:tc>
        <w:tc>
          <w:tcPr>
            <w:tcW w:w="2866" w:type="dxa"/>
            <w:tcBorders>
              <w:bottom w:val="single" w:sz="12" w:space="0" w:color="084875"/>
            </w:tcBorders>
            <w:shd w:val="clear" w:color="auto" w:fill="084875"/>
          </w:tcPr>
          <w:p w14:paraId="1C34E8B6" w14:textId="77777777" w:rsidR="004C558F" w:rsidRDefault="00461887">
            <w:pPr>
              <w:pStyle w:val="TableParagraph"/>
              <w:spacing w:before="14"/>
              <w:ind w:left="9" w:right="1"/>
              <w:jc w:val="center"/>
              <w:rPr>
                <w:rFonts w:ascii="Franklin Gothic Medium Cond"/>
              </w:rPr>
            </w:pPr>
            <w:r>
              <w:rPr>
                <w:rFonts w:ascii="Franklin Gothic Medium Cond"/>
                <w:color w:val="FFFFFF"/>
                <w:spacing w:val="-2"/>
              </w:rPr>
              <w:t>Oncology</w:t>
            </w:r>
          </w:p>
        </w:tc>
        <w:tc>
          <w:tcPr>
            <w:tcW w:w="2864" w:type="dxa"/>
            <w:tcBorders>
              <w:bottom w:val="single" w:sz="12" w:space="0" w:color="084875"/>
            </w:tcBorders>
            <w:shd w:val="clear" w:color="auto" w:fill="084875"/>
          </w:tcPr>
          <w:p w14:paraId="1C34E8B7" w14:textId="77777777" w:rsidR="004C558F" w:rsidRDefault="00461887">
            <w:pPr>
              <w:pStyle w:val="TableParagraph"/>
              <w:spacing w:before="14"/>
              <w:ind w:left="3"/>
              <w:jc w:val="center"/>
              <w:rPr>
                <w:rFonts w:ascii="Franklin Gothic Medium Cond"/>
              </w:rPr>
            </w:pPr>
            <w:r>
              <w:rPr>
                <w:rFonts w:ascii="Franklin Gothic Medium Cond"/>
                <w:color w:val="FFFFFF"/>
                <w:spacing w:val="-5"/>
              </w:rPr>
              <w:t>GAC</w:t>
            </w:r>
          </w:p>
        </w:tc>
      </w:tr>
      <w:tr w:rsidR="004C558F" w14:paraId="1C34E8BC" w14:textId="77777777">
        <w:trPr>
          <w:trHeight w:val="313"/>
        </w:trPr>
        <w:tc>
          <w:tcPr>
            <w:tcW w:w="2441" w:type="dxa"/>
            <w:shd w:val="clear" w:color="auto" w:fill="084875"/>
          </w:tcPr>
          <w:p w14:paraId="1C34E8B9" w14:textId="77777777" w:rsidR="004C558F" w:rsidRDefault="00461887">
            <w:pPr>
              <w:pStyle w:val="TableParagraph"/>
              <w:spacing w:before="11"/>
              <w:ind w:left="115"/>
              <w:jc w:val="left"/>
              <w:rPr>
                <w:rFonts w:ascii="Franklin Gothic Medium Cond"/>
              </w:rPr>
            </w:pPr>
            <w:r>
              <w:rPr>
                <w:rFonts w:ascii="Franklin Gothic Medium Cond"/>
                <w:color w:val="FFFFFF"/>
                <w:spacing w:val="-2"/>
              </w:rPr>
              <w:t>BIDMC</w:t>
            </w:r>
          </w:p>
        </w:tc>
        <w:tc>
          <w:tcPr>
            <w:tcW w:w="2866" w:type="dxa"/>
            <w:tcBorders>
              <w:top w:val="single" w:sz="12" w:space="0" w:color="084875"/>
            </w:tcBorders>
          </w:tcPr>
          <w:p w14:paraId="1C34E8BA" w14:textId="77777777" w:rsidR="004C558F" w:rsidRDefault="00461887">
            <w:pPr>
              <w:pStyle w:val="TableParagraph"/>
              <w:spacing w:before="5"/>
              <w:ind w:left="9" w:right="5"/>
              <w:jc w:val="center"/>
              <w:rPr>
                <w:sz w:val="20"/>
              </w:rPr>
            </w:pPr>
            <w:r>
              <w:rPr>
                <w:sz w:val="20"/>
              </w:rPr>
              <w:t>($3.5</w:t>
            </w:r>
            <w:r>
              <w:rPr>
                <w:spacing w:val="-5"/>
                <w:sz w:val="20"/>
              </w:rPr>
              <w:t xml:space="preserve"> M)</w:t>
            </w:r>
          </w:p>
        </w:tc>
        <w:tc>
          <w:tcPr>
            <w:tcW w:w="2864" w:type="dxa"/>
            <w:tcBorders>
              <w:top w:val="single" w:sz="12" w:space="0" w:color="084875"/>
            </w:tcBorders>
          </w:tcPr>
          <w:p w14:paraId="1C34E8BB" w14:textId="77777777" w:rsidR="004C558F" w:rsidRDefault="00461887">
            <w:pPr>
              <w:pStyle w:val="TableParagraph"/>
              <w:spacing w:before="5"/>
              <w:ind w:left="3" w:right="3"/>
              <w:jc w:val="center"/>
              <w:rPr>
                <w:sz w:val="20"/>
              </w:rPr>
            </w:pPr>
            <w:r>
              <w:rPr>
                <w:sz w:val="20"/>
              </w:rPr>
              <w:t>($5.3</w:t>
            </w:r>
            <w:r>
              <w:rPr>
                <w:spacing w:val="-5"/>
                <w:sz w:val="20"/>
              </w:rPr>
              <w:t xml:space="preserve"> M)</w:t>
            </w:r>
          </w:p>
        </w:tc>
      </w:tr>
      <w:tr w:rsidR="004C558F" w14:paraId="1C34E8C0" w14:textId="77777777">
        <w:trPr>
          <w:trHeight w:val="357"/>
        </w:trPr>
        <w:tc>
          <w:tcPr>
            <w:tcW w:w="2441" w:type="dxa"/>
            <w:shd w:val="clear" w:color="auto" w:fill="084875"/>
          </w:tcPr>
          <w:p w14:paraId="1C34E8BD" w14:textId="77777777" w:rsidR="004C558F" w:rsidRDefault="00461887">
            <w:pPr>
              <w:pStyle w:val="TableParagraph"/>
              <w:spacing w:before="14"/>
              <w:ind w:left="115"/>
              <w:jc w:val="left"/>
              <w:rPr>
                <w:rFonts w:ascii="Franklin Gothic Medium Cond"/>
              </w:rPr>
            </w:pPr>
            <w:r>
              <w:rPr>
                <w:rFonts w:ascii="Franklin Gothic Medium Cond"/>
                <w:color w:val="FFFFFF"/>
                <w:spacing w:val="-5"/>
              </w:rPr>
              <w:t>BWH</w:t>
            </w:r>
          </w:p>
        </w:tc>
        <w:tc>
          <w:tcPr>
            <w:tcW w:w="2866" w:type="dxa"/>
          </w:tcPr>
          <w:p w14:paraId="1C34E8BE" w14:textId="77777777" w:rsidR="004C558F" w:rsidRDefault="00461887">
            <w:pPr>
              <w:pStyle w:val="TableParagraph"/>
              <w:spacing w:before="8"/>
              <w:ind w:left="9"/>
              <w:jc w:val="center"/>
              <w:rPr>
                <w:sz w:val="20"/>
              </w:rPr>
            </w:pPr>
            <w:r>
              <w:rPr>
                <w:sz w:val="20"/>
              </w:rPr>
              <w:t>$4.2</w:t>
            </w:r>
            <w:r>
              <w:rPr>
                <w:spacing w:val="-4"/>
                <w:sz w:val="20"/>
              </w:rPr>
              <w:t xml:space="preserve"> </w:t>
            </w:r>
            <w:r>
              <w:rPr>
                <w:spacing w:val="-10"/>
                <w:sz w:val="20"/>
              </w:rPr>
              <w:t>M</w:t>
            </w:r>
          </w:p>
        </w:tc>
        <w:tc>
          <w:tcPr>
            <w:tcW w:w="2864" w:type="dxa"/>
          </w:tcPr>
          <w:p w14:paraId="1C34E8BF" w14:textId="77777777" w:rsidR="004C558F" w:rsidRDefault="00461887">
            <w:pPr>
              <w:pStyle w:val="TableParagraph"/>
              <w:spacing w:before="8"/>
              <w:ind w:left="3"/>
              <w:jc w:val="center"/>
              <w:rPr>
                <w:sz w:val="20"/>
              </w:rPr>
            </w:pPr>
            <w:r>
              <w:rPr>
                <w:sz w:val="20"/>
              </w:rPr>
              <w:t>$15.9</w:t>
            </w:r>
            <w:r>
              <w:rPr>
                <w:spacing w:val="-5"/>
                <w:sz w:val="20"/>
              </w:rPr>
              <w:t xml:space="preserve"> </w:t>
            </w:r>
            <w:r>
              <w:rPr>
                <w:spacing w:val="-10"/>
                <w:sz w:val="20"/>
              </w:rPr>
              <w:t>M</w:t>
            </w:r>
          </w:p>
        </w:tc>
      </w:tr>
    </w:tbl>
    <w:p w14:paraId="1C34E8C1" w14:textId="77777777" w:rsidR="004C558F" w:rsidRDefault="004C558F">
      <w:pPr>
        <w:pStyle w:val="BodyText"/>
        <w:spacing w:before="196"/>
      </w:pPr>
    </w:p>
    <w:p w14:paraId="1C34E8C2" w14:textId="77777777" w:rsidR="004C558F" w:rsidRDefault="00461887">
      <w:pPr>
        <w:pStyle w:val="Heading3"/>
        <w:numPr>
          <w:ilvl w:val="2"/>
          <w:numId w:val="16"/>
        </w:numPr>
        <w:tabs>
          <w:tab w:val="left" w:pos="958"/>
          <w:tab w:val="left" w:pos="960"/>
        </w:tabs>
        <w:ind w:left="960" w:right="1260" w:hanging="361"/>
        <w:rPr>
          <w:color w:val="042339"/>
        </w:rPr>
      </w:pPr>
      <w:bookmarkStart w:id="124" w:name="6._Most_shifts_in_hospital_outpatient_ca"/>
      <w:bookmarkEnd w:id="124"/>
      <w:r>
        <w:rPr>
          <w:color w:val="042339"/>
        </w:rPr>
        <w:t xml:space="preserve">Most shifts in hospital outpatient care </w:t>
      </w:r>
      <w:proofErr w:type="gramStart"/>
      <w:r>
        <w:rPr>
          <w:color w:val="042339"/>
        </w:rPr>
        <w:t>as a result of</w:t>
      </w:r>
      <w:proofErr w:type="gramEnd"/>
      <w:r>
        <w:rPr>
          <w:color w:val="042339"/>
        </w:rPr>
        <w:t xml:space="preserve"> the transaction would increase</w:t>
      </w:r>
      <w:r>
        <w:rPr>
          <w:color w:val="042339"/>
          <w:spacing w:val="-3"/>
        </w:rPr>
        <w:t xml:space="preserve"> </w:t>
      </w:r>
      <w:r>
        <w:rPr>
          <w:color w:val="042339"/>
        </w:rPr>
        <w:t>commercial</w:t>
      </w:r>
      <w:r>
        <w:rPr>
          <w:color w:val="042339"/>
          <w:spacing w:val="-5"/>
        </w:rPr>
        <w:t xml:space="preserve"> </w:t>
      </w:r>
      <w:r>
        <w:rPr>
          <w:color w:val="042339"/>
        </w:rPr>
        <w:t>spending,</w:t>
      </w:r>
      <w:r>
        <w:rPr>
          <w:color w:val="042339"/>
          <w:spacing w:val="-7"/>
        </w:rPr>
        <w:t xml:space="preserve"> </w:t>
      </w:r>
      <w:r>
        <w:rPr>
          <w:color w:val="042339"/>
        </w:rPr>
        <w:t>especially</w:t>
      </w:r>
      <w:r>
        <w:rPr>
          <w:color w:val="042339"/>
          <w:spacing w:val="-6"/>
        </w:rPr>
        <w:t xml:space="preserve"> </w:t>
      </w:r>
      <w:r>
        <w:rPr>
          <w:color w:val="042339"/>
        </w:rPr>
        <w:t>shifts</w:t>
      </w:r>
      <w:r>
        <w:rPr>
          <w:color w:val="042339"/>
          <w:spacing w:val="-7"/>
        </w:rPr>
        <w:t xml:space="preserve"> </w:t>
      </w:r>
      <w:r>
        <w:rPr>
          <w:color w:val="042339"/>
        </w:rPr>
        <w:t>in</w:t>
      </w:r>
      <w:r>
        <w:rPr>
          <w:color w:val="042339"/>
          <w:spacing w:val="-5"/>
        </w:rPr>
        <w:t xml:space="preserve"> </w:t>
      </w:r>
      <w:r>
        <w:rPr>
          <w:color w:val="042339"/>
        </w:rPr>
        <w:t>outpatient</w:t>
      </w:r>
      <w:r>
        <w:rPr>
          <w:color w:val="042339"/>
          <w:spacing w:val="-6"/>
        </w:rPr>
        <w:t xml:space="preserve"> </w:t>
      </w:r>
      <w:r>
        <w:rPr>
          <w:color w:val="042339"/>
        </w:rPr>
        <w:t>medical</w:t>
      </w:r>
      <w:r>
        <w:rPr>
          <w:color w:val="042339"/>
          <w:spacing w:val="-5"/>
        </w:rPr>
        <w:t xml:space="preserve"> </w:t>
      </w:r>
      <w:r>
        <w:rPr>
          <w:color w:val="042339"/>
        </w:rPr>
        <w:t>oncology given DFCI’s high prices for hospital-administered oncologic drugs.</w:t>
      </w:r>
    </w:p>
    <w:p w14:paraId="1C34E8C3" w14:textId="77777777" w:rsidR="004C558F" w:rsidRDefault="00461887">
      <w:pPr>
        <w:pStyle w:val="BodyText"/>
        <w:spacing w:before="81" w:line="276" w:lineRule="auto"/>
        <w:ind w:left="959" w:right="891" w:firstLine="720"/>
      </w:pPr>
      <w:r>
        <w:t>The proposed transaction would likely cause some shifts in hospital outpatient care. As discussed in Section II.B, BIDMC plans to stop providing hospital-based medical oncology, with HMFP medical oncologists transitioning to DFCI employment. The parties also plan to transition their radiation oncology services to a joint venture (JV) and joint physician organization. Some ancillary service volume such as labs and diagnostic radiology may also shift from BWH, and potentially from other providers, to DFCI and BIDMC. This section provides estimates of the commercial</w:t>
      </w:r>
      <w:r>
        <w:rPr>
          <w:spacing w:val="-5"/>
        </w:rPr>
        <w:t xml:space="preserve"> </w:t>
      </w:r>
      <w:r>
        <w:t>spending</w:t>
      </w:r>
      <w:r>
        <w:rPr>
          <w:spacing w:val="-3"/>
        </w:rPr>
        <w:t xml:space="preserve"> </w:t>
      </w:r>
      <w:r>
        <w:t>impacts</w:t>
      </w:r>
      <w:r>
        <w:rPr>
          <w:spacing w:val="-4"/>
        </w:rPr>
        <w:t xml:space="preserve"> </w:t>
      </w:r>
      <w:r>
        <w:t>of</w:t>
      </w:r>
      <w:r>
        <w:rPr>
          <w:spacing w:val="-1"/>
        </w:rPr>
        <w:t xml:space="preserve"> </w:t>
      </w:r>
      <w:r>
        <w:t>these</w:t>
      </w:r>
      <w:r>
        <w:rPr>
          <w:spacing w:val="-4"/>
        </w:rPr>
        <w:t xml:space="preserve"> </w:t>
      </w:r>
      <w:r>
        <w:t>shifts</w:t>
      </w:r>
      <w:r>
        <w:rPr>
          <w:spacing w:val="-2"/>
        </w:rPr>
        <w:t xml:space="preserve"> </w:t>
      </w:r>
      <w:r>
        <w:t>that</w:t>
      </w:r>
      <w:r>
        <w:rPr>
          <w:spacing w:val="-3"/>
        </w:rPr>
        <w:t xml:space="preserve"> </w:t>
      </w:r>
      <w:r>
        <w:t>the</w:t>
      </w:r>
      <w:r>
        <w:rPr>
          <w:spacing w:val="-2"/>
        </w:rPr>
        <w:t xml:space="preserve"> </w:t>
      </w:r>
      <w:r>
        <w:t>HPC</w:t>
      </w:r>
      <w:r>
        <w:rPr>
          <w:spacing w:val="-3"/>
        </w:rPr>
        <w:t xml:space="preserve"> </w:t>
      </w:r>
      <w:r>
        <w:t>was</w:t>
      </w:r>
      <w:r>
        <w:rPr>
          <w:spacing w:val="-4"/>
        </w:rPr>
        <w:t xml:space="preserve"> </w:t>
      </w:r>
      <w:r>
        <w:t>able</w:t>
      </w:r>
      <w:r>
        <w:rPr>
          <w:spacing w:val="-2"/>
        </w:rPr>
        <w:t xml:space="preserve"> </w:t>
      </w:r>
      <w:r>
        <w:t>to</w:t>
      </w:r>
      <w:r>
        <w:rPr>
          <w:spacing w:val="-2"/>
        </w:rPr>
        <w:t xml:space="preserve"> </w:t>
      </w:r>
      <w:r>
        <w:t>quantify</w:t>
      </w:r>
      <w:r>
        <w:rPr>
          <w:spacing w:val="-3"/>
        </w:rPr>
        <w:t xml:space="preserve"> </w:t>
      </w:r>
      <w:r>
        <w:t>based</w:t>
      </w:r>
      <w:r>
        <w:rPr>
          <w:spacing w:val="-1"/>
        </w:rPr>
        <w:t xml:space="preserve"> </w:t>
      </w:r>
      <w:r>
        <w:t>on</w:t>
      </w:r>
      <w:r>
        <w:rPr>
          <w:spacing w:val="-4"/>
        </w:rPr>
        <w:t xml:space="preserve"> </w:t>
      </w:r>
      <w:r>
        <w:t xml:space="preserve">available </w:t>
      </w:r>
      <w:r>
        <w:rPr>
          <w:spacing w:val="-2"/>
        </w:rPr>
        <w:t>data.</w:t>
      </w:r>
    </w:p>
    <w:p w14:paraId="1C34E8C4" w14:textId="77777777" w:rsidR="004C558F" w:rsidRDefault="004C558F">
      <w:pPr>
        <w:pStyle w:val="BodyText"/>
        <w:spacing w:before="38"/>
      </w:pPr>
    </w:p>
    <w:p w14:paraId="1C34E8C5" w14:textId="46BE5313" w:rsidR="004C558F" w:rsidRDefault="00461887">
      <w:pPr>
        <w:pStyle w:val="BodyText"/>
        <w:spacing w:line="276" w:lineRule="auto"/>
        <w:ind w:left="959" w:right="1063" w:firstLine="720"/>
      </w:pPr>
      <w:r>
        <w:t>To estimate spending impacts, the HPC calculated an average commercial price per encounter by hospital for each service line using each hospital’s own payer and service mix.</w:t>
      </w:r>
      <w:r w:rsidR="00CF1EEE">
        <w:rPr>
          <w:rStyle w:val="FootnoteReference"/>
        </w:rPr>
        <w:footnoteReference w:id="128"/>
      </w:r>
      <w:r>
        <w:rPr>
          <w:spacing w:val="40"/>
          <w:position w:val="5"/>
          <w:sz w:val="14"/>
        </w:rPr>
        <w:t xml:space="preserve"> </w:t>
      </w:r>
      <w:r>
        <w:t>We</w:t>
      </w:r>
      <w:r>
        <w:rPr>
          <w:spacing w:val="-2"/>
        </w:rPr>
        <w:t xml:space="preserve"> </w:t>
      </w:r>
      <w:r>
        <w:t>then</w:t>
      </w:r>
      <w:r>
        <w:rPr>
          <w:spacing w:val="-4"/>
        </w:rPr>
        <w:t xml:space="preserve"> </w:t>
      </w:r>
      <w:r>
        <w:t>calculated</w:t>
      </w:r>
      <w:r>
        <w:rPr>
          <w:spacing w:val="-4"/>
        </w:rPr>
        <w:t xml:space="preserve"> </w:t>
      </w:r>
      <w:r>
        <w:t>a</w:t>
      </w:r>
      <w:r>
        <w:rPr>
          <w:spacing w:val="-1"/>
        </w:rPr>
        <w:t xml:space="preserve"> </w:t>
      </w:r>
      <w:r>
        <w:t>corresponding</w:t>
      </w:r>
      <w:r>
        <w:rPr>
          <w:spacing w:val="-5"/>
        </w:rPr>
        <w:t xml:space="preserve"> </w:t>
      </w:r>
      <w:r>
        <w:t>DFCI</w:t>
      </w:r>
      <w:r>
        <w:rPr>
          <w:spacing w:val="-2"/>
        </w:rPr>
        <w:t xml:space="preserve"> </w:t>
      </w:r>
      <w:r>
        <w:t>or</w:t>
      </w:r>
      <w:r>
        <w:rPr>
          <w:spacing w:val="-3"/>
        </w:rPr>
        <w:t xml:space="preserve"> </w:t>
      </w:r>
      <w:r>
        <w:t>BIDMC</w:t>
      </w:r>
      <w:r>
        <w:rPr>
          <w:spacing w:val="-5"/>
        </w:rPr>
        <w:t xml:space="preserve"> </w:t>
      </w:r>
      <w:r>
        <w:t>price</w:t>
      </w:r>
      <w:r>
        <w:rPr>
          <w:spacing w:val="-2"/>
        </w:rPr>
        <w:t xml:space="preserve"> </w:t>
      </w:r>
      <w:r>
        <w:t>weighted</w:t>
      </w:r>
      <w:r>
        <w:rPr>
          <w:spacing w:val="-1"/>
        </w:rPr>
        <w:t xml:space="preserve"> </w:t>
      </w:r>
      <w:r>
        <w:t>by</w:t>
      </w:r>
      <w:r>
        <w:rPr>
          <w:spacing w:val="-3"/>
        </w:rPr>
        <w:t xml:space="preserve"> </w:t>
      </w:r>
      <w:proofErr w:type="gramStart"/>
      <w:r>
        <w:t>each</w:t>
      </w:r>
      <w:r>
        <w:rPr>
          <w:spacing w:val="-4"/>
        </w:rPr>
        <w:t xml:space="preserve"> </w:t>
      </w:r>
      <w:r>
        <w:t>other</w:t>
      </w:r>
      <w:proofErr w:type="gramEnd"/>
      <w:r>
        <w:rPr>
          <w:spacing w:val="-3"/>
        </w:rPr>
        <w:t xml:space="preserve"> </w:t>
      </w:r>
      <w:r>
        <w:t>hospital’s</w:t>
      </w:r>
      <w:r>
        <w:rPr>
          <w:spacing w:val="-2"/>
        </w:rPr>
        <w:t xml:space="preserve"> </w:t>
      </w:r>
      <w:r>
        <w:t>payer</w:t>
      </w:r>
    </w:p>
    <w:p w14:paraId="1C34E8C6" w14:textId="77777777" w:rsidR="004C558F" w:rsidRDefault="004C558F">
      <w:pPr>
        <w:pStyle w:val="BodyText"/>
        <w:rPr>
          <w:sz w:val="20"/>
        </w:rPr>
      </w:pPr>
    </w:p>
    <w:p w14:paraId="1C34E8C7" w14:textId="47C3CC8E" w:rsidR="004C558F" w:rsidRDefault="004C558F">
      <w:pPr>
        <w:pStyle w:val="BodyText"/>
        <w:spacing w:before="208"/>
        <w:rPr>
          <w:sz w:val="20"/>
        </w:rPr>
      </w:pPr>
    </w:p>
    <w:p w14:paraId="1C34E8CC" w14:textId="77777777" w:rsidR="004C558F" w:rsidRDefault="004C558F">
      <w:pPr>
        <w:rPr>
          <w:sz w:val="20"/>
        </w:rPr>
        <w:sectPr w:rsidR="004C558F">
          <w:pgSz w:w="12240" w:h="15840"/>
          <w:pgMar w:top="1360" w:right="740" w:bottom="720" w:left="480" w:header="0" w:footer="521" w:gutter="0"/>
          <w:cols w:space="720"/>
        </w:sectPr>
      </w:pPr>
      <w:bookmarkStart w:id="125" w:name="_bookmark148"/>
      <w:bookmarkStart w:id="126" w:name="_bookmark150"/>
      <w:bookmarkEnd w:id="125"/>
      <w:bookmarkEnd w:id="126"/>
    </w:p>
    <w:p w14:paraId="1C34E8CD" w14:textId="77777777" w:rsidR="004C558F" w:rsidRDefault="00461887">
      <w:pPr>
        <w:pStyle w:val="BodyText"/>
        <w:spacing w:before="80" w:line="276" w:lineRule="auto"/>
        <w:ind w:left="959" w:right="752"/>
      </w:pPr>
      <w:r>
        <w:lastRenderedPageBreak/>
        <w:t>and</w:t>
      </w:r>
      <w:r>
        <w:rPr>
          <w:spacing w:val="-4"/>
        </w:rPr>
        <w:t xml:space="preserve"> </w:t>
      </w:r>
      <w:r>
        <w:t>service</w:t>
      </w:r>
      <w:r>
        <w:rPr>
          <w:spacing w:val="-4"/>
        </w:rPr>
        <w:t xml:space="preserve"> </w:t>
      </w:r>
      <w:r>
        <w:t>mix,</w:t>
      </w:r>
      <w:r>
        <w:rPr>
          <w:spacing w:val="-2"/>
        </w:rPr>
        <w:t xml:space="preserve"> </w:t>
      </w:r>
      <w:r>
        <w:t>which</w:t>
      </w:r>
      <w:r>
        <w:rPr>
          <w:spacing w:val="-4"/>
        </w:rPr>
        <w:t xml:space="preserve"> </w:t>
      </w:r>
      <w:r>
        <w:t>adjusted</w:t>
      </w:r>
      <w:r>
        <w:rPr>
          <w:spacing w:val="-1"/>
        </w:rPr>
        <w:t xml:space="preserve"> </w:t>
      </w:r>
      <w:r>
        <w:t>prices</w:t>
      </w:r>
      <w:r>
        <w:rPr>
          <w:spacing w:val="-4"/>
        </w:rPr>
        <w:t xml:space="preserve"> </w:t>
      </w:r>
      <w:r>
        <w:t>for</w:t>
      </w:r>
      <w:r>
        <w:rPr>
          <w:spacing w:val="-3"/>
        </w:rPr>
        <w:t xml:space="preserve"> </w:t>
      </w:r>
      <w:r>
        <w:t>the</w:t>
      </w:r>
      <w:r>
        <w:rPr>
          <w:spacing w:val="-2"/>
        </w:rPr>
        <w:t xml:space="preserve"> </w:t>
      </w:r>
      <w:r>
        <w:t>mix</w:t>
      </w:r>
      <w:r>
        <w:rPr>
          <w:spacing w:val="-5"/>
        </w:rPr>
        <w:t xml:space="preserve"> </w:t>
      </w:r>
      <w:r>
        <w:t>of</w:t>
      </w:r>
      <w:r>
        <w:rPr>
          <w:spacing w:val="-4"/>
        </w:rPr>
        <w:t xml:space="preserve"> </w:t>
      </w:r>
      <w:r>
        <w:t>services</w:t>
      </w:r>
      <w:r>
        <w:rPr>
          <w:spacing w:val="-4"/>
        </w:rPr>
        <w:t xml:space="preserve"> </w:t>
      </w:r>
      <w:r>
        <w:t>within</w:t>
      </w:r>
      <w:r>
        <w:rPr>
          <w:spacing w:val="-2"/>
        </w:rPr>
        <w:t xml:space="preserve"> </w:t>
      </w:r>
      <w:r>
        <w:t>each</w:t>
      </w:r>
      <w:r>
        <w:rPr>
          <w:spacing w:val="-2"/>
        </w:rPr>
        <w:t xml:space="preserve"> </w:t>
      </w:r>
      <w:r>
        <w:t>outpatient</w:t>
      </w:r>
      <w:r>
        <w:rPr>
          <w:spacing w:val="-3"/>
        </w:rPr>
        <w:t xml:space="preserve"> </w:t>
      </w:r>
      <w:r>
        <w:t>cluster</w:t>
      </w:r>
      <w:r>
        <w:rPr>
          <w:spacing w:val="-3"/>
        </w:rPr>
        <w:t xml:space="preserve"> </w:t>
      </w:r>
      <w:r>
        <w:t>that might shift from each other provider to DFCI or BIDMC.</w:t>
      </w:r>
    </w:p>
    <w:p w14:paraId="1C34E8CE" w14:textId="77777777" w:rsidR="004C558F" w:rsidRDefault="004C558F">
      <w:pPr>
        <w:pStyle w:val="BodyText"/>
        <w:spacing w:before="38"/>
      </w:pPr>
    </w:p>
    <w:p w14:paraId="1C34E8CF" w14:textId="7CF2F573" w:rsidR="004C558F" w:rsidRDefault="00461887">
      <w:pPr>
        <w:pStyle w:val="BodyText"/>
        <w:spacing w:line="276" w:lineRule="auto"/>
        <w:ind w:left="960" w:right="943" w:firstLine="720"/>
      </w:pPr>
      <w:r>
        <w:t>As</w:t>
      </w:r>
      <w:r>
        <w:rPr>
          <w:spacing w:val="-3"/>
        </w:rPr>
        <w:t xml:space="preserve"> </w:t>
      </w:r>
      <w:r>
        <w:t>discussed</w:t>
      </w:r>
      <w:r>
        <w:rPr>
          <w:spacing w:val="-2"/>
        </w:rPr>
        <w:t xml:space="preserve"> </w:t>
      </w:r>
      <w:r>
        <w:t>in</w:t>
      </w:r>
      <w:r>
        <w:rPr>
          <w:spacing w:val="-3"/>
        </w:rPr>
        <w:t xml:space="preserve"> </w:t>
      </w:r>
      <w:r>
        <w:t>Section</w:t>
      </w:r>
      <w:r>
        <w:rPr>
          <w:spacing w:val="-3"/>
        </w:rPr>
        <w:t xml:space="preserve"> </w:t>
      </w:r>
      <w:r>
        <w:t>III.A.4,</w:t>
      </w:r>
      <w:r>
        <w:rPr>
          <w:spacing w:val="-3"/>
        </w:rPr>
        <w:t xml:space="preserve"> </w:t>
      </w:r>
      <w:r>
        <w:t>DFCI</w:t>
      </w:r>
      <w:r>
        <w:rPr>
          <w:spacing w:val="-3"/>
        </w:rPr>
        <w:t xml:space="preserve"> </w:t>
      </w:r>
      <w:r>
        <w:t>commercial</w:t>
      </w:r>
      <w:r>
        <w:rPr>
          <w:spacing w:val="-4"/>
        </w:rPr>
        <w:t xml:space="preserve"> </w:t>
      </w:r>
      <w:r>
        <w:t>outpatient</w:t>
      </w:r>
      <w:r>
        <w:rPr>
          <w:spacing w:val="-4"/>
        </w:rPr>
        <w:t xml:space="preserve"> </w:t>
      </w:r>
      <w:r>
        <w:t>prices</w:t>
      </w:r>
      <w:r>
        <w:rPr>
          <w:spacing w:val="-3"/>
        </w:rPr>
        <w:t xml:space="preserve"> </w:t>
      </w:r>
      <w:r>
        <w:t>are</w:t>
      </w:r>
      <w:r>
        <w:rPr>
          <w:spacing w:val="-5"/>
        </w:rPr>
        <w:t xml:space="preserve"> </w:t>
      </w:r>
      <w:r>
        <w:t>higher</w:t>
      </w:r>
      <w:r>
        <w:rPr>
          <w:spacing w:val="-4"/>
        </w:rPr>
        <w:t xml:space="preserve"> </w:t>
      </w:r>
      <w:r>
        <w:t>than</w:t>
      </w:r>
      <w:r>
        <w:rPr>
          <w:spacing w:val="-3"/>
        </w:rPr>
        <w:t xml:space="preserve"> </w:t>
      </w:r>
      <w:r>
        <w:t>those</w:t>
      </w:r>
      <w:r>
        <w:rPr>
          <w:spacing w:val="-3"/>
        </w:rPr>
        <w:t xml:space="preserve"> </w:t>
      </w:r>
      <w:r>
        <w:t>of BIDMC and higher than the average outpatient facility for most service lines.</w:t>
      </w:r>
      <w:r>
        <w:rPr>
          <w:spacing w:val="-33"/>
        </w:rPr>
        <w:t xml:space="preserve"> </w:t>
      </w:r>
      <w:r w:rsidR="000920A4">
        <w:rPr>
          <w:rStyle w:val="FootnoteReference"/>
          <w:spacing w:val="-33"/>
        </w:rPr>
        <w:footnoteReference w:id="129"/>
      </w:r>
      <w:r>
        <w:t xml:space="preserve">DFCI prices are especially high for oncologic drugs, with average prices more than twice those of BIDMC. If BIDMC’s current oncologic drug volume were delivered by DFCI </w:t>
      </w:r>
      <w:proofErr w:type="gramStart"/>
      <w:r>
        <w:t>as a result of</w:t>
      </w:r>
      <w:proofErr w:type="gramEnd"/>
      <w:r>
        <w:t xml:space="preserve"> the transaction,</w:t>
      </w:r>
    </w:p>
    <w:p w14:paraId="1C34E8D0" w14:textId="77777777" w:rsidR="004C558F" w:rsidRDefault="00461887">
      <w:pPr>
        <w:pStyle w:val="BodyText"/>
        <w:spacing w:line="249" w:lineRule="exact"/>
        <w:ind w:left="960"/>
      </w:pPr>
      <w:r>
        <w:t>DFCI’s</w:t>
      </w:r>
      <w:r>
        <w:rPr>
          <w:spacing w:val="-4"/>
        </w:rPr>
        <w:t xml:space="preserve"> </w:t>
      </w:r>
      <w:r>
        <w:t>higher</w:t>
      </w:r>
      <w:r>
        <w:rPr>
          <w:spacing w:val="-5"/>
        </w:rPr>
        <w:t xml:space="preserve"> </w:t>
      </w:r>
      <w:r>
        <w:t>drug</w:t>
      </w:r>
      <w:r>
        <w:rPr>
          <w:spacing w:val="-5"/>
        </w:rPr>
        <w:t xml:space="preserve"> </w:t>
      </w:r>
      <w:r>
        <w:t>prices</w:t>
      </w:r>
      <w:r>
        <w:rPr>
          <w:spacing w:val="-8"/>
        </w:rPr>
        <w:t xml:space="preserve"> </w:t>
      </w:r>
      <w:r>
        <w:t>alone</w:t>
      </w:r>
      <w:r>
        <w:rPr>
          <w:spacing w:val="-6"/>
        </w:rPr>
        <w:t xml:space="preserve"> </w:t>
      </w:r>
      <w:r>
        <w:t>would</w:t>
      </w:r>
      <w:r>
        <w:rPr>
          <w:spacing w:val="-3"/>
        </w:rPr>
        <w:t xml:space="preserve"> </w:t>
      </w:r>
      <w:r>
        <w:t>increase</w:t>
      </w:r>
      <w:r>
        <w:rPr>
          <w:spacing w:val="-4"/>
        </w:rPr>
        <w:t xml:space="preserve"> </w:t>
      </w:r>
      <w:r>
        <w:t>annual</w:t>
      </w:r>
      <w:r>
        <w:rPr>
          <w:spacing w:val="-5"/>
        </w:rPr>
        <w:t xml:space="preserve"> </w:t>
      </w:r>
      <w:r>
        <w:t>commercial</w:t>
      </w:r>
      <w:r>
        <w:rPr>
          <w:spacing w:val="-7"/>
        </w:rPr>
        <w:t xml:space="preserve"> </w:t>
      </w:r>
      <w:r>
        <w:t>spending</w:t>
      </w:r>
      <w:r>
        <w:rPr>
          <w:spacing w:val="-7"/>
        </w:rPr>
        <w:t xml:space="preserve"> </w:t>
      </w:r>
      <w:r>
        <w:t>by</w:t>
      </w:r>
      <w:r>
        <w:rPr>
          <w:spacing w:val="-4"/>
        </w:rPr>
        <w:t xml:space="preserve"> </w:t>
      </w:r>
      <w:r>
        <w:rPr>
          <w:spacing w:val="-2"/>
        </w:rPr>
        <w:t>$26.5</w:t>
      </w:r>
    </w:p>
    <w:p w14:paraId="1C34E8D1" w14:textId="1FB456E0" w:rsidR="004C558F" w:rsidRDefault="00461887">
      <w:pPr>
        <w:pStyle w:val="BodyText"/>
        <w:spacing w:before="36" w:line="276" w:lineRule="auto"/>
        <w:ind w:left="959" w:right="1290" w:hanging="1"/>
      </w:pPr>
      <w:r>
        <w:t>million.</w:t>
      </w:r>
      <w:r w:rsidR="002B3A96">
        <w:rPr>
          <w:rStyle w:val="FootnoteReference"/>
        </w:rPr>
        <w:footnoteReference w:id="130"/>
      </w:r>
      <w:r>
        <w:rPr>
          <w:position w:val="5"/>
          <w:sz w:val="14"/>
        </w:rPr>
        <w:t>,</w:t>
      </w:r>
      <w:r>
        <w:rPr>
          <w:spacing w:val="-15"/>
          <w:position w:val="5"/>
          <w:sz w:val="14"/>
        </w:rPr>
        <w:t xml:space="preserve"> </w:t>
      </w:r>
      <w:r w:rsidR="002B3A96">
        <w:rPr>
          <w:rStyle w:val="FootnoteReference"/>
          <w:spacing w:val="-15"/>
          <w:position w:val="5"/>
          <w:sz w:val="14"/>
        </w:rPr>
        <w:footnoteReference w:id="131"/>
      </w:r>
      <w:r>
        <w:t>This</w:t>
      </w:r>
      <w:r>
        <w:rPr>
          <w:spacing w:val="-3"/>
        </w:rPr>
        <w:t xml:space="preserve"> </w:t>
      </w:r>
      <w:r>
        <w:t>spending</w:t>
      </w:r>
      <w:r>
        <w:rPr>
          <w:spacing w:val="-4"/>
        </w:rPr>
        <w:t xml:space="preserve"> </w:t>
      </w:r>
      <w:r>
        <w:t>impact</w:t>
      </w:r>
      <w:r>
        <w:rPr>
          <w:spacing w:val="-4"/>
        </w:rPr>
        <w:t xml:space="preserve"> </w:t>
      </w:r>
      <w:r>
        <w:t>would</w:t>
      </w:r>
      <w:r>
        <w:rPr>
          <w:spacing w:val="-2"/>
        </w:rPr>
        <w:t xml:space="preserve"> </w:t>
      </w:r>
      <w:r>
        <w:t>be</w:t>
      </w:r>
      <w:r>
        <w:rPr>
          <w:spacing w:val="-3"/>
        </w:rPr>
        <w:t xml:space="preserve"> </w:t>
      </w:r>
      <w:r>
        <w:t>realized</w:t>
      </w:r>
      <w:r>
        <w:rPr>
          <w:spacing w:val="-2"/>
        </w:rPr>
        <w:t xml:space="preserve"> </w:t>
      </w:r>
      <w:r>
        <w:t>immediately</w:t>
      </w:r>
      <w:r>
        <w:rPr>
          <w:spacing w:val="-4"/>
        </w:rPr>
        <w:t xml:space="preserve"> </w:t>
      </w:r>
      <w:r>
        <w:t>and</w:t>
      </w:r>
      <w:r>
        <w:rPr>
          <w:spacing w:val="-5"/>
        </w:rPr>
        <w:t xml:space="preserve"> </w:t>
      </w:r>
      <w:r>
        <w:t>automatically</w:t>
      </w:r>
      <w:r>
        <w:rPr>
          <w:spacing w:val="-4"/>
        </w:rPr>
        <w:t xml:space="preserve"> </w:t>
      </w:r>
      <w:r>
        <w:t>if</w:t>
      </w:r>
      <w:r>
        <w:rPr>
          <w:spacing w:val="-2"/>
        </w:rPr>
        <w:t xml:space="preserve"> </w:t>
      </w:r>
      <w:r>
        <w:t xml:space="preserve">BIDMC and HMFP </w:t>
      </w:r>
      <w:proofErr w:type="gramStart"/>
      <w:r>
        <w:t>stop</w:t>
      </w:r>
      <w:proofErr w:type="gramEnd"/>
      <w:r>
        <w:t xml:space="preserve"> providing medical oncology services and all BIDMC medical oncology volume transitions to DFCI at its current rates under its current contracts.</w:t>
      </w:r>
    </w:p>
    <w:p w14:paraId="1C34E8D2" w14:textId="77777777" w:rsidR="004C558F" w:rsidRDefault="004C558F">
      <w:pPr>
        <w:pStyle w:val="BodyText"/>
        <w:spacing w:before="37"/>
      </w:pPr>
    </w:p>
    <w:p w14:paraId="1C34E8D3" w14:textId="1DA6FF4D" w:rsidR="004C558F" w:rsidRDefault="00461887">
      <w:pPr>
        <w:pStyle w:val="BodyText"/>
        <w:spacing w:line="276" w:lineRule="auto"/>
        <w:ind w:left="959" w:right="1009" w:firstLine="720"/>
        <w:rPr>
          <w:sz w:val="14"/>
        </w:rPr>
      </w:pPr>
      <w:r>
        <w:t>Adding separately reimbursed costs of infusion administration currently provided by BIDMC would increase spending by a further $1.5 million.</w:t>
      </w:r>
      <w:r>
        <w:rPr>
          <w:spacing w:val="-33"/>
        </w:rPr>
        <w:t xml:space="preserve"> </w:t>
      </w:r>
      <w:r w:rsidR="00521A76">
        <w:rPr>
          <w:rStyle w:val="FootnoteReference"/>
          <w:spacing w:val="-33"/>
        </w:rPr>
        <w:footnoteReference w:id="132"/>
      </w:r>
      <w:r>
        <w:t>To the extent DFCI gains any additional outpatient medical oncology volume post-transaction, these shifts would also increase spending,</w:t>
      </w:r>
      <w:r>
        <w:rPr>
          <w:spacing w:val="-4"/>
        </w:rPr>
        <w:t xml:space="preserve"> </w:t>
      </w:r>
      <w:r>
        <w:t>as</w:t>
      </w:r>
      <w:r>
        <w:rPr>
          <w:spacing w:val="-3"/>
        </w:rPr>
        <w:t xml:space="preserve"> </w:t>
      </w:r>
      <w:r>
        <w:t>DFCI’s</w:t>
      </w:r>
      <w:r>
        <w:rPr>
          <w:spacing w:val="-1"/>
        </w:rPr>
        <w:t xml:space="preserve"> </w:t>
      </w:r>
      <w:r>
        <w:t>commercial</w:t>
      </w:r>
      <w:r>
        <w:rPr>
          <w:spacing w:val="-2"/>
        </w:rPr>
        <w:t xml:space="preserve"> </w:t>
      </w:r>
      <w:r>
        <w:t>rates</w:t>
      </w:r>
      <w:r>
        <w:rPr>
          <w:spacing w:val="-3"/>
        </w:rPr>
        <w:t xml:space="preserve"> </w:t>
      </w:r>
      <w:r>
        <w:t>for</w:t>
      </w:r>
      <w:r>
        <w:rPr>
          <w:spacing w:val="-2"/>
        </w:rPr>
        <w:t xml:space="preserve"> </w:t>
      </w:r>
      <w:r>
        <w:t>these</w:t>
      </w:r>
      <w:r>
        <w:rPr>
          <w:spacing w:val="-3"/>
        </w:rPr>
        <w:t xml:space="preserve"> </w:t>
      </w:r>
      <w:r>
        <w:t>services</w:t>
      </w:r>
      <w:r>
        <w:rPr>
          <w:spacing w:val="-1"/>
        </w:rPr>
        <w:t xml:space="preserve"> </w:t>
      </w:r>
      <w:r>
        <w:t>are</w:t>
      </w:r>
      <w:r>
        <w:rPr>
          <w:spacing w:val="-1"/>
        </w:rPr>
        <w:t xml:space="preserve"> </w:t>
      </w:r>
      <w:r>
        <w:t>the</w:t>
      </w:r>
      <w:r>
        <w:rPr>
          <w:spacing w:val="-3"/>
        </w:rPr>
        <w:t xml:space="preserve"> </w:t>
      </w:r>
      <w:r>
        <w:t>highest</w:t>
      </w:r>
      <w:r>
        <w:rPr>
          <w:spacing w:val="-2"/>
        </w:rPr>
        <w:t xml:space="preserve"> </w:t>
      </w:r>
      <w:r>
        <w:t>in</w:t>
      </w:r>
      <w:r>
        <w:rPr>
          <w:spacing w:val="-1"/>
        </w:rPr>
        <w:t xml:space="preserve"> </w:t>
      </w:r>
      <w:r>
        <w:t>the</w:t>
      </w:r>
      <w:r>
        <w:rPr>
          <w:spacing w:val="-1"/>
        </w:rPr>
        <w:t xml:space="preserve"> </w:t>
      </w:r>
      <w:r>
        <w:t>Commonwealth.</w:t>
      </w:r>
      <w:r w:rsidR="00E97B7C">
        <w:rPr>
          <w:rStyle w:val="FootnoteReference"/>
        </w:rPr>
        <w:footnoteReference w:id="133"/>
      </w:r>
      <w:r w:rsidR="00E97B7C">
        <w:rPr>
          <w:sz w:val="14"/>
        </w:rPr>
        <w:t xml:space="preserve"> </w:t>
      </w:r>
    </w:p>
    <w:p w14:paraId="1C34E8D4" w14:textId="77777777" w:rsidR="004C558F" w:rsidRDefault="004C558F">
      <w:pPr>
        <w:pStyle w:val="BodyText"/>
        <w:spacing w:before="39"/>
      </w:pPr>
    </w:p>
    <w:p w14:paraId="1C34E8D5" w14:textId="69AA490B" w:rsidR="004C558F" w:rsidRDefault="00461887">
      <w:pPr>
        <w:pStyle w:val="BodyText"/>
        <w:spacing w:line="276" w:lineRule="auto"/>
        <w:ind w:left="959" w:right="991" w:firstLine="720"/>
      </w:pPr>
      <w:r>
        <w:t>BIDMC and DFCI plan to transition their radiation oncology services to a JV after the transaction. While prices for the JV would be determined by future negotiations, the parties’ current prices for radiation oncology service may be indicative of the future JV prices. DFCI’s current commercial radiation oncology prices are 39% higher than BIDMC’s prices.</w:t>
      </w:r>
      <w:r w:rsidR="00E97B7C">
        <w:rPr>
          <w:rStyle w:val="FootnoteReference"/>
        </w:rPr>
        <w:footnoteReference w:id="134"/>
      </w:r>
      <w:r>
        <w:rPr>
          <w:spacing w:val="24"/>
          <w:position w:val="5"/>
          <w:sz w:val="14"/>
        </w:rPr>
        <w:t xml:space="preserve"> </w:t>
      </w:r>
      <w:r>
        <w:t>If services provided</w:t>
      </w:r>
      <w:r>
        <w:rPr>
          <w:spacing w:val="-1"/>
        </w:rPr>
        <w:t xml:space="preserve"> </w:t>
      </w:r>
      <w:r>
        <w:t>by</w:t>
      </w:r>
      <w:r>
        <w:rPr>
          <w:spacing w:val="-3"/>
        </w:rPr>
        <w:t xml:space="preserve"> </w:t>
      </w:r>
      <w:r>
        <w:t>the</w:t>
      </w:r>
      <w:r>
        <w:rPr>
          <w:spacing w:val="-2"/>
        </w:rPr>
        <w:t xml:space="preserve"> </w:t>
      </w:r>
      <w:r>
        <w:t>JV</w:t>
      </w:r>
      <w:r>
        <w:rPr>
          <w:spacing w:val="-3"/>
        </w:rPr>
        <w:t xml:space="preserve"> </w:t>
      </w:r>
      <w:r>
        <w:t>were</w:t>
      </w:r>
      <w:r>
        <w:rPr>
          <w:spacing w:val="-2"/>
        </w:rPr>
        <w:t xml:space="preserve"> </w:t>
      </w:r>
      <w:r>
        <w:t>priced</w:t>
      </w:r>
      <w:r>
        <w:rPr>
          <w:spacing w:val="-4"/>
        </w:rPr>
        <w:t xml:space="preserve"> </w:t>
      </w:r>
      <w:r>
        <w:t>similarly</w:t>
      </w:r>
      <w:r>
        <w:rPr>
          <w:spacing w:val="-3"/>
        </w:rPr>
        <w:t xml:space="preserve"> </w:t>
      </w:r>
      <w:r>
        <w:t>to</w:t>
      </w:r>
      <w:r>
        <w:rPr>
          <w:spacing w:val="-4"/>
        </w:rPr>
        <w:t xml:space="preserve"> </w:t>
      </w:r>
      <w:r>
        <w:t>DFCI’s</w:t>
      </w:r>
      <w:r>
        <w:rPr>
          <w:spacing w:val="-4"/>
        </w:rPr>
        <w:t xml:space="preserve"> </w:t>
      </w:r>
      <w:r>
        <w:t>current</w:t>
      </w:r>
      <w:r>
        <w:rPr>
          <w:spacing w:val="-3"/>
        </w:rPr>
        <w:t xml:space="preserve"> </w:t>
      </w:r>
      <w:r>
        <w:t>radiation</w:t>
      </w:r>
      <w:r>
        <w:rPr>
          <w:spacing w:val="-4"/>
        </w:rPr>
        <w:t xml:space="preserve"> </w:t>
      </w:r>
      <w:r>
        <w:t>oncology</w:t>
      </w:r>
      <w:r>
        <w:rPr>
          <w:spacing w:val="-3"/>
        </w:rPr>
        <w:t xml:space="preserve"> </w:t>
      </w:r>
      <w:r>
        <w:t>prices,</w:t>
      </w:r>
      <w:r>
        <w:rPr>
          <w:spacing w:val="-2"/>
        </w:rPr>
        <w:t xml:space="preserve"> </w:t>
      </w:r>
      <w:r>
        <w:t>the</w:t>
      </w:r>
      <w:r>
        <w:rPr>
          <w:spacing w:val="-2"/>
        </w:rPr>
        <w:t xml:space="preserve"> </w:t>
      </w:r>
      <w:r>
        <w:t>transition of services from BIDMC to the JV would increase annual commercial spending by $4.6 million.</w:t>
      </w:r>
    </w:p>
    <w:p w14:paraId="1C34E8D6" w14:textId="1009597D" w:rsidR="004C558F" w:rsidRDefault="004C558F">
      <w:pPr>
        <w:pStyle w:val="BodyText"/>
        <w:spacing w:before="109"/>
        <w:rPr>
          <w:sz w:val="20"/>
        </w:rPr>
      </w:pPr>
    </w:p>
    <w:p w14:paraId="1C34E8DF" w14:textId="0CE41793" w:rsidR="004C558F" w:rsidRDefault="00461887">
      <w:pPr>
        <w:pStyle w:val="BodyText"/>
        <w:spacing w:before="88" w:line="276" w:lineRule="auto"/>
        <w:ind w:left="959" w:right="1034" w:firstLine="720"/>
        <w:rPr>
          <w:sz w:val="14"/>
        </w:rPr>
      </w:pPr>
      <w:bookmarkStart w:id="127" w:name="_bookmark152"/>
      <w:bookmarkStart w:id="128" w:name="_bookmark155"/>
      <w:bookmarkStart w:id="129" w:name="_bookmark157"/>
      <w:bookmarkEnd w:id="127"/>
      <w:bookmarkEnd w:id="128"/>
      <w:bookmarkEnd w:id="129"/>
      <w:r>
        <w:lastRenderedPageBreak/>
        <w:t>After the transaction, BIDMC and DFCI plan to provide diagnostic radiology, laboratory, and pathology for cancer patients as a coordinated service, with each hospital billing for outpatient services that take place at their respective facilities. The parties anticipate that some of these ancillary services may shift from BWH and other providers to both DFCI and BIDM</w:t>
      </w:r>
      <w:bookmarkStart w:id="130" w:name="_bookmark158"/>
      <w:bookmarkEnd w:id="130"/>
      <w:r>
        <w:t>C.</w:t>
      </w:r>
      <w:r>
        <w:rPr>
          <w:spacing w:val="-34"/>
        </w:rPr>
        <w:t xml:space="preserve"> </w:t>
      </w:r>
      <w:r w:rsidR="00D14D7B">
        <w:rPr>
          <w:rStyle w:val="FootnoteReference"/>
          <w:spacing w:val="-34"/>
        </w:rPr>
        <w:footnoteReference w:id="135"/>
      </w:r>
      <w:r>
        <w:t>Depending</w:t>
      </w:r>
      <w:r>
        <w:rPr>
          <w:spacing w:val="-3"/>
        </w:rPr>
        <w:t xml:space="preserve"> </w:t>
      </w:r>
      <w:r>
        <w:t>on</w:t>
      </w:r>
      <w:r>
        <w:rPr>
          <w:spacing w:val="-2"/>
        </w:rPr>
        <w:t xml:space="preserve"> </w:t>
      </w:r>
      <w:r>
        <w:t>the</w:t>
      </w:r>
      <w:r>
        <w:rPr>
          <w:spacing w:val="-2"/>
        </w:rPr>
        <w:t xml:space="preserve"> </w:t>
      </w:r>
      <w:r>
        <w:t>ancillary</w:t>
      </w:r>
      <w:r>
        <w:rPr>
          <w:spacing w:val="-3"/>
        </w:rPr>
        <w:t xml:space="preserve"> </w:t>
      </w:r>
      <w:r>
        <w:t>service</w:t>
      </w:r>
      <w:r>
        <w:rPr>
          <w:spacing w:val="-2"/>
        </w:rPr>
        <w:t xml:space="preserve"> </w:t>
      </w:r>
      <w:r>
        <w:t>line,</w:t>
      </w:r>
      <w:r>
        <w:rPr>
          <w:spacing w:val="-5"/>
        </w:rPr>
        <w:t xml:space="preserve"> </w:t>
      </w:r>
      <w:r>
        <w:t>DFCI</w:t>
      </w:r>
      <w:r>
        <w:rPr>
          <w:spacing w:val="-2"/>
        </w:rPr>
        <w:t xml:space="preserve"> </w:t>
      </w:r>
      <w:r>
        <w:t>outpatient</w:t>
      </w:r>
      <w:r>
        <w:rPr>
          <w:spacing w:val="-3"/>
        </w:rPr>
        <w:t xml:space="preserve"> </w:t>
      </w:r>
      <w:r>
        <w:t>hospital</w:t>
      </w:r>
      <w:r>
        <w:rPr>
          <w:spacing w:val="-3"/>
        </w:rPr>
        <w:t xml:space="preserve"> </w:t>
      </w:r>
      <w:r>
        <w:t>prices</w:t>
      </w:r>
      <w:r>
        <w:rPr>
          <w:spacing w:val="-4"/>
        </w:rPr>
        <w:t xml:space="preserve"> </w:t>
      </w:r>
      <w:r>
        <w:t>are</w:t>
      </w:r>
      <w:r>
        <w:rPr>
          <w:spacing w:val="-2"/>
        </w:rPr>
        <w:t xml:space="preserve"> </w:t>
      </w:r>
      <w:r>
        <w:t>between</w:t>
      </w:r>
      <w:r>
        <w:rPr>
          <w:spacing w:val="-2"/>
        </w:rPr>
        <w:t xml:space="preserve"> </w:t>
      </w:r>
      <w:r>
        <w:t>8%</w:t>
      </w:r>
      <w:r>
        <w:rPr>
          <w:spacing w:val="-5"/>
        </w:rPr>
        <w:t xml:space="preserve"> </w:t>
      </w:r>
      <w:r>
        <w:t>and</w:t>
      </w:r>
      <w:r>
        <w:rPr>
          <w:spacing w:val="-1"/>
        </w:rPr>
        <w:t xml:space="preserve"> </w:t>
      </w:r>
      <w:r>
        <w:t>93% higher than BIDMC prices, and between 3% lower and 65% higher than BWH prices.</w:t>
      </w:r>
      <w:r>
        <w:rPr>
          <w:spacing w:val="-34"/>
        </w:rPr>
        <w:t xml:space="preserve"> </w:t>
      </w:r>
      <w:r w:rsidR="000A6FB8">
        <w:rPr>
          <w:rStyle w:val="FootnoteReference"/>
          <w:spacing w:val="-34"/>
        </w:rPr>
        <w:footnoteReference w:id="136"/>
      </w:r>
      <w:r>
        <w:t>We estimate that if some of the most common outpatient oncology-related radiology and laboratory and pathology services were to shift from BWH to DFCI and BIDMC, commercial spending would increase by approximately $500k.</w:t>
      </w:r>
      <w:r w:rsidR="000A6FB8">
        <w:rPr>
          <w:rStyle w:val="FootnoteReference"/>
        </w:rPr>
        <w:footnoteReference w:id="137"/>
      </w:r>
      <w:r w:rsidR="000A6FB8">
        <w:rPr>
          <w:sz w:val="14"/>
        </w:rPr>
        <w:t xml:space="preserve"> </w:t>
      </w:r>
    </w:p>
    <w:p w14:paraId="1C34E8E0" w14:textId="77777777" w:rsidR="004C558F" w:rsidRDefault="004C558F">
      <w:pPr>
        <w:pStyle w:val="BodyText"/>
        <w:spacing w:before="36"/>
      </w:pPr>
    </w:p>
    <w:p w14:paraId="1C34E8E1" w14:textId="203DA3E4" w:rsidR="004C558F" w:rsidRDefault="00461887">
      <w:pPr>
        <w:pStyle w:val="BodyText"/>
        <w:spacing w:line="276" w:lineRule="auto"/>
        <w:ind w:left="959" w:right="1092" w:firstLine="720"/>
        <w:rPr>
          <w:sz w:val="14"/>
        </w:rPr>
      </w:pPr>
      <w:r>
        <w:t xml:space="preserve">Spending for outpatient medical oncologist consultations would also likely change as HMFP oncologists </w:t>
      </w:r>
      <w:proofErr w:type="gramStart"/>
      <w:r>
        <w:t>currently</w:t>
      </w:r>
      <w:proofErr w:type="gramEnd"/>
      <w:r>
        <w:t xml:space="preserve"> practicing at BIDMC transition to employment by DFCI. To estimate the impact of this transition, we compared commercial prices for evaluation and management (E&amp;M)</w:t>
      </w:r>
      <w:r>
        <w:rPr>
          <w:spacing w:val="-1"/>
        </w:rPr>
        <w:t xml:space="preserve"> </w:t>
      </w:r>
      <w:r>
        <w:t>office</w:t>
      </w:r>
      <w:r>
        <w:rPr>
          <w:spacing w:val="-1"/>
        </w:rPr>
        <w:t xml:space="preserve"> </w:t>
      </w:r>
      <w:r>
        <w:t>visits</w:t>
      </w:r>
      <w:r>
        <w:rPr>
          <w:spacing w:val="-3"/>
        </w:rPr>
        <w:t xml:space="preserve"> </w:t>
      </w:r>
      <w:r>
        <w:t>for</w:t>
      </w:r>
      <w:r>
        <w:rPr>
          <w:spacing w:val="-5"/>
        </w:rPr>
        <w:t xml:space="preserve"> </w:t>
      </w:r>
      <w:r>
        <w:t>BILH</w:t>
      </w:r>
      <w:r>
        <w:rPr>
          <w:spacing w:val="-2"/>
        </w:rPr>
        <w:t xml:space="preserve"> </w:t>
      </w:r>
      <w:r>
        <w:t>and DFCI</w:t>
      </w:r>
      <w:r>
        <w:rPr>
          <w:spacing w:val="-1"/>
        </w:rPr>
        <w:t xml:space="preserve"> </w:t>
      </w:r>
      <w:r>
        <w:t>oncologists,</w:t>
      </w:r>
      <w:r>
        <w:rPr>
          <w:spacing w:val="-3"/>
        </w:rPr>
        <w:t xml:space="preserve"> </w:t>
      </w:r>
      <w:r>
        <w:t>adjusting</w:t>
      </w:r>
      <w:r>
        <w:rPr>
          <w:spacing w:val="-2"/>
        </w:rPr>
        <w:t xml:space="preserve"> </w:t>
      </w:r>
      <w:r>
        <w:t>DFCI’s</w:t>
      </w:r>
      <w:r>
        <w:rPr>
          <w:spacing w:val="-1"/>
        </w:rPr>
        <w:t xml:space="preserve"> </w:t>
      </w:r>
      <w:r>
        <w:t>prices</w:t>
      </w:r>
      <w:r>
        <w:rPr>
          <w:spacing w:val="-1"/>
        </w:rPr>
        <w:t xml:space="preserve"> </w:t>
      </w:r>
      <w:r>
        <w:t>to</w:t>
      </w:r>
      <w:r>
        <w:rPr>
          <w:spacing w:val="-3"/>
        </w:rPr>
        <w:t xml:space="preserve"> </w:t>
      </w:r>
      <w:r>
        <w:t>reflect</w:t>
      </w:r>
      <w:r>
        <w:rPr>
          <w:spacing w:val="-4"/>
        </w:rPr>
        <w:t xml:space="preserve"> </w:t>
      </w:r>
      <w:r>
        <w:t>BILH’s</w:t>
      </w:r>
      <w:r>
        <w:rPr>
          <w:spacing w:val="-1"/>
        </w:rPr>
        <w:t xml:space="preserve"> </w:t>
      </w:r>
      <w:r>
        <w:t>payer and</w:t>
      </w:r>
      <w:r>
        <w:rPr>
          <w:spacing w:val="-4"/>
        </w:rPr>
        <w:t xml:space="preserve"> </w:t>
      </w:r>
      <w:r>
        <w:t>service</w:t>
      </w:r>
      <w:r>
        <w:rPr>
          <w:spacing w:val="-4"/>
        </w:rPr>
        <w:t xml:space="preserve"> </w:t>
      </w:r>
      <w:r>
        <w:t>mix.</w:t>
      </w:r>
      <w:r>
        <w:rPr>
          <w:spacing w:val="-36"/>
        </w:rPr>
        <w:t xml:space="preserve"> </w:t>
      </w:r>
      <w:r w:rsidR="00720136">
        <w:rPr>
          <w:rStyle w:val="FootnoteReference"/>
          <w:spacing w:val="-36"/>
        </w:rPr>
        <w:footnoteReference w:id="138"/>
      </w:r>
      <w:r>
        <w:t>The</w:t>
      </w:r>
      <w:r>
        <w:rPr>
          <w:spacing w:val="-2"/>
        </w:rPr>
        <w:t xml:space="preserve"> </w:t>
      </w:r>
      <w:r>
        <w:t>average</w:t>
      </w:r>
      <w:r>
        <w:rPr>
          <w:spacing w:val="-2"/>
        </w:rPr>
        <w:t xml:space="preserve"> </w:t>
      </w:r>
      <w:r>
        <w:t>price</w:t>
      </w:r>
      <w:r>
        <w:rPr>
          <w:spacing w:val="-4"/>
        </w:rPr>
        <w:t xml:space="preserve"> </w:t>
      </w:r>
      <w:r>
        <w:t>of</w:t>
      </w:r>
      <w:r>
        <w:rPr>
          <w:spacing w:val="-4"/>
        </w:rPr>
        <w:t xml:space="preserve"> </w:t>
      </w:r>
      <w:r>
        <w:t>office</w:t>
      </w:r>
      <w:r>
        <w:rPr>
          <w:spacing w:val="-2"/>
        </w:rPr>
        <w:t xml:space="preserve"> </w:t>
      </w:r>
      <w:r>
        <w:t>visits</w:t>
      </w:r>
      <w:r>
        <w:rPr>
          <w:spacing w:val="-2"/>
        </w:rPr>
        <w:t xml:space="preserve"> </w:t>
      </w:r>
      <w:r>
        <w:t>at</w:t>
      </w:r>
      <w:r>
        <w:rPr>
          <w:spacing w:val="-5"/>
        </w:rPr>
        <w:t xml:space="preserve"> </w:t>
      </w:r>
      <w:r>
        <w:t>DFCI</w:t>
      </w:r>
      <w:r>
        <w:rPr>
          <w:spacing w:val="-2"/>
        </w:rPr>
        <w:t xml:space="preserve"> </w:t>
      </w:r>
      <w:r>
        <w:t>was</w:t>
      </w:r>
      <w:r>
        <w:rPr>
          <w:spacing w:val="-5"/>
        </w:rPr>
        <w:t xml:space="preserve"> </w:t>
      </w:r>
      <w:r>
        <w:t>more</w:t>
      </w:r>
      <w:r>
        <w:rPr>
          <w:spacing w:val="-2"/>
        </w:rPr>
        <w:t xml:space="preserve"> </w:t>
      </w:r>
      <w:r>
        <w:t>than</w:t>
      </w:r>
      <w:r>
        <w:rPr>
          <w:spacing w:val="-2"/>
        </w:rPr>
        <w:t xml:space="preserve"> </w:t>
      </w:r>
      <w:r>
        <w:t>double</w:t>
      </w:r>
      <w:r>
        <w:rPr>
          <w:spacing w:val="-2"/>
        </w:rPr>
        <w:t xml:space="preserve"> </w:t>
      </w:r>
      <w:r>
        <w:t>the</w:t>
      </w:r>
      <w:r>
        <w:rPr>
          <w:spacing w:val="-2"/>
        </w:rPr>
        <w:t xml:space="preserve"> </w:t>
      </w:r>
      <w:r>
        <w:t>average price of office visits with BILH oncologists. HMFP oncologists moving to DFCI prices would increase annual commercial spending by approximately $3.6 million.</w:t>
      </w:r>
      <w:r>
        <w:rPr>
          <w:spacing w:val="-30"/>
        </w:rPr>
        <w:t xml:space="preserve"> </w:t>
      </w:r>
      <w:r w:rsidR="00720136">
        <w:rPr>
          <w:rStyle w:val="FootnoteReference"/>
          <w:spacing w:val="-30"/>
        </w:rPr>
        <w:footnoteReference w:id="139"/>
      </w:r>
    </w:p>
    <w:p w14:paraId="1C34E8E2" w14:textId="77777777" w:rsidR="004C558F" w:rsidRDefault="004C558F">
      <w:pPr>
        <w:pStyle w:val="BodyText"/>
        <w:spacing w:before="37"/>
      </w:pPr>
    </w:p>
    <w:p w14:paraId="1C34E8E3" w14:textId="7EDB8E89" w:rsidR="004C558F" w:rsidRDefault="00461887">
      <w:pPr>
        <w:pStyle w:val="BodyText"/>
        <w:spacing w:line="276" w:lineRule="auto"/>
        <w:ind w:left="960" w:right="1034" w:firstLine="720"/>
        <w:rPr>
          <w:sz w:val="14"/>
        </w:rPr>
      </w:pPr>
      <w:r>
        <w:t>Spending on outpatient surgical oncology would change if DFCI patients begin using BIDMC rather than BWH for outpatient surgical services. BIDMC commercial prices for oncology- related endoscopy and excision procedures are 18% and 22% lower, respectively, than BWH commercial</w:t>
      </w:r>
      <w:r>
        <w:rPr>
          <w:spacing w:val="-3"/>
        </w:rPr>
        <w:t xml:space="preserve"> </w:t>
      </w:r>
      <w:r>
        <w:t>prices.</w:t>
      </w:r>
      <w:r>
        <w:rPr>
          <w:spacing w:val="-2"/>
        </w:rPr>
        <w:t xml:space="preserve"> </w:t>
      </w:r>
      <w:r>
        <w:t>If</w:t>
      </w:r>
      <w:r>
        <w:rPr>
          <w:spacing w:val="-1"/>
        </w:rPr>
        <w:t xml:space="preserve"> </w:t>
      </w:r>
      <w:r>
        <w:t>75%</w:t>
      </w:r>
      <w:r>
        <w:rPr>
          <w:spacing w:val="-5"/>
        </w:rPr>
        <w:t xml:space="preserve"> </w:t>
      </w:r>
      <w:r>
        <w:t>of</w:t>
      </w:r>
      <w:r>
        <w:rPr>
          <w:spacing w:val="-1"/>
        </w:rPr>
        <w:t xml:space="preserve"> </w:t>
      </w:r>
      <w:proofErr w:type="gramStart"/>
      <w:r>
        <w:t>current</w:t>
      </w:r>
      <w:proofErr w:type="gramEnd"/>
      <w:r>
        <w:rPr>
          <w:spacing w:val="-3"/>
        </w:rPr>
        <w:t xml:space="preserve"> </w:t>
      </w:r>
      <w:r>
        <w:t>BWH</w:t>
      </w:r>
      <w:r>
        <w:rPr>
          <w:spacing w:val="-5"/>
        </w:rPr>
        <w:t xml:space="preserve"> </w:t>
      </w:r>
      <w:r>
        <w:t>outpatient</w:t>
      </w:r>
      <w:r>
        <w:rPr>
          <w:spacing w:val="-5"/>
        </w:rPr>
        <w:t xml:space="preserve"> </w:t>
      </w:r>
      <w:r>
        <w:t>volume</w:t>
      </w:r>
      <w:r>
        <w:rPr>
          <w:spacing w:val="-4"/>
        </w:rPr>
        <w:t xml:space="preserve"> </w:t>
      </w:r>
      <w:r>
        <w:t>for</w:t>
      </w:r>
      <w:r>
        <w:rPr>
          <w:spacing w:val="-3"/>
        </w:rPr>
        <w:t xml:space="preserve"> </w:t>
      </w:r>
      <w:r>
        <w:t>endoscopy</w:t>
      </w:r>
      <w:r>
        <w:rPr>
          <w:spacing w:val="-3"/>
        </w:rPr>
        <w:t xml:space="preserve"> </w:t>
      </w:r>
      <w:r>
        <w:t>and</w:t>
      </w:r>
      <w:r>
        <w:rPr>
          <w:spacing w:val="-1"/>
        </w:rPr>
        <w:t xml:space="preserve"> </w:t>
      </w:r>
      <w:r>
        <w:t>excision</w:t>
      </w:r>
      <w:r>
        <w:rPr>
          <w:spacing w:val="-2"/>
        </w:rPr>
        <w:t xml:space="preserve"> </w:t>
      </w:r>
      <w:r>
        <w:t xml:space="preserve">services were to move to BIDMC, this would reduce annual commercial spending by </w:t>
      </w:r>
      <w:proofErr w:type="gramStart"/>
      <w:r>
        <w:t>$2.4 million, and</w:t>
      </w:r>
      <w:proofErr w:type="gramEnd"/>
      <w:r>
        <w:t xml:space="preserve"> shifts of other outpatient surgical oncology care would likely further reduce spending.</w:t>
      </w:r>
      <w:r w:rsidR="00B268F2">
        <w:rPr>
          <w:rStyle w:val="FootnoteReference"/>
        </w:rPr>
        <w:footnoteReference w:id="140"/>
      </w:r>
      <w:r w:rsidR="00B268F2">
        <w:rPr>
          <w:sz w:val="14"/>
        </w:rPr>
        <w:t xml:space="preserve"> </w:t>
      </w:r>
    </w:p>
    <w:p w14:paraId="1C34E8EB" w14:textId="77777777" w:rsidR="004C558F" w:rsidRDefault="004C558F">
      <w:pPr>
        <w:rPr>
          <w:sz w:val="20"/>
        </w:rPr>
        <w:sectPr w:rsidR="004C558F">
          <w:pgSz w:w="12240" w:h="15840"/>
          <w:pgMar w:top="1640" w:right="740" w:bottom="720" w:left="480" w:header="0" w:footer="521" w:gutter="0"/>
          <w:cols w:space="720"/>
        </w:sectPr>
      </w:pPr>
      <w:bookmarkStart w:id="131" w:name="_bookmark159"/>
      <w:bookmarkStart w:id="132" w:name="_bookmark160"/>
      <w:bookmarkStart w:id="133" w:name="_bookmark162"/>
      <w:bookmarkEnd w:id="131"/>
      <w:bookmarkEnd w:id="132"/>
      <w:bookmarkEnd w:id="133"/>
    </w:p>
    <w:p w14:paraId="1C34E8EC" w14:textId="77777777" w:rsidR="004C558F" w:rsidRDefault="00461887">
      <w:pPr>
        <w:pStyle w:val="BodyText"/>
        <w:spacing w:before="88" w:line="276" w:lineRule="auto"/>
        <w:ind w:left="960" w:right="943" w:firstLine="720"/>
      </w:pPr>
      <w:r>
        <w:lastRenderedPageBreak/>
        <w:t>In</w:t>
      </w:r>
      <w:r>
        <w:rPr>
          <w:spacing w:val="-3"/>
        </w:rPr>
        <w:t xml:space="preserve"> </w:t>
      </w:r>
      <w:r>
        <w:t>total,</w:t>
      </w:r>
      <w:r>
        <w:rPr>
          <w:spacing w:val="-3"/>
        </w:rPr>
        <w:t xml:space="preserve"> </w:t>
      </w:r>
      <w:r>
        <w:t>the</w:t>
      </w:r>
      <w:r>
        <w:rPr>
          <w:spacing w:val="-3"/>
        </w:rPr>
        <w:t xml:space="preserve"> </w:t>
      </w:r>
      <w:r>
        <w:t>HPC</w:t>
      </w:r>
      <w:r>
        <w:rPr>
          <w:spacing w:val="-4"/>
        </w:rPr>
        <w:t xml:space="preserve"> </w:t>
      </w:r>
      <w:r>
        <w:t>estimates</w:t>
      </w:r>
      <w:r>
        <w:rPr>
          <w:spacing w:val="-2"/>
        </w:rPr>
        <w:t xml:space="preserve"> </w:t>
      </w:r>
      <w:r>
        <w:t>commercial</w:t>
      </w:r>
      <w:r>
        <w:rPr>
          <w:spacing w:val="-4"/>
        </w:rPr>
        <w:t xml:space="preserve"> </w:t>
      </w:r>
      <w:r>
        <w:t>outpatient</w:t>
      </w:r>
      <w:r>
        <w:rPr>
          <w:spacing w:val="-6"/>
        </w:rPr>
        <w:t xml:space="preserve"> </w:t>
      </w:r>
      <w:r>
        <w:t>spending</w:t>
      </w:r>
      <w:r>
        <w:rPr>
          <w:spacing w:val="-4"/>
        </w:rPr>
        <w:t xml:space="preserve"> </w:t>
      </w:r>
      <w:r>
        <w:t>would</w:t>
      </w:r>
      <w:r>
        <w:rPr>
          <w:spacing w:val="-2"/>
        </w:rPr>
        <w:t xml:space="preserve"> </w:t>
      </w:r>
      <w:r>
        <w:t>likely</w:t>
      </w:r>
      <w:r>
        <w:rPr>
          <w:spacing w:val="-4"/>
        </w:rPr>
        <w:t xml:space="preserve"> </w:t>
      </w:r>
      <w:r>
        <w:t>increase</w:t>
      </w:r>
      <w:r>
        <w:rPr>
          <w:spacing w:val="-3"/>
        </w:rPr>
        <w:t xml:space="preserve"> </w:t>
      </w:r>
      <w:r>
        <w:t>by</w:t>
      </w:r>
      <w:r>
        <w:rPr>
          <w:spacing w:val="-6"/>
        </w:rPr>
        <w:t xml:space="preserve"> </w:t>
      </w:r>
      <w:r>
        <w:t>more than</w:t>
      </w:r>
      <w:r>
        <w:rPr>
          <w:spacing w:val="-2"/>
        </w:rPr>
        <w:t xml:space="preserve"> </w:t>
      </w:r>
      <w:r>
        <w:t>$39</w:t>
      </w:r>
      <w:r>
        <w:rPr>
          <w:spacing w:val="-2"/>
        </w:rPr>
        <w:t xml:space="preserve"> </w:t>
      </w:r>
      <w:r>
        <w:t>million</w:t>
      </w:r>
      <w:r>
        <w:rPr>
          <w:spacing w:val="-2"/>
        </w:rPr>
        <w:t xml:space="preserve"> </w:t>
      </w:r>
      <w:r>
        <w:t>per</w:t>
      </w:r>
      <w:r>
        <w:rPr>
          <w:spacing w:val="-3"/>
        </w:rPr>
        <w:t xml:space="preserve"> </w:t>
      </w:r>
      <w:r>
        <w:t>year</w:t>
      </w:r>
      <w:r>
        <w:rPr>
          <w:spacing w:val="-5"/>
        </w:rPr>
        <w:t xml:space="preserve"> </w:t>
      </w:r>
      <w:r>
        <w:t>for</w:t>
      </w:r>
      <w:r>
        <w:rPr>
          <w:spacing w:val="-3"/>
        </w:rPr>
        <w:t xml:space="preserve"> </w:t>
      </w:r>
      <w:r>
        <w:t>shifts</w:t>
      </w:r>
      <w:r>
        <w:rPr>
          <w:spacing w:val="-4"/>
        </w:rPr>
        <w:t xml:space="preserve"> </w:t>
      </w:r>
      <w:r>
        <w:t>in</w:t>
      </w:r>
      <w:r>
        <w:rPr>
          <w:spacing w:val="-2"/>
        </w:rPr>
        <w:t xml:space="preserve"> </w:t>
      </w:r>
      <w:r>
        <w:t>services</w:t>
      </w:r>
      <w:r>
        <w:rPr>
          <w:spacing w:val="-2"/>
        </w:rPr>
        <w:t xml:space="preserve"> </w:t>
      </w:r>
      <w:r>
        <w:t>the</w:t>
      </w:r>
      <w:r>
        <w:rPr>
          <w:spacing w:val="-2"/>
        </w:rPr>
        <w:t xml:space="preserve"> </w:t>
      </w:r>
      <w:r>
        <w:t>HPC</w:t>
      </w:r>
      <w:r>
        <w:rPr>
          <w:spacing w:val="-3"/>
        </w:rPr>
        <w:t xml:space="preserve"> </w:t>
      </w:r>
      <w:r>
        <w:t>could</w:t>
      </w:r>
      <w:r>
        <w:rPr>
          <w:spacing w:val="-1"/>
        </w:rPr>
        <w:t xml:space="preserve"> </w:t>
      </w:r>
      <w:r>
        <w:t>quantify,</w:t>
      </w:r>
      <w:r>
        <w:rPr>
          <w:spacing w:val="-2"/>
        </w:rPr>
        <w:t xml:space="preserve"> </w:t>
      </w:r>
      <w:r>
        <w:t>as</w:t>
      </w:r>
      <w:r>
        <w:rPr>
          <w:spacing w:val="-2"/>
        </w:rPr>
        <w:t xml:space="preserve"> </w:t>
      </w:r>
      <w:r>
        <w:t>shown</w:t>
      </w:r>
      <w:r>
        <w:rPr>
          <w:spacing w:val="-2"/>
        </w:rPr>
        <w:t xml:space="preserve"> </w:t>
      </w:r>
      <w:r>
        <w:t>in</w:t>
      </w:r>
      <w:r>
        <w:rPr>
          <w:spacing w:val="-2"/>
        </w:rPr>
        <w:t xml:space="preserve"> </w:t>
      </w:r>
      <w:r>
        <w:t>Figure</w:t>
      </w:r>
      <w:r>
        <w:rPr>
          <w:spacing w:val="-2"/>
        </w:rPr>
        <w:t xml:space="preserve"> </w:t>
      </w:r>
      <w:r>
        <w:t>III.A.10. Shifts of outpatient care to DFCI from providers other than those quantified here would likely further increase spending due to DFCI’s high relative prices for outpatient services.</w:t>
      </w:r>
    </w:p>
    <w:p w14:paraId="1C34E8ED" w14:textId="77777777" w:rsidR="004C558F" w:rsidRDefault="004C558F">
      <w:pPr>
        <w:pStyle w:val="BodyText"/>
        <w:spacing w:before="35"/>
      </w:pPr>
    </w:p>
    <w:p w14:paraId="1C34E8EE" w14:textId="77777777" w:rsidR="004C558F" w:rsidRDefault="00461887">
      <w:pPr>
        <w:pStyle w:val="BodyText"/>
        <w:spacing w:before="1"/>
        <w:ind w:right="7"/>
        <w:jc w:val="center"/>
      </w:pPr>
      <w:r>
        <w:t>Figure</w:t>
      </w:r>
      <w:r>
        <w:rPr>
          <w:spacing w:val="-7"/>
        </w:rPr>
        <w:t xml:space="preserve"> </w:t>
      </w:r>
      <w:r>
        <w:t>III.A.11:</w:t>
      </w:r>
      <w:r>
        <w:rPr>
          <w:spacing w:val="-5"/>
        </w:rPr>
        <w:t xml:space="preserve"> </w:t>
      </w:r>
      <w:r>
        <w:t>Summary</w:t>
      </w:r>
      <w:r>
        <w:rPr>
          <w:spacing w:val="-5"/>
        </w:rPr>
        <w:t xml:space="preserve"> </w:t>
      </w:r>
      <w:r>
        <w:t>of</w:t>
      </w:r>
      <w:r>
        <w:rPr>
          <w:spacing w:val="-4"/>
        </w:rPr>
        <w:t xml:space="preserve"> </w:t>
      </w:r>
      <w:r>
        <w:t>Estimated</w:t>
      </w:r>
      <w:r>
        <w:rPr>
          <w:spacing w:val="-3"/>
        </w:rPr>
        <w:t xml:space="preserve"> </w:t>
      </w:r>
      <w:r>
        <w:t>Commercial</w:t>
      </w:r>
      <w:r>
        <w:rPr>
          <w:spacing w:val="-6"/>
        </w:rPr>
        <w:t xml:space="preserve"> </w:t>
      </w:r>
      <w:r>
        <w:t>Outpatient</w:t>
      </w:r>
      <w:r>
        <w:rPr>
          <w:spacing w:val="-5"/>
        </w:rPr>
        <w:t xml:space="preserve"> </w:t>
      </w:r>
      <w:r>
        <w:t>Spending</w:t>
      </w:r>
      <w:r>
        <w:rPr>
          <w:spacing w:val="-5"/>
        </w:rPr>
        <w:t xml:space="preserve"> </w:t>
      </w:r>
      <w:r>
        <w:rPr>
          <w:spacing w:val="-2"/>
        </w:rPr>
        <w:t>Impacts</w:t>
      </w:r>
    </w:p>
    <w:p w14:paraId="1C34E8EF" w14:textId="77777777" w:rsidR="004C558F" w:rsidRDefault="004C558F">
      <w:pPr>
        <w:pStyle w:val="BodyText"/>
        <w:rPr>
          <w:sz w:val="20"/>
        </w:rPr>
      </w:pPr>
    </w:p>
    <w:p w14:paraId="1C34E8F0" w14:textId="77777777" w:rsidR="004C558F" w:rsidRDefault="004C558F">
      <w:pPr>
        <w:pStyle w:val="BodyText"/>
        <w:spacing w:before="12"/>
        <w:rPr>
          <w:sz w:val="20"/>
        </w:rPr>
      </w:pP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7015"/>
        <w:gridCol w:w="2335"/>
      </w:tblGrid>
      <w:tr w:rsidR="004C558F" w14:paraId="1C34E8F4" w14:textId="77777777" w:rsidTr="00774EF6">
        <w:trPr>
          <w:cantSplit/>
          <w:trHeight w:val="592"/>
          <w:tblHeader/>
        </w:trPr>
        <w:tc>
          <w:tcPr>
            <w:tcW w:w="7015" w:type="dxa"/>
            <w:shd w:val="clear" w:color="auto" w:fill="084875"/>
          </w:tcPr>
          <w:p w14:paraId="1C34E8F1" w14:textId="77777777" w:rsidR="004C558F" w:rsidRDefault="00461887">
            <w:pPr>
              <w:pStyle w:val="TableParagraph"/>
              <w:spacing w:before="14"/>
              <w:ind w:left="10"/>
              <w:jc w:val="center"/>
              <w:rPr>
                <w:rFonts w:ascii="Franklin Gothic Medium Cond"/>
              </w:rPr>
            </w:pPr>
            <w:r>
              <w:rPr>
                <w:rFonts w:ascii="Franklin Gothic Medium Cond"/>
                <w:color w:val="FFFFFF"/>
              </w:rPr>
              <w:t>Description</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2"/>
              </w:rPr>
              <w:t xml:space="preserve"> </w:t>
            </w:r>
            <w:r>
              <w:rPr>
                <w:rFonts w:ascii="Franklin Gothic Medium Cond"/>
                <w:color w:val="FFFFFF"/>
                <w:spacing w:val="-4"/>
              </w:rPr>
              <w:t>Shift</w:t>
            </w:r>
          </w:p>
        </w:tc>
        <w:tc>
          <w:tcPr>
            <w:tcW w:w="2335" w:type="dxa"/>
            <w:shd w:val="clear" w:color="auto" w:fill="084875"/>
          </w:tcPr>
          <w:p w14:paraId="1C34E8F2" w14:textId="77777777" w:rsidR="004C558F" w:rsidRDefault="00461887">
            <w:pPr>
              <w:pStyle w:val="TableParagraph"/>
              <w:spacing w:before="14"/>
              <w:ind w:left="9" w:right="1"/>
              <w:jc w:val="center"/>
              <w:rPr>
                <w:rFonts w:ascii="Franklin Gothic Medium Cond"/>
              </w:rPr>
            </w:pPr>
            <w:r>
              <w:rPr>
                <w:rFonts w:ascii="Franklin Gothic Medium Cond"/>
                <w:color w:val="FFFFFF"/>
              </w:rPr>
              <w:t>Spending</w:t>
            </w:r>
            <w:r>
              <w:rPr>
                <w:rFonts w:ascii="Franklin Gothic Medium Cond"/>
                <w:color w:val="FFFFFF"/>
                <w:spacing w:val="-4"/>
              </w:rPr>
              <w:t xml:space="preserve"> </w:t>
            </w:r>
            <w:r>
              <w:rPr>
                <w:rFonts w:ascii="Franklin Gothic Medium Cond"/>
                <w:color w:val="FFFFFF"/>
                <w:spacing w:val="-2"/>
              </w:rPr>
              <w:t>Impact</w:t>
            </w:r>
          </w:p>
          <w:p w14:paraId="1C34E8F3" w14:textId="77777777" w:rsidR="004C558F" w:rsidRDefault="00461887">
            <w:pPr>
              <w:pStyle w:val="TableParagraph"/>
              <w:spacing w:before="38"/>
              <w:ind w:left="9"/>
              <w:jc w:val="center"/>
              <w:rPr>
                <w:rFonts w:ascii="Franklin Gothic Medium Cond"/>
              </w:rPr>
            </w:pPr>
            <w:r>
              <w:rPr>
                <w:rFonts w:ascii="Franklin Gothic Medium Cond"/>
                <w:color w:val="FFFFFF"/>
                <w:spacing w:val="-2"/>
              </w:rPr>
              <w:t>Estimate</w:t>
            </w:r>
          </w:p>
        </w:tc>
      </w:tr>
      <w:tr w:rsidR="004C558F" w14:paraId="1C34E8F7" w14:textId="77777777" w:rsidTr="00774EF6">
        <w:trPr>
          <w:cantSplit/>
          <w:trHeight w:val="299"/>
        </w:trPr>
        <w:tc>
          <w:tcPr>
            <w:tcW w:w="7015" w:type="dxa"/>
          </w:tcPr>
          <w:p w14:paraId="1C34E8F5" w14:textId="77777777" w:rsidR="004C558F" w:rsidRDefault="00461887">
            <w:pPr>
              <w:pStyle w:val="TableParagraph"/>
              <w:spacing w:before="5"/>
              <w:ind w:left="115"/>
              <w:jc w:val="left"/>
              <w:rPr>
                <w:sz w:val="20"/>
              </w:rPr>
            </w:pPr>
            <w:r>
              <w:rPr>
                <w:sz w:val="20"/>
              </w:rPr>
              <w:t>100%</w:t>
            </w:r>
            <w:r>
              <w:rPr>
                <w:spacing w:val="-5"/>
                <w:sz w:val="20"/>
              </w:rPr>
              <w:t xml:space="preserve"> </w:t>
            </w:r>
            <w:r>
              <w:rPr>
                <w:sz w:val="20"/>
              </w:rPr>
              <w:t>of</w:t>
            </w:r>
            <w:r>
              <w:rPr>
                <w:spacing w:val="-5"/>
                <w:sz w:val="20"/>
              </w:rPr>
              <w:t xml:space="preserve"> </w:t>
            </w:r>
            <w:r>
              <w:rPr>
                <w:sz w:val="20"/>
              </w:rPr>
              <w:t>BIDMC</w:t>
            </w:r>
            <w:r>
              <w:rPr>
                <w:spacing w:val="-5"/>
                <w:sz w:val="20"/>
              </w:rPr>
              <w:t xml:space="preserve"> </w:t>
            </w:r>
            <w:r>
              <w:rPr>
                <w:sz w:val="20"/>
              </w:rPr>
              <w:t>infusion</w:t>
            </w:r>
            <w:r>
              <w:rPr>
                <w:spacing w:val="-5"/>
                <w:sz w:val="20"/>
              </w:rPr>
              <w:t xml:space="preserve"> </w:t>
            </w:r>
            <w:r>
              <w:rPr>
                <w:sz w:val="20"/>
              </w:rPr>
              <w:t>to</w:t>
            </w:r>
            <w:r>
              <w:rPr>
                <w:spacing w:val="-3"/>
                <w:sz w:val="20"/>
              </w:rPr>
              <w:t xml:space="preserve"> </w:t>
            </w:r>
            <w:r>
              <w:rPr>
                <w:spacing w:val="-4"/>
                <w:sz w:val="20"/>
              </w:rPr>
              <w:t>DFCI</w:t>
            </w:r>
          </w:p>
        </w:tc>
        <w:tc>
          <w:tcPr>
            <w:tcW w:w="2335" w:type="dxa"/>
            <w:tcBorders>
              <w:top w:val="single" w:sz="12" w:space="0" w:color="084875"/>
            </w:tcBorders>
          </w:tcPr>
          <w:p w14:paraId="1C34E8F6" w14:textId="77777777" w:rsidR="004C558F" w:rsidRDefault="00461887">
            <w:pPr>
              <w:pStyle w:val="TableParagraph"/>
              <w:spacing w:before="5"/>
              <w:ind w:right="103"/>
              <w:rPr>
                <w:sz w:val="20"/>
              </w:rPr>
            </w:pPr>
            <w:r>
              <w:rPr>
                <w:sz w:val="20"/>
              </w:rPr>
              <w:t>$1.5</w:t>
            </w:r>
            <w:r>
              <w:rPr>
                <w:spacing w:val="-4"/>
                <w:sz w:val="20"/>
              </w:rPr>
              <w:t xml:space="preserve"> </w:t>
            </w:r>
            <w:r>
              <w:rPr>
                <w:spacing w:val="-2"/>
                <w:sz w:val="20"/>
              </w:rPr>
              <w:t>million</w:t>
            </w:r>
          </w:p>
        </w:tc>
      </w:tr>
      <w:tr w:rsidR="004C558F" w14:paraId="1C34E8FA" w14:textId="77777777" w:rsidTr="00774EF6">
        <w:trPr>
          <w:cantSplit/>
          <w:trHeight w:val="306"/>
        </w:trPr>
        <w:tc>
          <w:tcPr>
            <w:tcW w:w="7015" w:type="dxa"/>
          </w:tcPr>
          <w:p w14:paraId="1C34E8F8" w14:textId="77777777" w:rsidR="004C558F" w:rsidRDefault="00461887">
            <w:pPr>
              <w:pStyle w:val="TableParagraph"/>
              <w:spacing w:before="15"/>
              <w:ind w:left="115"/>
              <w:jc w:val="left"/>
              <w:rPr>
                <w:sz w:val="20"/>
              </w:rPr>
            </w:pPr>
            <w:r>
              <w:rPr>
                <w:sz w:val="20"/>
              </w:rPr>
              <w:t>100%</w:t>
            </w:r>
            <w:r>
              <w:rPr>
                <w:spacing w:val="-6"/>
                <w:sz w:val="20"/>
              </w:rPr>
              <w:t xml:space="preserve"> </w:t>
            </w:r>
            <w:r>
              <w:rPr>
                <w:sz w:val="20"/>
              </w:rPr>
              <w:t>of</w:t>
            </w:r>
            <w:r>
              <w:rPr>
                <w:spacing w:val="-5"/>
                <w:sz w:val="20"/>
              </w:rPr>
              <w:t xml:space="preserve"> </w:t>
            </w:r>
            <w:r>
              <w:rPr>
                <w:sz w:val="20"/>
              </w:rPr>
              <w:t>BIDMC</w:t>
            </w:r>
            <w:r>
              <w:rPr>
                <w:spacing w:val="-6"/>
                <w:sz w:val="20"/>
              </w:rPr>
              <w:t xml:space="preserve"> </w:t>
            </w:r>
            <w:r>
              <w:rPr>
                <w:sz w:val="20"/>
              </w:rPr>
              <w:t>oncologic</w:t>
            </w:r>
            <w:r>
              <w:rPr>
                <w:spacing w:val="-4"/>
                <w:sz w:val="20"/>
              </w:rPr>
              <w:t xml:space="preserve"> </w:t>
            </w:r>
            <w:r>
              <w:rPr>
                <w:sz w:val="20"/>
              </w:rPr>
              <w:t>drugs</w:t>
            </w:r>
            <w:r>
              <w:rPr>
                <w:spacing w:val="-5"/>
                <w:sz w:val="20"/>
              </w:rPr>
              <w:t xml:space="preserve"> </w:t>
            </w:r>
            <w:r>
              <w:rPr>
                <w:sz w:val="20"/>
              </w:rPr>
              <w:t>to</w:t>
            </w:r>
            <w:r>
              <w:rPr>
                <w:spacing w:val="-5"/>
                <w:sz w:val="20"/>
              </w:rPr>
              <w:t xml:space="preserve"> </w:t>
            </w:r>
            <w:r>
              <w:rPr>
                <w:spacing w:val="-4"/>
                <w:sz w:val="20"/>
              </w:rPr>
              <w:t>DFCI</w:t>
            </w:r>
          </w:p>
        </w:tc>
        <w:tc>
          <w:tcPr>
            <w:tcW w:w="2335" w:type="dxa"/>
          </w:tcPr>
          <w:p w14:paraId="1C34E8F9" w14:textId="77777777" w:rsidR="004C558F" w:rsidRDefault="00461887">
            <w:pPr>
              <w:pStyle w:val="TableParagraph"/>
              <w:spacing w:before="15"/>
              <w:ind w:right="103"/>
              <w:rPr>
                <w:sz w:val="20"/>
              </w:rPr>
            </w:pPr>
            <w:r>
              <w:rPr>
                <w:sz w:val="20"/>
              </w:rPr>
              <w:t>$26.5</w:t>
            </w:r>
            <w:r>
              <w:rPr>
                <w:spacing w:val="-5"/>
                <w:sz w:val="20"/>
              </w:rPr>
              <w:t xml:space="preserve"> </w:t>
            </w:r>
            <w:r>
              <w:rPr>
                <w:spacing w:val="-2"/>
                <w:sz w:val="20"/>
              </w:rPr>
              <w:t>million</w:t>
            </w:r>
          </w:p>
        </w:tc>
      </w:tr>
      <w:tr w:rsidR="004C558F" w14:paraId="1C34E8FD" w14:textId="77777777" w:rsidTr="00774EF6">
        <w:trPr>
          <w:cantSplit/>
          <w:trHeight w:val="309"/>
        </w:trPr>
        <w:tc>
          <w:tcPr>
            <w:tcW w:w="7015" w:type="dxa"/>
          </w:tcPr>
          <w:p w14:paraId="1C34E8FB" w14:textId="77777777" w:rsidR="004C558F" w:rsidRDefault="00461887">
            <w:pPr>
              <w:pStyle w:val="TableParagraph"/>
              <w:spacing w:before="15"/>
              <w:ind w:left="115"/>
              <w:jc w:val="left"/>
              <w:rPr>
                <w:sz w:val="20"/>
              </w:rPr>
            </w:pPr>
            <w:r>
              <w:rPr>
                <w:sz w:val="20"/>
              </w:rPr>
              <w:t>BIDMC</w:t>
            </w:r>
            <w:r>
              <w:rPr>
                <w:spacing w:val="-6"/>
                <w:sz w:val="20"/>
              </w:rPr>
              <w:t xml:space="preserve"> </w:t>
            </w:r>
            <w:r>
              <w:rPr>
                <w:sz w:val="20"/>
              </w:rPr>
              <w:t>oncologist</w:t>
            </w:r>
            <w:r>
              <w:rPr>
                <w:spacing w:val="-4"/>
                <w:sz w:val="20"/>
              </w:rPr>
              <w:t xml:space="preserve"> </w:t>
            </w:r>
            <w:r>
              <w:rPr>
                <w:sz w:val="20"/>
              </w:rPr>
              <w:t>E&amp;M</w:t>
            </w:r>
            <w:r>
              <w:rPr>
                <w:spacing w:val="-7"/>
                <w:sz w:val="20"/>
              </w:rPr>
              <w:t xml:space="preserve"> </w:t>
            </w:r>
            <w:r>
              <w:rPr>
                <w:sz w:val="20"/>
              </w:rPr>
              <w:t>visits</w:t>
            </w:r>
            <w:r>
              <w:rPr>
                <w:spacing w:val="-4"/>
                <w:sz w:val="20"/>
              </w:rPr>
              <w:t xml:space="preserve"> </w:t>
            </w:r>
            <w:r>
              <w:rPr>
                <w:sz w:val="20"/>
              </w:rPr>
              <w:t>to</w:t>
            </w:r>
            <w:r>
              <w:rPr>
                <w:spacing w:val="-6"/>
                <w:sz w:val="20"/>
              </w:rPr>
              <w:t xml:space="preserve"> </w:t>
            </w:r>
            <w:r>
              <w:rPr>
                <w:spacing w:val="-4"/>
                <w:sz w:val="20"/>
              </w:rPr>
              <w:t>DFCI</w:t>
            </w:r>
          </w:p>
        </w:tc>
        <w:tc>
          <w:tcPr>
            <w:tcW w:w="2335" w:type="dxa"/>
          </w:tcPr>
          <w:p w14:paraId="1C34E8FC" w14:textId="77777777" w:rsidR="004C558F" w:rsidRDefault="00461887">
            <w:pPr>
              <w:pStyle w:val="TableParagraph"/>
              <w:spacing w:before="15"/>
              <w:ind w:right="103"/>
              <w:rPr>
                <w:sz w:val="20"/>
              </w:rPr>
            </w:pPr>
            <w:r>
              <w:rPr>
                <w:sz w:val="20"/>
              </w:rPr>
              <w:t>$3.6</w:t>
            </w:r>
            <w:r>
              <w:rPr>
                <w:spacing w:val="-4"/>
                <w:sz w:val="20"/>
              </w:rPr>
              <w:t xml:space="preserve"> </w:t>
            </w:r>
            <w:r>
              <w:rPr>
                <w:spacing w:val="-2"/>
                <w:sz w:val="20"/>
              </w:rPr>
              <w:t>million</w:t>
            </w:r>
          </w:p>
        </w:tc>
      </w:tr>
      <w:tr w:rsidR="004C558F" w14:paraId="1C34E900" w14:textId="77777777" w:rsidTr="00774EF6">
        <w:trPr>
          <w:cantSplit/>
          <w:trHeight w:val="306"/>
        </w:trPr>
        <w:tc>
          <w:tcPr>
            <w:tcW w:w="7015" w:type="dxa"/>
          </w:tcPr>
          <w:p w14:paraId="1C34E8FE" w14:textId="77777777" w:rsidR="004C558F" w:rsidRDefault="00461887">
            <w:pPr>
              <w:pStyle w:val="TableParagraph"/>
              <w:spacing w:before="15"/>
              <w:ind w:left="115"/>
              <w:jc w:val="left"/>
              <w:rPr>
                <w:sz w:val="20"/>
              </w:rPr>
            </w:pPr>
            <w:r>
              <w:rPr>
                <w:sz w:val="20"/>
              </w:rPr>
              <w:t>100%</w:t>
            </w:r>
            <w:r>
              <w:rPr>
                <w:spacing w:val="-6"/>
                <w:sz w:val="20"/>
              </w:rPr>
              <w:t xml:space="preserve"> </w:t>
            </w:r>
            <w:r>
              <w:rPr>
                <w:sz w:val="20"/>
              </w:rPr>
              <w:t>of</w:t>
            </w:r>
            <w:r>
              <w:rPr>
                <w:spacing w:val="-6"/>
                <w:sz w:val="20"/>
              </w:rPr>
              <w:t xml:space="preserve"> </w:t>
            </w:r>
            <w:r>
              <w:rPr>
                <w:sz w:val="20"/>
              </w:rPr>
              <w:t>BIDMC</w:t>
            </w:r>
            <w:r>
              <w:rPr>
                <w:spacing w:val="-5"/>
                <w:sz w:val="20"/>
              </w:rPr>
              <w:t xml:space="preserve"> </w:t>
            </w:r>
            <w:r>
              <w:rPr>
                <w:sz w:val="20"/>
              </w:rPr>
              <w:t>radiation</w:t>
            </w:r>
            <w:r>
              <w:rPr>
                <w:spacing w:val="-6"/>
                <w:sz w:val="20"/>
              </w:rPr>
              <w:t xml:space="preserve"> </w:t>
            </w:r>
            <w:r>
              <w:rPr>
                <w:sz w:val="20"/>
              </w:rPr>
              <w:t>oncology</w:t>
            </w:r>
            <w:r>
              <w:rPr>
                <w:spacing w:val="-7"/>
                <w:sz w:val="20"/>
              </w:rPr>
              <w:t xml:space="preserve"> </w:t>
            </w:r>
            <w:r>
              <w:rPr>
                <w:sz w:val="20"/>
              </w:rPr>
              <w:t>to</w:t>
            </w:r>
            <w:r>
              <w:rPr>
                <w:spacing w:val="-5"/>
                <w:sz w:val="20"/>
              </w:rPr>
              <w:t xml:space="preserve"> </w:t>
            </w:r>
            <w:r>
              <w:rPr>
                <w:sz w:val="20"/>
              </w:rPr>
              <w:t>JV;</w:t>
            </w:r>
            <w:r>
              <w:rPr>
                <w:spacing w:val="-5"/>
                <w:sz w:val="20"/>
              </w:rPr>
              <w:t xml:space="preserve"> </w:t>
            </w:r>
            <w:r>
              <w:rPr>
                <w:sz w:val="20"/>
              </w:rPr>
              <w:t>JV</w:t>
            </w:r>
            <w:r>
              <w:rPr>
                <w:spacing w:val="-5"/>
                <w:sz w:val="20"/>
              </w:rPr>
              <w:t xml:space="preserve"> </w:t>
            </w:r>
            <w:r>
              <w:rPr>
                <w:sz w:val="20"/>
              </w:rPr>
              <w:t>receives</w:t>
            </w:r>
            <w:r>
              <w:rPr>
                <w:spacing w:val="-5"/>
                <w:sz w:val="20"/>
              </w:rPr>
              <w:t xml:space="preserve"> </w:t>
            </w:r>
            <w:r>
              <w:rPr>
                <w:sz w:val="20"/>
              </w:rPr>
              <w:t>DFCI</w:t>
            </w:r>
            <w:r>
              <w:rPr>
                <w:spacing w:val="-3"/>
                <w:sz w:val="20"/>
              </w:rPr>
              <w:t xml:space="preserve"> </w:t>
            </w:r>
            <w:r>
              <w:rPr>
                <w:spacing w:val="-2"/>
                <w:sz w:val="20"/>
              </w:rPr>
              <w:t>rates</w:t>
            </w:r>
          </w:p>
        </w:tc>
        <w:tc>
          <w:tcPr>
            <w:tcW w:w="2335" w:type="dxa"/>
          </w:tcPr>
          <w:p w14:paraId="1C34E8FF" w14:textId="77777777" w:rsidR="004C558F" w:rsidRDefault="00461887">
            <w:pPr>
              <w:pStyle w:val="TableParagraph"/>
              <w:spacing w:before="15"/>
              <w:ind w:right="103"/>
              <w:rPr>
                <w:sz w:val="20"/>
              </w:rPr>
            </w:pPr>
            <w:r>
              <w:rPr>
                <w:sz w:val="20"/>
              </w:rPr>
              <w:t>$4.6</w:t>
            </w:r>
            <w:r>
              <w:rPr>
                <w:spacing w:val="-4"/>
                <w:sz w:val="20"/>
              </w:rPr>
              <w:t xml:space="preserve"> </w:t>
            </w:r>
            <w:r>
              <w:rPr>
                <w:spacing w:val="-2"/>
                <w:sz w:val="20"/>
              </w:rPr>
              <w:t>million</w:t>
            </w:r>
          </w:p>
        </w:tc>
      </w:tr>
      <w:tr w:rsidR="004C558F" w14:paraId="1C34E903" w14:textId="77777777" w:rsidTr="00774EF6">
        <w:trPr>
          <w:cantSplit/>
          <w:trHeight w:val="309"/>
        </w:trPr>
        <w:tc>
          <w:tcPr>
            <w:tcW w:w="7015" w:type="dxa"/>
          </w:tcPr>
          <w:p w14:paraId="1C34E901" w14:textId="77777777" w:rsidR="004C558F" w:rsidRDefault="00461887">
            <w:pPr>
              <w:pStyle w:val="TableParagraph"/>
              <w:spacing w:before="15"/>
              <w:ind w:left="115"/>
              <w:jc w:val="left"/>
              <w:rPr>
                <w:sz w:val="20"/>
              </w:rPr>
            </w:pPr>
            <w:r>
              <w:rPr>
                <w:sz w:val="20"/>
              </w:rPr>
              <w:t>75%</w:t>
            </w:r>
            <w:r>
              <w:rPr>
                <w:spacing w:val="-6"/>
                <w:sz w:val="20"/>
              </w:rPr>
              <w:t xml:space="preserve"> </w:t>
            </w:r>
            <w:r>
              <w:rPr>
                <w:sz w:val="20"/>
              </w:rPr>
              <w:t>of</w:t>
            </w:r>
            <w:r>
              <w:rPr>
                <w:spacing w:val="-5"/>
                <w:sz w:val="20"/>
              </w:rPr>
              <w:t xml:space="preserve"> </w:t>
            </w:r>
            <w:r>
              <w:rPr>
                <w:sz w:val="20"/>
              </w:rPr>
              <w:t>BWH</w:t>
            </w:r>
            <w:r>
              <w:rPr>
                <w:spacing w:val="-6"/>
                <w:sz w:val="20"/>
              </w:rPr>
              <w:t xml:space="preserve"> </w:t>
            </w:r>
            <w:r>
              <w:rPr>
                <w:sz w:val="20"/>
              </w:rPr>
              <w:t>radiation</w:t>
            </w:r>
            <w:r>
              <w:rPr>
                <w:spacing w:val="-4"/>
                <w:sz w:val="20"/>
              </w:rPr>
              <w:t xml:space="preserve"> </w:t>
            </w:r>
            <w:r>
              <w:rPr>
                <w:sz w:val="20"/>
              </w:rPr>
              <w:t>oncology</w:t>
            </w:r>
            <w:r>
              <w:rPr>
                <w:spacing w:val="-6"/>
                <w:sz w:val="20"/>
              </w:rPr>
              <w:t xml:space="preserve"> </w:t>
            </w:r>
            <w:r>
              <w:rPr>
                <w:sz w:val="20"/>
              </w:rPr>
              <w:t>to</w:t>
            </w:r>
            <w:r>
              <w:rPr>
                <w:spacing w:val="-5"/>
                <w:sz w:val="20"/>
              </w:rPr>
              <w:t xml:space="preserve"> </w:t>
            </w:r>
            <w:r>
              <w:rPr>
                <w:sz w:val="20"/>
              </w:rPr>
              <w:t>JV;</w:t>
            </w:r>
            <w:r>
              <w:rPr>
                <w:spacing w:val="-5"/>
                <w:sz w:val="20"/>
              </w:rPr>
              <w:t xml:space="preserve"> </w:t>
            </w:r>
            <w:r>
              <w:rPr>
                <w:sz w:val="20"/>
              </w:rPr>
              <w:t>JV</w:t>
            </w:r>
            <w:r>
              <w:rPr>
                <w:spacing w:val="-4"/>
                <w:sz w:val="20"/>
              </w:rPr>
              <w:t xml:space="preserve"> </w:t>
            </w:r>
            <w:r>
              <w:rPr>
                <w:sz w:val="20"/>
              </w:rPr>
              <w:t>receives</w:t>
            </w:r>
            <w:r>
              <w:rPr>
                <w:spacing w:val="-4"/>
                <w:sz w:val="20"/>
              </w:rPr>
              <w:t xml:space="preserve"> </w:t>
            </w:r>
            <w:r>
              <w:rPr>
                <w:sz w:val="20"/>
              </w:rPr>
              <w:t>DFCI</w:t>
            </w:r>
            <w:r>
              <w:rPr>
                <w:spacing w:val="-5"/>
                <w:sz w:val="20"/>
              </w:rPr>
              <w:t xml:space="preserve"> </w:t>
            </w:r>
            <w:r>
              <w:rPr>
                <w:spacing w:val="-4"/>
                <w:sz w:val="20"/>
              </w:rPr>
              <w:t>rates</w:t>
            </w:r>
          </w:p>
        </w:tc>
        <w:tc>
          <w:tcPr>
            <w:tcW w:w="2335" w:type="dxa"/>
          </w:tcPr>
          <w:p w14:paraId="1C34E902" w14:textId="77777777" w:rsidR="004C558F" w:rsidRDefault="00461887">
            <w:pPr>
              <w:pStyle w:val="TableParagraph"/>
              <w:spacing w:before="15"/>
              <w:ind w:right="103"/>
              <w:rPr>
                <w:sz w:val="20"/>
              </w:rPr>
            </w:pPr>
            <w:r>
              <w:rPr>
                <w:sz w:val="20"/>
              </w:rPr>
              <w:t>$4.7</w:t>
            </w:r>
            <w:r>
              <w:rPr>
                <w:spacing w:val="-4"/>
                <w:sz w:val="20"/>
              </w:rPr>
              <w:t xml:space="preserve"> </w:t>
            </w:r>
            <w:r>
              <w:rPr>
                <w:spacing w:val="-2"/>
                <w:sz w:val="20"/>
              </w:rPr>
              <w:t>million</w:t>
            </w:r>
          </w:p>
        </w:tc>
      </w:tr>
      <w:tr w:rsidR="004C558F" w14:paraId="1C34E907" w14:textId="77777777" w:rsidTr="00774EF6">
        <w:trPr>
          <w:cantSplit/>
          <w:trHeight w:val="549"/>
        </w:trPr>
        <w:tc>
          <w:tcPr>
            <w:tcW w:w="7015" w:type="dxa"/>
          </w:tcPr>
          <w:p w14:paraId="1C34E904" w14:textId="77777777" w:rsidR="004C558F" w:rsidRDefault="00461887">
            <w:pPr>
              <w:pStyle w:val="TableParagraph"/>
              <w:spacing w:before="15"/>
              <w:ind w:left="115"/>
              <w:jc w:val="left"/>
              <w:rPr>
                <w:sz w:val="20"/>
              </w:rPr>
            </w:pPr>
            <w:r>
              <w:rPr>
                <w:sz w:val="20"/>
              </w:rPr>
              <w:t>75%</w:t>
            </w:r>
            <w:r>
              <w:rPr>
                <w:spacing w:val="-7"/>
                <w:sz w:val="20"/>
              </w:rPr>
              <w:t xml:space="preserve"> </w:t>
            </w:r>
            <w:r>
              <w:rPr>
                <w:sz w:val="20"/>
              </w:rPr>
              <w:t>of</w:t>
            </w:r>
            <w:r>
              <w:rPr>
                <w:spacing w:val="-6"/>
                <w:sz w:val="20"/>
              </w:rPr>
              <w:t xml:space="preserve"> </w:t>
            </w:r>
            <w:r>
              <w:rPr>
                <w:sz w:val="20"/>
              </w:rPr>
              <w:t>BWH</w:t>
            </w:r>
            <w:r>
              <w:rPr>
                <w:spacing w:val="-7"/>
                <w:sz w:val="20"/>
              </w:rPr>
              <w:t xml:space="preserve"> </w:t>
            </w:r>
            <w:r>
              <w:rPr>
                <w:sz w:val="20"/>
              </w:rPr>
              <w:t>oncology-related</w:t>
            </w:r>
            <w:r>
              <w:rPr>
                <w:spacing w:val="-5"/>
                <w:sz w:val="20"/>
              </w:rPr>
              <w:t xml:space="preserve"> </w:t>
            </w:r>
            <w:r>
              <w:rPr>
                <w:sz w:val="20"/>
              </w:rPr>
              <w:t>radiology</w:t>
            </w:r>
            <w:r>
              <w:rPr>
                <w:spacing w:val="-7"/>
                <w:sz w:val="20"/>
              </w:rPr>
              <w:t xml:space="preserve"> </w:t>
            </w:r>
            <w:r>
              <w:rPr>
                <w:sz w:val="20"/>
              </w:rPr>
              <w:t>to</w:t>
            </w:r>
            <w:r>
              <w:rPr>
                <w:spacing w:val="-7"/>
                <w:sz w:val="20"/>
              </w:rPr>
              <w:t xml:space="preserve"> </w:t>
            </w:r>
            <w:r>
              <w:rPr>
                <w:sz w:val="20"/>
              </w:rPr>
              <w:t>BIDMC/DFCI</w:t>
            </w:r>
            <w:r>
              <w:rPr>
                <w:spacing w:val="-3"/>
                <w:sz w:val="20"/>
              </w:rPr>
              <w:t xml:space="preserve"> </w:t>
            </w:r>
            <w:r>
              <w:rPr>
                <w:sz w:val="20"/>
              </w:rPr>
              <w:t>(50%</w:t>
            </w:r>
            <w:r>
              <w:rPr>
                <w:spacing w:val="-6"/>
                <w:sz w:val="20"/>
              </w:rPr>
              <w:t xml:space="preserve"> </w:t>
            </w:r>
            <w:r>
              <w:rPr>
                <w:sz w:val="20"/>
              </w:rPr>
              <w:t>to</w:t>
            </w:r>
            <w:r>
              <w:rPr>
                <w:spacing w:val="-7"/>
                <w:sz w:val="20"/>
              </w:rPr>
              <w:t xml:space="preserve"> </w:t>
            </w:r>
            <w:r>
              <w:rPr>
                <w:sz w:val="20"/>
              </w:rPr>
              <w:t>DFCI;</w:t>
            </w:r>
            <w:r>
              <w:rPr>
                <w:spacing w:val="-5"/>
                <w:sz w:val="20"/>
              </w:rPr>
              <w:t xml:space="preserve"> </w:t>
            </w:r>
            <w:r>
              <w:rPr>
                <w:sz w:val="20"/>
              </w:rPr>
              <w:t>50%</w:t>
            </w:r>
            <w:r>
              <w:rPr>
                <w:spacing w:val="-6"/>
                <w:sz w:val="20"/>
              </w:rPr>
              <w:t xml:space="preserve"> </w:t>
            </w:r>
            <w:r>
              <w:rPr>
                <w:spacing w:val="-5"/>
                <w:sz w:val="20"/>
              </w:rPr>
              <w:t>to</w:t>
            </w:r>
          </w:p>
          <w:p w14:paraId="1C34E905" w14:textId="77777777" w:rsidR="004C558F" w:rsidRDefault="00461887">
            <w:pPr>
              <w:pStyle w:val="TableParagraph"/>
              <w:spacing w:before="33"/>
              <w:ind w:left="115"/>
              <w:jc w:val="left"/>
              <w:rPr>
                <w:sz w:val="20"/>
              </w:rPr>
            </w:pPr>
            <w:r>
              <w:rPr>
                <w:spacing w:val="-2"/>
                <w:sz w:val="20"/>
              </w:rPr>
              <w:t>BIDMC)</w:t>
            </w:r>
          </w:p>
        </w:tc>
        <w:tc>
          <w:tcPr>
            <w:tcW w:w="2335" w:type="dxa"/>
          </w:tcPr>
          <w:p w14:paraId="1C34E906" w14:textId="77777777" w:rsidR="004C558F" w:rsidRDefault="00461887">
            <w:pPr>
              <w:pStyle w:val="TableParagraph"/>
              <w:spacing w:before="15"/>
              <w:ind w:right="103"/>
              <w:rPr>
                <w:sz w:val="20"/>
              </w:rPr>
            </w:pPr>
            <w:r>
              <w:rPr>
                <w:sz w:val="20"/>
              </w:rPr>
              <w:t>$0.1</w:t>
            </w:r>
            <w:r>
              <w:rPr>
                <w:spacing w:val="-4"/>
                <w:sz w:val="20"/>
              </w:rPr>
              <w:t xml:space="preserve"> </w:t>
            </w:r>
            <w:r>
              <w:rPr>
                <w:spacing w:val="-2"/>
                <w:sz w:val="20"/>
              </w:rPr>
              <w:t>million</w:t>
            </w:r>
          </w:p>
        </w:tc>
      </w:tr>
      <w:tr w:rsidR="004C558F" w14:paraId="1C34E90B" w14:textId="77777777" w:rsidTr="00774EF6">
        <w:trPr>
          <w:cantSplit/>
          <w:trHeight w:val="549"/>
        </w:trPr>
        <w:tc>
          <w:tcPr>
            <w:tcW w:w="7015" w:type="dxa"/>
          </w:tcPr>
          <w:p w14:paraId="1C34E908" w14:textId="77777777" w:rsidR="004C558F" w:rsidRDefault="00461887">
            <w:pPr>
              <w:pStyle w:val="TableParagraph"/>
              <w:spacing w:before="15"/>
              <w:ind w:left="115"/>
              <w:jc w:val="left"/>
              <w:rPr>
                <w:sz w:val="20"/>
              </w:rPr>
            </w:pPr>
            <w:r>
              <w:rPr>
                <w:sz w:val="20"/>
              </w:rPr>
              <w:t>75%</w:t>
            </w:r>
            <w:r>
              <w:rPr>
                <w:spacing w:val="-6"/>
                <w:sz w:val="20"/>
              </w:rPr>
              <w:t xml:space="preserve"> </w:t>
            </w:r>
            <w:r>
              <w:rPr>
                <w:sz w:val="20"/>
              </w:rPr>
              <w:t>of</w:t>
            </w:r>
            <w:r>
              <w:rPr>
                <w:spacing w:val="-6"/>
                <w:sz w:val="20"/>
              </w:rPr>
              <w:t xml:space="preserve"> </w:t>
            </w:r>
            <w:r>
              <w:rPr>
                <w:sz w:val="20"/>
              </w:rPr>
              <w:t>BWH</w:t>
            </w:r>
            <w:r>
              <w:rPr>
                <w:spacing w:val="-7"/>
                <w:sz w:val="20"/>
              </w:rPr>
              <w:t xml:space="preserve"> </w:t>
            </w:r>
            <w:r>
              <w:rPr>
                <w:sz w:val="20"/>
              </w:rPr>
              <w:t>oncology-related</w:t>
            </w:r>
            <w:r>
              <w:rPr>
                <w:spacing w:val="-5"/>
                <w:sz w:val="20"/>
              </w:rPr>
              <w:t xml:space="preserve"> </w:t>
            </w:r>
            <w:r>
              <w:rPr>
                <w:sz w:val="20"/>
              </w:rPr>
              <w:t>lab</w:t>
            </w:r>
            <w:r>
              <w:rPr>
                <w:spacing w:val="-5"/>
                <w:sz w:val="20"/>
              </w:rPr>
              <w:t xml:space="preserve"> </w:t>
            </w:r>
            <w:r>
              <w:rPr>
                <w:sz w:val="20"/>
              </w:rPr>
              <w:t>and</w:t>
            </w:r>
            <w:r>
              <w:rPr>
                <w:spacing w:val="-5"/>
                <w:sz w:val="20"/>
              </w:rPr>
              <w:t xml:space="preserve"> </w:t>
            </w:r>
            <w:r>
              <w:rPr>
                <w:sz w:val="20"/>
              </w:rPr>
              <w:t>pathology</w:t>
            </w:r>
            <w:r>
              <w:rPr>
                <w:spacing w:val="-7"/>
                <w:sz w:val="20"/>
              </w:rPr>
              <w:t xml:space="preserve"> </w:t>
            </w:r>
            <w:r>
              <w:rPr>
                <w:sz w:val="20"/>
              </w:rPr>
              <w:t>to</w:t>
            </w:r>
            <w:r>
              <w:rPr>
                <w:spacing w:val="-6"/>
                <w:sz w:val="20"/>
              </w:rPr>
              <w:t xml:space="preserve"> </w:t>
            </w:r>
            <w:r>
              <w:rPr>
                <w:sz w:val="20"/>
              </w:rPr>
              <w:t>BIDMC/DFCI</w:t>
            </w:r>
            <w:r>
              <w:rPr>
                <w:spacing w:val="-5"/>
                <w:sz w:val="20"/>
              </w:rPr>
              <w:t xml:space="preserve"> </w:t>
            </w:r>
            <w:r>
              <w:rPr>
                <w:sz w:val="20"/>
              </w:rPr>
              <w:t>(50%</w:t>
            </w:r>
            <w:r>
              <w:rPr>
                <w:spacing w:val="-6"/>
                <w:sz w:val="20"/>
              </w:rPr>
              <w:t xml:space="preserve"> </w:t>
            </w:r>
            <w:r>
              <w:rPr>
                <w:sz w:val="20"/>
              </w:rPr>
              <w:t>to</w:t>
            </w:r>
            <w:r>
              <w:rPr>
                <w:spacing w:val="-6"/>
                <w:sz w:val="20"/>
              </w:rPr>
              <w:t xml:space="preserve"> </w:t>
            </w:r>
            <w:proofErr w:type="gramStart"/>
            <w:r>
              <w:rPr>
                <w:spacing w:val="-2"/>
                <w:sz w:val="20"/>
              </w:rPr>
              <w:t>DFCI;</w:t>
            </w:r>
            <w:proofErr w:type="gramEnd"/>
          </w:p>
          <w:p w14:paraId="1C34E909" w14:textId="77777777" w:rsidR="004C558F" w:rsidRDefault="00461887">
            <w:pPr>
              <w:pStyle w:val="TableParagraph"/>
              <w:spacing w:before="35"/>
              <w:ind w:left="115"/>
              <w:jc w:val="left"/>
              <w:rPr>
                <w:sz w:val="20"/>
              </w:rPr>
            </w:pPr>
            <w:r>
              <w:rPr>
                <w:sz w:val="20"/>
              </w:rPr>
              <w:t>50%</w:t>
            </w:r>
            <w:r>
              <w:rPr>
                <w:spacing w:val="-3"/>
                <w:sz w:val="20"/>
              </w:rPr>
              <w:t xml:space="preserve"> </w:t>
            </w:r>
            <w:r>
              <w:rPr>
                <w:sz w:val="20"/>
              </w:rPr>
              <w:t>to</w:t>
            </w:r>
            <w:r>
              <w:rPr>
                <w:spacing w:val="-2"/>
                <w:sz w:val="20"/>
              </w:rPr>
              <w:t xml:space="preserve"> BIDMC)</w:t>
            </w:r>
          </w:p>
        </w:tc>
        <w:tc>
          <w:tcPr>
            <w:tcW w:w="2335" w:type="dxa"/>
          </w:tcPr>
          <w:p w14:paraId="1C34E90A" w14:textId="77777777" w:rsidR="004C558F" w:rsidRDefault="00461887">
            <w:pPr>
              <w:pStyle w:val="TableParagraph"/>
              <w:spacing w:before="15"/>
              <w:ind w:right="103"/>
              <w:rPr>
                <w:sz w:val="20"/>
              </w:rPr>
            </w:pPr>
            <w:r>
              <w:rPr>
                <w:sz w:val="20"/>
              </w:rPr>
              <w:t>$0.4</w:t>
            </w:r>
            <w:r>
              <w:rPr>
                <w:spacing w:val="-4"/>
                <w:sz w:val="20"/>
              </w:rPr>
              <w:t xml:space="preserve"> </w:t>
            </w:r>
            <w:r>
              <w:rPr>
                <w:spacing w:val="-2"/>
                <w:sz w:val="20"/>
              </w:rPr>
              <w:t>million</w:t>
            </w:r>
          </w:p>
        </w:tc>
      </w:tr>
      <w:tr w:rsidR="004C558F" w14:paraId="1C34E90E" w14:textId="77777777" w:rsidTr="00774EF6">
        <w:trPr>
          <w:cantSplit/>
          <w:trHeight w:val="309"/>
        </w:trPr>
        <w:tc>
          <w:tcPr>
            <w:tcW w:w="7015" w:type="dxa"/>
          </w:tcPr>
          <w:p w14:paraId="1C34E90C" w14:textId="77777777" w:rsidR="004C558F" w:rsidRDefault="00461887">
            <w:pPr>
              <w:pStyle w:val="TableParagraph"/>
              <w:spacing w:before="15"/>
              <w:ind w:left="115"/>
              <w:jc w:val="left"/>
              <w:rPr>
                <w:sz w:val="20"/>
              </w:rPr>
            </w:pPr>
            <w:r>
              <w:rPr>
                <w:sz w:val="20"/>
              </w:rPr>
              <w:t>75%</w:t>
            </w:r>
            <w:r>
              <w:rPr>
                <w:spacing w:val="-6"/>
                <w:sz w:val="20"/>
              </w:rPr>
              <w:t xml:space="preserve"> </w:t>
            </w:r>
            <w:r>
              <w:rPr>
                <w:sz w:val="20"/>
              </w:rPr>
              <w:t>of</w:t>
            </w:r>
            <w:r>
              <w:rPr>
                <w:spacing w:val="-5"/>
                <w:sz w:val="20"/>
              </w:rPr>
              <w:t xml:space="preserve"> </w:t>
            </w:r>
            <w:r>
              <w:rPr>
                <w:sz w:val="20"/>
              </w:rPr>
              <w:t>BWH</w:t>
            </w:r>
            <w:r>
              <w:rPr>
                <w:spacing w:val="-5"/>
                <w:sz w:val="20"/>
              </w:rPr>
              <w:t xml:space="preserve"> </w:t>
            </w:r>
            <w:r>
              <w:rPr>
                <w:sz w:val="20"/>
              </w:rPr>
              <w:t>outpatient</w:t>
            </w:r>
            <w:r>
              <w:rPr>
                <w:spacing w:val="-5"/>
                <w:sz w:val="20"/>
              </w:rPr>
              <w:t xml:space="preserve"> </w:t>
            </w:r>
            <w:r>
              <w:rPr>
                <w:sz w:val="20"/>
              </w:rPr>
              <w:t>endoscopy</w:t>
            </w:r>
            <w:r>
              <w:rPr>
                <w:spacing w:val="-6"/>
                <w:sz w:val="20"/>
              </w:rPr>
              <w:t xml:space="preserve"> </w:t>
            </w:r>
            <w:r>
              <w:rPr>
                <w:sz w:val="20"/>
              </w:rPr>
              <w:t>and</w:t>
            </w:r>
            <w:r>
              <w:rPr>
                <w:spacing w:val="-4"/>
                <w:sz w:val="20"/>
              </w:rPr>
              <w:t xml:space="preserve"> </w:t>
            </w:r>
            <w:r>
              <w:rPr>
                <w:sz w:val="20"/>
              </w:rPr>
              <w:t>excision</w:t>
            </w:r>
            <w:r>
              <w:rPr>
                <w:spacing w:val="-5"/>
                <w:sz w:val="20"/>
              </w:rPr>
              <w:t xml:space="preserve"> </w:t>
            </w:r>
            <w:r>
              <w:rPr>
                <w:sz w:val="20"/>
              </w:rPr>
              <w:t>surgery</w:t>
            </w:r>
            <w:r>
              <w:rPr>
                <w:spacing w:val="-6"/>
                <w:sz w:val="20"/>
              </w:rPr>
              <w:t xml:space="preserve"> </w:t>
            </w:r>
            <w:r>
              <w:rPr>
                <w:sz w:val="20"/>
              </w:rPr>
              <w:t>to</w:t>
            </w:r>
            <w:r>
              <w:rPr>
                <w:spacing w:val="-5"/>
                <w:sz w:val="20"/>
              </w:rPr>
              <w:t xml:space="preserve"> </w:t>
            </w:r>
            <w:r>
              <w:rPr>
                <w:spacing w:val="-2"/>
                <w:sz w:val="20"/>
              </w:rPr>
              <w:t>BIDMC</w:t>
            </w:r>
          </w:p>
        </w:tc>
        <w:tc>
          <w:tcPr>
            <w:tcW w:w="2335" w:type="dxa"/>
          </w:tcPr>
          <w:p w14:paraId="1C34E90D" w14:textId="77777777" w:rsidR="004C558F" w:rsidRDefault="00461887">
            <w:pPr>
              <w:pStyle w:val="TableParagraph"/>
              <w:spacing w:before="15"/>
              <w:ind w:right="104"/>
              <w:rPr>
                <w:sz w:val="20"/>
              </w:rPr>
            </w:pPr>
            <w:r>
              <w:rPr>
                <w:sz w:val="20"/>
              </w:rPr>
              <w:t>($2.4</w:t>
            </w:r>
            <w:r>
              <w:rPr>
                <w:spacing w:val="-5"/>
                <w:sz w:val="20"/>
              </w:rPr>
              <w:t xml:space="preserve"> </w:t>
            </w:r>
            <w:r>
              <w:rPr>
                <w:spacing w:val="-2"/>
                <w:sz w:val="20"/>
              </w:rPr>
              <w:t>million)</w:t>
            </w:r>
          </w:p>
        </w:tc>
      </w:tr>
      <w:tr w:rsidR="004C558F" w14:paraId="1C34E911" w14:textId="77777777" w:rsidTr="00774EF6">
        <w:trPr>
          <w:cantSplit/>
          <w:trHeight w:val="306"/>
        </w:trPr>
        <w:tc>
          <w:tcPr>
            <w:tcW w:w="7015" w:type="dxa"/>
          </w:tcPr>
          <w:p w14:paraId="1C34E90F" w14:textId="77777777" w:rsidR="004C558F" w:rsidRDefault="00461887">
            <w:pPr>
              <w:pStyle w:val="TableParagraph"/>
              <w:spacing w:before="15"/>
              <w:ind w:left="115"/>
              <w:jc w:val="left"/>
              <w:rPr>
                <w:sz w:val="20"/>
              </w:rPr>
            </w:pPr>
            <w:r>
              <w:rPr>
                <w:spacing w:val="-2"/>
                <w:sz w:val="20"/>
              </w:rPr>
              <w:t>Total</w:t>
            </w:r>
          </w:p>
        </w:tc>
        <w:tc>
          <w:tcPr>
            <w:tcW w:w="2335" w:type="dxa"/>
          </w:tcPr>
          <w:p w14:paraId="1C34E910" w14:textId="77777777" w:rsidR="004C558F" w:rsidRDefault="00461887">
            <w:pPr>
              <w:pStyle w:val="TableParagraph"/>
              <w:spacing w:before="15"/>
              <w:ind w:right="103"/>
              <w:rPr>
                <w:sz w:val="20"/>
              </w:rPr>
            </w:pPr>
            <w:r>
              <w:rPr>
                <w:sz w:val="20"/>
              </w:rPr>
              <w:t>$39.0</w:t>
            </w:r>
            <w:r>
              <w:rPr>
                <w:spacing w:val="-5"/>
                <w:sz w:val="20"/>
              </w:rPr>
              <w:t xml:space="preserve"> </w:t>
            </w:r>
            <w:r>
              <w:rPr>
                <w:spacing w:val="-2"/>
                <w:sz w:val="20"/>
              </w:rPr>
              <w:t>million</w:t>
            </w:r>
          </w:p>
        </w:tc>
      </w:tr>
    </w:tbl>
    <w:p w14:paraId="1C34E912" w14:textId="77777777" w:rsidR="004C558F" w:rsidRDefault="004C558F">
      <w:pPr>
        <w:pStyle w:val="BodyText"/>
        <w:spacing w:before="41"/>
      </w:pPr>
    </w:p>
    <w:p w14:paraId="1C34E913" w14:textId="77777777" w:rsidR="004C558F" w:rsidRDefault="00461887">
      <w:pPr>
        <w:pStyle w:val="BodyText"/>
        <w:spacing w:line="276" w:lineRule="auto"/>
        <w:ind w:left="959" w:right="972" w:firstLine="720"/>
      </w:pPr>
      <w:r>
        <w:t>The proposed transaction may impact care patterns beyond the Longwood area. While DFCI has stated it does not expect changes to its other oncology clinical affiliations and collaborations, it is unclear what impact the proposed transaction may have on these collaborations</w:t>
      </w:r>
      <w:r>
        <w:rPr>
          <w:spacing w:val="-2"/>
        </w:rPr>
        <w:t xml:space="preserve"> </w:t>
      </w:r>
      <w:r>
        <w:t>in</w:t>
      </w:r>
      <w:r>
        <w:rPr>
          <w:spacing w:val="-2"/>
        </w:rPr>
        <w:t xml:space="preserve"> </w:t>
      </w:r>
      <w:r>
        <w:t>the</w:t>
      </w:r>
      <w:r>
        <w:rPr>
          <w:spacing w:val="-2"/>
        </w:rPr>
        <w:t xml:space="preserve"> </w:t>
      </w:r>
      <w:r>
        <w:t>long</w:t>
      </w:r>
      <w:r>
        <w:rPr>
          <w:spacing w:val="-5"/>
        </w:rPr>
        <w:t xml:space="preserve"> </w:t>
      </w:r>
      <w:r>
        <w:t>term.</w:t>
      </w:r>
      <w:r>
        <w:rPr>
          <w:spacing w:val="-2"/>
        </w:rPr>
        <w:t xml:space="preserve"> </w:t>
      </w:r>
      <w:r>
        <w:t>Additionally,</w:t>
      </w:r>
      <w:r>
        <w:rPr>
          <w:spacing w:val="-5"/>
        </w:rPr>
        <w:t xml:space="preserve"> </w:t>
      </w:r>
      <w:r>
        <w:t>although</w:t>
      </w:r>
      <w:r>
        <w:rPr>
          <w:spacing w:val="-2"/>
        </w:rPr>
        <w:t xml:space="preserve"> </w:t>
      </w:r>
      <w:r>
        <w:t>the</w:t>
      </w:r>
      <w:r>
        <w:rPr>
          <w:spacing w:val="-2"/>
        </w:rPr>
        <w:t xml:space="preserve"> </w:t>
      </w:r>
      <w:r>
        <w:t>parties</w:t>
      </w:r>
      <w:r>
        <w:rPr>
          <w:spacing w:val="-4"/>
        </w:rPr>
        <w:t xml:space="preserve"> </w:t>
      </w:r>
      <w:r>
        <w:t>have</w:t>
      </w:r>
      <w:r>
        <w:rPr>
          <w:spacing w:val="-4"/>
        </w:rPr>
        <w:t xml:space="preserve"> </w:t>
      </w:r>
      <w:r>
        <w:t>not</w:t>
      </w:r>
      <w:r>
        <w:rPr>
          <w:spacing w:val="-3"/>
        </w:rPr>
        <w:t xml:space="preserve"> </w:t>
      </w:r>
      <w:r>
        <w:t>identified</w:t>
      </w:r>
      <w:r>
        <w:rPr>
          <w:spacing w:val="-4"/>
        </w:rPr>
        <w:t xml:space="preserve"> </w:t>
      </w:r>
      <w:r>
        <w:t>specific</w:t>
      </w:r>
      <w:r>
        <w:rPr>
          <w:spacing w:val="-2"/>
        </w:rPr>
        <w:t xml:space="preserve"> </w:t>
      </w:r>
      <w:r>
        <w:t xml:space="preserve">plans for collaboration outside of Longwood, it is possible DFCI will develop collaborations with other BILH provider sites over time, particularly as it shifts to a unified EHR system with BILH. The HPC does not have sufficient information to quantify the </w:t>
      </w:r>
      <w:proofErr w:type="gramStart"/>
      <w:r>
        <w:t>impacts</w:t>
      </w:r>
      <w:proofErr w:type="gramEnd"/>
      <w:r>
        <w:t xml:space="preserve"> of these potential shifts. Additional care provided at DFCI-licensed sites would likely increase spending due to DFCI’s higher commercial outpatient prices. To the extent the proposed affiliation results in patients shifting to BILH for non-oncology care, such shifts may reduce spending due to BILH providers’ moderate hospital prices and TME compared to other major hospital-based systems.</w:t>
      </w:r>
    </w:p>
    <w:p w14:paraId="1C34E914" w14:textId="77777777" w:rsidR="004C558F" w:rsidRDefault="004C558F">
      <w:pPr>
        <w:pStyle w:val="BodyText"/>
        <w:rPr>
          <w:sz w:val="20"/>
        </w:rPr>
      </w:pPr>
    </w:p>
    <w:p w14:paraId="1C34E915" w14:textId="77777777" w:rsidR="004C558F" w:rsidRDefault="004C558F">
      <w:pPr>
        <w:pStyle w:val="BodyText"/>
        <w:rPr>
          <w:sz w:val="20"/>
        </w:rPr>
      </w:pPr>
    </w:p>
    <w:p w14:paraId="1C34E916" w14:textId="77777777" w:rsidR="004C558F" w:rsidRDefault="004C558F">
      <w:pPr>
        <w:pStyle w:val="BodyText"/>
        <w:rPr>
          <w:sz w:val="20"/>
        </w:rPr>
      </w:pPr>
    </w:p>
    <w:p w14:paraId="1C34E917" w14:textId="77777777" w:rsidR="004C558F" w:rsidRDefault="004C558F">
      <w:pPr>
        <w:pStyle w:val="BodyText"/>
        <w:rPr>
          <w:sz w:val="20"/>
        </w:rPr>
      </w:pPr>
    </w:p>
    <w:p w14:paraId="1C34E918" w14:textId="77777777" w:rsidR="004C558F" w:rsidRDefault="004C558F">
      <w:pPr>
        <w:pStyle w:val="BodyText"/>
        <w:rPr>
          <w:sz w:val="20"/>
        </w:rPr>
      </w:pPr>
    </w:p>
    <w:p w14:paraId="1C34E919" w14:textId="77777777" w:rsidR="004C558F" w:rsidRDefault="004C558F">
      <w:pPr>
        <w:pStyle w:val="BodyText"/>
        <w:rPr>
          <w:sz w:val="20"/>
        </w:rPr>
      </w:pPr>
    </w:p>
    <w:p w14:paraId="1C34E91A" w14:textId="77777777" w:rsidR="004C558F" w:rsidRDefault="004C558F">
      <w:pPr>
        <w:pStyle w:val="BodyText"/>
        <w:rPr>
          <w:sz w:val="20"/>
        </w:rPr>
      </w:pPr>
    </w:p>
    <w:p w14:paraId="1C34E91B" w14:textId="77777777" w:rsidR="004C558F" w:rsidRDefault="004C558F">
      <w:pPr>
        <w:pStyle w:val="BodyText"/>
        <w:rPr>
          <w:sz w:val="20"/>
        </w:rPr>
      </w:pPr>
    </w:p>
    <w:p w14:paraId="1C34E91C" w14:textId="7311FC7B" w:rsidR="004C558F" w:rsidRDefault="004C558F">
      <w:pPr>
        <w:pStyle w:val="BodyText"/>
        <w:spacing w:before="36"/>
        <w:rPr>
          <w:sz w:val="20"/>
        </w:rPr>
      </w:pPr>
    </w:p>
    <w:p w14:paraId="1C34E91E" w14:textId="77777777" w:rsidR="004C558F" w:rsidRDefault="004C558F">
      <w:pPr>
        <w:rPr>
          <w:sz w:val="20"/>
        </w:rPr>
        <w:sectPr w:rsidR="004C558F">
          <w:pgSz w:w="12240" w:h="15840"/>
          <w:pgMar w:top="1640" w:right="740" w:bottom="720" w:left="480" w:header="0" w:footer="521" w:gutter="0"/>
          <w:cols w:space="720"/>
        </w:sectPr>
      </w:pPr>
    </w:p>
    <w:p w14:paraId="1C34E91F" w14:textId="77777777" w:rsidR="004C558F" w:rsidRDefault="00461887">
      <w:pPr>
        <w:pStyle w:val="Heading3"/>
        <w:numPr>
          <w:ilvl w:val="2"/>
          <w:numId w:val="16"/>
        </w:numPr>
        <w:tabs>
          <w:tab w:val="left" w:pos="958"/>
          <w:tab w:val="left" w:pos="960"/>
        </w:tabs>
        <w:spacing w:before="77"/>
        <w:ind w:left="960" w:right="1298" w:hanging="361"/>
        <w:rPr>
          <w:color w:val="042339"/>
        </w:rPr>
      </w:pPr>
      <w:bookmarkStart w:id="134" w:name="7._At_current_Medicare_rates,_inpatient_"/>
      <w:bookmarkEnd w:id="134"/>
      <w:r>
        <w:rPr>
          <w:color w:val="042339"/>
        </w:rPr>
        <w:lastRenderedPageBreak/>
        <w:t>At current Medicare rates, inpatient care shifting to DFCI would reduce annual Medicare</w:t>
      </w:r>
      <w:r>
        <w:rPr>
          <w:color w:val="042339"/>
          <w:spacing w:val="-3"/>
        </w:rPr>
        <w:t xml:space="preserve"> </w:t>
      </w:r>
      <w:r>
        <w:rPr>
          <w:color w:val="042339"/>
        </w:rPr>
        <w:t>spending</w:t>
      </w:r>
      <w:r>
        <w:rPr>
          <w:color w:val="042339"/>
          <w:spacing w:val="-4"/>
        </w:rPr>
        <w:t xml:space="preserve"> </w:t>
      </w:r>
      <w:r>
        <w:rPr>
          <w:color w:val="042339"/>
        </w:rPr>
        <w:t>by</w:t>
      </w:r>
      <w:r>
        <w:rPr>
          <w:color w:val="042339"/>
          <w:spacing w:val="-1"/>
        </w:rPr>
        <w:t xml:space="preserve"> </w:t>
      </w:r>
      <w:r>
        <w:rPr>
          <w:color w:val="042339"/>
        </w:rPr>
        <w:t>$5.7</w:t>
      </w:r>
      <w:r>
        <w:rPr>
          <w:color w:val="042339"/>
          <w:spacing w:val="-5"/>
        </w:rPr>
        <w:t xml:space="preserve"> </w:t>
      </w:r>
      <w:r>
        <w:rPr>
          <w:color w:val="042339"/>
        </w:rPr>
        <w:t>to</w:t>
      </w:r>
      <w:r>
        <w:rPr>
          <w:color w:val="042339"/>
          <w:spacing w:val="-2"/>
        </w:rPr>
        <w:t xml:space="preserve"> </w:t>
      </w:r>
      <w:r>
        <w:rPr>
          <w:color w:val="042339"/>
        </w:rPr>
        <w:t>$9.1</w:t>
      </w:r>
      <w:r>
        <w:rPr>
          <w:color w:val="042339"/>
          <w:spacing w:val="-5"/>
        </w:rPr>
        <w:t xml:space="preserve"> </w:t>
      </w:r>
      <w:r>
        <w:rPr>
          <w:color w:val="042339"/>
        </w:rPr>
        <w:t>million,</w:t>
      </w:r>
      <w:r>
        <w:rPr>
          <w:color w:val="042339"/>
          <w:spacing w:val="-1"/>
        </w:rPr>
        <w:t xml:space="preserve"> </w:t>
      </w:r>
      <w:r>
        <w:rPr>
          <w:color w:val="042339"/>
        </w:rPr>
        <w:t>but</w:t>
      </w:r>
      <w:r>
        <w:rPr>
          <w:color w:val="042339"/>
          <w:spacing w:val="-3"/>
        </w:rPr>
        <w:t xml:space="preserve"> </w:t>
      </w:r>
      <w:r>
        <w:rPr>
          <w:color w:val="042339"/>
        </w:rPr>
        <w:t>DFCI's</w:t>
      </w:r>
      <w:r>
        <w:rPr>
          <w:color w:val="042339"/>
          <w:spacing w:val="-4"/>
        </w:rPr>
        <w:t xml:space="preserve"> </w:t>
      </w:r>
      <w:r>
        <w:rPr>
          <w:color w:val="042339"/>
        </w:rPr>
        <w:t>inpatient</w:t>
      </w:r>
      <w:r>
        <w:rPr>
          <w:color w:val="042339"/>
          <w:spacing w:val="-1"/>
        </w:rPr>
        <w:t xml:space="preserve"> </w:t>
      </w:r>
      <w:r>
        <w:rPr>
          <w:color w:val="042339"/>
        </w:rPr>
        <w:t>Medicare</w:t>
      </w:r>
      <w:r>
        <w:rPr>
          <w:color w:val="042339"/>
          <w:spacing w:val="-3"/>
        </w:rPr>
        <w:t xml:space="preserve"> </w:t>
      </w:r>
      <w:r>
        <w:rPr>
          <w:color w:val="042339"/>
        </w:rPr>
        <w:t>rates may</w:t>
      </w:r>
      <w:r>
        <w:rPr>
          <w:color w:val="042339"/>
          <w:spacing w:val="-4"/>
        </w:rPr>
        <w:t xml:space="preserve"> </w:t>
      </w:r>
      <w:r>
        <w:rPr>
          <w:color w:val="042339"/>
        </w:rPr>
        <w:t>increase</w:t>
      </w:r>
      <w:r>
        <w:rPr>
          <w:color w:val="042339"/>
          <w:spacing w:val="-4"/>
        </w:rPr>
        <w:t xml:space="preserve"> </w:t>
      </w:r>
      <w:r>
        <w:rPr>
          <w:color w:val="042339"/>
        </w:rPr>
        <w:t>in</w:t>
      </w:r>
      <w:r>
        <w:rPr>
          <w:color w:val="042339"/>
          <w:spacing w:val="-3"/>
        </w:rPr>
        <w:t xml:space="preserve"> </w:t>
      </w:r>
      <w:r>
        <w:rPr>
          <w:color w:val="042339"/>
        </w:rPr>
        <w:t>the</w:t>
      </w:r>
      <w:r>
        <w:rPr>
          <w:color w:val="042339"/>
          <w:spacing w:val="-4"/>
        </w:rPr>
        <w:t xml:space="preserve"> </w:t>
      </w:r>
      <w:r>
        <w:rPr>
          <w:color w:val="042339"/>
        </w:rPr>
        <w:t>newly</w:t>
      </w:r>
      <w:r>
        <w:rPr>
          <w:color w:val="042339"/>
          <w:spacing w:val="-4"/>
        </w:rPr>
        <w:t xml:space="preserve"> </w:t>
      </w:r>
      <w:r>
        <w:rPr>
          <w:color w:val="042339"/>
        </w:rPr>
        <w:t>constructed</w:t>
      </w:r>
      <w:r>
        <w:rPr>
          <w:color w:val="042339"/>
          <w:spacing w:val="-3"/>
        </w:rPr>
        <w:t xml:space="preserve"> </w:t>
      </w:r>
      <w:r>
        <w:rPr>
          <w:color w:val="042339"/>
        </w:rPr>
        <w:t>cancer</w:t>
      </w:r>
      <w:r>
        <w:rPr>
          <w:color w:val="042339"/>
          <w:spacing w:val="-4"/>
        </w:rPr>
        <w:t xml:space="preserve"> </w:t>
      </w:r>
      <w:r>
        <w:rPr>
          <w:color w:val="042339"/>
        </w:rPr>
        <w:t>hospital,</w:t>
      </w:r>
      <w:r>
        <w:rPr>
          <w:color w:val="042339"/>
          <w:spacing w:val="-5"/>
        </w:rPr>
        <w:t xml:space="preserve"> </w:t>
      </w:r>
      <w:r>
        <w:rPr>
          <w:color w:val="042339"/>
        </w:rPr>
        <w:t>reducing</w:t>
      </w:r>
      <w:r>
        <w:rPr>
          <w:color w:val="042339"/>
          <w:spacing w:val="-2"/>
        </w:rPr>
        <w:t xml:space="preserve"> </w:t>
      </w:r>
      <w:r>
        <w:rPr>
          <w:color w:val="042339"/>
        </w:rPr>
        <w:t>any</w:t>
      </w:r>
      <w:r>
        <w:rPr>
          <w:color w:val="042339"/>
          <w:spacing w:val="-4"/>
        </w:rPr>
        <w:t xml:space="preserve"> </w:t>
      </w:r>
      <w:r>
        <w:rPr>
          <w:color w:val="042339"/>
        </w:rPr>
        <w:t>savings</w:t>
      </w:r>
      <w:r>
        <w:rPr>
          <w:color w:val="042339"/>
          <w:spacing w:val="-5"/>
        </w:rPr>
        <w:t xml:space="preserve"> </w:t>
      </w:r>
      <w:r>
        <w:rPr>
          <w:color w:val="042339"/>
        </w:rPr>
        <w:t>or potentially increasing spending. Shifts of outpatient Medicare volume to DFCI may also substantially increase annual Medicare spending.</w:t>
      </w:r>
    </w:p>
    <w:p w14:paraId="1C34E920" w14:textId="77777777" w:rsidR="004C558F" w:rsidRDefault="004C558F">
      <w:pPr>
        <w:pStyle w:val="BodyText"/>
        <w:spacing w:before="74"/>
        <w:rPr>
          <w:rFonts w:ascii="Franklin Gothic Medium"/>
          <w:sz w:val="26"/>
        </w:rPr>
      </w:pPr>
    </w:p>
    <w:p w14:paraId="1C34E921" w14:textId="77777777" w:rsidR="004C558F" w:rsidRDefault="00461887">
      <w:pPr>
        <w:pStyle w:val="BodyText"/>
        <w:spacing w:before="1" w:line="276" w:lineRule="auto"/>
        <w:ind w:left="959" w:right="943" w:firstLine="720"/>
      </w:pPr>
      <w:r>
        <w:t>The HPC used econometric models specific to Medicare discharges to estimate how Medicare patients may shift to DFCI from other hospitals. The HPC then combined these projections</w:t>
      </w:r>
      <w:r>
        <w:rPr>
          <w:spacing w:val="-3"/>
        </w:rPr>
        <w:t xml:space="preserve"> </w:t>
      </w:r>
      <w:r>
        <w:t>with</w:t>
      </w:r>
      <w:r>
        <w:rPr>
          <w:spacing w:val="-4"/>
        </w:rPr>
        <w:t xml:space="preserve"> </w:t>
      </w:r>
      <w:r>
        <w:t>current</w:t>
      </w:r>
      <w:r>
        <w:rPr>
          <w:spacing w:val="-5"/>
        </w:rPr>
        <w:t xml:space="preserve"> </w:t>
      </w:r>
      <w:r>
        <w:t>Medicare</w:t>
      </w:r>
      <w:r>
        <w:rPr>
          <w:spacing w:val="-3"/>
        </w:rPr>
        <w:t xml:space="preserve"> </w:t>
      </w:r>
      <w:r>
        <w:t>prices</w:t>
      </w:r>
      <w:r>
        <w:rPr>
          <w:spacing w:val="-3"/>
        </w:rPr>
        <w:t xml:space="preserve"> </w:t>
      </w:r>
      <w:r>
        <w:t>calculated</w:t>
      </w:r>
      <w:r>
        <w:rPr>
          <w:spacing w:val="-4"/>
        </w:rPr>
        <w:t xml:space="preserve"> </w:t>
      </w:r>
      <w:r>
        <w:t>as</w:t>
      </w:r>
      <w:r>
        <w:rPr>
          <w:spacing w:val="-4"/>
        </w:rPr>
        <w:t xml:space="preserve"> </w:t>
      </w:r>
      <w:r>
        <w:t>described</w:t>
      </w:r>
      <w:r>
        <w:rPr>
          <w:spacing w:val="-2"/>
        </w:rPr>
        <w:t xml:space="preserve"> </w:t>
      </w:r>
      <w:r>
        <w:t>in</w:t>
      </w:r>
      <w:r>
        <w:rPr>
          <w:spacing w:val="-3"/>
        </w:rPr>
        <w:t xml:space="preserve"> </w:t>
      </w:r>
      <w:r>
        <w:t>Section</w:t>
      </w:r>
      <w:r>
        <w:rPr>
          <w:spacing w:val="-4"/>
        </w:rPr>
        <w:t xml:space="preserve"> </w:t>
      </w:r>
      <w:r>
        <w:t>III.A.3.b</w:t>
      </w:r>
      <w:r>
        <w:rPr>
          <w:spacing w:val="-4"/>
        </w:rPr>
        <w:t xml:space="preserve"> </w:t>
      </w:r>
      <w:r>
        <w:t>and</w:t>
      </w:r>
      <w:r>
        <w:rPr>
          <w:spacing w:val="-2"/>
        </w:rPr>
        <w:t xml:space="preserve"> </w:t>
      </w:r>
      <w:r>
        <w:t xml:space="preserve">adjusted for the acuity of patients likely to shift to DFCI from other hospitals. We found that, at current Medicare rates, inpatient shifts to DFCI from other hospitals would save between $5.7 and $9.1 million annually. It is unclear to what extent these savings would be realized, however, given the possibility that DFCI’s cost-based Medicare reimbursement for inpatient care may increase </w:t>
      </w:r>
      <w:proofErr w:type="gramStart"/>
      <w:r>
        <w:t>as a result of</w:t>
      </w:r>
      <w:proofErr w:type="gramEnd"/>
      <w:r>
        <w:t xml:space="preserve"> providing care in a freestanding hospital setting, as discussed in Section III.A.8, below.</w:t>
      </w:r>
    </w:p>
    <w:p w14:paraId="1C34E922" w14:textId="77777777" w:rsidR="004C558F" w:rsidRDefault="004C558F">
      <w:pPr>
        <w:pStyle w:val="BodyText"/>
        <w:spacing w:before="37"/>
      </w:pPr>
    </w:p>
    <w:p w14:paraId="1C34E923" w14:textId="58EF534C" w:rsidR="004C558F" w:rsidRDefault="00461887">
      <w:pPr>
        <w:pStyle w:val="BodyText"/>
        <w:spacing w:line="276" w:lineRule="auto"/>
        <w:ind w:left="959" w:right="972" w:firstLine="720"/>
        <w:rPr>
          <w:sz w:val="14"/>
        </w:rPr>
      </w:pPr>
      <w:r>
        <w:t>Outpatient care shifting to DFCI may also increase Medicare spending. Dedicated cancer hospitals</w:t>
      </w:r>
      <w:r>
        <w:rPr>
          <w:spacing w:val="-2"/>
        </w:rPr>
        <w:t xml:space="preserve"> </w:t>
      </w:r>
      <w:r>
        <w:t>like</w:t>
      </w:r>
      <w:r>
        <w:rPr>
          <w:spacing w:val="-4"/>
        </w:rPr>
        <w:t xml:space="preserve"> </w:t>
      </w:r>
      <w:r>
        <w:t>DFCI</w:t>
      </w:r>
      <w:r>
        <w:rPr>
          <w:spacing w:val="-2"/>
        </w:rPr>
        <w:t xml:space="preserve"> </w:t>
      </w:r>
      <w:r>
        <w:t>are</w:t>
      </w:r>
      <w:r>
        <w:rPr>
          <w:spacing w:val="-2"/>
        </w:rPr>
        <w:t xml:space="preserve"> </w:t>
      </w:r>
      <w:r>
        <w:t>paid</w:t>
      </w:r>
      <w:r>
        <w:rPr>
          <w:spacing w:val="-1"/>
        </w:rPr>
        <w:t xml:space="preserve"> </w:t>
      </w:r>
      <w:r>
        <w:t>by</w:t>
      </w:r>
      <w:r>
        <w:rPr>
          <w:spacing w:val="-3"/>
        </w:rPr>
        <w:t xml:space="preserve"> </w:t>
      </w:r>
      <w:r>
        <w:t>Medicare</w:t>
      </w:r>
      <w:r>
        <w:rPr>
          <w:spacing w:val="-5"/>
        </w:rPr>
        <w:t xml:space="preserve"> </w:t>
      </w:r>
      <w:r>
        <w:t>for</w:t>
      </w:r>
      <w:r>
        <w:rPr>
          <w:spacing w:val="-3"/>
        </w:rPr>
        <w:t xml:space="preserve"> </w:t>
      </w:r>
      <w:r>
        <w:t>outpatient</w:t>
      </w:r>
      <w:r>
        <w:rPr>
          <w:spacing w:val="-3"/>
        </w:rPr>
        <w:t xml:space="preserve"> </w:t>
      </w:r>
      <w:r>
        <w:t>services</w:t>
      </w:r>
      <w:r>
        <w:rPr>
          <w:spacing w:val="-4"/>
        </w:rPr>
        <w:t xml:space="preserve"> </w:t>
      </w:r>
      <w:r>
        <w:t>under</w:t>
      </w:r>
      <w:r>
        <w:rPr>
          <w:spacing w:val="-5"/>
        </w:rPr>
        <w:t xml:space="preserve"> </w:t>
      </w:r>
      <w:r>
        <w:t>a</w:t>
      </w:r>
      <w:r>
        <w:rPr>
          <w:spacing w:val="-1"/>
        </w:rPr>
        <w:t xml:space="preserve"> </w:t>
      </w:r>
      <w:r>
        <w:t>payment</w:t>
      </w:r>
      <w:r>
        <w:rPr>
          <w:spacing w:val="-3"/>
        </w:rPr>
        <w:t xml:space="preserve"> </w:t>
      </w:r>
      <w:r>
        <w:t>system</w:t>
      </w:r>
      <w:r>
        <w:rPr>
          <w:spacing w:val="-2"/>
        </w:rPr>
        <w:t xml:space="preserve"> </w:t>
      </w:r>
      <w:r>
        <w:t>designed to ensure a fixed ratio of reimbursement to costs.</w:t>
      </w:r>
      <w:r>
        <w:rPr>
          <w:spacing w:val="-34"/>
        </w:rPr>
        <w:t xml:space="preserve"> </w:t>
      </w:r>
      <w:r w:rsidR="00D42E55">
        <w:rPr>
          <w:rStyle w:val="FootnoteReference"/>
          <w:spacing w:val="-34"/>
        </w:rPr>
        <w:footnoteReference w:id="141"/>
      </w:r>
      <w:r>
        <w:t>CMS estimates that due to its higher cost of care, in 2025 DFCI will receive supplemental outpatient reimbursement that will result in payments 46.6%</w:t>
      </w:r>
      <w:r>
        <w:rPr>
          <w:spacing w:val="-1"/>
        </w:rPr>
        <w:t xml:space="preserve"> </w:t>
      </w:r>
      <w:r>
        <w:t>higher</w:t>
      </w:r>
      <w:r>
        <w:rPr>
          <w:spacing w:val="-1"/>
        </w:rPr>
        <w:t xml:space="preserve"> </w:t>
      </w:r>
      <w:r>
        <w:t>than a</w:t>
      </w:r>
      <w:r>
        <w:rPr>
          <w:spacing w:val="-2"/>
        </w:rPr>
        <w:t xml:space="preserve"> </w:t>
      </w:r>
      <w:r>
        <w:t>hospital</w:t>
      </w:r>
      <w:r>
        <w:rPr>
          <w:spacing w:val="-1"/>
        </w:rPr>
        <w:t xml:space="preserve"> </w:t>
      </w:r>
      <w:r>
        <w:t>paid</w:t>
      </w:r>
      <w:r>
        <w:rPr>
          <w:spacing w:val="-2"/>
        </w:rPr>
        <w:t xml:space="preserve"> </w:t>
      </w:r>
      <w:r>
        <w:t>under</w:t>
      </w:r>
      <w:r>
        <w:rPr>
          <w:spacing w:val="-1"/>
        </w:rPr>
        <w:t xml:space="preserve"> </w:t>
      </w:r>
      <w:r>
        <w:t>the standard Medicare reimbursement</w:t>
      </w:r>
      <w:r>
        <w:rPr>
          <w:spacing w:val="-1"/>
        </w:rPr>
        <w:t xml:space="preserve"> </w:t>
      </w:r>
      <w:r>
        <w:t>system would receive for the same services.</w:t>
      </w:r>
      <w:r>
        <w:rPr>
          <w:spacing w:val="-33"/>
        </w:rPr>
        <w:t xml:space="preserve"> </w:t>
      </w:r>
      <w:r w:rsidR="00B37F4A">
        <w:rPr>
          <w:rStyle w:val="FootnoteReference"/>
          <w:spacing w:val="-33"/>
        </w:rPr>
        <w:footnoteReference w:id="142"/>
      </w:r>
      <w:r>
        <w:t xml:space="preserve">If DFCI were to obtain a similarly supplemental payment rate for outpatient care moving from BIDMC </w:t>
      </w:r>
      <w:proofErr w:type="gramStart"/>
      <w:r>
        <w:t>as a result of</w:t>
      </w:r>
      <w:proofErr w:type="gramEnd"/>
      <w:r>
        <w:t xml:space="preserve"> the proposed transaction, annual Medicare spending on oncology infusion and drugs alone would increase by $17.3 million.</w:t>
      </w:r>
      <w:r>
        <w:rPr>
          <w:spacing w:val="-33"/>
        </w:rPr>
        <w:t xml:space="preserve"> </w:t>
      </w:r>
      <w:r w:rsidR="00274729">
        <w:rPr>
          <w:rStyle w:val="FootnoteReference"/>
          <w:spacing w:val="-33"/>
        </w:rPr>
        <w:footnoteReference w:id="143"/>
      </w:r>
    </w:p>
    <w:p w14:paraId="1C34E924" w14:textId="77777777" w:rsidR="004C558F" w:rsidRDefault="004C558F">
      <w:pPr>
        <w:pStyle w:val="BodyText"/>
        <w:rPr>
          <w:sz w:val="20"/>
        </w:rPr>
      </w:pPr>
    </w:p>
    <w:p w14:paraId="1C34E925" w14:textId="77777777" w:rsidR="004C558F" w:rsidRDefault="004C558F">
      <w:pPr>
        <w:pStyle w:val="BodyText"/>
        <w:rPr>
          <w:sz w:val="20"/>
        </w:rPr>
      </w:pPr>
    </w:p>
    <w:p w14:paraId="1C34E926" w14:textId="77777777" w:rsidR="004C558F" w:rsidRDefault="004C558F">
      <w:pPr>
        <w:pStyle w:val="BodyText"/>
        <w:rPr>
          <w:sz w:val="20"/>
        </w:rPr>
      </w:pPr>
    </w:p>
    <w:p w14:paraId="1C34E927" w14:textId="77777777" w:rsidR="004C558F" w:rsidRDefault="004C558F">
      <w:pPr>
        <w:pStyle w:val="BodyText"/>
        <w:rPr>
          <w:sz w:val="20"/>
        </w:rPr>
      </w:pPr>
    </w:p>
    <w:p w14:paraId="1C34E928" w14:textId="77777777" w:rsidR="004C558F" w:rsidRDefault="004C558F">
      <w:pPr>
        <w:pStyle w:val="BodyText"/>
        <w:rPr>
          <w:sz w:val="20"/>
        </w:rPr>
      </w:pPr>
    </w:p>
    <w:p w14:paraId="1C34E929" w14:textId="77777777" w:rsidR="004C558F" w:rsidRDefault="004C558F">
      <w:pPr>
        <w:pStyle w:val="BodyText"/>
        <w:rPr>
          <w:sz w:val="20"/>
        </w:rPr>
      </w:pPr>
    </w:p>
    <w:p w14:paraId="1C34E92A" w14:textId="77777777" w:rsidR="004C558F" w:rsidRDefault="004C558F">
      <w:pPr>
        <w:pStyle w:val="BodyText"/>
        <w:rPr>
          <w:sz w:val="20"/>
        </w:rPr>
      </w:pPr>
    </w:p>
    <w:p w14:paraId="1C34E92B" w14:textId="5BB6FC0A" w:rsidR="004C558F" w:rsidRDefault="004C558F">
      <w:pPr>
        <w:pStyle w:val="BodyText"/>
        <w:spacing w:before="217"/>
        <w:rPr>
          <w:sz w:val="20"/>
        </w:rPr>
      </w:pPr>
    </w:p>
    <w:p w14:paraId="1C34E930" w14:textId="77777777" w:rsidR="004C558F" w:rsidRDefault="004C558F">
      <w:pPr>
        <w:rPr>
          <w:sz w:val="20"/>
        </w:rPr>
        <w:sectPr w:rsidR="004C558F">
          <w:pgSz w:w="12240" w:h="15840"/>
          <w:pgMar w:top="1360" w:right="740" w:bottom="720" w:left="480" w:header="0" w:footer="521" w:gutter="0"/>
          <w:cols w:space="720"/>
        </w:sectPr>
      </w:pPr>
      <w:bookmarkStart w:id="135" w:name="_bookmark165"/>
      <w:bookmarkStart w:id="136" w:name="_bookmark167"/>
      <w:bookmarkEnd w:id="135"/>
      <w:bookmarkEnd w:id="136"/>
    </w:p>
    <w:p w14:paraId="1C34E931" w14:textId="77777777" w:rsidR="004C558F" w:rsidRDefault="00461887">
      <w:pPr>
        <w:pStyle w:val="Heading3"/>
        <w:numPr>
          <w:ilvl w:val="2"/>
          <w:numId w:val="16"/>
        </w:numPr>
        <w:tabs>
          <w:tab w:val="left" w:pos="958"/>
          <w:tab w:val="left" w:pos="960"/>
        </w:tabs>
        <w:spacing w:before="77"/>
        <w:ind w:left="960" w:right="1114" w:hanging="361"/>
        <w:jc w:val="both"/>
        <w:rPr>
          <w:color w:val="042339"/>
        </w:rPr>
      </w:pPr>
      <w:bookmarkStart w:id="137" w:name="8._Any_increases_in_the_parties’_prices_"/>
      <w:bookmarkEnd w:id="137"/>
      <w:r>
        <w:rPr>
          <w:color w:val="042339"/>
        </w:rPr>
        <w:lastRenderedPageBreak/>
        <w:t>Any</w:t>
      </w:r>
      <w:r>
        <w:rPr>
          <w:color w:val="042339"/>
          <w:spacing w:val="-4"/>
        </w:rPr>
        <w:t xml:space="preserve"> </w:t>
      </w:r>
      <w:r>
        <w:rPr>
          <w:color w:val="042339"/>
        </w:rPr>
        <w:t>increases</w:t>
      </w:r>
      <w:r>
        <w:rPr>
          <w:color w:val="042339"/>
          <w:spacing w:val="-2"/>
        </w:rPr>
        <w:t xml:space="preserve"> </w:t>
      </w:r>
      <w:r>
        <w:rPr>
          <w:color w:val="042339"/>
        </w:rPr>
        <w:t>in</w:t>
      </w:r>
      <w:r>
        <w:rPr>
          <w:color w:val="042339"/>
          <w:spacing w:val="-3"/>
        </w:rPr>
        <w:t xml:space="preserve"> </w:t>
      </w:r>
      <w:r>
        <w:rPr>
          <w:color w:val="042339"/>
        </w:rPr>
        <w:t>the</w:t>
      </w:r>
      <w:r>
        <w:rPr>
          <w:color w:val="042339"/>
          <w:spacing w:val="-4"/>
        </w:rPr>
        <w:t xml:space="preserve"> </w:t>
      </w:r>
      <w:r>
        <w:rPr>
          <w:color w:val="042339"/>
        </w:rPr>
        <w:t>parties’</w:t>
      </w:r>
      <w:r>
        <w:rPr>
          <w:color w:val="042339"/>
          <w:spacing w:val="-5"/>
        </w:rPr>
        <w:t xml:space="preserve"> </w:t>
      </w:r>
      <w:r>
        <w:rPr>
          <w:color w:val="042339"/>
        </w:rPr>
        <w:t>prices</w:t>
      </w:r>
      <w:r>
        <w:rPr>
          <w:color w:val="042339"/>
          <w:spacing w:val="-2"/>
        </w:rPr>
        <w:t xml:space="preserve"> </w:t>
      </w:r>
      <w:proofErr w:type="gramStart"/>
      <w:r>
        <w:rPr>
          <w:color w:val="042339"/>
        </w:rPr>
        <w:t>as</w:t>
      </w:r>
      <w:r>
        <w:rPr>
          <w:color w:val="042339"/>
          <w:spacing w:val="-2"/>
        </w:rPr>
        <w:t xml:space="preserve"> </w:t>
      </w:r>
      <w:r>
        <w:rPr>
          <w:color w:val="042339"/>
        </w:rPr>
        <w:t>a</w:t>
      </w:r>
      <w:r>
        <w:rPr>
          <w:color w:val="042339"/>
          <w:spacing w:val="-6"/>
        </w:rPr>
        <w:t xml:space="preserve"> </w:t>
      </w:r>
      <w:r>
        <w:rPr>
          <w:color w:val="042339"/>
        </w:rPr>
        <w:t>result</w:t>
      </w:r>
      <w:r>
        <w:rPr>
          <w:color w:val="042339"/>
          <w:spacing w:val="-4"/>
        </w:rPr>
        <w:t xml:space="preserve"> </w:t>
      </w:r>
      <w:r>
        <w:rPr>
          <w:color w:val="042339"/>
        </w:rPr>
        <w:t>of</w:t>
      </w:r>
      <w:proofErr w:type="gramEnd"/>
      <w:r>
        <w:rPr>
          <w:color w:val="042339"/>
          <w:spacing w:val="-3"/>
        </w:rPr>
        <w:t xml:space="preserve"> </w:t>
      </w:r>
      <w:r>
        <w:rPr>
          <w:color w:val="042339"/>
        </w:rPr>
        <w:t>the</w:t>
      </w:r>
      <w:r>
        <w:rPr>
          <w:color w:val="042339"/>
          <w:spacing w:val="-4"/>
        </w:rPr>
        <w:t xml:space="preserve"> </w:t>
      </w:r>
      <w:r>
        <w:rPr>
          <w:color w:val="042339"/>
        </w:rPr>
        <w:t>proposed</w:t>
      </w:r>
      <w:r>
        <w:rPr>
          <w:color w:val="042339"/>
          <w:spacing w:val="-5"/>
        </w:rPr>
        <w:t xml:space="preserve"> </w:t>
      </w:r>
      <w:r>
        <w:rPr>
          <w:color w:val="042339"/>
        </w:rPr>
        <w:t>transaction</w:t>
      </w:r>
      <w:r>
        <w:rPr>
          <w:color w:val="042339"/>
          <w:spacing w:val="-3"/>
        </w:rPr>
        <w:t xml:space="preserve"> </w:t>
      </w:r>
      <w:r>
        <w:rPr>
          <w:color w:val="042339"/>
        </w:rPr>
        <w:t>would reduce savings or increase spending. Commitments to limit future inpatient and outpatient</w:t>
      </w:r>
      <w:r>
        <w:rPr>
          <w:color w:val="042339"/>
          <w:spacing w:val="-1"/>
        </w:rPr>
        <w:t xml:space="preserve"> </w:t>
      </w:r>
      <w:r>
        <w:rPr>
          <w:color w:val="042339"/>
        </w:rPr>
        <w:t>rate</w:t>
      </w:r>
      <w:r>
        <w:rPr>
          <w:color w:val="042339"/>
          <w:spacing w:val="-1"/>
        </w:rPr>
        <w:t xml:space="preserve"> </w:t>
      </w:r>
      <w:r>
        <w:rPr>
          <w:color w:val="042339"/>
        </w:rPr>
        <w:t>increases</w:t>
      </w:r>
      <w:r>
        <w:rPr>
          <w:color w:val="042339"/>
          <w:spacing w:val="-2"/>
        </w:rPr>
        <w:t xml:space="preserve"> </w:t>
      </w:r>
      <w:r>
        <w:rPr>
          <w:color w:val="042339"/>
        </w:rPr>
        <w:t>and address</w:t>
      </w:r>
      <w:r>
        <w:rPr>
          <w:color w:val="042339"/>
          <w:spacing w:val="-2"/>
        </w:rPr>
        <w:t xml:space="preserve"> </w:t>
      </w:r>
      <w:r>
        <w:rPr>
          <w:color w:val="042339"/>
        </w:rPr>
        <w:t>DFCI’s</w:t>
      </w:r>
      <w:r>
        <w:rPr>
          <w:color w:val="042339"/>
          <w:spacing w:val="-2"/>
        </w:rPr>
        <w:t xml:space="preserve"> </w:t>
      </w:r>
      <w:r>
        <w:rPr>
          <w:color w:val="042339"/>
        </w:rPr>
        <w:t>already</w:t>
      </w:r>
      <w:r>
        <w:rPr>
          <w:color w:val="042339"/>
          <w:spacing w:val="-1"/>
        </w:rPr>
        <w:t xml:space="preserve"> </w:t>
      </w:r>
      <w:r>
        <w:rPr>
          <w:color w:val="042339"/>
        </w:rPr>
        <w:t>high</w:t>
      </w:r>
      <w:r>
        <w:rPr>
          <w:color w:val="042339"/>
          <w:spacing w:val="-1"/>
        </w:rPr>
        <w:t xml:space="preserve"> </w:t>
      </w:r>
      <w:r>
        <w:rPr>
          <w:color w:val="042339"/>
        </w:rPr>
        <w:t>outpatient</w:t>
      </w:r>
      <w:r>
        <w:rPr>
          <w:color w:val="042339"/>
          <w:spacing w:val="-1"/>
        </w:rPr>
        <w:t xml:space="preserve"> </w:t>
      </w:r>
      <w:r>
        <w:rPr>
          <w:color w:val="042339"/>
        </w:rPr>
        <w:t>prices</w:t>
      </w:r>
      <w:r>
        <w:rPr>
          <w:color w:val="042339"/>
          <w:spacing w:val="-2"/>
        </w:rPr>
        <w:t xml:space="preserve"> </w:t>
      </w:r>
      <w:r>
        <w:rPr>
          <w:color w:val="042339"/>
        </w:rPr>
        <w:t>may help to mitigate these concerns.</w:t>
      </w:r>
    </w:p>
    <w:p w14:paraId="1C34E932" w14:textId="77777777" w:rsidR="004C558F" w:rsidRDefault="004C558F">
      <w:pPr>
        <w:pStyle w:val="BodyText"/>
        <w:spacing w:before="74"/>
        <w:rPr>
          <w:rFonts w:ascii="Franklin Gothic Medium"/>
          <w:sz w:val="26"/>
        </w:rPr>
      </w:pPr>
    </w:p>
    <w:p w14:paraId="1C34E933" w14:textId="77777777" w:rsidR="004C558F" w:rsidRDefault="00461887">
      <w:pPr>
        <w:pStyle w:val="BodyText"/>
        <w:spacing w:line="276" w:lineRule="auto"/>
        <w:ind w:left="960" w:right="1092" w:firstLine="719"/>
      </w:pPr>
      <w:r>
        <w:t>As discussed in prior sections, the proposed transaction would likely substantially increase DFCI’s share of inpatient medical oncology services as it fills its new inpatient bed capacity and BIDMC no longer provides inpatient medical oncology services and directs care to DFCI.</w:t>
      </w:r>
      <w:r>
        <w:rPr>
          <w:spacing w:val="-5"/>
        </w:rPr>
        <w:t xml:space="preserve"> </w:t>
      </w:r>
      <w:r>
        <w:t>DFCI</w:t>
      </w:r>
      <w:r>
        <w:rPr>
          <w:spacing w:val="-5"/>
        </w:rPr>
        <w:t xml:space="preserve"> </w:t>
      </w:r>
      <w:r>
        <w:t>would</w:t>
      </w:r>
      <w:r>
        <w:rPr>
          <w:spacing w:val="-4"/>
        </w:rPr>
        <w:t xml:space="preserve"> </w:t>
      </w:r>
      <w:r>
        <w:t>also</w:t>
      </w:r>
      <w:r>
        <w:rPr>
          <w:spacing w:val="-2"/>
        </w:rPr>
        <w:t xml:space="preserve"> </w:t>
      </w:r>
      <w:r>
        <w:t>likely</w:t>
      </w:r>
      <w:r>
        <w:rPr>
          <w:spacing w:val="-3"/>
        </w:rPr>
        <w:t xml:space="preserve"> </w:t>
      </w:r>
      <w:r>
        <w:t>gain</w:t>
      </w:r>
      <w:r>
        <w:rPr>
          <w:spacing w:val="-2"/>
        </w:rPr>
        <w:t xml:space="preserve"> </w:t>
      </w:r>
      <w:r>
        <w:t>a</w:t>
      </w:r>
      <w:r>
        <w:rPr>
          <w:spacing w:val="-4"/>
        </w:rPr>
        <w:t xml:space="preserve"> </w:t>
      </w:r>
      <w:r>
        <w:t>substantial</w:t>
      </w:r>
      <w:r>
        <w:rPr>
          <w:spacing w:val="-3"/>
        </w:rPr>
        <w:t xml:space="preserve"> </w:t>
      </w:r>
      <w:r>
        <w:t>volume</w:t>
      </w:r>
      <w:r>
        <w:rPr>
          <w:spacing w:val="-2"/>
        </w:rPr>
        <w:t xml:space="preserve"> </w:t>
      </w:r>
      <w:r>
        <w:t>of</w:t>
      </w:r>
      <w:r>
        <w:rPr>
          <w:spacing w:val="-4"/>
        </w:rPr>
        <w:t xml:space="preserve"> </w:t>
      </w:r>
      <w:r>
        <w:t>outpatient</w:t>
      </w:r>
      <w:r>
        <w:rPr>
          <w:spacing w:val="-3"/>
        </w:rPr>
        <w:t xml:space="preserve"> </w:t>
      </w:r>
      <w:r>
        <w:t>oncology</w:t>
      </w:r>
      <w:r>
        <w:rPr>
          <w:spacing w:val="-5"/>
        </w:rPr>
        <w:t xml:space="preserve"> </w:t>
      </w:r>
      <w:proofErr w:type="gramStart"/>
      <w:r>
        <w:t>services</w:t>
      </w:r>
      <w:proofErr w:type="gramEnd"/>
      <w:r>
        <w:rPr>
          <w:spacing w:val="-2"/>
        </w:rPr>
        <w:t xml:space="preserve"> </w:t>
      </w:r>
      <w:r>
        <w:t>as</w:t>
      </w:r>
      <w:r>
        <w:rPr>
          <w:spacing w:val="-4"/>
        </w:rPr>
        <w:t xml:space="preserve"> </w:t>
      </w:r>
      <w:r>
        <w:t xml:space="preserve">BIDMC and HMFP medical oncology shifts to </w:t>
      </w:r>
      <w:proofErr w:type="gramStart"/>
      <w:r>
        <w:t>DFCI</w:t>
      </w:r>
      <w:proofErr w:type="gramEnd"/>
      <w:r>
        <w:t xml:space="preserve"> and the parties collaborate on other outpatient </w:t>
      </w:r>
      <w:r>
        <w:rPr>
          <w:spacing w:val="-2"/>
        </w:rPr>
        <w:t>services.</w:t>
      </w:r>
    </w:p>
    <w:p w14:paraId="1C34E934" w14:textId="7B02CACB" w:rsidR="004C558F" w:rsidRDefault="00461887">
      <w:pPr>
        <w:pStyle w:val="BodyText"/>
        <w:spacing w:before="160" w:line="276" w:lineRule="auto"/>
        <w:ind w:left="959" w:right="1034" w:firstLine="720"/>
      </w:pPr>
      <w:r>
        <w:t>As discussed in prior</w:t>
      </w:r>
      <w:r>
        <w:rPr>
          <w:spacing w:val="-1"/>
        </w:rPr>
        <w:t xml:space="preserve"> </w:t>
      </w:r>
      <w:r>
        <w:t>work</w:t>
      </w:r>
      <w:r>
        <w:rPr>
          <w:spacing w:val="-3"/>
        </w:rPr>
        <w:t xml:space="preserve"> </w:t>
      </w:r>
      <w:r>
        <w:t>by</w:t>
      </w:r>
      <w:r>
        <w:rPr>
          <w:spacing w:val="-1"/>
        </w:rPr>
        <w:t xml:space="preserve"> </w:t>
      </w:r>
      <w:r>
        <w:t>the HPC</w:t>
      </w:r>
      <w:r>
        <w:rPr>
          <w:spacing w:val="-1"/>
        </w:rPr>
        <w:t xml:space="preserve"> </w:t>
      </w:r>
      <w:r>
        <w:t>and others, increases in</w:t>
      </w:r>
      <w:r>
        <w:rPr>
          <w:spacing w:val="-2"/>
        </w:rPr>
        <w:t xml:space="preserve"> </w:t>
      </w:r>
      <w:r>
        <w:t>commercial</w:t>
      </w:r>
      <w:r>
        <w:rPr>
          <w:spacing w:val="-1"/>
        </w:rPr>
        <w:t xml:space="preserve"> </w:t>
      </w:r>
      <w:r>
        <w:t>market</w:t>
      </w:r>
      <w:r>
        <w:rPr>
          <w:spacing w:val="-1"/>
        </w:rPr>
        <w:t xml:space="preserve"> </w:t>
      </w:r>
      <w:r>
        <w:t>share, particularly in a highly concentrated market, are generally associated with greater leverage for a provider organization to negotiate higher prices with commercial payers.</w:t>
      </w:r>
      <w:r w:rsidR="00710CA0">
        <w:rPr>
          <w:rStyle w:val="FootnoteReference"/>
        </w:rPr>
        <w:footnoteReference w:id="144"/>
      </w:r>
      <w:r>
        <w:rPr>
          <w:spacing w:val="33"/>
          <w:position w:val="5"/>
          <w:sz w:val="14"/>
        </w:rPr>
        <w:t xml:space="preserve"> </w:t>
      </w:r>
      <w:r>
        <w:t>In this transaction, this concern is somewhat mitigated for inpatient spending by the fact that DFCI would have to compete on price with other providers to fill its new beds, potentially constraining its ability to raise prices. Competition with DFCI could theoretically also constrain price growth for DFCI’s competitors. However, DFCI commercial prices could grow substantially, increasing spending, while remaining lower than its largest competitors, the MGB AMCs. Additionally, as discussed above, although increased market share will not impact DFCI Medicare reimbursement, DFCI’s special</w:t>
      </w:r>
      <w:r>
        <w:rPr>
          <w:spacing w:val="-3"/>
        </w:rPr>
        <w:t xml:space="preserve"> </w:t>
      </w:r>
      <w:r>
        <w:t>Medicare</w:t>
      </w:r>
      <w:r>
        <w:rPr>
          <w:spacing w:val="-2"/>
        </w:rPr>
        <w:t xml:space="preserve"> </w:t>
      </w:r>
      <w:r>
        <w:t>payment</w:t>
      </w:r>
      <w:r>
        <w:rPr>
          <w:spacing w:val="-3"/>
        </w:rPr>
        <w:t xml:space="preserve"> </w:t>
      </w:r>
      <w:r>
        <w:t>status</w:t>
      </w:r>
      <w:r>
        <w:rPr>
          <w:spacing w:val="-2"/>
        </w:rPr>
        <w:t xml:space="preserve"> </w:t>
      </w:r>
      <w:r>
        <w:t>may</w:t>
      </w:r>
      <w:r>
        <w:rPr>
          <w:spacing w:val="-5"/>
        </w:rPr>
        <w:t xml:space="preserve"> </w:t>
      </w:r>
      <w:r>
        <w:t>result</w:t>
      </w:r>
      <w:r>
        <w:rPr>
          <w:spacing w:val="-3"/>
        </w:rPr>
        <w:t xml:space="preserve"> </w:t>
      </w:r>
      <w:r>
        <w:t>in</w:t>
      </w:r>
      <w:r>
        <w:rPr>
          <w:spacing w:val="-2"/>
        </w:rPr>
        <w:t xml:space="preserve"> </w:t>
      </w:r>
      <w:r>
        <w:t>its</w:t>
      </w:r>
      <w:r>
        <w:rPr>
          <w:spacing w:val="-4"/>
        </w:rPr>
        <w:t xml:space="preserve"> </w:t>
      </w:r>
      <w:r>
        <w:t>Medicare</w:t>
      </w:r>
      <w:r>
        <w:rPr>
          <w:spacing w:val="-2"/>
        </w:rPr>
        <w:t xml:space="preserve"> </w:t>
      </w:r>
      <w:r>
        <w:t>rates</w:t>
      </w:r>
      <w:r>
        <w:rPr>
          <w:spacing w:val="-2"/>
        </w:rPr>
        <w:t xml:space="preserve"> </w:t>
      </w:r>
      <w:r>
        <w:t>increasing</w:t>
      </w:r>
      <w:r>
        <w:rPr>
          <w:spacing w:val="-3"/>
        </w:rPr>
        <w:t xml:space="preserve"> </w:t>
      </w:r>
      <w:r>
        <w:t>to</w:t>
      </w:r>
      <w:r>
        <w:rPr>
          <w:spacing w:val="-2"/>
        </w:rPr>
        <w:t xml:space="preserve"> </w:t>
      </w:r>
      <w:r>
        <w:t>the</w:t>
      </w:r>
      <w:r>
        <w:rPr>
          <w:spacing w:val="-2"/>
        </w:rPr>
        <w:t xml:space="preserve"> </w:t>
      </w:r>
      <w:r>
        <w:t>extent</w:t>
      </w:r>
      <w:r>
        <w:rPr>
          <w:spacing w:val="-3"/>
        </w:rPr>
        <w:t xml:space="preserve"> </w:t>
      </w:r>
      <w:r>
        <w:t>its</w:t>
      </w:r>
      <w:r>
        <w:rPr>
          <w:spacing w:val="-2"/>
        </w:rPr>
        <w:t xml:space="preserve"> </w:t>
      </w:r>
      <w:r>
        <w:t xml:space="preserve">cost structure per unit of care increases </w:t>
      </w:r>
      <w:proofErr w:type="gramStart"/>
      <w:r>
        <w:t>as a result of</w:t>
      </w:r>
      <w:proofErr w:type="gramEnd"/>
      <w:r>
        <w:t xml:space="preserve"> operating a stand-alone facility.</w:t>
      </w:r>
    </w:p>
    <w:p w14:paraId="1C34E935" w14:textId="77777777" w:rsidR="004C558F" w:rsidRDefault="00461887">
      <w:pPr>
        <w:pStyle w:val="BodyText"/>
        <w:spacing w:before="159" w:line="276" w:lineRule="auto"/>
        <w:ind w:left="959" w:right="1092" w:firstLine="720"/>
      </w:pPr>
      <w:r>
        <w:t>To</w:t>
      </w:r>
      <w:r>
        <w:rPr>
          <w:spacing w:val="-2"/>
        </w:rPr>
        <w:t xml:space="preserve"> </w:t>
      </w:r>
      <w:r>
        <w:t>the</w:t>
      </w:r>
      <w:r>
        <w:rPr>
          <w:spacing w:val="-2"/>
        </w:rPr>
        <w:t xml:space="preserve"> </w:t>
      </w:r>
      <w:r>
        <w:t>extent</w:t>
      </w:r>
      <w:r>
        <w:rPr>
          <w:spacing w:val="-3"/>
        </w:rPr>
        <w:t xml:space="preserve"> </w:t>
      </w:r>
      <w:r>
        <w:t>that</w:t>
      </w:r>
      <w:r>
        <w:rPr>
          <w:spacing w:val="-3"/>
        </w:rPr>
        <w:t xml:space="preserve"> </w:t>
      </w:r>
      <w:r>
        <w:t>oncology</w:t>
      </w:r>
      <w:r>
        <w:rPr>
          <w:spacing w:val="-3"/>
        </w:rPr>
        <w:t xml:space="preserve"> </w:t>
      </w:r>
      <w:r>
        <w:t>patients</w:t>
      </w:r>
      <w:r>
        <w:rPr>
          <w:spacing w:val="-4"/>
        </w:rPr>
        <w:t xml:space="preserve"> </w:t>
      </w:r>
      <w:r>
        <w:t>of</w:t>
      </w:r>
      <w:r>
        <w:rPr>
          <w:spacing w:val="-4"/>
        </w:rPr>
        <w:t xml:space="preserve"> </w:t>
      </w:r>
      <w:r>
        <w:t>hospitals</w:t>
      </w:r>
      <w:r>
        <w:rPr>
          <w:spacing w:val="-4"/>
        </w:rPr>
        <w:t xml:space="preserve"> </w:t>
      </w:r>
      <w:r>
        <w:t>with</w:t>
      </w:r>
      <w:r>
        <w:rPr>
          <w:spacing w:val="-2"/>
        </w:rPr>
        <w:t xml:space="preserve"> </w:t>
      </w:r>
      <w:r>
        <w:t>smaller</w:t>
      </w:r>
      <w:r>
        <w:rPr>
          <w:spacing w:val="-3"/>
        </w:rPr>
        <w:t xml:space="preserve"> </w:t>
      </w:r>
      <w:r>
        <w:t>oncology</w:t>
      </w:r>
      <w:r>
        <w:rPr>
          <w:spacing w:val="-3"/>
        </w:rPr>
        <w:t xml:space="preserve"> </w:t>
      </w:r>
      <w:r>
        <w:t>programs</w:t>
      </w:r>
      <w:r>
        <w:rPr>
          <w:spacing w:val="-2"/>
        </w:rPr>
        <w:t xml:space="preserve"> </w:t>
      </w:r>
      <w:r>
        <w:t>choose to receive care from DFCI in the future, these hospitals may face challenges continuing to compete with DFCI. The HPC estimates that hospitals other than BIDMC, BWH, and MGH would lose a combined $60 million to $64 million in commercial revenue per year as oncology discharges shift to DFCI and discharges backfill at BIDMC and BWH under the “model-driven” scenarios described in Section III.A.5, and an additional $31 million in Medicare revenue as oncology discharges shift to DFCI as described in Section III.A.7.</w:t>
      </w:r>
    </w:p>
    <w:p w14:paraId="1C34E936" w14:textId="14FC723E" w:rsidR="004C558F" w:rsidRDefault="00461887">
      <w:pPr>
        <w:pStyle w:val="BodyText"/>
        <w:spacing w:before="161" w:line="276" w:lineRule="auto"/>
        <w:ind w:left="959" w:right="1034" w:firstLine="720"/>
      </w:pPr>
      <w:r>
        <w:t>This financial challenge may be exacerbated as DFCI recruits oncology-specialized clinicians and other employees for its new facility, potentially increasing labor costs for other providers.</w:t>
      </w:r>
      <w:r w:rsidR="00710CA0">
        <w:rPr>
          <w:rStyle w:val="FootnoteReference"/>
        </w:rPr>
        <w:footnoteReference w:id="145"/>
      </w:r>
      <w:r>
        <w:rPr>
          <w:spacing w:val="31"/>
          <w:position w:val="5"/>
          <w:sz w:val="14"/>
        </w:rPr>
        <w:t xml:space="preserve"> </w:t>
      </w:r>
      <w:r>
        <w:t>While MGB may have the resources to invest in further building a competing oncology</w:t>
      </w:r>
      <w:r>
        <w:rPr>
          <w:spacing w:val="-3"/>
        </w:rPr>
        <w:t xml:space="preserve"> </w:t>
      </w:r>
      <w:r>
        <w:t>service</w:t>
      </w:r>
      <w:r>
        <w:rPr>
          <w:spacing w:val="-4"/>
        </w:rPr>
        <w:t xml:space="preserve"> </w:t>
      </w:r>
      <w:r>
        <w:t>and</w:t>
      </w:r>
      <w:r>
        <w:rPr>
          <w:spacing w:val="-1"/>
        </w:rPr>
        <w:t xml:space="preserve"> </w:t>
      </w:r>
      <w:r>
        <w:t>backfilling</w:t>
      </w:r>
      <w:r>
        <w:rPr>
          <w:spacing w:val="-3"/>
        </w:rPr>
        <w:t xml:space="preserve"> </w:t>
      </w:r>
      <w:r>
        <w:t>lost</w:t>
      </w:r>
      <w:r>
        <w:rPr>
          <w:spacing w:val="-3"/>
        </w:rPr>
        <w:t xml:space="preserve"> </w:t>
      </w:r>
      <w:r>
        <w:t>volume,</w:t>
      </w:r>
      <w:r>
        <w:rPr>
          <w:spacing w:val="-2"/>
        </w:rPr>
        <w:t xml:space="preserve"> </w:t>
      </w:r>
      <w:r>
        <w:t>if</w:t>
      </w:r>
      <w:r>
        <w:rPr>
          <w:spacing w:val="-1"/>
        </w:rPr>
        <w:t xml:space="preserve"> </w:t>
      </w:r>
      <w:r>
        <w:t>other</w:t>
      </w:r>
      <w:r>
        <w:rPr>
          <w:spacing w:val="-5"/>
        </w:rPr>
        <w:t xml:space="preserve"> </w:t>
      </w:r>
      <w:r>
        <w:t>provider</w:t>
      </w:r>
      <w:r>
        <w:rPr>
          <w:spacing w:val="-3"/>
        </w:rPr>
        <w:t xml:space="preserve"> </w:t>
      </w:r>
      <w:r>
        <w:t>organizations</w:t>
      </w:r>
      <w:r>
        <w:rPr>
          <w:spacing w:val="-4"/>
        </w:rPr>
        <w:t xml:space="preserve"> </w:t>
      </w:r>
      <w:r>
        <w:t>choose</w:t>
      </w:r>
      <w:r>
        <w:rPr>
          <w:spacing w:val="-2"/>
        </w:rPr>
        <w:t xml:space="preserve"> </w:t>
      </w:r>
      <w:r>
        <w:t>to</w:t>
      </w:r>
      <w:r>
        <w:rPr>
          <w:spacing w:val="-2"/>
        </w:rPr>
        <w:t xml:space="preserve"> </w:t>
      </w:r>
      <w:r>
        <w:t>reduce</w:t>
      </w:r>
      <w:r>
        <w:rPr>
          <w:spacing w:val="-4"/>
        </w:rPr>
        <w:t xml:space="preserve"> </w:t>
      </w:r>
      <w:r>
        <w:t>or</w:t>
      </w:r>
    </w:p>
    <w:p w14:paraId="1C34E937" w14:textId="05CF5947" w:rsidR="004C558F" w:rsidRDefault="004C558F">
      <w:pPr>
        <w:pStyle w:val="BodyText"/>
        <w:spacing w:before="53"/>
        <w:rPr>
          <w:sz w:val="20"/>
        </w:rPr>
      </w:pPr>
    </w:p>
    <w:p w14:paraId="1C34E93B" w14:textId="77777777" w:rsidR="004C558F" w:rsidRDefault="004C558F">
      <w:pPr>
        <w:rPr>
          <w:sz w:val="20"/>
        </w:rPr>
        <w:sectPr w:rsidR="004C558F">
          <w:pgSz w:w="12240" w:h="15840"/>
          <w:pgMar w:top="1360" w:right="740" w:bottom="720" w:left="480" w:header="0" w:footer="521" w:gutter="0"/>
          <w:cols w:space="720"/>
        </w:sectPr>
      </w:pPr>
      <w:bookmarkStart w:id="138" w:name="_bookmark168"/>
      <w:bookmarkEnd w:id="138"/>
    </w:p>
    <w:p w14:paraId="1C34E93C" w14:textId="77777777" w:rsidR="004C558F" w:rsidRDefault="00461887">
      <w:pPr>
        <w:pStyle w:val="BodyText"/>
        <w:spacing w:before="80" w:line="276" w:lineRule="auto"/>
        <w:ind w:left="960" w:right="1092" w:hanging="1"/>
      </w:pPr>
      <w:r>
        <w:lastRenderedPageBreak/>
        <w:t>discontinue oncology services, market concentration would further increase, potentially enhancing</w:t>
      </w:r>
      <w:r>
        <w:rPr>
          <w:spacing w:val="-5"/>
        </w:rPr>
        <w:t xml:space="preserve"> </w:t>
      </w:r>
      <w:r>
        <w:t>the</w:t>
      </w:r>
      <w:r>
        <w:rPr>
          <w:spacing w:val="-4"/>
        </w:rPr>
        <w:t xml:space="preserve"> </w:t>
      </w:r>
      <w:r>
        <w:t>ability</w:t>
      </w:r>
      <w:r>
        <w:rPr>
          <w:spacing w:val="-3"/>
        </w:rPr>
        <w:t xml:space="preserve"> </w:t>
      </w:r>
      <w:r>
        <w:t>of</w:t>
      </w:r>
      <w:r>
        <w:rPr>
          <w:spacing w:val="-4"/>
        </w:rPr>
        <w:t xml:space="preserve"> </w:t>
      </w:r>
      <w:r>
        <w:t>DFCI</w:t>
      </w:r>
      <w:r>
        <w:rPr>
          <w:spacing w:val="-2"/>
        </w:rPr>
        <w:t xml:space="preserve"> </w:t>
      </w:r>
      <w:r>
        <w:t>and</w:t>
      </w:r>
      <w:r>
        <w:rPr>
          <w:spacing w:val="-1"/>
        </w:rPr>
        <w:t xml:space="preserve"> </w:t>
      </w:r>
      <w:r>
        <w:t>other</w:t>
      </w:r>
      <w:r>
        <w:rPr>
          <w:spacing w:val="-3"/>
        </w:rPr>
        <w:t xml:space="preserve"> </w:t>
      </w:r>
      <w:r>
        <w:t>remaining</w:t>
      </w:r>
      <w:r>
        <w:rPr>
          <w:spacing w:val="-3"/>
        </w:rPr>
        <w:t xml:space="preserve"> </w:t>
      </w:r>
      <w:r>
        <w:t>providers</w:t>
      </w:r>
      <w:r>
        <w:rPr>
          <w:spacing w:val="-2"/>
        </w:rPr>
        <w:t xml:space="preserve"> </w:t>
      </w:r>
      <w:r>
        <w:t>to</w:t>
      </w:r>
      <w:r>
        <w:rPr>
          <w:spacing w:val="-4"/>
        </w:rPr>
        <w:t xml:space="preserve"> </w:t>
      </w:r>
      <w:r>
        <w:t>negotiate</w:t>
      </w:r>
      <w:r>
        <w:rPr>
          <w:spacing w:val="-2"/>
        </w:rPr>
        <w:t xml:space="preserve"> </w:t>
      </w:r>
      <w:r>
        <w:t>higher</w:t>
      </w:r>
      <w:r>
        <w:rPr>
          <w:spacing w:val="-3"/>
        </w:rPr>
        <w:t xml:space="preserve"> </w:t>
      </w:r>
      <w:r>
        <w:t>commercial</w:t>
      </w:r>
      <w:r>
        <w:rPr>
          <w:spacing w:val="-3"/>
        </w:rPr>
        <w:t xml:space="preserve"> </w:t>
      </w:r>
      <w:r>
        <w:t xml:space="preserve">rate </w:t>
      </w:r>
      <w:r>
        <w:rPr>
          <w:spacing w:val="-2"/>
        </w:rPr>
        <w:t>increases.</w:t>
      </w:r>
    </w:p>
    <w:p w14:paraId="1C34E93D" w14:textId="4F59E36F" w:rsidR="004C558F" w:rsidRDefault="00461887">
      <w:pPr>
        <w:pStyle w:val="BodyText"/>
        <w:spacing w:before="159" w:line="276" w:lineRule="auto"/>
        <w:ind w:left="960" w:right="1003" w:firstLine="720"/>
        <w:rPr>
          <w:sz w:val="14"/>
        </w:rPr>
      </w:pPr>
      <w:r>
        <w:t>The</w:t>
      </w:r>
      <w:r>
        <w:rPr>
          <w:spacing w:val="-4"/>
        </w:rPr>
        <w:t xml:space="preserve"> </w:t>
      </w:r>
      <w:r>
        <w:t>spending</w:t>
      </w:r>
      <w:r>
        <w:rPr>
          <w:spacing w:val="-3"/>
        </w:rPr>
        <w:t xml:space="preserve"> </w:t>
      </w:r>
      <w:r>
        <w:t>impacts</w:t>
      </w:r>
      <w:r>
        <w:rPr>
          <w:spacing w:val="-4"/>
        </w:rPr>
        <w:t xml:space="preserve"> </w:t>
      </w:r>
      <w:r>
        <w:t>detailed</w:t>
      </w:r>
      <w:r>
        <w:rPr>
          <w:spacing w:val="-1"/>
        </w:rPr>
        <w:t xml:space="preserve"> </w:t>
      </w:r>
      <w:r>
        <w:t>in</w:t>
      </w:r>
      <w:r>
        <w:rPr>
          <w:spacing w:val="-2"/>
        </w:rPr>
        <w:t xml:space="preserve"> </w:t>
      </w:r>
      <w:r>
        <w:t>the</w:t>
      </w:r>
      <w:r>
        <w:rPr>
          <w:spacing w:val="-2"/>
        </w:rPr>
        <w:t xml:space="preserve"> </w:t>
      </w:r>
      <w:r>
        <w:t>prior</w:t>
      </w:r>
      <w:r>
        <w:rPr>
          <w:spacing w:val="-3"/>
        </w:rPr>
        <w:t xml:space="preserve"> </w:t>
      </w:r>
      <w:r>
        <w:t>sections</w:t>
      </w:r>
      <w:r>
        <w:rPr>
          <w:spacing w:val="-4"/>
        </w:rPr>
        <w:t xml:space="preserve"> </w:t>
      </w:r>
      <w:r>
        <w:t>are</w:t>
      </w:r>
      <w:r>
        <w:rPr>
          <w:spacing w:val="-2"/>
        </w:rPr>
        <w:t xml:space="preserve"> </w:t>
      </w:r>
      <w:r>
        <w:t>based</w:t>
      </w:r>
      <w:r>
        <w:rPr>
          <w:spacing w:val="-4"/>
        </w:rPr>
        <w:t xml:space="preserve"> </w:t>
      </w:r>
      <w:r>
        <w:t>on</w:t>
      </w:r>
      <w:r>
        <w:rPr>
          <w:spacing w:val="-2"/>
        </w:rPr>
        <w:t xml:space="preserve"> </w:t>
      </w:r>
      <w:r>
        <w:t>current</w:t>
      </w:r>
      <w:r>
        <w:rPr>
          <w:spacing w:val="-3"/>
        </w:rPr>
        <w:t xml:space="preserve"> </w:t>
      </w:r>
      <w:r>
        <w:t>price</w:t>
      </w:r>
      <w:r>
        <w:rPr>
          <w:spacing w:val="-4"/>
        </w:rPr>
        <w:t xml:space="preserve"> </w:t>
      </w:r>
      <w:r>
        <w:t xml:space="preserve">differences between the parties and other oncology providers. To the extent DFCI’s commercial prices increase </w:t>
      </w:r>
      <w:proofErr w:type="gramStart"/>
      <w:r>
        <w:t>as a result of</w:t>
      </w:r>
      <w:proofErr w:type="gramEnd"/>
      <w:r>
        <w:t xml:space="preserve"> the proposed transaction, potential savings would be reduced or become spending increases. The magnitude of this possible shift is illustrated in the ICA, which includes scenarios that show how increases in DFCI’s commercial and Medicare prices would eliminate</w:t>
      </w:r>
      <w:r>
        <w:rPr>
          <w:spacing w:val="40"/>
        </w:rPr>
        <w:t xml:space="preserve"> </w:t>
      </w:r>
      <w:r>
        <w:t>any savings on inpatient care.</w:t>
      </w:r>
      <w:r>
        <w:rPr>
          <w:spacing w:val="-26"/>
        </w:rPr>
        <w:t xml:space="preserve"> </w:t>
      </w:r>
      <w:r w:rsidR="00197F90">
        <w:rPr>
          <w:rStyle w:val="FootnoteReference"/>
          <w:spacing w:val="-26"/>
        </w:rPr>
        <w:footnoteReference w:id="146"/>
      </w:r>
    </w:p>
    <w:p w14:paraId="1C34E93E" w14:textId="77777777" w:rsidR="004C558F" w:rsidRDefault="00461887">
      <w:pPr>
        <w:pStyle w:val="BodyText"/>
        <w:spacing w:before="161" w:line="276" w:lineRule="auto"/>
        <w:ind w:left="959" w:right="992" w:firstLine="720"/>
      </w:pPr>
      <w:r>
        <w:t>Although the parties have</w:t>
      </w:r>
      <w:r>
        <w:rPr>
          <w:spacing w:val="-3"/>
        </w:rPr>
        <w:t xml:space="preserve"> </w:t>
      </w:r>
      <w:r>
        <w:t>stated they</w:t>
      </w:r>
      <w:r>
        <w:rPr>
          <w:spacing w:val="-1"/>
        </w:rPr>
        <w:t xml:space="preserve"> </w:t>
      </w:r>
      <w:r>
        <w:t>expect</w:t>
      </w:r>
      <w:r>
        <w:rPr>
          <w:spacing w:val="-1"/>
        </w:rPr>
        <w:t xml:space="preserve"> </w:t>
      </w:r>
      <w:r>
        <w:t>the transaction to result</w:t>
      </w:r>
      <w:r>
        <w:rPr>
          <w:spacing w:val="-1"/>
        </w:rPr>
        <w:t xml:space="preserve"> </w:t>
      </w:r>
      <w:r>
        <w:t>in</w:t>
      </w:r>
      <w:r>
        <w:rPr>
          <w:spacing w:val="-2"/>
        </w:rPr>
        <w:t xml:space="preserve"> </w:t>
      </w:r>
      <w:r>
        <w:t>care</w:t>
      </w:r>
      <w:r>
        <w:rPr>
          <w:spacing w:val="-2"/>
        </w:rPr>
        <w:t xml:space="preserve"> </w:t>
      </w:r>
      <w:r>
        <w:t>shifting</w:t>
      </w:r>
      <w:r>
        <w:rPr>
          <w:spacing w:val="-3"/>
        </w:rPr>
        <w:t xml:space="preserve"> </w:t>
      </w:r>
      <w:r>
        <w:t>from higher-</w:t>
      </w:r>
      <w:r>
        <w:rPr>
          <w:spacing w:val="-2"/>
        </w:rPr>
        <w:t xml:space="preserve"> </w:t>
      </w:r>
      <w:r>
        <w:t>to</w:t>
      </w:r>
      <w:r>
        <w:rPr>
          <w:spacing w:val="-2"/>
        </w:rPr>
        <w:t xml:space="preserve"> </w:t>
      </w:r>
      <w:r>
        <w:t>lower-cost</w:t>
      </w:r>
      <w:r>
        <w:rPr>
          <w:spacing w:val="-3"/>
        </w:rPr>
        <w:t xml:space="preserve"> </w:t>
      </w:r>
      <w:r>
        <w:t>providers,</w:t>
      </w:r>
      <w:r>
        <w:rPr>
          <w:spacing w:val="-2"/>
        </w:rPr>
        <w:t xml:space="preserve"> </w:t>
      </w:r>
      <w:r>
        <w:t>they</w:t>
      </w:r>
      <w:r>
        <w:rPr>
          <w:spacing w:val="-3"/>
        </w:rPr>
        <w:t xml:space="preserve"> </w:t>
      </w:r>
      <w:r>
        <w:t>have</w:t>
      </w:r>
      <w:r>
        <w:rPr>
          <w:spacing w:val="-2"/>
        </w:rPr>
        <w:t xml:space="preserve"> </w:t>
      </w:r>
      <w:r>
        <w:t>not</w:t>
      </w:r>
      <w:r>
        <w:rPr>
          <w:spacing w:val="-3"/>
        </w:rPr>
        <w:t xml:space="preserve"> </w:t>
      </w:r>
      <w:r>
        <w:t>provided</w:t>
      </w:r>
      <w:r>
        <w:rPr>
          <w:spacing w:val="-1"/>
        </w:rPr>
        <w:t xml:space="preserve"> </w:t>
      </w:r>
      <w:r>
        <w:t>commitments</w:t>
      </w:r>
      <w:r>
        <w:rPr>
          <w:spacing w:val="-4"/>
        </w:rPr>
        <w:t xml:space="preserve"> </w:t>
      </w:r>
      <w:r>
        <w:t>regarding</w:t>
      </w:r>
      <w:r>
        <w:rPr>
          <w:spacing w:val="-3"/>
        </w:rPr>
        <w:t xml:space="preserve"> </w:t>
      </w:r>
      <w:r>
        <w:t>DFCI’s</w:t>
      </w:r>
      <w:r>
        <w:rPr>
          <w:spacing w:val="-2"/>
        </w:rPr>
        <w:t xml:space="preserve"> </w:t>
      </w:r>
      <w:r>
        <w:t>future</w:t>
      </w:r>
      <w:r>
        <w:rPr>
          <w:spacing w:val="-2"/>
        </w:rPr>
        <w:t xml:space="preserve"> </w:t>
      </w:r>
      <w:r>
        <w:t>price increases, nor have they addressed the potential impact of BIDMC outpatient volume, including outpatient</w:t>
      </w:r>
      <w:r>
        <w:rPr>
          <w:spacing w:val="-2"/>
        </w:rPr>
        <w:t xml:space="preserve"> </w:t>
      </w:r>
      <w:r>
        <w:t>oncologic</w:t>
      </w:r>
      <w:r>
        <w:rPr>
          <w:spacing w:val="-1"/>
        </w:rPr>
        <w:t xml:space="preserve"> </w:t>
      </w:r>
      <w:r>
        <w:t>drug</w:t>
      </w:r>
      <w:r>
        <w:rPr>
          <w:spacing w:val="-2"/>
        </w:rPr>
        <w:t xml:space="preserve"> </w:t>
      </w:r>
      <w:r>
        <w:t>administration, shifting</w:t>
      </w:r>
      <w:r>
        <w:rPr>
          <w:spacing w:val="-2"/>
        </w:rPr>
        <w:t xml:space="preserve"> </w:t>
      </w:r>
      <w:r>
        <w:t>to</w:t>
      </w:r>
      <w:r>
        <w:rPr>
          <w:spacing w:val="-1"/>
        </w:rPr>
        <w:t xml:space="preserve"> </w:t>
      </w:r>
      <w:r>
        <w:t>DFCI’s higher commercial</w:t>
      </w:r>
      <w:r>
        <w:rPr>
          <w:spacing w:val="-2"/>
        </w:rPr>
        <w:t xml:space="preserve"> </w:t>
      </w:r>
      <w:r>
        <w:t>prices.</w:t>
      </w:r>
      <w:r>
        <w:rPr>
          <w:spacing w:val="-1"/>
        </w:rPr>
        <w:t xml:space="preserve"> </w:t>
      </w:r>
      <w:r>
        <w:t>The parties’ response to these findings, including any commitments, may help to alleviate concerns that changes</w:t>
      </w:r>
      <w:r>
        <w:rPr>
          <w:spacing w:val="-2"/>
        </w:rPr>
        <w:t xml:space="preserve"> </w:t>
      </w:r>
      <w:r>
        <w:t>in</w:t>
      </w:r>
      <w:r>
        <w:rPr>
          <w:spacing w:val="-2"/>
        </w:rPr>
        <w:t xml:space="preserve"> </w:t>
      </w:r>
      <w:r>
        <w:t>DFCI’s</w:t>
      </w:r>
      <w:r>
        <w:rPr>
          <w:spacing w:val="-4"/>
        </w:rPr>
        <w:t xml:space="preserve"> </w:t>
      </w:r>
      <w:r>
        <w:t>market</w:t>
      </w:r>
      <w:r>
        <w:rPr>
          <w:spacing w:val="-3"/>
        </w:rPr>
        <w:t xml:space="preserve"> </w:t>
      </w:r>
      <w:r>
        <w:t>position</w:t>
      </w:r>
      <w:r>
        <w:rPr>
          <w:spacing w:val="-4"/>
        </w:rPr>
        <w:t xml:space="preserve"> </w:t>
      </w:r>
      <w:r>
        <w:t>and</w:t>
      </w:r>
      <w:r>
        <w:rPr>
          <w:spacing w:val="-1"/>
        </w:rPr>
        <w:t xml:space="preserve"> </w:t>
      </w:r>
      <w:r>
        <w:t>higher</w:t>
      </w:r>
      <w:r>
        <w:rPr>
          <w:spacing w:val="-3"/>
        </w:rPr>
        <w:t xml:space="preserve"> </w:t>
      </w:r>
      <w:r>
        <w:t>prices</w:t>
      </w:r>
      <w:r>
        <w:rPr>
          <w:spacing w:val="-4"/>
        </w:rPr>
        <w:t xml:space="preserve"> </w:t>
      </w:r>
      <w:r>
        <w:t>for</w:t>
      </w:r>
      <w:r>
        <w:rPr>
          <w:spacing w:val="-3"/>
        </w:rPr>
        <w:t xml:space="preserve"> </w:t>
      </w:r>
      <w:r>
        <w:t>the</w:t>
      </w:r>
      <w:r>
        <w:rPr>
          <w:spacing w:val="-4"/>
        </w:rPr>
        <w:t xml:space="preserve"> </w:t>
      </w:r>
      <w:r>
        <w:t>same</w:t>
      </w:r>
      <w:r>
        <w:rPr>
          <w:spacing w:val="-4"/>
        </w:rPr>
        <w:t xml:space="preserve"> </w:t>
      </w:r>
      <w:r>
        <w:t>outpatient</w:t>
      </w:r>
      <w:r>
        <w:rPr>
          <w:spacing w:val="-3"/>
        </w:rPr>
        <w:t xml:space="preserve"> </w:t>
      </w:r>
      <w:r>
        <w:t>services</w:t>
      </w:r>
      <w:r>
        <w:rPr>
          <w:spacing w:val="-1"/>
        </w:rPr>
        <w:t xml:space="preserve"> </w:t>
      </w:r>
      <w:r>
        <w:t>would</w:t>
      </w:r>
      <w:r>
        <w:rPr>
          <w:spacing w:val="-1"/>
        </w:rPr>
        <w:t xml:space="preserve"> </w:t>
      </w:r>
      <w:r>
        <w:t>result in substantially increased spending.</w:t>
      </w:r>
    </w:p>
    <w:p w14:paraId="1C34E93F" w14:textId="77777777" w:rsidR="004C558F" w:rsidRDefault="00461887">
      <w:pPr>
        <w:spacing w:before="159"/>
        <w:ind w:left="5311"/>
      </w:pPr>
      <w:r>
        <w:rPr>
          <w:spacing w:val="-5"/>
        </w:rPr>
        <w:t>***</w:t>
      </w:r>
    </w:p>
    <w:p w14:paraId="1C34E940" w14:textId="77777777" w:rsidR="004C558F" w:rsidRDefault="00461887">
      <w:pPr>
        <w:pStyle w:val="BodyText"/>
        <w:spacing w:before="38" w:line="276" w:lineRule="auto"/>
        <w:ind w:left="959" w:right="799" w:firstLine="720"/>
      </w:pPr>
      <w:r>
        <w:t xml:space="preserve">In summary, DFCI and BIDMC both serve patients primarily from across eastern Massachusetts, with DFCI having a larger geographic reach. MGB (in conjunction with DFCI) and BILH are currently the two largest providers of oncology services in their service areas and in the Commonwealth generally. DFCI and BIDMC commercial prices for </w:t>
      </w:r>
      <w:r>
        <w:rPr>
          <w:i/>
        </w:rPr>
        <w:t xml:space="preserve">inpatient </w:t>
      </w:r>
      <w:r>
        <w:t>medical and surgical oncology services, respectively, are generally lower than prices for the same services at BWH, but higher</w:t>
      </w:r>
      <w:r>
        <w:rPr>
          <w:spacing w:val="-3"/>
        </w:rPr>
        <w:t xml:space="preserve"> </w:t>
      </w:r>
      <w:r>
        <w:t>than</w:t>
      </w:r>
      <w:r>
        <w:rPr>
          <w:spacing w:val="-2"/>
        </w:rPr>
        <w:t xml:space="preserve"> </w:t>
      </w:r>
      <w:r>
        <w:t>those</w:t>
      </w:r>
      <w:r>
        <w:rPr>
          <w:spacing w:val="-2"/>
        </w:rPr>
        <w:t xml:space="preserve"> </w:t>
      </w:r>
      <w:r>
        <w:t>of</w:t>
      </w:r>
      <w:r>
        <w:rPr>
          <w:spacing w:val="-1"/>
        </w:rPr>
        <w:t xml:space="preserve"> </w:t>
      </w:r>
      <w:r>
        <w:t>some</w:t>
      </w:r>
      <w:r>
        <w:rPr>
          <w:spacing w:val="-4"/>
        </w:rPr>
        <w:t xml:space="preserve"> </w:t>
      </w:r>
      <w:r>
        <w:t>other</w:t>
      </w:r>
      <w:r>
        <w:rPr>
          <w:spacing w:val="-3"/>
        </w:rPr>
        <w:t xml:space="preserve"> </w:t>
      </w:r>
      <w:r>
        <w:t>hospitals.</w:t>
      </w:r>
      <w:r>
        <w:rPr>
          <w:spacing w:val="-5"/>
        </w:rPr>
        <w:t xml:space="preserve"> </w:t>
      </w:r>
      <w:r>
        <w:t>DFCI</w:t>
      </w:r>
      <w:r>
        <w:rPr>
          <w:spacing w:val="-5"/>
        </w:rPr>
        <w:t xml:space="preserve"> </w:t>
      </w:r>
      <w:r>
        <w:t>commercial</w:t>
      </w:r>
      <w:r>
        <w:rPr>
          <w:spacing w:val="-5"/>
        </w:rPr>
        <w:t xml:space="preserve"> </w:t>
      </w:r>
      <w:r>
        <w:rPr>
          <w:i/>
        </w:rPr>
        <w:t>outpatient</w:t>
      </w:r>
      <w:r>
        <w:rPr>
          <w:i/>
          <w:spacing w:val="-3"/>
        </w:rPr>
        <w:t xml:space="preserve"> </w:t>
      </w:r>
      <w:r>
        <w:t>prices</w:t>
      </w:r>
      <w:r>
        <w:rPr>
          <w:spacing w:val="-4"/>
        </w:rPr>
        <w:t xml:space="preserve"> </w:t>
      </w:r>
      <w:r>
        <w:t>are</w:t>
      </w:r>
      <w:r>
        <w:rPr>
          <w:spacing w:val="-2"/>
        </w:rPr>
        <w:t xml:space="preserve"> </w:t>
      </w:r>
      <w:r>
        <w:t>generally</w:t>
      </w:r>
      <w:r>
        <w:rPr>
          <w:spacing w:val="-3"/>
        </w:rPr>
        <w:t xml:space="preserve"> </w:t>
      </w:r>
      <w:r>
        <w:t xml:space="preserve">higher than outpatient oncology prices of other Massachusetts hospitals, while BIDMC’s are generally </w:t>
      </w:r>
      <w:r>
        <w:rPr>
          <w:spacing w:val="-2"/>
        </w:rPr>
        <w:t>moderate.</w:t>
      </w:r>
    </w:p>
    <w:p w14:paraId="1C34E941" w14:textId="77777777" w:rsidR="004C558F" w:rsidRDefault="004C558F">
      <w:pPr>
        <w:pStyle w:val="BodyText"/>
        <w:spacing w:before="38"/>
      </w:pPr>
    </w:p>
    <w:p w14:paraId="1C34E942" w14:textId="77777777" w:rsidR="004C558F" w:rsidRDefault="00461887">
      <w:pPr>
        <w:pStyle w:val="BodyText"/>
        <w:spacing w:line="276" w:lineRule="auto"/>
        <w:ind w:left="959" w:right="972" w:firstLine="720"/>
      </w:pPr>
      <w:r>
        <w:t>The proposed transaction and the construction of the new DFCI facility would likely result in</w:t>
      </w:r>
      <w:r>
        <w:rPr>
          <w:spacing w:val="-2"/>
        </w:rPr>
        <w:t xml:space="preserve"> </w:t>
      </w:r>
      <w:r>
        <w:t>large</w:t>
      </w:r>
      <w:r>
        <w:rPr>
          <w:spacing w:val="-2"/>
        </w:rPr>
        <w:t xml:space="preserve"> </w:t>
      </w:r>
      <w:r>
        <w:t>shifts</w:t>
      </w:r>
      <w:r>
        <w:rPr>
          <w:spacing w:val="-2"/>
        </w:rPr>
        <w:t xml:space="preserve"> </w:t>
      </w:r>
      <w:r>
        <w:t>in</w:t>
      </w:r>
      <w:r>
        <w:rPr>
          <w:spacing w:val="-2"/>
        </w:rPr>
        <w:t xml:space="preserve"> </w:t>
      </w:r>
      <w:r>
        <w:t>oncology</w:t>
      </w:r>
      <w:r>
        <w:rPr>
          <w:spacing w:val="-5"/>
        </w:rPr>
        <w:t xml:space="preserve"> </w:t>
      </w:r>
      <w:r>
        <w:t>volume</w:t>
      </w:r>
      <w:r>
        <w:rPr>
          <w:spacing w:val="-4"/>
        </w:rPr>
        <w:t xml:space="preserve"> </w:t>
      </w:r>
      <w:r>
        <w:t>from</w:t>
      </w:r>
      <w:r>
        <w:rPr>
          <w:spacing w:val="-4"/>
        </w:rPr>
        <w:t xml:space="preserve"> </w:t>
      </w:r>
      <w:r>
        <w:t>BIDMC,</w:t>
      </w:r>
      <w:r>
        <w:rPr>
          <w:spacing w:val="-5"/>
        </w:rPr>
        <w:t xml:space="preserve"> </w:t>
      </w:r>
      <w:r>
        <w:t>BWH,</w:t>
      </w:r>
      <w:r>
        <w:rPr>
          <w:spacing w:val="-2"/>
        </w:rPr>
        <w:t xml:space="preserve"> </w:t>
      </w:r>
      <w:r>
        <w:t>and</w:t>
      </w:r>
      <w:r>
        <w:rPr>
          <w:spacing w:val="-1"/>
        </w:rPr>
        <w:t xml:space="preserve"> </w:t>
      </w:r>
      <w:r>
        <w:t>other</w:t>
      </w:r>
      <w:r>
        <w:rPr>
          <w:spacing w:val="-3"/>
        </w:rPr>
        <w:t xml:space="preserve"> </w:t>
      </w:r>
      <w:r>
        <w:t>oncology</w:t>
      </w:r>
      <w:r>
        <w:rPr>
          <w:spacing w:val="-3"/>
        </w:rPr>
        <w:t xml:space="preserve"> </w:t>
      </w:r>
      <w:r>
        <w:t>providers</w:t>
      </w:r>
      <w:r>
        <w:rPr>
          <w:spacing w:val="-2"/>
        </w:rPr>
        <w:t xml:space="preserve"> </w:t>
      </w:r>
      <w:r>
        <w:t>to</w:t>
      </w:r>
      <w:r>
        <w:rPr>
          <w:spacing w:val="-4"/>
        </w:rPr>
        <w:t xml:space="preserve"> </w:t>
      </w:r>
      <w:r>
        <w:t>DFCI.</w:t>
      </w:r>
      <w:r>
        <w:rPr>
          <w:spacing w:val="-2"/>
        </w:rPr>
        <w:t xml:space="preserve"> </w:t>
      </w:r>
      <w:r>
        <w:t>BIDMC would also likely gain surgical oncology volume. At current prices, shifts in inpatient oncology care from</w:t>
      </w:r>
      <w:r>
        <w:rPr>
          <w:spacing w:val="-4"/>
        </w:rPr>
        <w:t xml:space="preserve"> </w:t>
      </w:r>
      <w:r>
        <w:t>BIDMC,</w:t>
      </w:r>
      <w:r>
        <w:rPr>
          <w:spacing w:val="-5"/>
        </w:rPr>
        <w:t xml:space="preserve"> </w:t>
      </w:r>
      <w:r>
        <w:t>BWH,</w:t>
      </w:r>
      <w:r>
        <w:rPr>
          <w:spacing w:val="-5"/>
        </w:rPr>
        <w:t xml:space="preserve"> </w:t>
      </w:r>
      <w:r>
        <w:t>and</w:t>
      </w:r>
      <w:r>
        <w:rPr>
          <w:spacing w:val="-1"/>
        </w:rPr>
        <w:t xml:space="preserve"> </w:t>
      </w:r>
      <w:r>
        <w:t>other</w:t>
      </w:r>
      <w:r>
        <w:rPr>
          <w:spacing w:val="-3"/>
        </w:rPr>
        <w:t xml:space="preserve"> </w:t>
      </w:r>
      <w:r>
        <w:t>oncology</w:t>
      </w:r>
      <w:r>
        <w:rPr>
          <w:spacing w:val="-3"/>
        </w:rPr>
        <w:t xml:space="preserve"> </w:t>
      </w:r>
      <w:r>
        <w:t>providers</w:t>
      </w:r>
      <w:r>
        <w:rPr>
          <w:spacing w:val="-2"/>
        </w:rPr>
        <w:t xml:space="preserve"> </w:t>
      </w:r>
      <w:r>
        <w:t>to</w:t>
      </w:r>
      <w:r>
        <w:rPr>
          <w:spacing w:val="-4"/>
        </w:rPr>
        <w:t xml:space="preserve"> </w:t>
      </w:r>
      <w:r>
        <w:t>DFCI</w:t>
      </w:r>
      <w:r>
        <w:rPr>
          <w:spacing w:val="-4"/>
        </w:rPr>
        <w:t xml:space="preserve"> </w:t>
      </w:r>
      <w:r>
        <w:t>may</w:t>
      </w:r>
      <w:r>
        <w:rPr>
          <w:spacing w:val="-3"/>
        </w:rPr>
        <w:t xml:space="preserve"> </w:t>
      </w:r>
      <w:r>
        <w:t>reduce</w:t>
      </w:r>
      <w:r>
        <w:rPr>
          <w:spacing w:val="-2"/>
        </w:rPr>
        <w:t xml:space="preserve"> </w:t>
      </w:r>
      <w:r>
        <w:t>annual</w:t>
      </w:r>
      <w:r>
        <w:rPr>
          <w:spacing w:val="-3"/>
        </w:rPr>
        <w:t xml:space="preserve"> </w:t>
      </w:r>
      <w:r>
        <w:t>commercial</w:t>
      </w:r>
      <w:r>
        <w:rPr>
          <w:spacing w:val="-3"/>
        </w:rPr>
        <w:t xml:space="preserve"> </w:t>
      </w:r>
      <w:r>
        <w:t>spending by $18.5 to $23 million.</w:t>
      </w:r>
      <w:r>
        <w:rPr>
          <w:spacing w:val="-1"/>
        </w:rPr>
        <w:t xml:space="preserve"> </w:t>
      </w:r>
      <w:proofErr w:type="gramStart"/>
      <w:r>
        <w:t>Backfill</w:t>
      </w:r>
      <w:proofErr w:type="gramEnd"/>
      <w:r>
        <w:rPr>
          <w:spacing w:val="-2"/>
        </w:rPr>
        <w:t xml:space="preserve"> </w:t>
      </w:r>
      <w:r>
        <w:t>of</w:t>
      </w:r>
      <w:r>
        <w:rPr>
          <w:spacing w:val="-1"/>
        </w:rPr>
        <w:t xml:space="preserve"> </w:t>
      </w:r>
      <w:r>
        <w:t>newly available inpatient capacity at</w:t>
      </w:r>
      <w:r>
        <w:rPr>
          <w:spacing w:val="-2"/>
        </w:rPr>
        <w:t xml:space="preserve"> </w:t>
      </w:r>
      <w:r>
        <w:t>BIDMC would also reduce annual</w:t>
      </w:r>
      <w:r>
        <w:rPr>
          <w:spacing w:val="-3"/>
        </w:rPr>
        <w:t xml:space="preserve"> </w:t>
      </w:r>
      <w:r>
        <w:t>commercial</w:t>
      </w:r>
      <w:r>
        <w:rPr>
          <w:spacing w:val="-5"/>
        </w:rPr>
        <w:t xml:space="preserve"> </w:t>
      </w:r>
      <w:r>
        <w:t>spending</w:t>
      </w:r>
      <w:r>
        <w:rPr>
          <w:spacing w:val="-3"/>
        </w:rPr>
        <w:t xml:space="preserve"> </w:t>
      </w:r>
      <w:r>
        <w:t>by</w:t>
      </w:r>
      <w:r>
        <w:rPr>
          <w:spacing w:val="-3"/>
        </w:rPr>
        <w:t xml:space="preserve"> </w:t>
      </w:r>
      <w:r>
        <w:t>$3.5</w:t>
      </w:r>
      <w:r>
        <w:rPr>
          <w:spacing w:val="-2"/>
        </w:rPr>
        <w:t xml:space="preserve"> </w:t>
      </w:r>
      <w:r>
        <w:t>to</w:t>
      </w:r>
      <w:r>
        <w:rPr>
          <w:spacing w:val="-4"/>
        </w:rPr>
        <w:t xml:space="preserve"> </w:t>
      </w:r>
      <w:r>
        <w:t>$5.3</w:t>
      </w:r>
      <w:r>
        <w:rPr>
          <w:spacing w:val="-5"/>
        </w:rPr>
        <w:t xml:space="preserve"> </w:t>
      </w:r>
      <w:r>
        <w:t>million,</w:t>
      </w:r>
      <w:r>
        <w:rPr>
          <w:spacing w:val="-5"/>
        </w:rPr>
        <w:t xml:space="preserve"> </w:t>
      </w:r>
      <w:r>
        <w:t>while</w:t>
      </w:r>
      <w:r>
        <w:rPr>
          <w:spacing w:val="-2"/>
        </w:rPr>
        <w:t xml:space="preserve"> </w:t>
      </w:r>
      <w:r>
        <w:t>backfill</w:t>
      </w:r>
      <w:r>
        <w:rPr>
          <w:spacing w:val="-3"/>
        </w:rPr>
        <w:t xml:space="preserve"> </w:t>
      </w:r>
      <w:r>
        <w:t>of</w:t>
      </w:r>
      <w:r>
        <w:rPr>
          <w:spacing w:val="-1"/>
        </w:rPr>
        <w:t xml:space="preserve"> </w:t>
      </w:r>
      <w:r>
        <w:t>capacity</w:t>
      </w:r>
      <w:r>
        <w:rPr>
          <w:spacing w:val="-3"/>
        </w:rPr>
        <w:t xml:space="preserve"> </w:t>
      </w:r>
      <w:r>
        <w:t>at</w:t>
      </w:r>
      <w:r>
        <w:rPr>
          <w:spacing w:val="-3"/>
        </w:rPr>
        <w:t xml:space="preserve"> </w:t>
      </w:r>
      <w:r>
        <w:t>BWH</w:t>
      </w:r>
      <w:r>
        <w:rPr>
          <w:spacing w:val="-3"/>
        </w:rPr>
        <w:t xml:space="preserve"> </w:t>
      </w:r>
      <w:r>
        <w:t>would</w:t>
      </w:r>
      <w:r>
        <w:rPr>
          <w:spacing w:val="-1"/>
        </w:rPr>
        <w:t xml:space="preserve"> </w:t>
      </w:r>
      <w:r>
        <w:t>likely increase commercial spending by $4.2 to $15.9 million.</w:t>
      </w:r>
    </w:p>
    <w:p w14:paraId="1C34E943" w14:textId="77777777" w:rsidR="004C558F" w:rsidRDefault="004C558F">
      <w:pPr>
        <w:pStyle w:val="BodyText"/>
        <w:spacing w:before="36"/>
      </w:pPr>
    </w:p>
    <w:p w14:paraId="1C34E944" w14:textId="77777777" w:rsidR="004C558F" w:rsidRDefault="00461887">
      <w:pPr>
        <w:pStyle w:val="BodyText"/>
        <w:spacing w:line="276" w:lineRule="auto"/>
        <w:ind w:left="960" w:right="989" w:firstLine="720"/>
      </w:pPr>
      <w:r>
        <w:t xml:space="preserve">Most shifts in hospital outpatient care </w:t>
      </w:r>
      <w:proofErr w:type="gramStart"/>
      <w:r>
        <w:t>as a result of</w:t>
      </w:r>
      <w:proofErr w:type="gramEnd"/>
      <w:r>
        <w:t xml:space="preserve"> the transaction would likely increase commercial</w:t>
      </w:r>
      <w:r>
        <w:rPr>
          <w:spacing w:val="-2"/>
        </w:rPr>
        <w:t xml:space="preserve"> </w:t>
      </w:r>
      <w:r>
        <w:t>spending,</w:t>
      </w:r>
      <w:r>
        <w:rPr>
          <w:spacing w:val="-2"/>
        </w:rPr>
        <w:t xml:space="preserve"> </w:t>
      </w:r>
      <w:r>
        <w:t>especially shifts in outpatient medical oncology given</w:t>
      </w:r>
      <w:r>
        <w:rPr>
          <w:spacing w:val="-1"/>
        </w:rPr>
        <w:t xml:space="preserve"> </w:t>
      </w:r>
      <w:r>
        <w:t>DFCI’s</w:t>
      </w:r>
      <w:r>
        <w:rPr>
          <w:spacing w:val="-1"/>
        </w:rPr>
        <w:t xml:space="preserve"> </w:t>
      </w:r>
      <w:r>
        <w:t>high prices</w:t>
      </w:r>
      <w:r>
        <w:rPr>
          <w:spacing w:val="-1"/>
        </w:rPr>
        <w:t xml:space="preserve"> </w:t>
      </w:r>
      <w:r>
        <w:t>for hospital-administered oncologic drugs. In total these shifts would increase annual commercial outpatient spending by an estimated $39 million, including $26.5 million for oncologic drugs. At current</w:t>
      </w:r>
      <w:r>
        <w:rPr>
          <w:spacing w:val="-3"/>
        </w:rPr>
        <w:t xml:space="preserve"> </w:t>
      </w:r>
      <w:r>
        <w:t>Medicare</w:t>
      </w:r>
      <w:r>
        <w:rPr>
          <w:spacing w:val="-2"/>
        </w:rPr>
        <w:t xml:space="preserve"> </w:t>
      </w:r>
      <w:r>
        <w:t>rates,</w:t>
      </w:r>
      <w:r>
        <w:rPr>
          <w:spacing w:val="-2"/>
        </w:rPr>
        <w:t xml:space="preserve"> </w:t>
      </w:r>
      <w:r>
        <w:t>inpatient</w:t>
      </w:r>
      <w:r>
        <w:rPr>
          <w:spacing w:val="-3"/>
        </w:rPr>
        <w:t xml:space="preserve"> </w:t>
      </w:r>
      <w:r>
        <w:t>care</w:t>
      </w:r>
      <w:r>
        <w:rPr>
          <w:spacing w:val="-2"/>
        </w:rPr>
        <w:t xml:space="preserve"> </w:t>
      </w:r>
      <w:r>
        <w:t>shifting</w:t>
      </w:r>
      <w:r>
        <w:rPr>
          <w:spacing w:val="-3"/>
        </w:rPr>
        <w:t xml:space="preserve"> </w:t>
      </w:r>
      <w:r>
        <w:t>to</w:t>
      </w:r>
      <w:r>
        <w:rPr>
          <w:spacing w:val="-2"/>
        </w:rPr>
        <w:t xml:space="preserve"> </w:t>
      </w:r>
      <w:r>
        <w:t>DFCI</w:t>
      </w:r>
      <w:r>
        <w:rPr>
          <w:spacing w:val="-2"/>
        </w:rPr>
        <w:t xml:space="preserve"> </w:t>
      </w:r>
      <w:r>
        <w:t>would</w:t>
      </w:r>
      <w:r>
        <w:rPr>
          <w:spacing w:val="-4"/>
        </w:rPr>
        <w:t xml:space="preserve"> </w:t>
      </w:r>
      <w:r>
        <w:t>reduce</w:t>
      </w:r>
      <w:r>
        <w:rPr>
          <w:spacing w:val="-4"/>
        </w:rPr>
        <w:t xml:space="preserve"> </w:t>
      </w:r>
      <w:r>
        <w:t>annual</w:t>
      </w:r>
      <w:r>
        <w:rPr>
          <w:spacing w:val="-5"/>
        </w:rPr>
        <w:t xml:space="preserve"> </w:t>
      </w:r>
      <w:r>
        <w:t>Medicare</w:t>
      </w:r>
      <w:r>
        <w:rPr>
          <w:spacing w:val="-2"/>
        </w:rPr>
        <w:t xml:space="preserve"> </w:t>
      </w:r>
      <w:r>
        <w:t>spending</w:t>
      </w:r>
      <w:r>
        <w:rPr>
          <w:spacing w:val="-3"/>
        </w:rPr>
        <w:t xml:space="preserve"> </w:t>
      </w:r>
      <w:r>
        <w:t>by</w:t>
      </w:r>
    </w:p>
    <w:p w14:paraId="1C34E945" w14:textId="688F50A6" w:rsidR="004C558F" w:rsidRDefault="004C558F">
      <w:pPr>
        <w:pStyle w:val="BodyText"/>
        <w:spacing w:before="30"/>
        <w:rPr>
          <w:sz w:val="20"/>
        </w:rPr>
      </w:pPr>
    </w:p>
    <w:p w14:paraId="1C34E948" w14:textId="77777777" w:rsidR="004C558F" w:rsidRDefault="004C558F">
      <w:pPr>
        <w:rPr>
          <w:sz w:val="20"/>
        </w:rPr>
        <w:sectPr w:rsidR="004C558F">
          <w:pgSz w:w="12240" w:h="15840"/>
          <w:pgMar w:top="1360" w:right="740" w:bottom="720" w:left="480" w:header="0" w:footer="521" w:gutter="0"/>
          <w:cols w:space="720"/>
        </w:sectPr>
      </w:pPr>
      <w:bookmarkStart w:id="139" w:name="_bookmark170"/>
      <w:bookmarkEnd w:id="139"/>
    </w:p>
    <w:p w14:paraId="1C34E949" w14:textId="77777777" w:rsidR="004C558F" w:rsidRDefault="00461887">
      <w:pPr>
        <w:pStyle w:val="BodyText"/>
        <w:spacing w:before="80" w:line="276" w:lineRule="auto"/>
        <w:ind w:left="960" w:right="1232"/>
        <w:jc w:val="both"/>
      </w:pPr>
      <w:r>
        <w:lastRenderedPageBreak/>
        <w:t>$5.7</w:t>
      </w:r>
      <w:r>
        <w:rPr>
          <w:spacing w:val="-2"/>
        </w:rPr>
        <w:t xml:space="preserve"> </w:t>
      </w:r>
      <w:r>
        <w:t>to</w:t>
      </w:r>
      <w:r>
        <w:rPr>
          <w:spacing w:val="-2"/>
        </w:rPr>
        <w:t xml:space="preserve"> </w:t>
      </w:r>
      <w:r>
        <w:t>$9.1</w:t>
      </w:r>
      <w:r>
        <w:rPr>
          <w:spacing w:val="-2"/>
        </w:rPr>
        <w:t xml:space="preserve"> </w:t>
      </w:r>
      <w:r>
        <w:t>million,</w:t>
      </w:r>
      <w:r>
        <w:rPr>
          <w:spacing w:val="-2"/>
        </w:rPr>
        <w:t xml:space="preserve"> </w:t>
      </w:r>
      <w:r>
        <w:t>but</w:t>
      </w:r>
      <w:r>
        <w:rPr>
          <w:spacing w:val="-5"/>
        </w:rPr>
        <w:t xml:space="preserve"> </w:t>
      </w:r>
      <w:r>
        <w:t>DFCI's</w:t>
      </w:r>
      <w:r>
        <w:rPr>
          <w:spacing w:val="-2"/>
        </w:rPr>
        <w:t xml:space="preserve"> </w:t>
      </w:r>
      <w:r>
        <w:t>inpatient</w:t>
      </w:r>
      <w:r>
        <w:rPr>
          <w:spacing w:val="-5"/>
        </w:rPr>
        <w:t xml:space="preserve"> </w:t>
      </w:r>
      <w:r>
        <w:t>Medicare</w:t>
      </w:r>
      <w:r>
        <w:rPr>
          <w:spacing w:val="-4"/>
        </w:rPr>
        <w:t xml:space="preserve"> </w:t>
      </w:r>
      <w:r>
        <w:t>rates</w:t>
      </w:r>
      <w:r>
        <w:rPr>
          <w:spacing w:val="-2"/>
        </w:rPr>
        <w:t xml:space="preserve"> </w:t>
      </w:r>
      <w:r>
        <w:t>may</w:t>
      </w:r>
      <w:r>
        <w:rPr>
          <w:spacing w:val="-3"/>
        </w:rPr>
        <w:t xml:space="preserve"> </w:t>
      </w:r>
      <w:r>
        <w:t>increase</w:t>
      </w:r>
      <w:r>
        <w:rPr>
          <w:spacing w:val="-2"/>
        </w:rPr>
        <w:t xml:space="preserve"> </w:t>
      </w:r>
      <w:r>
        <w:t>in</w:t>
      </w:r>
      <w:r>
        <w:rPr>
          <w:spacing w:val="-2"/>
        </w:rPr>
        <w:t xml:space="preserve"> </w:t>
      </w:r>
      <w:r>
        <w:t>the</w:t>
      </w:r>
      <w:r>
        <w:rPr>
          <w:spacing w:val="-4"/>
        </w:rPr>
        <w:t xml:space="preserve"> </w:t>
      </w:r>
      <w:r>
        <w:t>newly</w:t>
      </w:r>
      <w:r>
        <w:rPr>
          <w:spacing w:val="-3"/>
        </w:rPr>
        <w:t xml:space="preserve"> </w:t>
      </w:r>
      <w:r>
        <w:t>constructed hospital, reducing</w:t>
      </w:r>
      <w:r>
        <w:rPr>
          <w:spacing w:val="-1"/>
        </w:rPr>
        <w:t xml:space="preserve"> </w:t>
      </w:r>
      <w:r>
        <w:t>any</w:t>
      </w:r>
      <w:r>
        <w:rPr>
          <w:spacing w:val="-1"/>
        </w:rPr>
        <w:t xml:space="preserve"> </w:t>
      </w:r>
      <w:r>
        <w:t>savings or potentially increasing spending. Shifts of outpatient</w:t>
      </w:r>
      <w:r>
        <w:rPr>
          <w:spacing w:val="-1"/>
        </w:rPr>
        <w:t xml:space="preserve"> </w:t>
      </w:r>
      <w:r>
        <w:t>Medicare volume to DFCI may also substantially increase annual Medicare spending.</w:t>
      </w:r>
    </w:p>
    <w:p w14:paraId="1C34E94A" w14:textId="77777777" w:rsidR="004C558F" w:rsidRDefault="004C558F">
      <w:pPr>
        <w:pStyle w:val="BodyText"/>
        <w:spacing w:before="36"/>
      </w:pPr>
    </w:p>
    <w:p w14:paraId="1C34E94B" w14:textId="77777777" w:rsidR="004C558F" w:rsidRDefault="00461887">
      <w:pPr>
        <w:pStyle w:val="BodyText"/>
        <w:spacing w:before="1" w:line="276" w:lineRule="auto"/>
        <w:ind w:left="959" w:right="702" w:firstLine="720"/>
      </w:pPr>
      <w:r>
        <w:t>Any increases in the parties’ prices</w:t>
      </w:r>
      <w:r>
        <w:rPr>
          <w:spacing w:val="-1"/>
        </w:rPr>
        <w:t xml:space="preserve"> </w:t>
      </w:r>
      <w:proofErr w:type="gramStart"/>
      <w:r>
        <w:t>as a result of</w:t>
      </w:r>
      <w:proofErr w:type="gramEnd"/>
      <w:r>
        <w:t xml:space="preserve"> the</w:t>
      </w:r>
      <w:r>
        <w:rPr>
          <w:spacing w:val="-4"/>
        </w:rPr>
        <w:t xml:space="preserve"> </w:t>
      </w:r>
      <w:r>
        <w:t>proposed transaction would reduce savings</w:t>
      </w:r>
      <w:r>
        <w:rPr>
          <w:spacing w:val="-3"/>
        </w:rPr>
        <w:t xml:space="preserve"> </w:t>
      </w:r>
      <w:r>
        <w:t>or</w:t>
      </w:r>
      <w:r>
        <w:rPr>
          <w:spacing w:val="-2"/>
        </w:rPr>
        <w:t xml:space="preserve"> </w:t>
      </w:r>
      <w:r>
        <w:t>increase</w:t>
      </w:r>
      <w:r>
        <w:rPr>
          <w:spacing w:val="-1"/>
        </w:rPr>
        <w:t xml:space="preserve"> </w:t>
      </w:r>
      <w:r>
        <w:t>spending,</w:t>
      </w:r>
      <w:r>
        <w:rPr>
          <w:spacing w:val="-1"/>
        </w:rPr>
        <w:t xml:space="preserve"> </w:t>
      </w:r>
      <w:r>
        <w:t>and patient</w:t>
      </w:r>
      <w:r>
        <w:rPr>
          <w:spacing w:val="-2"/>
        </w:rPr>
        <w:t xml:space="preserve"> </w:t>
      </w:r>
      <w:r>
        <w:t>shifts</w:t>
      </w:r>
      <w:r>
        <w:rPr>
          <w:spacing w:val="-3"/>
        </w:rPr>
        <w:t xml:space="preserve"> </w:t>
      </w:r>
      <w:r>
        <w:t>may</w:t>
      </w:r>
      <w:r>
        <w:rPr>
          <w:spacing w:val="-4"/>
        </w:rPr>
        <w:t xml:space="preserve"> </w:t>
      </w:r>
      <w:r>
        <w:t>negatively</w:t>
      </w:r>
      <w:r>
        <w:rPr>
          <w:spacing w:val="-2"/>
        </w:rPr>
        <w:t xml:space="preserve"> </w:t>
      </w:r>
      <w:r>
        <w:t>impact</w:t>
      </w:r>
      <w:r>
        <w:rPr>
          <w:spacing w:val="-2"/>
        </w:rPr>
        <w:t xml:space="preserve"> </w:t>
      </w:r>
      <w:r>
        <w:t>other</w:t>
      </w:r>
      <w:r>
        <w:rPr>
          <w:spacing w:val="-2"/>
        </w:rPr>
        <w:t xml:space="preserve"> </w:t>
      </w:r>
      <w:r>
        <w:t>oncology</w:t>
      </w:r>
      <w:r>
        <w:rPr>
          <w:spacing w:val="-2"/>
        </w:rPr>
        <w:t xml:space="preserve"> </w:t>
      </w:r>
      <w:r>
        <w:t>providers, potentially further increasing market concentration. Commitments to limit future inpatient and outpatient</w:t>
      </w:r>
      <w:r>
        <w:rPr>
          <w:spacing w:val="-3"/>
        </w:rPr>
        <w:t xml:space="preserve"> </w:t>
      </w:r>
      <w:r>
        <w:t>rate</w:t>
      </w:r>
      <w:r>
        <w:rPr>
          <w:spacing w:val="-2"/>
        </w:rPr>
        <w:t xml:space="preserve"> </w:t>
      </w:r>
      <w:r>
        <w:t>increases</w:t>
      </w:r>
      <w:r>
        <w:rPr>
          <w:spacing w:val="-4"/>
        </w:rPr>
        <w:t xml:space="preserve"> </w:t>
      </w:r>
      <w:r>
        <w:t>and</w:t>
      </w:r>
      <w:r>
        <w:rPr>
          <w:spacing w:val="-4"/>
        </w:rPr>
        <w:t xml:space="preserve"> </w:t>
      </w:r>
      <w:r>
        <w:t>address</w:t>
      </w:r>
      <w:r>
        <w:rPr>
          <w:spacing w:val="-4"/>
        </w:rPr>
        <w:t xml:space="preserve"> </w:t>
      </w:r>
      <w:r>
        <w:t>DFCI’s</w:t>
      </w:r>
      <w:r>
        <w:rPr>
          <w:spacing w:val="-4"/>
        </w:rPr>
        <w:t xml:space="preserve"> </w:t>
      </w:r>
      <w:r>
        <w:t>already</w:t>
      </w:r>
      <w:r>
        <w:rPr>
          <w:spacing w:val="-3"/>
        </w:rPr>
        <w:t xml:space="preserve"> </w:t>
      </w:r>
      <w:r>
        <w:t>high</w:t>
      </w:r>
      <w:r>
        <w:rPr>
          <w:spacing w:val="-2"/>
        </w:rPr>
        <w:t xml:space="preserve"> </w:t>
      </w:r>
      <w:r>
        <w:t>outpatient</w:t>
      </w:r>
      <w:r>
        <w:rPr>
          <w:spacing w:val="-3"/>
        </w:rPr>
        <w:t xml:space="preserve"> </w:t>
      </w:r>
      <w:r>
        <w:t>prices</w:t>
      </w:r>
      <w:r>
        <w:rPr>
          <w:spacing w:val="-4"/>
        </w:rPr>
        <w:t xml:space="preserve"> </w:t>
      </w:r>
      <w:r>
        <w:t>may</w:t>
      </w:r>
      <w:r>
        <w:rPr>
          <w:spacing w:val="-3"/>
        </w:rPr>
        <w:t xml:space="preserve"> </w:t>
      </w:r>
      <w:r>
        <w:t>help</w:t>
      </w:r>
      <w:r>
        <w:rPr>
          <w:spacing w:val="-3"/>
        </w:rPr>
        <w:t xml:space="preserve"> </w:t>
      </w:r>
      <w:r>
        <w:t>to</w:t>
      </w:r>
      <w:r>
        <w:rPr>
          <w:spacing w:val="-2"/>
        </w:rPr>
        <w:t xml:space="preserve"> </w:t>
      </w:r>
      <w:r>
        <w:t>mitigate these concerns.</w:t>
      </w:r>
    </w:p>
    <w:p w14:paraId="1C34E94C" w14:textId="77777777" w:rsidR="004C558F" w:rsidRDefault="004C558F">
      <w:pPr>
        <w:pStyle w:val="BodyText"/>
        <w:spacing w:before="198"/>
      </w:pPr>
    </w:p>
    <w:p w14:paraId="1C34E94D" w14:textId="77777777" w:rsidR="004C558F" w:rsidRDefault="00461887">
      <w:pPr>
        <w:pStyle w:val="Heading2"/>
        <w:numPr>
          <w:ilvl w:val="1"/>
          <w:numId w:val="16"/>
        </w:numPr>
        <w:tabs>
          <w:tab w:val="left" w:pos="958"/>
        </w:tabs>
        <w:ind w:left="958" w:hanging="358"/>
        <w:rPr>
          <w:color w:val="063656"/>
        </w:rPr>
      </w:pPr>
      <w:bookmarkStart w:id="140" w:name="B._Quality_and_Care_Delivery"/>
      <w:bookmarkStart w:id="141" w:name="_bookmark171"/>
      <w:bookmarkEnd w:id="140"/>
      <w:bookmarkEnd w:id="141"/>
      <w:r>
        <w:rPr>
          <w:color w:val="063656"/>
        </w:rPr>
        <w:t>Quality</w:t>
      </w:r>
      <w:r>
        <w:rPr>
          <w:color w:val="063656"/>
          <w:spacing w:val="-3"/>
        </w:rPr>
        <w:t xml:space="preserve"> </w:t>
      </w:r>
      <w:r>
        <w:rPr>
          <w:color w:val="063656"/>
        </w:rPr>
        <w:t>and</w:t>
      </w:r>
      <w:r>
        <w:rPr>
          <w:color w:val="063656"/>
          <w:spacing w:val="-4"/>
        </w:rPr>
        <w:t xml:space="preserve"> </w:t>
      </w:r>
      <w:r>
        <w:rPr>
          <w:color w:val="063656"/>
        </w:rPr>
        <w:t>Care</w:t>
      </w:r>
      <w:r>
        <w:rPr>
          <w:color w:val="063656"/>
          <w:spacing w:val="-4"/>
        </w:rPr>
        <w:t xml:space="preserve"> </w:t>
      </w:r>
      <w:r>
        <w:rPr>
          <w:color w:val="063656"/>
          <w:spacing w:val="-2"/>
        </w:rPr>
        <w:t>Delivery</w:t>
      </w:r>
    </w:p>
    <w:p w14:paraId="1C34E94E" w14:textId="77777777" w:rsidR="004C558F" w:rsidRDefault="004C558F">
      <w:pPr>
        <w:pStyle w:val="BodyText"/>
        <w:spacing w:before="97"/>
        <w:rPr>
          <w:rFonts w:ascii="Franklin Gothic Medium"/>
          <w:sz w:val="28"/>
        </w:rPr>
      </w:pPr>
    </w:p>
    <w:p w14:paraId="1C34E94F" w14:textId="77777777" w:rsidR="004C558F" w:rsidRDefault="00461887">
      <w:pPr>
        <w:pStyle w:val="BodyText"/>
        <w:spacing w:line="276" w:lineRule="auto"/>
        <w:ind w:left="959" w:right="943" w:firstLine="720"/>
      </w:pPr>
      <w:r>
        <w:t>To assess the quality of care delivered by the parties historically, and the proposed transaction’s potential impact on care delivery in the Commonwealth, the HPC reviewed the parties’ historical performance on widely accepted clinical performance measures, quality performance</w:t>
      </w:r>
      <w:r>
        <w:rPr>
          <w:spacing w:val="-3"/>
        </w:rPr>
        <w:t xml:space="preserve"> </w:t>
      </w:r>
      <w:r>
        <w:t>data</w:t>
      </w:r>
      <w:r>
        <w:rPr>
          <w:spacing w:val="-4"/>
        </w:rPr>
        <w:t xml:space="preserve"> </w:t>
      </w:r>
      <w:r>
        <w:t>submitted</w:t>
      </w:r>
      <w:r>
        <w:rPr>
          <w:spacing w:val="-2"/>
        </w:rPr>
        <w:t xml:space="preserve"> </w:t>
      </w:r>
      <w:r>
        <w:t>by</w:t>
      </w:r>
      <w:r>
        <w:rPr>
          <w:spacing w:val="-3"/>
        </w:rPr>
        <w:t xml:space="preserve"> </w:t>
      </w:r>
      <w:r>
        <w:t>the</w:t>
      </w:r>
      <w:r>
        <w:rPr>
          <w:spacing w:val="-3"/>
        </w:rPr>
        <w:t xml:space="preserve"> </w:t>
      </w:r>
      <w:r>
        <w:t>parties,</w:t>
      </w:r>
      <w:r>
        <w:rPr>
          <w:spacing w:val="-5"/>
        </w:rPr>
        <w:t xml:space="preserve"> </w:t>
      </w:r>
      <w:r>
        <w:t>and</w:t>
      </w:r>
      <w:r>
        <w:rPr>
          <w:spacing w:val="-4"/>
        </w:rPr>
        <w:t xml:space="preserve"> </w:t>
      </w:r>
      <w:r>
        <w:t>documentation</w:t>
      </w:r>
      <w:r>
        <w:rPr>
          <w:spacing w:val="-3"/>
        </w:rPr>
        <w:t xml:space="preserve"> </w:t>
      </w:r>
      <w:r>
        <w:t>provided</w:t>
      </w:r>
      <w:r>
        <w:rPr>
          <w:spacing w:val="-2"/>
        </w:rPr>
        <w:t xml:space="preserve"> </w:t>
      </w:r>
      <w:r>
        <w:t>by</w:t>
      </w:r>
      <w:r>
        <w:rPr>
          <w:spacing w:val="-3"/>
        </w:rPr>
        <w:t xml:space="preserve"> </w:t>
      </w:r>
      <w:r>
        <w:t>the</w:t>
      </w:r>
      <w:r>
        <w:rPr>
          <w:spacing w:val="-3"/>
        </w:rPr>
        <w:t xml:space="preserve"> </w:t>
      </w:r>
      <w:r>
        <w:t>parties</w:t>
      </w:r>
      <w:r>
        <w:rPr>
          <w:spacing w:val="-4"/>
        </w:rPr>
        <w:t xml:space="preserve"> </w:t>
      </w:r>
      <w:r>
        <w:t>on</w:t>
      </w:r>
      <w:r>
        <w:rPr>
          <w:spacing w:val="-3"/>
        </w:rPr>
        <w:t xml:space="preserve"> </w:t>
      </w:r>
      <w:r>
        <w:t>their quality and care delivery priorities and initiatives. The HPC also reviewed the parties’ plans and goals for the proposed transaction in both public and confidentially provided documents. The HPC’s findings are summarized below.</w:t>
      </w:r>
    </w:p>
    <w:p w14:paraId="1C34E950" w14:textId="77777777" w:rsidR="004C558F" w:rsidRDefault="004C558F">
      <w:pPr>
        <w:pStyle w:val="BodyText"/>
        <w:spacing w:before="36"/>
      </w:pPr>
    </w:p>
    <w:p w14:paraId="1C34E951" w14:textId="77777777" w:rsidR="004C558F" w:rsidRDefault="00461887">
      <w:pPr>
        <w:pStyle w:val="ListParagraph"/>
        <w:numPr>
          <w:ilvl w:val="0"/>
          <w:numId w:val="10"/>
        </w:numPr>
        <w:tabs>
          <w:tab w:val="left" w:pos="1679"/>
        </w:tabs>
        <w:ind w:left="1679" w:hanging="360"/>
      </w:pPr>
      <w:r>
        <w:t>DFCI</w:t>
      </w:r>
      <w:r>
        <w:rPr>
          <w:spacing w:val="-10"/>
        </w:rPr>
        <w:t xml:space="preserve"> </w:t>
      </w:r>
      <w:r>
        <w:t>and</w:t>
      </w:r>
      <w:r>
        <w:rPr>
          <w:spacing w:val="-4"/>
        </w:rPr>
        <w:t xml:space="preserve"> </w:t>
      </w:r>
      <w:r>
        <w:t>BIDMC</w:t>
      </w:r>
      <w:r>
        <w:rPr>
          <w:spacing w:val="-6"/>
        </w:rPr>
        <w:t xml:space="preserve"> </w:t>
      </w:r>
      <w:r>
        <w:t>are</w:t>
      </w:r>
      <w:r>
        <w:rPr>
          <w:spacing w:val="-6"/>
        </w:rPr>
        <w:t xml:space="preserve"> </w:t>
      </w:r>
      <w:r>
        <w:t>internationally</w:t>
      </w:r>
      <w:r>
        <w:rPr>
          <w:spacing w:val="-6"/>
        </w:rPr>
        <w:t xml:space="preserve"> </w:t>
      </w:r>
      <w:r>
        <w:t>recognized</w:t>
      </w:r>
      <w:r>
        <w:rPr>
          <w:spacing w:val="-4"/>
        </w:rPr>
        <w:t xml:space="preserve"> </w:t>
      </w:r>
      <w:r>
        <w:t>for</w:t>
      </w:r>
      <w:r>
        <w:rPr>
          <w:spacing w:val="-5"/>
        </w:rPr>
        <w:t xml:space="preserve"> </w:t>
      </w:r>
      <w:r>
        <w:t>their</w:t>
      </w:r>
      <w:r>
        <w:rPr>
          <w:spacing w:val="-6"/>
        </w:rPr>
        <w:t xml:space="preserve"> </w:t>
      </w:r>
      <w:r>
        <w:t>high-quality</w:t>
      </w:r>
      <w:r>
        <w:rPr>
          <w:spacing w:val="-6"/>
        </w:rPr>
        <w:t xml:space="preserve"> </w:t>
      </w:r>
      <w:r>
        <w:t>cancer</w:t>
      </w:r>
      <w:r>
        <w:rPr>
          <w:spacing w:val="-5"/>
        </w:rPr>
        <w:t xml:space="preserve"> </w:t>
      </w:r>
      <w:r>
        <w:rPr>
          <w:spacing w:val="-2"/>
        </w:rPr>
        <w:t>care.</w:t>
      </w:r>
    </w:p>
    <w:p w14:paraId="1C34E952" w14:textId="77777777" w:rsidR="004C558F" w:rsidRDefault="00461887">
      <w:pPr>
        <w:pStyle w:val="ListParagraph"/>
        <w:numPr>
          <w:ilvl w:val="0"/>
          <w:numId w:val="10"/>
        </w:numPr>
        <w:tabs>
          <w:tab w:val="left" w:pos="1680"/>
        </w:tabs>
        <w:spacing w:before="97" w:line="271" w:lineRule="auto"/>
        <w:ind w:right="1715"/>
      </w:pPr>
      <w:r>
        <w:t>The</w:t>
      </w:r>
      <w:r>
        <w:rPr>
          <w:spacing w:val="-3"/>
        </w:rPr>
        <w:t xml:space="preserve"> </w:t>
      </w:r>
      <w:r>
        <w:t>parties</w:t>
      </w:r>
      <w:r>
        <w:rPr>
          <w:spacing w:val="-5"/>
        </w:rPr>
        <w:t xml:space="preserve"> </w:t>
      </w:r>
      <w:r>
        <w:t>have</w:t>
      </w:r>
      <w:r>
        <w:rPr>
          <w:spacing w:val="-3"/>
        </w:rPr>
        <w:t xml:space="preserve"> </w:t>
      </w:r>
      <w:r>
        <w:t>generally</w:t>
      </w:r>
      <w:r>
        <w:rPr>
          <w:spacing w:val="-4"/>
        </w:rPr>
        <w:t xml:space="preserve"> </w:t>
      </w:r>
      <w:r>
        <w:t>historically</w:t>
      </w:r>
      <w:r>
        <w:rPr>
          <w:spacing w:val="-4"/>
        </w:rPr>
        <w:t xml:space="preserve"> </w:t>
      </w:r>
      <w:r>
        <w:t>performed</w:t>
      </w:r>
      <w:r>
        <w:rPr>
          <w:spacing w:val="-3"/>
        </w:rPr>
        <w:t xml:space="preserve"> </w:t>
      </w:r>
      <w:r>
        <w:t>comparably</w:t>
      </w:r>
      <w:r>
        <w:rPr>
          <w:spacing w:val="-4"/>
        </w:rPr>
        <w:t xml:space="preserve"> </w:t>
      </w:r>
      <w:r>
        <w:t>to</w:t>
      </w:r>
      <w:r>
        <w:rPr>
          <w:spacing w:val="-5"/>
        </w:rPr>
        <w:t xml:space="preserve"> </w:t>
      </w:r>
      <w:r>
        <w:t>statewide</w:t>
      </w:r>
      <w:r>
        <w:rPr>
          <w:spacing w:val="-5"/>
        </w:rPr>
        <w:t xml:space="preserve"> </w:t>
      </w:r>
      <w:r>
        <w:t>average performance on available oncology quality metrics.</w:t>
      </w:r>
    </w:p>
    <w:p w14:paraId="1C34E953" w14:textId="77777777" w:rsidR="004C558F" w:rsidRDefault="00461887">
      <w:pPr>
        <w:pStyle w:val="ListParagraph"/>
        <w:numPr>
          <w:ilvl w:val="0"/>
          <w:numId w:val="10"/>
        </w:numPr>
        <w:tabs>
          <w:tab w:val="left" w:pos="1680"/>
        </w:tabs>
        <w:spacing w:before="67" w:line="276" w:lineRule="auto"/>
        <w:ind w:right="1192"/>
      </w:pPr>
      <w:r>
        <w:t>Research suggests that hospitals with specialized oncology care offerings achieve superior</w:t>
      </w:r>
      <w:r>
        <w:rPr>
          <w:spacing w:val="-5"/>
        </w:rPr>
        <w:t xml:space="preserve"> </w:t>
      </w:r>
      <w:r>
        <w:t>outcomes</w:t>
      </w:r>
      <w:r>
        <w:rPr>
          <w:spacing w:val="-4"/>
        </w:rPr>
        <w:t xml:space="preserve"> </w:t>
      </w:r>
      <w:r>
        <w:t>for</w:t>
      </w:r>
      <w:r>
        <w:rPr>
          <w:spacing w:val="-3"/>
        </w:rPr>
        <w:t xml:space="preserve"> </w:t>
      </w:r>
      <w:r>
        <w:t>their</w:t>
      </w:r>
      <w:r>
        <w:rPr>
          <w:spacing w:val="-3"/>
        </w:rPr>
        <w:t xml:space="preserve"> </w:t>
      </w:r>
      <w:r>
        <w:t>patients,</w:t>
      </w:r>
      <w:r>
        <w:rPr>
          <w:spacing w:val="-5"/>
        </w:rPr>
        <w:t xml:space="preserve"> </w:t>
      </w:r>
      <w:r>
        <w:t>although</w:t>
      </w:r>
      <w:r>
        <w:rPr>
          <w:spacing w:val="-2"/>
        </w:rPr>
        <w:t xml:space="preserve"> </w:t>
      </w:r>
      <w:r>
        <w:t>these</w:t>
      </w:r>
      <w:r>
        <w:rPr>
          <w:spacing w:val="-4"/>
        </w:rPr>
        <w:t xml:space="preserve"> </w:t>
      </w:r>
      <w:r>
        <w:t>findings</w:t>
      </w:r>
      <w:r>
        <w:rPr>
          <w:spacing w:val="-4"/>
        </w:rPr>
        <w:t xml:space="preserve"> </w:t>
      </w:r>
      <w:r>
        <w:t>do</w:t>
      </w:r>
      <w:r>
        <w:rPr>
          <w:spacing w:val="-4"/>
        </w:rPr>
        <w:t xml:space="preserve"> </w:t>
      </w:r>
      <w:r>
        <w:t>not</w:t>
      </w:r>
      <w:r>
        <w:rPr>
          <w:spacing w:val="-3"/>
        </w:rPr>
        <w:t xml:space="preserve"> </w:t>
      </w:r>
      <w:r>
        <w:t>necessarily</w:t>
      </w:r>
      <w:r>
        <w:rPr>
          <w:spacing w:val="-3"/>
        </w:rPr>
        <w:t xml:space="preserve"> </w:t>
      </w:r>
      <w:r>
        <w:t xml:space="preserve">indicate the transaction would result in higher quality care than that currently provided by the </w:t>
      </w:r>
      <w:r>
        <w:rPr>
          <w:spacing w:val="-2"/>
        </w:rPr>
        <w:t>parties.</w:t>
      </w:r>
    </w:p>
    <w:p w14:paraId="1C34E954" w14:textId="77777777" w:rsidR="004C558F" w:rsidRDefault="00461887">
      <w:pPr>
        <w:pStyle w:val="ListParagraph"/>
        <w:numPr>
          <w:ilvl w:val="0"/>
          <w:numId w:val="10"/>
        </w:numPr>
        <w:tabs>
          <w:tab w:val="left" w:pos="1680"/>
        </w:tabs>
        <w:spacing w:before="55" w:line="273" w:lineRule="auto"/>
        <w:ind w:right="1127"/>
      </w:pPr>
      <w:r>
        <w:t>The parties have identified several early-stage plans that have the potential to improve care</w:t>
      </w:r>
      <w:r>
        <w:rPr>
          <w:spacing w:val="-2"/>
        </w:rPr>
        <w:t xml:space="preserve"> </w:t>
      </w:r>
      <w:r>
        <w:t>quality,</w:t>
      </w:r>
      <w:r>
        <w:rPr>
          <w:spacing w:val="-2"/>
        </w:rPr>
        <w:t xml:space="preserve"> </w:t>
      </w:r>
      <w:r>
        <w:t>but</w:t>
      </w:r>
      <w:r>
        <w:rPr>
          <w:spacing w:val="-3"/>
        </w:rPr>
        <w:t xml:space="preserve"> </w:t>
      </w:r>
      <w:r>
        <w:t>these</w:t>
      </w:r>
      <w:r>
        <w:rPr>
          <w:spacing w:val="-2"/>
        </w:rPr>
        <w:t xml:space="preserve"> </w:t>
      </w:r>
      <w:r>
        <w:t>plans</w:t>
      </w:r>
      <w:r>
        <w:rPr>
          <w:spacing w:val="-2"/>
        </w:rPr>
        <w:t xml:space="preserve"> </w:t>
      </w:r>
      <w:r>
        <w:t>are</w:t>
      </w:r>
      <w:r>
        <w:rPr>
          <w:spacing w:val="-4"/>
        </w:rPr>
        <w:t xml:space="preserve"> </w:t>
      </w:r>
      <w:r>
        <w:t>not</w:t>
      </w:r>
      <w:r>
        <w:rPr>
          <w:spacing w:val="-3"/>
        </w:rPr>
        <w:t xml:space="preserve"> </w:t>
      </w:r>
      <w:r>
        <w:t>yet</w:t>
      </w:r>
      <w:r>
        <w:rPr>
          <w:spacing w:val="-5"/>
        </w:rPr>
        <w:t xml:space="preserve"> </w:t>
      </w:r>
      <w:r>
        <w:t>sufficiently</w:t>
      </w:r>
      <w:r>
        <w:rPr>
          <w:spacing w:val="-5"/>
        </w:rPr>
        <w:t xml:space="preserve"> </w:t>
      </w:r>
      <w:r>
        <w:t>developed</w:t>
      </w:r>
      <w:r>
        <w:rPr>
          <w:spacing w:val="-1"/>
        </w:rPr>
        <w:t xml:space="preserve"> </w:t>
      </w:r>
      <w:r>
        <w:t>to</w:t>
      </w:r>
      <w:r>
        <w:rPr>
          <w:spacing w:val="-4"/>
        </w:rPr>
        <w:t xml:space="preserve"> </w:t>
      </w:r>
      <w:r>
        <w:t>assess</w:t>
      </w:r>
      <w:r>
        <w:rPr>
          <w:spacing w:val="-2"/>
        </w:rPr>
        <w:t xml:space="preserve"> </w:t>
      </w:r>
      <w:r>
        <w:t>the</w:t>
      </w:r>
      <w:r>
        <w:rPr>
          <w:spacing w:val="-2"/>
        </w:rPr>
        <w:t xml:space="preserve"> </w:t>
      </w:r>
      <w:r>
        <w:t>likelihood</w:t>
      </w:r>
      <w:r>
        <w:rPr>
          <w:spacing w:val="-4"/>
        </w:rPr>
        <w:t xml:space="preserve"> </w:t>
      </w:r>
      <w:r>
        <w:t>of any specific impacts.</w:t>
      </w:r>
    </w:p>
    <w:p w14:paraId="1C34E955" w14:textId="77777777" w:rsidR="004C558F" w:rsidRDefault="00461887">
      <w:pPr>
        <w:pStyle w:val="ListParagraph"/>
        <w:numPr>
          <w:ilvl w:val="0"/>
          <w:numId w:val="10"/>
        </w:numPr>
        <w:tabs>
          <w:tab w:val="left" w:pos="1680"/>
        </w:tabs>
        <w:spacing w:before="65" w:line="271" w:lineRule="auto"/>
        <w:ind w:right="1802"/>
      </w:pPr>
      <w:r>
        <w:t>Changes</w:t>
      </w:r>
      <w:r>
        <w:rPr>
          <w:spacing w:val="-3"/>
        </w:rPr>
        <w:t xml:space="preserve"> </w:t>
      </w:r>
      <w:r>
        <w:t>in</w:t>
      </w:r>
      <w:r>
        <w:rPr>
          <w:spacing w:val="-5"/>
        </w:rPr>
        <w:t xml:space="preserve"> </w:t>
      </w:r>
      <w:r>
        <w:t>care</w:t>
      </w:r>
      <w:r>
        <w:rPr>
          <w:spacing w:val="-3"/>
        </w:rPr>
        <w:t xml:space="preserve"> </w:t>
      </w:r>
      <w:r>
        <w:t>team</w:t>
      </w:r>
      <w:r>
        <w:rPr>
          <w:spacing w:val="-5"/>
        </w:rPr>
        <w:t xml:space="preserve"> </w:t>
      </w:r>
      <w:r>
        <w:t>affiliations</w:t>
      </w:r>
      <w:r>
        <w:rPr>
          <w:spacing w:val="-5"/>
        </w:rPr>
        <w:t xml:space="preserve"> </w:t>
      </w:r>
      <w:r>
        <w:t>would</w:t>
      </w:r>
      <w:r>
        <w:rPr>
          <w:spacing w:val="-2"/>
        </w:rPr>
        <w:t xml:space="preserve"> </w:t>
      </w:r>
      <w:r>
        <w:t>require</w:t>
      </w:r>
      <w:r>
        <w:rPr>
          <w:spacing w:val="-5"/>
        </w:rPr>
        <w:t xml:space="preserve"> </w:t>
      </w:r>
      <w:r>
        <w:t>substantial</w:t>
      </w:r>
      <w:r>
        <w:rPr>
          <w:spacing w:val="-4"/>
        </w:rPr>
        <w:t xml:space="preserve"> </w:t>
      </w:r>
      <w:r>
        <w:t>coordination</w:t>
      </w:r>
      <w:r>
        <w:rPr>
          <w:spacing w:val="-3"/>
        </w:rPr>
        <w:t xml:space="preserve"> </w:t>
      </w:r>
      <w:r>
        <w:t>amongst providers to avoid disruptions to patient care.</w:t>
      </w:r>
    </w:p>
    <w:p w14:paraId="1C34E956" w14:textId="77777777" w:rsidR="004C558F" w:rsidRDefault="00461887">
      <w:pPr>
        <w:pStyle w:val="ListParagraph"/>
        <w:numPr>
          <w:ilvl w:val="0"/>
          <w:numId w:val="10"/>
        </w:numPr>
        <w:tabs>
          <w:tab w:val="left" w:pos="1680"/>
        </w:tabs>
        <w:spacing w:before="66" w:line="273" w:lineRule="auto"/>
        <w:ind w:right="1119"/>
      </w:pPr>
      <w:r>
        <w:t>The</w:t>
      </w:r>
      <w:r>
        <w:rPr>
          <w:spacing w:val="-2"/>
        </w:rPr>
        <w:t xml:space="preserve"> </w:t>
      </w:r>
      <w:r>
        <w:t>proposed</w:t>
      </w:r>
      <w:r>
        <w:rPr>
          <w:spacing w:val="-4"/>
        </w:rPr>
        <w:t xml:space="preserve"> </w:t>
      </w:r>
      <w:r>
        <w:t>clinical</w:t>
      </w:r>
      <w:r>
        <w:rPr>
          <w:spacing w:val="-3"/>
        </w:rPr>
        <w:t xml:space="preserve"> </w:t>
      </w:r>
      <w:r>
        <w:t>affiliation</w:t>
      </w:r>
      <w:r>
        <w:rPr>
          <w:spacing w:val="-2"/>
        </w:rPr>
        <w:t xml:space="preserve"> </w:t>
      </w:r>
      <w:r>
        <w:t>may</w:t>
      </w:r>
      <w:r>
        <w:rPr>
          <w:spacing w:val="-3"/>
        </w:rPr>
        <w:t xml:space="preserve"> </w:t>
      </w:r>
      <w:r>
        <w:t>result</w:t>
      </w:r>
      <w:r>
        <w:rPr>
          <w:spacing w:val="-3"/>
        </w:rPr>
        <w:t xml:space="preserve"> </w:t>
      </w:r>
      <w:r>
        <w:t>in</w:t>
      </w:r>
      <w:r>
        <w:rPr>
          <w:spacing w:val="-2"/>
        </w:rPr>
        <w:t xml:space="preserve"> </w:t>
      </w:r>
      <w:r>
        <w:t>more</w:t>
      </w:r>
      <w:r>
        <w:rPr>
          <w:spacing w:val="-2"/>
        </w:rPr>
        <w:t xml:space="preserve"> </w:t>
      </w:r>
      <w:r>
        <w:t>patients</w:t>
      </w:r>
      <w:r>
        <w:rPr>
          <w:spacing w:val="-4"/>
        </w:rPr>
        <w:t xml:space="preserve"> </w:t>
      </w:r>
      <w:r>
        <w:t>using</w:t>
      </w:r>
      <w:r>
        <w:rPr>
          <w:spacing w:val="-5"/>
        </w:rPr>
        <w:t xml:space="preserve"> </w:t>
      </w:r>
      <w:r>
        <w:t>BILH</w:t>
      </w:r>
      <w:r>
        <w:rPr>
          <w:spacing w:val="-3"/>
        </w:rPr>
        <w:t xml:space="preserve"> </w:t>
      </w:r>
      <w:r>
        <w:t>providers</w:t>
      </w:r>
      <w:r>
        <w:rPr>
          <w:spacing w:val="-2"/>
        </w:rPr>
        <w:t xml:space="preserve"> </w:t>
      </w:r>
      <w:r>
        <w:t>for</w:t>
      </w:r>
      <w:r>
        <w:rPr>
          <w:spacing w:val="-3"/>
        </w:rPr>
        <w:t xml:space="preserve"> </w:t>
      </w:r>
      <w:r>
        <w:t>non- oncology care, on which BILH providers generally perform comparably to statewide average across most metrics.</w:t>
      </w:r>
    </w:p>
    <w:p w14:paraId="1C34E957" w14:textId="77777777" w:rsidR="004C558F" w:rsidRDefault="004C558F">
      <w:pPr>
        <w:spacing w:line="273" w:lineRule="auto"/>
        <w:sectPr w:rsidR="004C558F">
          <w:pgSz w:w="12240" w:h="15840"/>
          <w:pgMar w:top="1360" w:right="740" w:bottom="720" w:left="480" w:header="0" w:footer="521" w:gutter="0"/>
          <w:cols w:space="720"/>
        </w:sectPr>
      </w:pPr>
    </w:p>
    <w:p w14:paraId="1C34E958" w14:textId="77777777" w:rsidR="004C558F" w:rsidRDefault="00461887">
      <w:pPr>
        <w:pStyle w:val="Heading3"/>
        <w:numPr>
          <w:ilvl w:val="2"/>
          <w:numId w:val="16"/>
        </w:numPr>
        <w:tabs>
          <w:tab w:val="left" w:pos="959"/>
        </w:tabs>
        <w:spacing w:before="79"/>
        <w:ind w:left="959" w:hanging="359"/>
        <w:rPr>
          <w:color w:val="042339"/>
        </w:rPr>
      </w:pPr>
      <w:bookmarkStart w:id="142" w:name="1._DFCI_and_BIDMC_are_internationally_re"/>
      <w:bookmarkEnd w:id="142"/>
      <w:r>
        <w:rPr>
          <w:color w:val="042339"/>
        </w:rPr>
        <w:lastRenderedPageBreak/>
        <w:t>DFCI</w:t>
      </w:r>
      <w:r>
        <w:rPr>
          <w:color w:val="042339"/>
          <w:spacing w:val="-9"/>
        </w:rPr>
        <w:t xml:space="preserve"> </w:t>
      </w:r>
      <w:r>
        <w:rPr>
          <w:color w:val="042339"/>
        </w:rPr>
        <w:t>and</w:t>
      </w:r>
      <w:r>
        <w:rPr>
          <w:color w:val="042339"/>
          <w:spacing w:val="-8"/>
        </w:rPr>
        <w:t xml:space="preserve"> </w:t>
      </w:r>
      <w:r>
        <w:rPr>
          <w:color w:val="042339"/>
        </w:rPr>
        <w:t>BIDMC</w:t>
      </w:r>
      <w:r>
        <w:rPr>
          <w:color w:val="042339"/>
          <w:spacing w:val="-8"/>
        </w:rPr>
        <w:t xml:space="preserve"> </w:t>
      </w:r>
      <w:r>
        <w:rPr>
          <w:color w:val="042339"/>
        </w:rPr>
        <w:t>are</w:t>
      </w:r>
      <w:r>
        <w:rPr>
          <w:color w:val="042339"/>
          <w:spacing w:val="-8"/>
        </w:rPr>
        <w:t xml:space="preserve"> </w:t>
      </w:r>
      <w:r>
        <w:rPr>
          <w:color w:val="042339"/>
        </w:rPr>
        <w:t>internationally</w:t>
      </w:r>
      <w:r>
        <w:rPr>
          <w:color w:val="042339"/>
          <w:spacing w:val="-8"/>
        </w:rPr>
        <w:t xml:space="preserve"> </w:t>
      </w:r>
      <w:r>
        <w:rPr>
          <w:color w:val="042339"/>
        </w:rPr>
        <w:t>recognized</w:t>
      </w:r>
      <w:r>
        <w:rPr>
          <w:color w:val="042339"/>
          <w:spacing w:val="-9"/>
        </w:rPr>
        <w:t xml:space="preserve"> </w:t>
      </w:r>
      <w:r>
        <w:rPr>
          <w:color w:val="042339"/>
        </w:rPr>
        <w:t>for</w:t>
      </w:r>
      <w:r>
        <w:rPr>
          <w:color w:val="042339"/>
          <w:spacing w:val="-8"/>
        </w:rPr>
        <w:t xml:space="preserve"> </w:t>
      </w:r>
      <w:r>
        <w:rPr>
          <w:color w:val="042339"/>
        </w:rPr>
        <w:t>their</w:t>
      </w:r>
      <w:r>
        <w:rPr>
          <w:color w:val="042339"/>
          <w:spacing w:val="-8"/>
        </w:rPr>
        <w:t xml:space="preserve"> </w:t>
      </w:r>
      <w:r>
        <w:rPr>
          <w:color w:val="042339"/>
        </w:rPr>
        <w:t>high-quality</w:t>
      </w:r>
      <w:r>
        <w:rPr>
          <w:color w:val="042339"/>
          <w:spacing w:val="-8"/>
        </w:rPr>
        <w:t xml:space="preserve"> </w:t>
      </w:r>
      <w:r>
        <w:rPr>
          <w:color w:val="042339"/>
        </w:rPr>
        <w:t>cancer</w:t>
      </w:r>
      <w:r>
        <w:rPr>
          <w:color w:val="042339"/>
          <w:spacing w:val="-8"/>
        </w:rPr>
        <w:t xml:space="preserve"> </w:t>
      </w:r>
      <w:r>
        <w:rPr>
          <w:color w:val="042339"/>
          <w:spacing w:val="-2"/>
        </w:rPr>
        <w:t>care.</w:t>
      </w:r>
    </w:p>
    <w:p w14:paraId="1C34E959" w14:textId="77777777" w:rsidR="004C558F" w:rsidRDefault="004C558F">
      <w:pPr>
        <w:pStyle w:val="BodyText"/>
        <w:spacing w:before="73"/>
        <w:rPr>
          <w:rFonts w:ascii="Franklin Gothic Medium"/>
          <w:sz w:val="26"/>
        </w:rPr>
      </w:pPr>
    </w:p>
    <w:p w14:paraId="1C34E95A" w14:textId="5D7BC2C8" w:rsidR="004C558F" w:rsidRDefault="00461887">
      <w:pPr>
        <w:pStyle w:val="BodyText"/>
        <w:spacing w:line="276" w:lineRule="auto"/>
        <w:ind w:left="959" w:right="1005" w:firstLine="720"/>
        <w:rPr>
          <w:sz w:val="14"/>
        </w:rPr>
      </w:pPr>
      <w:r>
        <w:t>DFCI is considered one of the premier cancer care providers in the United States and is ranked the 4</w:t>
      </w:r>
      <w:proofErr w:type="spellStart"/>
      <w:r>
        <w:rPr>
          <w:position w:val="5"/>
          <w:sz w:val="14"/>
        </w:rPr>
        <w:t>th</w:t>
      </w:r>
      <w:proofErr w:type="spellEnd"/>
      <w:r>
        <w:rPr>
          <w:spacing w:val="27"/>
          <w:position w:val="5"/>
          <w:sz w:val="14"/>
        </w:rPr>
        <w:t xml:space="preserve"> </w:t>
      </w:r>
      <w:r>
        <w:t>best hospital for cancer by US News</w:t>
      </w:r>
      <w:bookmarkStart w:id="143" w:name="_bookmark172"/>
      <w:bookmarkEnd w:id="143"/>
      <w:r>
        <w:t>.</w:t>
      </w:r>
      <w:r>
        <w:rPr>
          <w:spacing w:val="-33"/>
        </w:rPr>
        <w:t xml:space="preserve"> </w:t>
      </w:r>
      <w:r w:rsidR="009F6894">
        <w:rPr>
          <w:rStyle w:val="FootnoteReference"/>
          <w:spacing w:val="-33"/>
        </w:rPr>
        <w:footnoteReference w:id="147"/>
      </w:r>
      <w:r>
        <w:t>DFCI’s care model focuses on a high degree of specialization to cancer subtypes, oriented around “19 disease-oriented clinical divisions and programs, each of which focuses on a specific type or sub-type of malignancy.”</w:t>
      </w:r>
      <w:r w:rsidR="005A5BB9">
        <w:rPr>
          <w:rStyle w:val="FootnoteReference"/>
        </w:rPr>
        <w:footnoteReference w:id="148"/>
      </w:r>
      <w:r>
        <w:rPr>
          <w:spacing w:val="40"/>
          <w:position w:val="5"/>
          <w:sz w:val="14"/>
        </w:rPr>
        <w:t xml:space="preserve"> </w:t>
      </w:r>
      <w:r>
        <w:t>The policies, procedures, and programs at DFCI are recognized by national oncology and non- oncology</w:t>
      </w:r>
      <w:r>
        <w:rPr>
          <w:spacing w:val="-4"/>
        </w:rPr>
        <w:t xml:space="preserve"> </w:t>
      </w:r>
      <w:r>
        <w:t>certification</w:t>
      </w:r>
      <w:r>
        <w:rPr>
          <w:spacing w:val="-3"/>
        </w:rPr>
        <w:t xml:space="preserve"> </w:t>
      </w:r>
      <w:r>
        <w:t>boards,</w:t>
      </w:r>
      <w:r>
        <w:rPr>
          <w:spacing w:val="-3"/>
        </w:rPr>
        <w:t xml:space="preserve"> </w:t>
      </w:r>
      <w:r>
        <w:t>including</w:t>
      </w:r>
      <w:r>
        <w:rPr>
          <w:spacing w:val="-6"/>
        </w:rPr>
        <w:t xml:space="preserve"> </w:t>
      </w:r>
      <w:r>
        <w:t>Magnet,</w:t>
      </w:r>
      <w:r>
        <w:rPr>
          <w:spacing w:val="-3"/>
        </w:rPr>
        <w:t xml:space="preserve"> </w:t>
      </w:r>
      <w:r>
        <w:t>FACT,</w:t>
      </w:r>
      <w:r>
        <w:rPr>
          <w:spacing w:val="-3"/>
        </w:rPr>
        <w:t xml:space="preserve"> </w:t>
      </w:r>
      <w:r>
        <w:t>the</w:t>
      </w:r>
      <w:r>
        <w:rPr>
          <w:spacing w:val="-3"/>
        </w:rPr>
        <w:t xml:space="preserve"> </w:t>
      </w:r>
      <w:r>
        <w:t>Joint</w:t>
      </w:r>
      <w:r>
        <w:rPr>
          <w:spacing w:val="-4"/>
        </w:rPr>
        <w:t xml:space="preserve"> </w:t>
      </w:r>
      <w:r>
        <w:t>Commission,</w:t>
      </w:r>
      <w:r>
        <w:rPr>
          <w:spacing w:val="-6"/>
        </w:rPr>
        <w:t xml:space="preserve"> </w:t>
      </w:r>
      <w:r>
        <w:t>and</w:t>
      </w:r>
      <w:r>
        <w:rPr>
          <w:spacing w:val="-2"/>
        </w:rPr>
        <w:t xml:space="preserve"> </w:t>
      </w:r>
      <w:r>
        <w:t>the</w:t>
      </w:r>
      <w:r>
        <w:rPr>
          <w:spacing w:val="-3"/>
        </w:rPr>
        <w:t xml:space="preserve"> </w:t>
      </w:r>
      <w:r>
        <w:t>Commission on Cancer.</w:t>
      </w:r>
      <w:r>
        <w:rPr>
          <w:spacing w:val="-33"/>
        </w:rPr>
        <w:t xml:space="preserve"> </w:t>
      </w:r>
      <w:r w:rsidR="005A5BB9">
        <w:rPr>
          <w:rStyle w:val="FootnoteReference"/>
          <w:spacing w:val="-33"/>
        </w:rPr>
        <w:footnoteReference w:id="149"/>
      </w:r>
      <w:r>
        <w:t>DFCI has an array of quality improvement and research programs designed to support</w:t>
      </w:r>
      <w:r>
        <w:rPr>
          <w:spacing w:val="-2"/>
        </w:rPr>
        <w:t xml:space="preserve"> </w:t>
      </w:r>
      <w:r>
        <w:t>and</w:t>
      </w:r>
      <w:r>
        <w:rPr>
          <w:spacing w:val="-3"/>
        </w:rPr>
        <w:t xml:space="preserve"> </w:t>
      </w:r>
      <w:r>
        <w:t>advance</w:t>
      </w:r>
      <w:r>
        <w:rPr>
          <w:spacing w:val="-1"/>
        </w:rPr>
        <w:t xml:space="preserve"> </w:t>
      </w:r>
      <w:r>
        <w:t>care</w:t>
      </w:r>
      <w:r>
        <w:rPr>
          <w:spacing w:val="-3"/>
        </w:rPr>
        <w:t xml:space="preserve"> </w:t>
      </w:r>
      <w:r>
        <w:t>delivery,</w:t>
      </w:r>
      <w:r>
        <w:rPr>
          <w:spacing w:val="-1"/>
        </w:rPr>
        <w:t xml:space="preserve"> </w:t>
      </w:r>
      <w:r>
        <w:t>including</w:t>
      </w:r>
      <w:r>
        <w:rPr>
          <w:spacing w:val="-2"/>
        </w:rPr>
        <w:t xml:space="preserve"> </w:t>
      </w:r>
      <w:r>
        <w:t>an</w:t>
      </w:r>
      <w:r>
        <w:rPr>
          <w:spacing w:val="-3"/>
        </w:rPr>
        <w:t xml:space="preserve"> </w:t>
      </w:r>
      <w:r>
        <w:t>acute</w:t>
      </w:r>
      <w:r>
        <w:rPr>
          <w:spacing w:val="-1"/>
        </w:rPr>
        <w:t xml:space="preserve"> </w:t>
      </w:r>
      <w:r>
        <w:t>care</w:t>
      </w:r>
      <w:r>
        <w:rPr>
          <w:spacing w:val="-1"/>
        </w:rPr>
        <w:t xml:space="preserve"> </w:t>
      </w:r>
      <w:r>
        <w:t>clinic</w:t>
      </w:r>
      <w:r>
        <w:rPr>
          <w:spacing w:val="-1"/>
        </w:rPr>
        <w:t xml:space="preserve"> </w:t>
      </w:r>
      <w:r>
        <w:t>to</w:t>
      </w:r>
      <w:r>
        <w:rPr>
          <w:spacing w:val="-1"/>
        </w:rPr>
        <w:t xml:space="preserve"> </w:t>
      </w:r>
      <w:r>
        <w:t>provide</w:t>
      </w:r>
      <w:r>
        <w:rPr>
          <w:spacing w:val="-3"/>
        </w:rPr>
        <w:t xml:space="preserve"> </w:t>
      </w:r>
      <w:r>
        <w:t>high-acuity</w:t>
      </w:r>
      <w:r>
        <w:rPr>
          <w:spacing w:val="-2"/>
        </w:rPr>
        <w:t xml:space="preserve"> </w:t>
      </w:r>
      <w:r>
        <w:t>outpatient oncology care and reduce unplanned hospital readmissions,</w:t>
      </w:r>
      <w:r w:rsidR="002C4AD0">
        <w:rPr>
          <w:rStyle w:val="FootnoteReference"/>
        </w:rPr>
        <w:footnoteReference w:id="150"/>
      </w:r>
      <w:r>
        <w:rPr>
          <w:spacing w:val="34"/>
          <w:position w:val="5"/>
          <w:sz w:val="14"/>
        </w:rPr>
        <w:t xml:space="preserve"> </w:t>
      </w:r>
      <w:r>
        <w:t>a robust survivorship care planning infrastructure to support long-term survival for its patients, a comprehensive patient feedback mechanism through direct patient reporting and input from the patient and family advisory council, and a patient navigator program to help underserved patients navigate their cancer care journeys.</w:t>
      </w:r>
      <w:r w:rsidR="00AC62F9">
        <w:rPr>
          <w:rStyle w:val="FootnoteReference"/>
        </w:rPr>
        <w:footnoteReference w:id="151"/>
      </w:r>
      <w:r w:rsidR="00C42D53">
        <w:t>,</w:t>
      </w:r>
      <w:r w:rsidR="00C42D53">
        <w:rPr>
          <w:rStyle w:val="FootnoteReference"/>
        </w:rPr>
        <w:footnoteReference w:id="152"/>
      </w:r>
      <w:r w:rsidR="00AC62F9">
        <w:rPr>
          <w:sz w:val="14"/>
        </w:rPr>
        <w:t xml:space="preserve"> </w:t>
      </w:r>
    </w:p>
    <w:p w14:paraId="1C34E95B" w14:textId="77777777" w:rsidR="004C558F" w:rsidRDefault="004C558F">
      <w:pPr>
        <w:pStyle w:val="BodyText"/>
        <w:spacing w:before="37"/>
      </w:pPr>
    </w:p>
    <w:p w14:paraId="1C34E95C" w14:textId="6E5BFE70" w:rsidR="004C558F" w:rsidRDefault="00461887">
      <w:pPr>
        <w:pStyle w:val="BodyText"/>
        <w:spacing w:line="276" w:lineRule="auto"/>
        <w:ind w:left="959" w:right="1290" w:firstLine="720"/>
      </w:pPr>
      <w:r>
        <w:t>BIDMC</w:t>
      </w:r>
      <w:r>
        <w:rPr>
          <w:spacing w:val="-3"/>
        </w:rPr>
        <w:t xml:space="preserve"> </w:t>
      </w:r>
      <w:r>
        <w:t>is</w:t>
      </w:r>
      <w:r>
        <w:rPr>
          <w:spacing w:val="-2"/>
        </w:rPr>
        <w:t xml:space="preserve"> </w:t>
      </w:r>
      <w:r>
        <w:t>also</w:t>
      </w:r>
      <w:r>
        <w:rPr>
          <w:spacing w:val="-2"/>
        </w:rPr>
        <w:t xml:space="preserve"> </w:t>
      </w:r>
      <w:r>
        <w:t>highly</w:t>
      </w:r>
      <w:r>
        <w:rPr>
          <w:spacing w:val="-3"/>
        </w:rPr>
        <w:t xml:space="preserve"> </w:t>
      </w:r>
      <w:r>
        <w:t>recognized</w:t>
      </w:r>
      <w:r>
        <w:rPr>
          <w:spacing w:val="-4"/>
        </w:rPr>
        <w:t xml:space="preserve"> </w:t>
      </w:r>
      <w:r>
        <w:t>for</w:t>
      </w:r>
      <w:r>
        <w:rPr>
          <w:spacing w:val="-3"/>
        </w:rPr>
        <w:t xml:space="preserve"> </w:t>
      </w:r>
      <w:r>
        <w:t>its</w:t>
      </w:r>
      <w:r>
        <w:rPr>
          <w:spacing w:val="-4"/>
        </w:rPr>
        <w:t xml:space="preserve"> </w:t>
      </w:r>
      <w:r>
        <w:t>oncology</w:t>
      </w:r>
      <w:r>
        <w:rPr>
          <w:spacing w:val="-3"/>
        </w:rPr>
        <w:t xml:space="preserve"> </w:t>
      </w:r>
      <w:r>
        <w:t>care</w:t>
      </w:r>
      <w:r>
        <w:rPr>
          <w:spacing w:val="-4"/>
        </w:rPr>
        <w:t xml:space="preserve"> </w:t>
      </w:r>
      <w:r>
        <w:t>and</w:t>
      </w:r>
      <w:r>
        <w:rPr>
          <w:spacing w:val="-1"/>
        </w:rPr>
        <w:t xml:space="preserve"> </w:t>
      </w:r>
      <w:r>
        <w:t>is</w:t>
      </w:r>
      <w:r>
        <w:rPr>
          <w:spacing w:val="-2"/>
        </w:rPr>
        <w:t xml:space="preserve"> </w:t>
      </w:r>
      <w:r>
        <w:t>ranked</w:t>
      </w:r>
      <w:r>
        <w:rPr>
          <w:spacing w:val="-1"/>
        </w:rPr>
        <w:t xml:space="preserve"> </w:t>
      </w:r>
      <w:r>
        <w:t>18</w:t>
      </w:r>
      <w:proofErr w:type="spellStart"/>
      <w:r>
        <w:rPr>
          <w:position w:val="5"/>
          <w:sz w:val="14"/>
        </w:rPr>
        <w:t>th</w:t>
      </w:r>
      <w:proofErr w:type="spellEnd"/>
      <w:r>
        <w:rPr>
          <w:spacing w:val="17"/>
          <w:position w:val="5"/>
          <w:sz w:val="14"/>
        </w:rPr>
        <w:t xml:space="preserve"> </w:t>
      </w:r>
      <w:r>
        <w:t>in</w:t>
      </w:r>
      <w:r>
        <w:rPr>
          <w:spacing w:val="-4"/>
        </w:rPr>
        <w:t xml:space="preserve"> </w:t>
      </w:r>
      <w:r>
        <w:t>cancer</w:t>
      </w:r>
      <w:r>
        <w:rPr>
          <w:spacing w:val="-3"/>
        </w:rPr>
        <w:t xml:space="preserve"> </w:t>
      </w:r>
      <w:r>
        <w:t>care delivery by US News.</w:t>
      </w:r>
      <w:r w:rsidR="000B03A9">
        <w:rPr>
          <w:rStyle w:val="FootnoteReference"/>
        </w:rPr>
        <w:footnoteReference w:id="153"/>
      </w:r>
      <w:r>
        <w:rPr>
          <w:spacing w:val="32"/>
          <w:position w:val="5"/>
          <w:sz w:val="14"/>
        </w:rPr>
        <w:t xml:space="preserve"> </w:t>
      </w:r>
      <w:r>
        <w:t>The policies, procedures, and programs at BIDMC are recognized by national oncology and non-oncology certification boards, including Magnet, FACT, the Joint</w:t>
      </w:r>
    </w:p>
    <w:p w14:paraId="1C34E95D" w14:textId="0395C68F" w:rsidR="004C558F" w:rsidRDefault="004C558F">
      <w:pPr>
        <w:pStyle w:val="BodyText"/>
        <w:spacing w:before="36"/>
        <w:rPr>
          <w:sz w:val="20"/>
        </w:rPr>
      </w:pPr>
    </w:p>
    <w:p w14:paraId="1C34E966" w14:textId="77777777" w:rsidR="004C558F" w:rsidRDefault="004C558F">
      <w:pPr>
        <w:rPr>
          <w:sz w:val="20"/>
        </w:rPr>
        <w:sectPr w:rsidR="004C558F">
          <w:pgSz w:w="12240" w:h="15840"/>
          <w:pgMar w:top="1360" w:right="740" w:bottom="720" w:left="480" w:header="0" w:footer="521" w:gutter="0"/>
          <w:cols w:space="720"/>
        </w:sectPr>
      </w:pPr>
      <w:bookmarkStart w:id="146" w:name="_bookmark173"/>
      <w:bookmarkStart w:id="147" w:name="_bookmark179"/>
      <w:bookmarkEnd w:id="146"/>
      <w:bookmarkEnd w:id="147"/>
    </w:p>
    <w:p w14:paraId="1C34E967" w14:textId="253617F7" w:rsidR="004C558F" w:rsidRDefault="00461887">
      <w:pPr>
        <w:pStyle w:val="BodyText"/>
        <w:spacing w:before="80" w:line="276" w:lineRule="auto"/>
        <w:ind w:left="960" w:right="1065"/>
        <w:rPr>
          <w:sz w:val="14"/>
        </w:rPr>
      </w:pPr>
      <w:r>
        <w:lastRenderedPageBreak/>
        <w:t>Commission, and the Commission on Cancer. Like DFCI, BIDMC has programs for survivorship care planning, collection of patient feedback from patient reporting and its patient and family advisory</w:t>
      </w:r>
      <w:r>
        <w:rPr>
          <w:spacing w:val="-3"/>
        </w:rPr>
        <w:t xml:space="preserve"> </w:t>
      </w:r>
      <w:r>
        <w:t>council,</w:t>
      </w:r>
      <w:r>
        <w:rPr>
          <w:spacing w:val="-5"/>
        </w:rPr>
        <w:t xml:space="preserve"> </w:t>
      </w:r>
      <w:r>
        <w:t>and</w:t>
      </w:r>
      <w:r>
        <w:rPr>
          <w:spacing w:val="-1"/>
        </w:rPr>
        <w:t xml:space="preserve"> </w:t>
      </w:r>
      <w:r>
        <w:t>patient</w:t>
      </w:r>
      <w:r>
        <w:rPr>
          <w:spacing w:val="-3"/>
        </w:rPr>
        <w:t xml:space="preserve"> </w:t>
      </w:r>
      <w:r>
        <w:t>support</w:t>
      </w:r>
      <w:r>
        <w:rPr>
          <w:spacing w:val="-3"/>
        </w:rPr>
        <w:t xml:space="preserve"> </w:t>
      </w:r>
      <w:r>
        <w:t>from</w:t>
      </w:r>
      <w:r>
        <w:rPr>
          <w:spacing w:val="-4"/>
        </w:rPr>
        <w:t xml:space="preserve"> </w:t>
      </w:r>
      <w:r>
        <w:t>assigned</w:t>
      </w:r>
      <w:r>
        <w:rPr>
          <w:spacing w:val="-4"/>
        </w:rPr>
        <w:t xml:space="preserve"> </w:t>
      </w:r>
      <w:r>
        <w:t>patient</w:t>
      </w:r>
      <w:r>
        <w:rPr>
          <w:spacing w:val="-3"/>
        </w:rPr>
        <w:t xml:space="preserve"> </w:t>
      </w:r>
      <w:r>
        <w:t>navigators.</w:t>
      </w:r>
      <w:r>
        <w:rPr>
          <w:spacing w:val="-5"/>
        </w:rPr>
        <w:t xml:space="preserve"> </w:t>
      </w:r>
      <w:r>
        <w:t>BIDMC</w:t>
      </w:r>
      <w:r>
        <w:rPr>
          <w:spacing w:val="-3"/>
        </w:rPr>
        <w:t xml:space="preserve"> </w:t>
      </w:r>
      <w:r>
        <w:t>is</w:t>
      </w:r>
      <w:r>
        <w:rPr>
          <w:spacing w:val="-2"/>
        </w:rPr>
        <w:t xml:space="preserve"> </w:t>
      </w:r>
      <w:r>
        <w:t>also</w:t>
      </w:r>
      <w:r>
        <w:rPr>
          <w:spacing w:val="-2"/>
        </w:rPr>
        <w:t xml:space="preserve"> </w:t>
      </w:r>
      <w:r>
        <w:t>engaged</w:t>
      </w:r>
      <w:r>
        <w:rPr>
          <w:spacing w:val="-1"/>
        </w:rPr>
        <w:t xml:space="preserve"> </w:t>
      </w:r>
      <w:r>
        <w:t>in several quality improvement programs intended to enhance its adherence to guideline- concordant oncology</w:t>
      </w:r>
      <w:r>
        <w:rPr>
          <w:spacing w:val="-2"/>
        </w:rPr>
        <w:t xml:space="preserve"> </w:t>
      </w:r>
      <w:r>
        <w:t>care.</w:t>
      </w:r>
      <w:r w:rsidR="00904D30">
        <w:rPr>
          <w:rStyle w:val="FootnoteReference"/>
        </w:rPr>
        <w:footnoteReference w:id="154"/>
      </w:r>
      <w:r>
        <w:rPr>
          <w:spacing w:val="21"/>
          <w:position w:val="5"/>
          <w:sz w:val="14"/>
        </w:rPr>
        <w:t xml:space="preserve"> </w:t>
      </w:r>
      <w:r>
        <w:t>Both</w:t>
      </w:r>
      <w:r>
        <w:rPr>
          <w:spacing w:val="-1"/>
        </w:rPr>
        <w:t xml:space="preserve"> </w:t>
      </w:r>
      <w:r>
        <w:t>BIDMC and</w:t>
      </w:r>
      <w:r>
        <w:rPr>
          <w:spacing w:val="-1"/>
        </w:rPr>
        <w:t xml:space="preserve"> </w:t>
      </w:r>
      <w:r>
        <w:t>DFCI (along with</w:t>
      </w:r>
      <w:r>
        <w:rPr>
          <w:spacing w:val="-1"/>
        </w:rPr>
        <w:t xml:space="preserve"> </w:t>
      </w:r>
      <w:r>
        <w:t>Boston Children’s Hospital, BWH, and MGH)</w:t>
      </w:r>
      <w:r>
        <w:rPr>
          <w:spacing w:val="-1"/>
        </w:rPr>
        <w:t xml:space="preserve"> </w:t>
      </w:r>
      <w:r>
        <w:t>are members of the Dana-Farber/Harvard Cancer Center,</w:t>
      </w:r>
      <w:r>
        <w:rPr>
          <w:spacing w:val="-1"/>
        </w:rPr>
        <w:t xml:space="preserve"> </w:t>
      </w:r>
      <w:r>
        <w:t>a Massachusetts-based NCI designated cancer</w:t>
      </w:r>
      <w:r>
        <w:rPr>
          <w:spacing w:val="-1"/>
        </w:rPr>
        <w:t xml:space="preserve"> </w:t>
      </w:r>
      <w:r>
        <w:t>center</w:t>
      </w:r>
      <w:r>
        <w:rPr>
          <w:spacing w:val="-3"/>
        </w:rPr>
        <w:t xml:space="preserve"> </w:t>
      </w:r>
      <w:r>
        <w:t>with over</w:t>
      </w:r>
      <w:r>
        <w:rPr>
          <w:spacing w:val="-1"/>
        </w:rPr>
        <w:t xml:space="preserve"> </w:t>
      </w:r>
      <w:r>
        <w:t>$13</w:t>
      </w:r>
      <w:r>
        <w:rPr>
          <w:spacing w:val="-3"/>
        </w:rPr>
        <w:t xml:space="preserve"> </w:t>
      </w:r>
      <w:r>
        <w:t>million</w:t>
      </w:r>
      <w:r>
        <w:rPr>
          <w:spacing w:val="-2"/>
        </w:rPr>
        <w:t xml:space="preserve"> </w:t>
      </w:r>
      <w:r>
        <w:t>of</w:t>
      </w:r>
      <w:r>
        <w:rPr>
          <w:spacing w:val="-2"/>
        </w:rPr>
        <w:t xml:space="preserve"> </w:t>
      </w:r>
      <w:r>
        <w:t>annual</w:t>
      </w:r>
      <w:r>
        <w:rPr>
          <w:spacing w:val="-1"/>
        </w:rPr>
        <w:t xml:space="preserve"> </w:t>
      </w:r>
      <w:r>
        <w:t>NIH</w:t>
      </w:r>
      <w:r>
        <w:rPr>
          <w:spacing w:val="-3"/>
        </w:rPr>
        <w:t xml:space="preserve"> </w:t>
      </w:r>
      <w:r>
        <w:t>funding</w:t>
      </w:r>
      <w:r>
        <w:rPr>
          <w:spacing w:val="-1"/>
        </w:rPr>
        <w:t xml:space="preserve"> </w:t>
      </w:r>
      <w:r>
        <w:t>that</w:t>
      </w:r>
      <w:r>
        <w:rPr>
          <w:spacing w:val="-1"/>
        </w:rPr>
        <w:t xml:space="preserve"> </w:t>
      </w:r>
      <w:r>
        <w:t>integrates clinical</w:t>
      </w:r>
      <w:r>
        <w:rPr>
          <w:spacing w:val="-3"/>
        </w:rPr>
        <w:t xml:space="preserve"> </w:t>
      </w:r>
      <w:r>
        <w:t>and non-clinic research with direct patient care, allowing best practices and medications under investigation to be applied to patient care.</w:t>
      </w:r>
      <w:r w:rsidR="007E117D">
        <w:rPr>
          <w:rStyle w:val="FootnoteReference"/>
        </w:rPr>
        <w:footnoteReference w:id="155"/>
      </w:r>
      <w:r w:rsidR="007E117D">
        <w:rPr>
          <w:sz w:val="14"/>
        </w:rPr>
        <w:t xml:space="preserve"> </w:t>
      </w:r>
    </w:p>
    <w:p w14:paraId="1C34E968" w14:textId="77777777" w:rsidR="004C558F" w:rsidRDefault="004C558F">
      <w:pPr>
        <w:pStyle w:val="BodyText"/>
        <w:spacing w:before="194"/>
      </w:pPr>
    </w:p>
    <w:p w14:paraId="1C34E969" w14:textId="77777777" w:rsidR="004C558F" w:rsidRDefault="00461887">
      <w:pPr>
        <w:pStyle w:val="Heading3"/>
        <w:numPr>
          <w:ilvl w:val="2"/>
          <w:numId w:val="16"/>
        </w:numPr>
        <w:tabs>
          <w:tab w:val="left" w:pos="958"/>
          <w:tab w:val="left" w:pos="960"/>
        </w:tabs>
        <w:spacing w:line="242" w:lineRule="auto"/>
        <w:ind w:left="960" w:right="1834" w:hanging="361"/>
        <w:rPr>
          <w:color w:val="042339"/>
        </w:rPr>
      </w:pPr>
      <w:bookmarkStart w:id="150" w:name="2._The_parties_have_generally_historical"/>
      <w:bookmarkEnd w:id="150"/>
      <w:r>
        <w:rPr>
          <w:color w:val="042339"/>
        </w:rPr>
        <w:t>The</w:t>
      </w:r>
      <w:r>
        <w:rPr>
          <w:color w:val="042339"/>
          <w:spacing w:val="-5"/>
        </w:rPr>
        <w:t xml:space="preserve"> </w:t>
      </w:r>
      <w:r>
        <w:rPr>
          <w:color w:val="042339"/>
        </w:rPr>
        <w:t>parties</w:t>
      </w:r>
      <w:r>
        <w:rPr>
          <w:color w:val="042339"/>
          <w:spacing w:val="-6"/>
        </w:rPr>
        <w:t xml:space="preserve"> </w:t>
      </w:r>
      <w:r>
        <w:rPr>
          <w:color w:val="042339"/>
        </w:rPr>
        <w:t>have</w:t>
      </w:r>
      <w:r>
        <w:rPr>
          <w:color w:val="042339"/>
          <w:spacing w:val="-5"/>
        </w:rPr>
        <w:t xml:space="preserve"> </w:t>
      </w:r>
      <w:r>
        <w:rPr>
          <w:color w:val="042339"/>
        </w:rPr>
        <w:t>generally</w:t>
      </w:r>
      <w:r>
        <w:rPr>
          <w:color w:val="042339"/>
          <w:spacing w:val="-5"/>
        </w:rPr>
        <w:t xml:space="preserve"> </w:t>
      </w:r>
      <w:r>
        <w:rPr>
          <w:color w:val="042339"/>
        </w:rPr>
        <w:t>historically</w:t>
      </w:r>
      <w:r>
        <w:rPr>
          <w:color w:val="042339"/>
          <w:spacing w:val="-5"/>
        </w:rPr>
        <w:t xml:space="preserve"> </w:t>
      </w:r>
      <w:r>
        <w:rPr>
          <w:color w:val="042339"/>
        </w:rPr>
        <w:t>performed</w:t>
      </w:r>
      <w:r>
        <w:rPr>
          <w:color w:val="042339"/>
          <w:spacing w:val="-6"/>
        </w:rPr>
        <w:t xml:space="preserve"> </w:t>
      </w:r>
      <w:r>
        <w:rPr>
          <w:color w:val="042339"/>
        </w:rPr>
        <w:t>comparably</w:t>
      </w:r>
      <w:r>
        <w:rPr>
          <w:color w:val="042339"/>
          <w:spacing w:val="-5"/>
        </w:rPr>
        <w:t xml:space="preserve"> </w:t>
      </w:r>
      <w:r>
        <w:rPr>
          <w:color w:val="042339"/>
        </w:rPr>
        <w:t>to</w:t>
      </w:r>
      <w:r>
        <w:rPr>
          <w:color w:val="042339"/>
          <w:spacing w:val="-6"/>
        </w:rPr>
        <w:t xml:space="preserve"> </w:t>
      </w:r>
      <w:r>
        <w:rPr>
          <w:color w:val="042339"/>
        </w:rPr>
        <w:t>statewide average performance on available oncology quality metrics.</w:t>
      </w:r>
    </w:p>
    <w:p w14:paraId="1C34E96A" w14:textId="77777777" w:rsidR="004C558F" w:rsidRDefault="004C558F">
      <w:pPr>
        <w:pStyle w:val="BodyText"/>
        <w:spacing w:before="68"/>
        <w:rPr>
          <w:rFonts w:ascii="Franklin Gothic Medium"/>
          <w:sz w:val="26"/>
        </w:rPr>
      </w:pPr>
    </w:p>
    <w:p w14:paraId="1C34E96B" w14:textId="0C8986D9" w:rsidR="004C558F" w:rsidRDefault="00461887">
      <w:pPr>
        <w:pStyle w:val="BodyText"/>
        <w:spacing w:line="276" w:lineRule="auto"/>
        <w:ind w:left="959" w:right="943" w:firstLine="720"/>
      </w:pPr>
      <w:r>
        <w:t>Although few publicly available quality metrics specifically assess the quality of medical oncology care, the HPC reviewed those measures that were available publicly as well as information</w:t>
      </w:r>
      <w:r>
        <w:rPr>
          <w:spacing w:val="-3"/>
        </w:rPr>
        <w:t xml:space="preserve"> </w:t>
      </w:r>
      <w:r>
        <w:t>provided</w:t>
      </w:r>
      <w:r>
        <w:rPr>
          <w:spacing w:val="-2"/>
        </w:rPr>
        <w:t xml:space="preserve"> </w:t>
      </w:r>
      <w:r>
        <w:t>by</w:t>
      </w:r>
      <w:r>
        <w:rPr>
          <w:spacing w:val="-3"/>
        </w:rPr>
        <w:t xml:space="preserve"> </w:t>
      </w:r>
      <w:r>
        <w:t>the</w:t>
      </w:r>
      <w:r>
        <w:rPr>
          <w:spacing w:val="-3"/>
        </w:rPr>
        <w:t xml:space="preserve"> </w:t>
      </w:r>
      <w:r>
        <w:t>parties.</w:t>
      </w:r>
      <w:r>
        <w:rPr>
          <w:spacing w:val="-3"/>
        </w:rPr>
        <w:t xml:space="preserve"> </w:t>
      </w:r>
      <w:r>
        <w:t>Several</w:t>
      </w:r>
      <w:r>
        <w:rPr>
          <w:spacing w:val="-3"/>
        </w:rPr>
        <w:t xml:space="preserve"> </w:t>
      </w:r>
      <w:r>
        <w:t>oncology</w:t>
      </w:r>
      <w:r>
        <w:rPr>
          <w:spacing w:val="-3"/>
        </w:rPr>
        <w:t xml:space="preserve"> </w:t>
      </w:r>
      <w:r>
        <w:t>metrics</w:t>
      </w:r>
      <w:r>
        <w:rPr>
          <w:spacing w:val="-4"/>
        </w:rPr>
        <w:t xml:space="preserve"> </w:t>
      </w:r>
      <w:r>
        <w:t>developed</w:t>
      </w:r>
      <w:r>
        <w:rPr>
          <w:spacing w:val="-2"/>
        </w:rPr>
        <w:t xml:space="preserve"> </w:t>
      </w:r>
      <w:r>
        <w:t>by</w:t>
      </w:r>
      <w:r>
        <w:rPr>
          <w:spacing w:val="-3"/>
        </w:rPr>
        <w:t xml:space="preserve"> </w:t>
      </w:r>
      <w:r>
        <w:t>CMS</w:t>
      </w:r>
      <w:r>
        <w:rPr>
          <w:spacing w:val="-3"/>
        </w:rPr>
        <w:t xml:space="preserve"> </w:t>
      </w:r>
      <w:r>
        <w:t>are</w:t>
      </w:r>
      <w:r>
        <w:rPr>
          <w:spacing w:val="-3"/>
        </w:rPr>
        <w:t xml:space="preserve"> </w:t>
      </w:r>
      <w:r>
        <w:t>reported</w:t>
      </w:r>
      <w:r>
        <w:rPr>
          <w:spacing w:val="-4"/>
        </w:rPr>
        <w:t xml:space="preserve"> </w:t>
      </w:r>
      <w:r>
        <w:t xml:space="preserve">only for PPS-exempt cancer hospitals through the PPS-Exempt Cancer Hospital Quality Reporting (PCHQR) program, further challenging our ability to compare cancer care across hospitals. </w:t>
      </w:r>
      <w:r w:rsidR="007E117D">
        <w:rPr>
          <w:rStyle w:val="FootnoteReference"/>
        </w:rPr>
        <w:footnoteReference w:id="156"/>
      </w:r>
      <w:r>
        <w:t xml:space="preserve">To expand this data, </w:t>
      </w:r>
      <w:proofErr w:type="gramStart"/>
      <w:r>
        <w:t>the HPC</w:t>
      </w:r>
      <w:proofErr w:type="gramEnd"/>
      <w:r>
        <w:t xml:space="preserve"> used PCHQR measure specifications to calculate results on a few oncology specific quality metrics for comparator IPPS hospitals. The HPC also examined the few available measures related to surgical oncology quality.</w:t>
      </w:r>
    </w:p>
    <w:p w14:paraId="1C34E96C" w14:textId="77777777" w:rsidR="004C558F" w:rsidRDefault="00461887">
      <w:pPr>
        <w:pStyle w:val="ListParagraph"/>
        <w:numPr>
          <w:ilvl w:val="3"/>
          <w:numId w:val="16"/>
        </w:numPr>
        <w:tabs>
          <w:tab w:val="left" w:pos="958"/>
        </w:tabs>
        <w:spacing w:before="242"/>
        <w:ind w:left="958" w:hanging="358"/>
      </w:pPr>
      <w:bookmarkStart w:id="151" w:name="a._Inpatient_Medical_Oncology_Services"/>
      <w:bookmarkEnd w:id="151"/>
      <w:r>
        <w:rPr>
          <w:color w:val="063656"/>
        </w:rPr>
        <w:t>Inpatient</w:t>
      </w:r>
      <w:r>
        <w:rPr>
          <w:color w:val="063656"/>
          <w:spacing w:val="-7"/>
        </w:rPr>
        <w:t xml:space="preserve"> </w:t>
      </w:r>
      <w:r>
        <w:rPr>
          <w:color w:val="063656"/>
        </w:rPr>
        <w:t>Medical</w:t>
      </w:r>
      <w:r>
        <w:rPr>
          <w:color w:val="063656"/>
          <w:spacing w:val="-6"/>
        </w:rPr>
        <w:t xml:space="preserve"> </w:t>
      </w:r>
      <w:r>
        <w:rPr>
          <w:color w:val="063656"/>
        </w:rPr>
        <w:t>Oncology</w:t>
      </w:r>
      <w:r>
        <w:rPr>
          <w:color w:val="063656"/>
          <w:spacing w:val="-6"/>
        </w:rPr>
        <w:t xml:space="preserve"> </w:t>
      </w:r>
      <w:r>
        <w:rPr>
          <w:color w:val="063656"/>
          <w:spacing w:val="-2"/>
        </w:rPr>
        <w:t>Services</w:t>
      </w:r>
    </w:p>
    <w:p w14:paraId="1C34E96D" w14:textId="6E4AE224" w:rsidR="004C558F" w:rsidRDefault="00461887">
      <w:pPr>
        <w:pStyle w:val="BodyText"/>
        <w:spacing w:before="39" w:line="276" w:lineRule="auto"/>
        <w:ind w:left="959" w:right="891" w:firstLine="720"/>
        <w:rPr>
          <w:sz w:val="14"/>
        </w:rPr>
      </w:pPr>
      <w:r>
        <w:t>The</w:t>
      </w:r>
      <w:r>
        <w:rPr>
          <w:spacing w:val="-3"/>
        </w:rPr>
        <w:t xml:space="preserve"> </w:t>
      </w:r>
      <w:r>
        <w:t>HPC</w:t>
      </w:r>
      <w:r>
        <w:rPr>
          <w:spacing w:val="-4"/>
        </w:rPr>
        <w:t xml:space="preserve"> </w:t>
      </w:r>
      <w:r>
        <w:t>calculated</w:t>
      </w:r>
      <w:r>
        <w:rPr>
          <w:spacing w:val="-2"/>
        </w:rPr>
        <w:t xml:space="preserve"> </w:t>
      </w:r>
      <w:r>
        <w:t>two</w:t>
      </w:r>
      <w:r>
        <w:rPr>
          <w:spacing w:val="-5"/>
        </w:rPr>
        <w:t xml:space="preserve"> </w:t>
      </w:r>
      <w:r>
        <w:t>metrics</w:t>
      </w:r>
      <w:r>
        <w:rPr>
          <w:spacing w:val="-3"/>
        </w:rPr>
        <w:t xml:space="preserve"> </w:t>
      </w:r>
      <w:r>
        <w:t>of</w:t>
      </w:r>
      <w:r>
        <w:rPr>
          <w:spacing w:val="-2"/>
        </w:rPr>
        <w:t xml:space="preserve"> </w:t>
      </w:r>
      <w:r>
        <w:t>inpatient</w:t>
      </w:r>
      <w:r>
        <w:rPr>
          <w:spacing w:val="-4"/>
        </w:rPr>
        <w:t xml:space="preserve"> </w:t>
      </w:r>
      <w:r>
        <w:t>medical</w:t>
      </w:r>
      <w:r>
        <w:rPr>
          <w:spacing w:val="-5"/>
        </w:rPr>
        <w:t xml:space="preserve"> </w:t>
      </w:r>
      <w:r>
        <w:t>oncology</w:t>
      </w:r>
      <w:r>
        <w:rPr>
          <w:spacing w:val="-4"/>
        </w:rPr>
        <w:t xml:space="preserve"> </w:t>
      </w:r>
      <w:r>
        <w:t>care</w:t>
      </w:r>
      <w:r>
        <w:rPr>
          <w:spacing w:val="-3"/>
        </w:rPr>
        <w:t xml:space="preserve"> </w:t>
      </w:r>
      <w:r>
        <w:t>developed</w:t>
      </w:r>
      <w:r>
        <w:rPr>
          <w:spacing w:val="-5"/>
        </w:rPr>
        <w:t xml:space="preserve"> </w:t>
      </w:r>
      <w:r>
        <w:t>by</w:t>
      </w:r>
      <w:r>
        <w:rPr>
          <w:spacing w:val="-4"/>
        </w:rPr>
        <w:t xml:space="preserve"> </w:t>
      </w:r>
      <w:r>
        <w:t>CMS;</w:t>
      </w:r>
      <w:r>
        <w:rPr>
          <w:spacing w:val="-3"/>
        </w:rPr>
        <w:t xml:space="preserve"> </w:t>
      </w:r>
      <w:r>
        <w:t>per CMS measure specifications, neither metric includes an adjustment for patient acuity. On a measure of 30-day unplanned readmissions for cancer patients, BIDMC and DFCI performed statistically worse than statewide levels; given DFCI</w:t>
      </w:r>
      <w:r>
        <w:rPr>
          <w:spacing w:val="-2"/>
        </w:rPr>
        <w:t xml:space="preserve"> </w:t>
      </w:r>
      <w:r>
        <w:t>physicians’ role in</w:t>
      </w:r>
      <w:r>
        <w:rPr>
          <w:spacing w:val="-1"/>
        </w:rPr>
        <w:t xml:space="preserve"> </w:t>
      </w:r>
      <w:r>
        <w:t>managing oncology patient care at BWH, it is unclear whether BWH’s statistically better performance relative to the state average reflects meaningful differences between BWH and DFCI on post-discharge care management or if this difference is the result of chance or differences in patient population.</w:t>
      </w:r>
      <w:r>
        <w:rPr>
          <w:spacing w:val="-33"/>
        </w:rPr>
        <w:t xml:space="preserve"> </w:t>
      </w:r>
      <w:r w:rsidR="00322EEF">
        <w:rPr>
          <w:rStyle w:val="FootnoteReference"/>
          <w:spacing w:val="-33"/>
        </w:rPr>
        <w:footnoteReference w:id="157"/>
      </w:r>
    </w:p>
    <w:p w14:paraId="1C34E974" w14:textId="77777777" w:rsidR="004C558F" w:rsidRDefault="004C558F">
      <w:pPr>
        <w:rPr>
          <w:sz w:val="20"/>
        </w:rPr>
        <w:sectPr w:rsidR="004C558F">
          <w:pgSz w:w="12240" w:h="15840"/>
          <w:pgMar w:top="1360" w:right="740" w:bottom="720" w:left="480" w:header="0" w:footer="521" w:gutter="0"/>
          <w:cols w:space="720"/>
        </w:sectPr>
      </w:pPr>
      <w:bookmarkStart w:id="153" w:name="_bookmark180"/>
      <w:bookmarkStart w:id="154" w:name="_bookmark183"/>
      <w:bookmarkEnd w:id="153"/>
      <w:bookmarkEnd w:id="154"/>
    </w:p>
    <w:p w14:paraId="1C34E975" w14:textId="1575592C" w:rsidR="004C558F" w:rsidRDefault="00461887">
      <w:pPr>
        <w:pStyle w:val="BodyText"/>
        <w:spacing w:before="80" w:line="276" w:lineRule="auto"/>
        <w:ind w:left="959" w:right="943"/>
        <w:rPr>
          <w:sz w:val="14"/>
        </w:rPr>
      </w:pPr>
      <w:r>
        <w:lastRenderedPageBreak/>
        <w:t>On a measure of the need for emergency department visits not resulting in an inpatient stay for cancer patients discharged to home health, DFCI performed statistically worse than the state average, while BIDMC and BWH performed in-line with the state average. DFCI’s performance below the state average on these measures may be due in part to the inclusion of both medical and surgical oncology patients in the statewide average denominators for these measures, as research</w:t>
      </w:r>
      <w:r>
        <w:rPr>
          <w:spacing w:val="-3"/>
        </w:rPr>
        <w:t xml:space="preserve"> </w:t>
      </w:r>
      <w:r>
        <w:t>literature</w:t>
      </w:r>
      <w:r>
        <w:rPr>
          <w:spacing w:val="-5"/>
        </w:rPr>
        <w:t xml:space="preserve"> </w:t>
      </w:r>
      <w:r>
        <w:t>indicates</w:t>
      </w:r>
      <w:r>
        <w:rPr>
          <w:spacing w:val="-3"/>
        </w:rPr>
        <w:t xml:space="preserve"> </w:t>
      </w:r>
      <w:r>
        <w:t>that</w:t>
      </w:r>
      <w:r>
        <w:rPr>
          <w:spacing w:val="-4"/>
        </w:rPr>
        <w:t xml:space="preserve"> </w:t>
      </w:r>
      <w:r>
        <w:t>medical</w:t>
      </w:r>
      <w:r>
        <w:rPr>
          <w:spacing w:val="-4"/>
        </w:rPr>
        <w:t xml:space="preserve"> </w:t>
      </w:r>
      <w:r>
        <w:t>oncology</w:t>
      </w:r>
      <w:r>
        <w:rPr>
          <w:spacing w:val="-6"/>
        </w:rPr>
        <w:t xml:space="preserve"> </w:t>
      </w:r>
      <w:r>
        <w:t>patients</w:t>
      </w:r>
      <w:r>
        <w:rPr>
          <w:spacing w:val="-3"/>
        </w:rPr>
        <w:t xml:space="preserve"> </w:t>
      </w:r>
      <w:r>
        <w:t>tend</w:t>
      </w:r>
      <w:r>
        <w:rPr>
          <w:spacing w:val="-2"/>
        </w:rPr>
        <w:t xml:space="preserve"> </w:t>
      </w:r>
      <w:r>
        <w:t>to</w:t>
      </w:r>
      <w:r>
        <w:rPr>
          <w:spacing w:val="-3"/>
        </w:rPr>
        <w:t xml:space="preserve"> </w:t>
      </w:r>
      <w:r>
        <w:t>have</w:t>
      </w:r>
      <w:r>
        <w:rPr>
          <w:spacing w:val="-3"/>
        </w:rPr>
        <w:t xml:space="preserve"> </w:t>
      </w:r>
      <w:r>
        <w:t>higher</w:t>
      </w:r>
      <w:r>
        <w:rPr>
          <w:spacing w:val="-4"/>
        </w:rPr>
        <w:t xml:space="preserve"> </w:t>
      </w:r>
      <w:r>
        <w:t>readmission</w:t>
      </w:r>
      <w:r>
        <w:rPr>
          <w:spacing w:val="-5"/>
        </w:rPr>
        <w:t xml:space="preserve"> </w:t>
      </w:r>
      <w:r>
        <w:t>and ED revisit rates relative to surgical oncology patients.</w:t>
      </w:r>
      <w:r>
        <w:rPr>
          <w:spacing w:val="-30"/>
        </w:rPr>
        <w:t xml:space="preserve"> </w:t>
      </w:r>
      <w:r w:rsidR="00DB049D">
        <w:rPr>
          <w:rStyle w:val="FootnoteReference"/>
          <w:spacing w:val="-30"/>
        </w:rPr>
        <w:footnoteReference w:id="158"/>
      </w:r>
      <w:r w:rsidR="00DB049D">
        <w:rPr>
          <w:spacing w:val="-30"/>
        </w:rPr>
        <w:t xml:space="preserve">, </w:t>
      </w:r>
      <w:r w:rsidR="00DB049D">
        <w:rPr>
          <w:rStyle w:val="FootnoteReference"/>
          <w:spacing w:val="-30"/>
        </w:rPr>
        <w:footnoteReference w:id="159"/>
      </w:r>
    </w:p>
    <w:p w14:paraId="1C34E976" w14:textId="77777777" w:rsidR="004C558F" w:rsidRDefault="004C558F">
      <w:pPr>
        <w:pStyle w:val="BodyText"/>
        <w:spacing w:before="36"/>
      </w:pPr>
    </w:p>
    <w:p w14:paraId="1C34E977" w14:textId="65DDFD05" w:rsidR="004C558F" w:rsidRDefault="00461887">
      <w:pPr>
        <w:pStyle w:val="BodyText"/>
        <w:spacing w:before="1" w:line="276" w:lineRule="auto"/>
        <w:ind w:left="959" w:right="943" w:firstLine="720"/>
      </w:pPr>
      <w:r>
        <w:t>The</w:t>
      </w:r>
      <w:r>
        <w:rPr>
          <w:spacing w:val="-2"/>
        </w:rPr>
        <w:t xml:space="preserve"> </w:t>
      </w:r>
      <w:r>
        <w:t>HPC</w:t>
      </w:r>
      <w:r>
        <w:rPr>
          <w:spacing w:val="-5"/>
        </w:rPr>
        <w:t xml:space="preserve"> </w:t>
      </w:r>
      <w:r>
        <w:t>also</w:t>
      </w:r>
      <w:r>
        <w:rPr>
          <w:spacing w:val="-4"/>
        </w:rPr>
        <w:t xml:space="preserve"> </w:t>
      </w:r>
      <w:r>
        <w:t>examined</w:t>
      </w:r>
      <w:r>
        <w:rPr>
          <w:spacing w:val="-4"/>
        </w:rPr>
        <w:t xml:space="preserve"> </w:t>
      </w:r>
      <w:r>
        <w:t>one-year</w:t>
      </w:r>
      <w:r>
        <w:rPr>
          <w:spacing w:val="-5"/>
        </w:rPr>
        <w:t xml:space="preserve"> </w:t>
      </w:r>
      <w:r>
        <w:t>survival</w:t>
      </w:r>
      <w:r>
        <w:rPr>
          <w:spacing w:val="-3"/>
        </w:rPr>
        <w:t xml:space="preserve"> </w:t>
      </w:r>
      <w:r>
        <w:t>rates</w:t>
      </w:r>
      <w:r>
        <w:rPr>
          <w:spacing w:val="-2"/>
        </w:rPr>
        <w:t xml:space="preserve"> </w:t>
      </w:r>
      <w:r>
        <w:t>for</w:t>
      </w:r>
      <w:r>
        <w:rPr>
          <w:spacing w:val="-3"/>
        </w:rPr>
        <w:t xml:space="preserve"> </w:t>
      </w:r>
      <w:r>
        <w:t>oncology</w:t>
      </w:r>
      <w:r>
        <w:rPr>
          <w:spacing w:val="-3"/>
        </w:rPr>
        <w:t xml:space="preserve"> </w:t>
      </w:r>
      <w:r>
        <w:t>patients</w:t>
      </w:r>
      <w:r>
        <w:rPr>
          <w:spacing w:val="-4"/>
        </w:rPr>
        <w:t xml:space="preserve"> </w:t>
      </w:r>
      <w:r>
        <w:t>with</w:t>
      </w:r>
      <w:r>
        <w:rPr>
          <w:spacing w:val="-4"/>
        </w:rPr>
        <w:t xml:space="preserve"> </w:t>
      </w:r>
      <w:r>
        <w:t>allogeneic</w:t>
      </w:r>
      <w:r>
        <w:rPr>
          <w:spacing w:val="-4"/>
        </w:rPr>
        <w:t xml:space="preserve"> </w:t>
      </w:r>
      <w:r>
        <w:t>stem cell transplants.</w:t>
      </w:r>
      <w:r>
        <w:rPr>
          <w:spacing w:val="-35"/>
        </w:rPr>
        <w:t xml:space="preserve"> </w:t>
      </w:r>
      <w:r w:rsidR="00DB049D">
        <w:rPr>
          <w:rStyle w:val="FootnoteReference"/>
          <w:spacing w:val="-35"/>
        </w:rPr>
        <w:footnoteReference w:id="160"/>
      </w:r>
      <w:r>
        <w:t>On this metric, DFCI, in partnership with BWH and Boston Children’s Hospital for adult and pediatric transplants, respectively, outperformed survival rate expectations for its patient panel. BIDMC and other Massachusetts hospitals providing these transplants performed similarly to expected survival rates for their patient panels.</w:t>
      </w:r>
    </w:p>
    <w:p w14:paraId="1C34E978" w14:textId="77777777" w:rsidR="004C558F" w:rsidRDefault="004C558F">
      <w:pPr>
        <w:pStyle w:val="BodyText"/>
        <w:spacing w:before="116"/>
      </w:pPr>
    </w:p>
    <w:p w14:paraId="1C34E979" w14:textId="77777777" w:rsidR="004C558F" w:rsidRDefault="00461887">
      <w:pPr>
        <w:pStyle w:val="ListParagraph"/>
        <w:numPr>
          <w:ilvl w:val="3"/>
          <w:numId w:val="16"/>
        </w:numPr>
        <w:tabs>
          <w:tab w:val="left" w:pos="959"/>
        </w:tabs>
        <w:ind w:left="959" w:hanging="359"/>
      </w:pPr>
      <w:bookmarkStart w:id="155" w:name="b._Outpatient_Medical_Oncology_Services"/>
      <w:bookmarkEnd w:id="155"/>
      <w:r>
        <w:rPr>
          <w:color w:val="063656"/>
        </w:rPr>
        <w:t>Outpatient</w:t>
      </w:r>
      <w:r>
        <w:rPr>
          <w:color w:val="063656"/>
          <w:spacing w:val="-9"/>
        </w:rPr>
        <w:t xml:space="preserve"> </w:t>
      </w:r>
      <w:r>
        <w:rPr>
          <w:color w:val="063656"/>
        </w:rPr>
        <w:t>Medical</w:t>
      </w:r>
      <w:r>
        <w:rPr>
          <w:color w:val="063656"/>
          <w:spacing w:val="-7"/>
        </w:rPr>
        <w:t xml:space="preserve"> </w:t>
      </w:r>
      <w:r>
        <w:rPr>
          <w:color w:val="063656"/>
        </w:rPr>
        <w:t>Oncology</w:t>
      </w:r>
      <w:r>
        <w:rPr>
          <w:color w:val="063656"/>
          <w:spacing w:val="-7"/>
        </w:rPr>
        <w:t xml:space="preserve"> </w:t>
      </w:r>
      <w:r>
        <w:rPr>
          <w:color w:val="063656"/>
          <w:spacing w:val="-2"/>
        </w:rPr>
        <w:t>Services</w:t>
      </w:r>
    </w:p>
    <w:p w14:paraId="1C34E97A" w14:textId="62AECD65" w:rsidR="004C558F" w:rsidRDefault="00461887">
      <w:pPr>
        <w:pStyle w:val="BodyText"/>
        <w:spacing w:before="41" w:line="276" w:lineRule="auto"/>
        <w:ind w:left="960" w:right="891" w:firstLine="720"/>
      </w:pPr>
      <w:r>
        <w:t>The</w:t>
      </w:r>
      <w:r>
        <w:rPr>
          <w:spacing w:val="-3"/>
        </w:rPr>
        <w:t xml:space="preserve"> </w:t>
      </w:r>
      <w:r>
        <w:t>HPC</w:t>
      </w:r>
      <w:r>
        <w:rPr>
          <w:spacing w:val="-4"/>
        </w:rPr>
        <w:t xml:space="preserve"> </w:t>
      </w:r>
      <w:r>
        <w:t>identified</w:t>
      </w:r>
      <w:r>
        <w:rPr>
          <w:spacing w:val="-2"/>
        </w:rPr>
        <w:t xml:space="preserve"> </w:t>
      </w:r>
      <w:r>
        <w:t>two</w:t>
      </w:r>
      <w:r>
        <w:rPr>
          <w:spacing w:val="-3"/>
        </w:rPr>
        <w:t xml:space="preserve"> </w:t>
      </w:r>
      <w:r>
        <w:t>outpatient</w:t>
      </w:r>
      <w:r>
        <w:rPr>
          <w:spacing w:val="-4"/>
        </w:rPr>
        <w:t xml:space="preserve"> </w:t>
      </w:r>
      <w:r>
        <w:t>metrics</w:t>
      </w:r>
      <w:r>
        <w:rPr>
          <w:spacing w:val="-3"/>
        </w:rPr>
        <w:t xml:space="preserve"> </w:t>
      </w:r>
      <w:r>
        <w:t>specific</w:t>
      </w:r>
      <w:r>
        <w:rPr>
          <w:spacing w:val="-3"/>
        </w:rPr>
        <w:t xml:space="preserve"> </w:t>
      </w:r>
      <w:r>
        <w:t>to</w:t>
      </w:r>
      <w:r>
        <w:rPr>
          <w:spacing w:val="-5"/>
        </w:rPr>
        <w:t xml:space="preserve"> </w:t>
      </w:r>
      <w:r>
        <w:t>medical</w:t>
      </w:r>
      <w:r>
        <w:rPr>
          <w:spacing w:val="-4"/>
        </w:rPr>
        <w:t xml:space="preserve"> </w:t>
      </w:r>
      <w:r>
        <w:t>oncology</w:t>
      </w:r>
      <w:r>
        <w:rPr>
          <w:spacing w:val="-4"/>
        </w:rPr>
        <w:t xml:space="preserve"> </w:t>
      </w:r>
      <w:r>
        <w:t>in</w:t>
      </w:r>
      <w:r>
        <w:rPr>
          <w:spacing w:val="-3"/>
        </w:rPr>
        <w:t xml:space="preserve"> </w:t>
      </w:r>
      <w:r>
        <w:t>publicly</w:t>
      </w:r>
      <w:r>
        <w:rPr>
          <w:spacing w:val="-4"/>
        </w:rPr>
        <w:t xml:space="preserve"> </w:t>
      </w:r>
      <w:r>
        <w:t>reported CMS data: Rate of Admissions Visits for Patients Receiving Outpatient Chemotherapy</w:t>
      </w:r>
      <w:r>
        <w:rPr>
          <w:spacing w:val="-1"/>
        </w:rPr>
        <w:t xml:space="preserve"> </w:t>
      </w:r>
      <w:r>
        <w:t>and Rate of ED Visits for Patients Receiving Outpatient Chemotherapy</w:t>
      </w:r>
      <w:bookmarkStart w:id="156" w:name="_bookmark184"/>
      <w:bookmarkEnd w:id="156"/>
      <w:r>
        <w:t>.</w:t>
      </w:r>
      <w:r>
        <w:rPr>
          <w:spacing w:val="-32"/>
        </w:rPr>
        <w:t xml:space="preserve"> </w:t>
      </w:r>
      <w:r w:rsidR="00CF73F6">
        <w:rPr>
          <w:rStyle w:val="FootnoteReference"/>
          <w:spacing w:val="-32"/>
        </w:rPr>
        <w:footnoteReference w:id="161"/>
      </w:r>
      <w:r>
        <w:t>BIDMC, DFCI, and BWH performed comparably to the statewide average on each of the two metrics.</w:t>
      </w:r>
    </w:p>
    <w:p w14:paraId="1C34E97B" w14:textId="77777777" w:rsidR="004C558F" w:rsidRDefault="004C558F">
      <w:pPr>
        <w:pStyle w:val="BodyText"/>
        <w:rPr>
          <w:sz w:val="20"/>
        </w:rPr>
      </w:pPr>
    </w:p>
    <w:p w14:paraId="1C34E97C" w14:textId="77777777" w:rsidR="004C558F" w:rsidRDefault="004C558F">
      <w:pPr>
        <w:pStyle w:val="BodyText"/>
        <w:rPr>
          <w:sz w:val="20"/>
        </w:rPr>
      </w:pPr>
    </w:p>
    <w:p w14:paraId="1C34E97D" w14:textId="145EEBEA" w:rsidR="004C558F" w:rsidRDefault="004C558F">
      <w:pPr>
        <w:pStyle w:val="BodyText"/>
        <w:spacing w:before="42"/>
        <w:rPr>
          <w:sz w:val="20"/>
        </w:rPr>
      </w:pPr>
    </w:p>
    <w:p w14:paraId="1C34E983" w14:textId="77777777" w:rsidR="004C558F" w:rsidRDefault="004C558F">
      <w:pPr>
        <w:rPr>
          <w:sz w:val="20"/>
        </w:rPr>
        <w:sectPr w:rsidR="004C558F">
          <w:pgSz w:w="12240" w:h="15840"/>
          <w:pgMar w:top="1360" w:right="740" w:bottom="720" w:left="480" w:header="0" w:footer="521" w:gutter="0"/>
          <w:cols w:space="720"/>
        </w:sectPr>
      </w:pPr>
      <w:bookmarkStart w:id="157" w:name="_bookmark188"/>
      <w:bookmarkEnd w:id="157"/>
    </w:p>
    <w:p w14:paraId="1C34E984" w14:textId="77777777" w:rsidR="004C558F" w:rsidRDefault="00461887">
      <w:pPr>
        <w:pStyle w:val="ListParagraph"/>
        <w:numPr>
          <w:ilvl w:val="3"/>
          <w:numId w:val="16"/>
        </w:numPr>
        <w:tabs>
          <w:tab w:val="left" w:pos="959"/>
        </w:tabs>
        <w:spacing w:before="80"/>
        <w:ind w:left="959" w:hanging="359"/>
      </w:pPr>
      <w:bookmarkStart w:id="158" w:name="c._Radiation_Oncology_Services"/>
      <w:bookmarkEnd w:id="158"/>
      <w:r>
        <w:rPr>
          <w:color w:val="063656"/>
        </w:rPr>
        <w:lastRenderedPageBreak/>
        <w:t>Radiation</w:t>
      </w:r>
      <w:r>
        <w:rPr>
          <w:color w:val="063656"/>
          <w:spacing w:val="-8"/>
        </w:rPr>
        <w:t xml:space="preserve"> </w:t>
      </w:r>
      <w:r>
        <w:rPr>
          <w:color w:val="063656"/>
        </w:rPr>
        <w:t>Oncology</w:t>
      </w:r>
      <w:r>
        <w:rPr>
          <w:color w:val="063656"/>
          <w:spacing w:val="-5"/>
        </w:rPr>
        <w:t xml:space="preserve"> </w:t>
      </w:r>
      <w:r>
        <w:rPr>
          <w:color w:val="063656"/>
          <w:spacing w:val="-2"/>
        </w:rPr>
        <w:t>Services</w:t>
      </w:r>
    </w:p>
    <w:p w14:paraId="1C34E985" w14:textId="67293A0B" w:rsidR="004C558F" w:rsidRDefault="00461887">
      <w:pPr>
        <w:pStyle w:val="BodyText"/>
        <w:spacing w:before="41" w:line="276" w:lineRule="auto"/>
        <w:ind w:left="959" w:right="702" w:firstLine="720"/>
        <w:rPr>
          <w:sz w:val="14"/>
        </w:rPr>
      </w:pPr>
      <w:r>
        <w:t>The HPC was not able to identify any publicly reported quality metrics directly related to radiation</w:t>
      </w:r>
      <w:r>
        <w:rPr>
          <w:spacing w:val="-2"/>
        </w:rPr>
        <w:t xml:space="preserve"> </w:t>
      </w:r>
      <w:r>
        <w:t>oncology</w:t>
      </w:r>
      <w:r>
        <w:rPr>
          <w:spacing w:val="-3"/>
        </w:rPr>
        <w:t xml:space="preserve"> </w:t>
      </w:r>
      <w:r>
        <w:t>care,</w:t>
      </w:r>
      <w:r>
        <w:rPr>
          <w:spacing w:val="-2"/>
        </w:rPr>
        <w:t xml:space="preserve"> </w:t>
      </w:r>
      <w:r>
        <w:t>and</w:t>
      </w:r>
      <w:r>
        <w:rPr>
          <w:spacing w:val="-1"/>
        </w:rPr>
        <w:t xml:space="preserve"> </w:t>
      </w:r>
      <w:r>
        <w:t>the</w:t>
      </w:r>
      <w:r>
        <w:rPr>
          <w:spacing w:val="-2"/>
        </w:rPr>
        <w:t xml:space="preserve"> </w:t>
      </w:r>
      <w:r>
        <w:t>relevance</w:t>
      </w:r>
      <w:r>
        <w:rPr>
          <w:spacing w:val="-4"/>
        </w:rPr>
        <w:t xml:space="preserve"> </w:t>
      </w:r>
      <w:r>
        <w:t>of</w:t>
      </w:r>
      <w:r>
        <w:rPr>
          <w:spacing w:val="-1"/>
        </w:rPr>
        <w:t xml:space="preserve"> </w:t>
      </w:r>
      <w:r>
        <w:t>current</w:t>
      </w:r>
      <w:r>
        <w:rPr>
          <w:spacing w:val="-3"/>
        </w:rPr>
        <w:t xml:space="preserve"> </w:t>
      </w:r>
      <w:r>
        <w:t>measures</w:t>
      </w:r>
      <w:r>
        <w:rPr>
          <w:spacing w:val="-4"/>
        </w:rPr>
        <w:t xml:space="preserve"> </w:t>
      </w:r>
      <w:r>
        <w:t>would</w:t>
      </w:r>
      <w:r>
        <w:rPr>
          <w:spacing w:val="-1"/>
        </w:rPr>
        <w:t xml:space="preserve"> </w:t>
      </w:r>
      <w:r>
        <w:t>be</w:t>
      </w:r>
      <w:r>
        <w:rPr>
          <w:spacing w:val="-2"/>
        </w:rPr>
        <w:t xml:space="preserve"> </w:t>
      </w:r>
      <w:r>
        <w:t>limited</w:t>
      </w:r>
      <w:r>
        <w:rPr>
          <w:spacing w:val="-1"/>
        </w:rPr>
        <w:t xml:space="preserve"> </w:t>
      </w:r>
      <w:r>
        <w:t>given</w:t>
      </w:r>
      <w:r>
        <w:rPr>
          <w:spacing w:val="-2"/>
        </w:rPr>
        <w:t xml:space="preserve"> </w:t>
      </w:r>
      <w:r>
        <w:t>the</w:t>
      </w:r>
      <w:r>
        <w:rPr>
          <w:spacing w:val="-2"/>
        </w:rPr>
        <w:t xml:space="preserve"> </w:t>
      </w:r>
      <w:r>
        <w:t>current stage</w:t>
      </w:r>
      <w:r>
        <w:rPr>
          <w:spacing w:val="-2"/>
        </w:rPr>
        <w:t xml:space="preserve"> </w:t>
      </w:r>
      <w:r>
        <w:t>of the parties’ planning</w:t>
      </w:r>
      <w:r>
        <w:rPr>
          <w:spacing w:val="-1"/>
        </w:rPr>
        <w:t xml:space="preserve"> </w:t>
      </w:r>
      <w:r>
        <w:t>for</w:t>
      </w:r>
      <w:r>
        <w:rPr>
          <w:spacing w:val="-1"/>
        </w:rPr>
        <w:t xml:space="preserve"> </w:t>
      </w:r>
      <w:r>
        <w:t>their</w:t>
      </w:r>
      <w:r>
        <w:rPr>
          <w:spacing w:val="-1"/>
        </w:rPr>
        <w:t xml:space="preserve"> </w:t>
      </w:r>
      <w:r>
        <w:t>proposed</w:t>
      </w:r>
      <w:r>
        <w:rPr>
          <w:spacing w:val="-2"/>
        </w:rPr>
        <w:t xml:space="preserve"> </w:t>
      </w:r>
      <w:r>
        <w:t>radiation oncology</w:t>
      </w:r>
      <w:r>
        <w:rPr>
          <w:spacing w:val="-1"/>
        </w:rPr>
        <w:t xml:space="preserve"> </w:t>
      </w:r>
      <w:r>
        <w:t>joint</w:t>
      </w:r>
      <w:r>
        <w:rPr>
          <w:spacing w:val="-1"/>
        </w:rPr>
        <w:t xml:space="preserve"> </w:t>
      </w:r>
      <w:r>
        <w:t>venture. However, CMS</w:t>
      </w:r>
      <w:r>
        <w:rPr>
          <w:spacing w:val="-1"/>
        </w:rPr>
        <w:t xml:space="preserve"> </w:t>
      </w:r>
      <w:r>
        <w:t>is considering implementation of a Radiation Oncology innovation model. The compulsory model, indefinitely deferred in 2022, would require radiation oncology providers to report a variety of radiation oncology specific quality metrics to CMS, and such measures could provide the Commonwealth</w:t>
      </w:r>
      <w:r>
        <w:rPr>
          <w:spacing w:val="-1"/>
        </w:rPr>
        <w:t xml:space="preserve"> </w:t>
      </w:r>
      <w:r>
        <w:t>with</w:t>
      </w:r>
      <w:r>
        <w:rPr>
          <w:spacing w:val="-3"/>
        </w:rPr>
        <w:t xml:space="preserve"> </w:t>
      </w:r>
      <w:r>
        <w:t>opportunities</w:t>
      </w:r>
      <w:r>
        <w:rPr>
          <w:spacing w:val="-1"/>
        </w:rPr>
        <w:t xml:space="preserve"> </w:t>
      </w:r>
      <w:r>
        <w:t>for</w:t>
      </w:r>
      <w:r>
        <w:rPr>
          <w:spacing w:val="-2"/>
        </w:rPr>
        <w:t xml:space="preserve"> </w:t>
      </w:r>
      <w:r>
        <w:t>future</w:t>
      </w:r>
      <w:r>
        <w:rPr>
          <w:spacing w:val="-1"/>
        </w:rPr>
        <w:t xml:space="preserve"> </w:t>
      </w:r>
      <w:r>
        <w:t>evaluation</w:t>
      </w:r>
      <w:r>
        <w:rPr>
          <w:spacing w:val="-1"/>
        </w:rPr>
        <w:t xml:space="preserve"> </w:t>
      </w:r>
      <w:r>
        <w:t>of radiation</w:t>
      </w:r>
      <w:r>
        <w:rPr>
          <w:spacing w:val="-1"/>
        </w:rPr>
        <w:t xml:space="preserve"> </w:t>
      </w:r>
      <w:r>
        <w:t>oncology</w:t>
      </w:r>
      <w:r>
        <w:rPr>
          <w:spacing w:val="-2"/>
        </w:rPr>
        <w:t xml:space="preserve"> </w:t>
      </w:r>
      <w:r>
        <w:t>quality</w:t>
      </w:r>
      <w:r>
        <w:rPr>
          <w:spacing w:val="-2"/>
        </w:rPr>
        <w:t xml:space="preserve"> </w:t>
      </w:r>
      <w:r>
        <w:t>if</w:t>
      </w:r>
      <w:r>
        <w:rPr>
          <w:spacing w:val="-3"/>
        </w:rPr>
        <w:t xml:space="preserve"> </w:t>
      </w:r>
      <w:r>
        <w:t>adopted.</w:t>
      </w:r>
      <w:r w:rsidR="00173BAD">
        <w:rPr>
          <w:rStyle w:val="FootnoteReference"/>
        </w:rPr>
        <w:footnoteReference w:id="162"/>
      </w:r>
      <w:r w:rsidR="00173BAD">
        <w:rPr>
          <w:sz w:val="14"/>
        </w:rPr>
        <w:t xml:space="preserve"> </w:t>
      </w:r>
    </w:p>
    <w:p w14:paraId="1C34E986" w14:textId="77777777" w:rsidR="004C558F" w:rsidRDefault="004C558F">
      <w:pPr>
        <w:pStyle w:val="BodyText"/>
        <w:spacing w:before="116"/>
      </w:pPr>
    </w:p>
    <w:p w14:paraId="1C34E987" w14:textId="77777777" w:rsidR="004C558F" w:rsidRDefault="00461887">
      <w:pPr>
        <w:pStyle w:val="ListParagraph"/>
        <w:numPr>
          <w:ilvl w:val="3"/>
          <w:numId w:val="16"/>
        </w:numPr>
        <w:tabs>
          <w:tab w:val="left" w:pos="959"/>
        </w:tabs>
        <w:ind w:left="959" w:hanging="359"/>
      </w:pPr>
      <w:bookmarkStart w:id="159" w:name="d._Surgical_Oncology_Services"/>
      <w:bookmarkEnd w:id="159"/>
      <w:r>
        <w:rPr>
          <w:color w:val="063656"/>
        </w:rPr>
        <w:t>Surgical</w:t>
      </w:r>
      <w:r>
        <w:rPr>
          <w:color w:val="063656"/>
          <w:spacing w:val="-5"/>
        </w:rPr>
        <w:t xml:space="preserve"> </w:t>
      </w:r>
      <w:r>
        <w:rPr>
          <w:color w:val="063656"/>
        </w:rPr>
        <w:t>Oncology</w:t>
      </w:r>
      <w:r>
        <w:rPr>
          <w:color w:val="063656"/>
          <w:spacing w:val="-4"/>
        </w:rPr>
        <w:t xml:space="preserve"> </w:t>
      </w:r>
      <w:r>
        <w:rPr>
          <w:color w:val="063656"/>
          <w:spacing w:val="-2"/>
        </w:rPr>
        <w:t>Services</w:t>
      </w:r>
    </w:p>
    <w:p w14:paraId="1C34E988" w14:textId="3E91D2FC" w:rsidR="004C558F" w:rsidRDefault="00461887">
      <w:pPr>
        <w:pStyle w:val="BodyText"/>
        <w:spacing w:before="41" w:line="276" w:lineRule="auto"/>
        <w:ind w:left="959" w:right="943" w:firstLine="720"/>
      </w:pPr>
      <w:r>
        <w:t>Few publicly available quality metrics specifically assess the quality of surgical oncology care. The HPC examined four measures of surgical oncology procedure volume by the Leapfrog Group in which a hospital meeting certain volume standards is associated with higher quality outcomes.</w:t>
      </w:r>
      <w:r w:rsidR="00173BAD">
        <w:rPr>
          <w:rStyle w:val="FootnoteReference"/>
        </w:rPr>
        <w:footnoteReference w:id="163"/>
      </w:r>
      <w:r>
        <w:rPr>
          <w:spacing w:val="27"/>
          <w:position w:val="5"/>
          <w:sz w:val="14"/>
        </w:rPr>
        <w:t xml:space="preserve"> </w:t>
      </w:r>
      <w:r>
        <w:t>On the subset of Leapfrog Group metrics that relate to surgical oncology procedure volume, BIDMC met thresholds on 3 of 4 metrics and BWH met thresholds on 4 of 4 metrics.</w:t>
      </w:r>
      <w:r>
        <w:rPr>
          <w:spacing w:val="-34"/>
        </w:rPr>
        <w:t xml:space="preserve"> </w:t>
      </w:r>
      <w:r w:rsidR="00173BAD">
        <w:rPr>
          <w:rStyle w:val="FootnoteReference"/>
          <w:spacing w:val="-34"/>
        </w:rPr>
        <w:footnoteReference w:id="164"/>
      </w:r>
      <w:r>
        <w:t>The HPC also calculated two AHRQ mortality measures relevant to the evaluation of surgical oncology</w:t>
      </w:r>
      <w:r>
        <w:rPr>
          <w:spacing w:val="-4"/>
        </w:rPr>
        <w:t xml:space="preserve"> </w:t>
      </w:r>
      <w:r>
        <w:t>care</w:t>
      </w:r>
      <w:r>
        <w:rPr>
          <w:spacing w:val="-3"/>
        </w:rPr>
        <w:t xml:space="preserve"> </w:t>
      </w:r>
      <w:r>
        <w:t>outcomes:</w:t>
      </w:r>
      <w:r>
        <w:rPr>
          <w:spacing w:val="-6"/>
        </w:rPr>
        <w:t xml:space="preserve"> </w:t>
      </w:r>
      <w:r>
        <w:t>Esophageal</w:t>
      </w:r>
      <w:r>
        <w:rPr>
          <w:spacing w:val="-4"/>
        </w:rPr>
        <w:t xml:space="preserve"> </w:t>
      </w:r>
      <w:r>
        <w:t>Resection</w:t>
      </w:r>
      <w:r>
        <w:rPr>
          <w:spacing w:val="-5"/>
        </w:rPr>
        <w:t xml:space="preserve"> </w:t>
      </w:r>
      <w:r>
        <w:t>Mortality</w:t>
      </w:r>
      <w:r>
        <w:rPr>
          <w:spacing w:val="-4"/>
        </w:rPr>
        <w:t xml:space="preserve"> </w:t>
      </w:r>
      <w:r>
        <w:t>Rate</w:t>
      </w:r>
      <w:r>
        <w:rPr>
          <w:spacing w:val="-3"/>
        </w:rPr>
        <w:t xml:space="preserve"> </w:t>
      </w:r>
      <w:r>
        <w:t>and</w:t>
      </w:r>
      <w:r>
        <w:rPr>
          <w:spacing w:val="-2"/>
        </w:rPr>
        <w:t xml:space="preserve"> </w:t>
      </w:r>
      <w:r>
        <w:t>Pancreatic</w:t>
      </w:r>
      <w:r>
        <w:rPr>
          <w:spacing w:val="-5"/>
        </w:rPr>
        <w:t xml:space="preserve"> </w:t>
      </w:r>
      <w:r>
        <w:t>Resection</w:t>
      </w:r>
      <w:r>
        <w:rPr>
          <w:spacing w:val="-5"/>
        </w:rPr>
        <w:t xml:space="preserve"> </w:t>
      </w:r>
      <w:r>
        <w:t>Mortality Rate</w:t>
      </w:r>
      <w:bookmarkStart w:id="160" w:name="_bookmark189"/>
      <w:bookmarkEnd w:id="160"/>
      <w:r>
        <w:t>.</w:t>
      </w:r>
      <w:r>
        <w:rPr>
          <w:spacing w:val="-33"/>
        </w:rPr>
        <w:t xml:space="preserve"> </w:t>
      </w:r>
      <w:r w:rsidR="00871FFD">
        <w:rPr>
          <w:rStyle w:val="FootnoteReference"/>
          <w:spacing w:val="-33"/>
        </w:rPr>
        <w:footnoteReference w:id="165"/>
      </w:r>
      <w:r>
        <w:t>BIDMC and BWH both performed comparably to the statewide average performance on these surgical mortality measures.</w:t>
      </w:r>
    </w:p>
    <w:p w14:paraId="1C34E989" w14:textId="77777777" w:rsidR="004C558F" w:rsidRDefault="004C558F">
      <w:pPr>
        <w:pStyle w:val="BodyText"/>
        <w:spacing w:before="194"/>
      </w:pPr>
    </w:p>
    <w:p w14:paraId="1C34E98A" w14:textId="77777777" w:rsidR="004C558F" w:rsidRDefault="00461887">
      <w:pPr>
        <w:pStyle w:val="Heading3"/>
        <w:numPr>
          <w:ilvl w:val="2"/>
          <w:numId w:val="16"/>
        </w:numPr>
        <w:tabs>
          <w:tab w:val="left" w:pos="958"/>
          <w:tab w:val="left" w:pos="960"/>
        </w:tabs>
        <w:ind w:left="960" w:right="983" w:hanging="361"/>
        <w:rPr>
          <w:color w:val="042339"/>
        </w:rPr>
      </w:pPr>
      <w:bookmarkStart w:id="161" w:name="3._Research_suggests_that_hospitals_with"/>
      <w:bookmarkEnd w:id="161"/>
      <w:r>
        <w:rPr>
          <w:color w:val="042339"/>
        </w:rPr>
        <w:t>Research</w:t>
      </w:r>
      <w:r>
        <w:rPr>
          <w:color w:val="042339"/>
          <w:spacing w:val="-5"/>
        </w:rPr>
        <w:t xml:space="preserve"> </w:t>
      </w:r>
      <w:r>
        <w:rPr>
          <w:color w:val="042339"/>
        </w:rPr>
        <w:t>suggests</w:t>
      </w:r>
      <w:r>
        <w:rPr>
          <w:color w:val="042339"/>
          <w:spacing w:val="-6"/>
        </w:rPr>
        <w:t xml:space="preserve"> </w:t>
      </w:r>
      <w:r>
        <w:rPr>
          <w:color w:val="042339"/>
        </w:rPr>
        <w:t>that</w:t>
      </w:r>
      <w:r>
        <w:rPr>
          <w:color w:val="042339"/>
          <w:spacing w:val="-5"/>
        </w:rPr>
        <w:t xml:space="preserve"> </w:t>
      </w:r>
      <w:r>
        <w:rPr>
          <w:color w:val="042339"/>
        </w:rPr>
        <w:t>hospitals</w:t>
      </w:r>
      <w:r>
        <w:rPr>
          <w:color w:val="042339"/>
          <w:spacing w:val="-6"/>
        </w:rPr>
        <w:t xml:space="preserve"> </w:t>
      </w:r>
      <w:r>
        <w:rPr>
          <w:color w:val="042339"/>
        </w:rPr>
        <w:t>with</w:t>
      </w:r>
      <w:r>
        <w:rPr>
          <w:color w:val="042339"/>
          <w:spacing w:val="-5"/>
        </w:rPr>
        <w:t xml:space="preserve"> </w:t>
      </w:r>
      <w:r>
        <w:rPr>
          <w:color w:val="042339"/>
        </w:rPr>
        <w:t>specialized</w:t>
      </w:r>
      <w:r>
        <w:rPr>
          <w:color w:val="042339"/>
          <w:spacing w:val="-6"/>
        </w:rPr>
        <w:t xml:space="preserve"> </w:t>
      </w:r>
      <w:r>
        <w:rPr>
          <w:color w:val="042339"/>
        </w:rPr>
        <w:t>oncology</w:t>
      </w:r>
      <w:r>
        <w:rPr>
          <w:color w:val="042339"/>
          <w:spacing w:val="-4"/>
        </w:rPr>
        <w:t xml:space="preserve"> </w:t>
      </w:r>
      <w:r>
        <w:rPr>
          <w:color w:val="042339"/>
        </w:rPr>
        <w:t>care</w:t>
      </w:r>
      <w:r>
        <w:rPr>
          <w:color w:val="042339"/>
          <w:spacing w:val="-3"/>
        </w:rPr>
        <w:t xml:space="preserve"> </w:t>
      </w:r>
      <w:r>
        <w:rPr>
          <w:color w:val="042339"/>
        </w:rPr>
        <w:t>offerings</w:t>
      </w:r>
      <w:r>
        <w:rPr>
          <w:color w:val="042339"/>
          <w:spacing w:val="-4"/>
        </w:rPr>
        <w:t xml:space="preserve"> </w:t>
      </w:r>
      <w:r>
        <w:rPr>
          <w:color w:val="042339"/>
        </w:rPr>
        <w:t>achieve superior outcomes for their patients, although these findings do not necessarily indicate the transaction would result in higher quality care than that currently provided by the parties.</w:t>
      </w:r>
    </w:p>
    <w:p w14:paraId="1C34E98B" w14:textId="77777777" w:rsidR="004C558F" w:rsidRDefault="004C558F">
      <w:pPr>
        <w:pStyle w:val="BodyText"/>
        <w:spacing w:before="75"/>
        <w:rPr>
          <w:rFonts w:ascii="Franklin Gothic Medium"/>
          <w:sz w:val="26"/>
        </w:rPr>
      </w:pPr>
    </w:p>
    <w:p w14:paraId="1C34E98C" w14:textId="77777777" w:rsidR="004C558F" w:rsidRDefault="00461887">
      <w:pPr>
        <w:pStyle w:val="BodyText"/>
        <w:spacing w:line="276" w:lineRule="auto"/>
        <w:ind w:left="959" w:right="1313" w:firstLine="720"/>
        <w:jc w:val="both"/>
      </w:pPr>
      <w:r>
        <w:t>DFCI has stated that it expects clinical quality benefits for patients as the result of the proposed transaction, citing several studies that found hospitals with specialized cancer care programs</w:t>
      </w:r>
      <w:r>
        <w:rPr>
          <w:spacing w:val="-4"/>
        </w:rPr>
        <w:t xml:space="preserve"> </w:t>
      </w:r>
      <w:r>
        <w:t>have</w:t>
      </w:r>
      <w:r>
        <w:rPr>
          <w:spacing w:val="-4"/>
        </w:rPr>
        <w:t xml:space="preserve"> </w:t>
      </w:r>
      <w:r>
        <w:t>superior</w:t>
      </w:r>
      <w:r>
        <w:rPr>
          <w:spacing w:val="-3"/>
        </w:rPr>
        <w:t xml:space="preserve"> </w:t>
      </w:r>
      <w:r>
        <w:t>patient</w:t>
      </w:r>
      <w:r>
        <w:rPr>
          <w:spacing w:val="-3"/>
        </w:rPr>
        <w:t xml:space="preserve"> </w:t>
      </w:r>
      <w:r>
        <w:t>outcomes.</w:t>
      </w:r>
      <w:r>
        <w:rPr>
          <w:spacing w:val="-5"/>
        </w:rPr>
        <w:t xml:space="preserve"> </w:t>
      </w:r>
      <w:r>
        <w:t>Two</w:t>
      </w:r>
      <w:r>
        <w:rPr>
          <w:spacing w:val="-4"/>
        </w:rPr>
        <w:t xml:space="preserve"> </w:t>
      </w:r>
      <w:r>
        <w:t>cited</w:t>
      </w:r>
      <w:r>
        <w:rPr>
          <w:spacing w:val="-1"/>
        </w:rPr>
        <w:t xml:space="preserve"> </w:t>
      </w:r>
      <w:r>
        <w:t>studies</w:t>
      </w:r>
      <w:r>
        <w:rPr>
          <w:spacing w:val="-2"/>
        </w:rPr>
        <w:t xml:space="preserve"> </w:t>
      </w:r>
      <w:r>
        <w:t>found</w:t>
      </w:r>
      <w:r>
        <w:rPr>
          <w:spacing w:val="-4"/>
        </w:rPr>
        <w:t xml:space="preserve"> </w:t>
      </w:r>
      <w:r>
        <w:t>superior</w:t>
      </w:r>
      <w:r>
        <w:rPr>
          <w:spacing w:val="-3"/>
        </w:rPr>
        <w:t xml:space="preserve"> </w:t>
      </w:r>
      <w:r>
        <w:t>care</w:t>
      </w:r>
      <w:r>
        <w:rPr>
          <w:spacing w:val="-2"/>
        </w:rPr>
        <w:t xml:space="preserve"> </w:t>
      </w:r>
      <w:r>
        <w:t>outcome</w:t>
      </w:r>
      <w:r>
        <w:rPr>
          <w:spacing w:val="-2"/>
        </w:rPr>
        <w:t xml:space="preserve"> </w:t>
      </w:r>
      <w:r>
        <w:t>and</w:t>
      </w:r>
    </w:p>
    <w:p w14:paraId="1C34E98D" w14:textId="77777777" w:rsidR="004C558F" w:rsidRDefault="004C558F">
      <w:pPr>
        <w:pStyle w:val="BodyText"/>
        <w:rPr>
          <w:sz w:val="20"/>
        </w:rPr>
      </w:pPr>
    </w:p>
    <w:p w14:paraId="1C34E98E" w14:textId="77777777" w:rsidR="004C558F" w:rsidRDefault="004C558F">
      <w:pPr>
        <w:pStyle w:val="BodyText"/>
        <w:rPr>
          <w:sz w:val="20"/>
        </w:rPr>
      </w:pPr>
    </w:p>
    <w:p w14:paraId="1C34E98F" w14:textId="77777777" w:rsidR="004C558F" w:rsidRDefault="004C558F">
      <w:pPr>
        <w:pStyle w:val="BodyText"/>
        <w:rPr>
          <w:sz w:val="20"/>
        </w:rPr>
      </w:pPr>
    </w:p>
    <w:p w14:paraId="1C34E990" w14:textId="2582C4D0" w:rsidR="004C558F" w:rsidRDefault="004C558F">
      <w:pPr>
        <w:pStyle w:val="BodyText"/>
        <w:spacing w:before="133"/>
        <w:rPr>
          <w:sz w:val="20"/>
        </w:rPr>
      </w:pPr>
    </w:p>
    <w:p w14:paraId="1C34E996" w14:textId="77777777" w:rsidR="004C558F" w:rsidRDefault="004C558F">
      <w:pPr>
        <w:rPr>
          <w:sz w:val="20"/>
        </w:rPr>
        <w:sectPr w:rsidR="004C558F">
          <w:pgSz w:w="12240" w:h="15840"/>
          <w:pgMar w:top="1360" w:right="740" w:bottom="720" w:left="480" w:header="0" w:footer="521" w:gutter="0"/>
          <w:cols w:space="720"/>
        </w:sectPr>
      </w:pPr>
      <w:bookmarkStart w:id="162" w:name="_bookmark190"/>
      <w:bookmarkStart w:id="163" w:name="_bookmark193"/>
      <w:bookmarkEnd w:id="162"/>
      <w:bookmarkEnd w:id="163"/>
    </w:p>
    <w:p w14:paraId="1C34E997" w14:textId="216A08B2" w:rsidR="004C558F" w:rsidRDefault="00461887">
      <w:pPr>
        <w:pStyle w:val="BodyText"/>
        <w:spacing w:before="80" w:line="276" w:lineRule="auto"/>
        <w:ind w:left="959" w:right="968"/>
      </w:pPr>
      <w:r>
        <w:lastRenderedPageBreak/>
        <w:t>survival benefits at PPS-exempt cancer hospitals relative to AMCs and other hospital types.</w:t>
      </w:r>
      <w:r>
        <w:rPr>
          <w:spacing w:val="-33"/>
        </w:rPr>
        <w:t xml:space="preserve"> </w:t>
      </w:r>
      <w:r w:rsidR="00A17BFB">
        <w:rPr>
          <w:rStyle w:val="FootnoteReference"/>
          <w:spacing w:val="-33"/>
        </w:rPr>
        <w:footnoteReference w:id="166"/>
      </w:r>
      <w:r w:rsidR="00AA0B3B">
        <w:rPr>
          <w:spacing w:val="-33"/>
        </w:rPr>
        <w:t xml:space="preserve"> </w:t>
      </w:r>
      <w:r>
        <w:t>Another national study, commissioned by PPS-exempt hospitals, found 3-year survival rates statistically significantly higher for breast, colon, pancreatic, and lung cancer Medicare patients receiving chemotherapy at PPS-exempt hospitals as compared to other hospital cohorts.</w:t>
      </w:r>
      <w:r w:rsidR="000D507A">
        <w:rPr>
          <w:rStyle w:val="FootnoteReference"/>
        </w:rPr>
        <w:footnoteReference w:id="167"/>
      </w:r>
      <w:r>
        <w:rPr>
          <w:spacing w:val="28"/>
          <w:position w:val="5"/>
          <w:sz w:val="14"/>
        </w:rPr>
        <w:t xml:space="preserve"> </w:t>
      </w:r>
      <w:r>
        <w:t>Other literature suggests that superior performance on patient outcomes may be the result of a set of factors and policies including the use of guideline concordant care, NCI designation, and high volumes</w:t>
      </w:r>
      <w:r>
        <w:rPr>
          <w:spacing w:val="-3"/>
        </w:rPr>
        <w:t xml:space="preserve"> </w:t>
      </w:r>
      <w:r>
        <w:t>of</w:t>
      </w:r>
      <w:r>
        <w:rPr>
          <w:spacing w:val="-4"/>
        </w:rPr>
        <w:t xml:space="preserve"> </w:t>
      </w:r>
      <w:r>
        <w:t>procedures</w:t>
      </w:r>
      <w:r>
        <w:rPr>
          <w:spacing w:val="-2"/>
        </w:rPr>
        <w:t xml:space="preserve"> </w:t>
      </w:r>
      <w:r>
        <w:t>rather</w:t>
      </w:r>
      <w:r>
        <w:rPr>
          <w:spacing w:val="-3"/>
        </w:rPr>
        <w:t xml:space="preserve"> </w:t>
      </w:r>
      <w:r>
        <w:t>than</w:t>
      </w:r>
      <w:r>
        <w:rPr>
          <w:spacing w:val="-2"/>
        </w:rPr>
        <w:t xml:space="preserve"> </w:t>
      </w:r>
      <w:r>
        <w:t>specific</w:t>
      </w:r>
      <w:r>
        <w:rPr>
          <w:spacing w:val="-2"/>
        </w:rPr>
        <w:t xml:space="preserve"> </w:t>
      </w:r>
      <w:r>
        <w:t>hospital</w:t>
      </w:r>
      <w:r>
        <w:rPr>
          <w:spacing w:val="-5"/>
        </w:rPr>
        <w:t xml:space="preserve"> </w:t>
      </w:r>
      <w:r>
        <w:t>payment</w:t>
      </w:r>
      <w:r>
        <w:rPr>
          <w:spacing w:val="-5"/>
        </w:rPr>
        <w:t xml:space="preserve"> </w:t>
      </w:r>
      <w:r>
        <w:t>structures.</w:t>
      </w:r>
      <w:r>
        <w:rPr>
          <w:spacing w:val="-36"/>
        </w:rPr>
        <w:t xml:space="preserve"> </w:t>
      </w:r>
      <w:r w:rsidR="000D507A">
        <w:rPr>
          <w:rStyle w:val="FootnoteReference"/>
          <w:spacing w:val="-36"/>
        </w:rPr>
        <w:footnoteReference w:id="168"/>
      </w:r>
      <w:r w:rsidR="00AA0B3B">
        <w:rPr>
          <w:spacing w:val="-36"/>
        </w:rPr>
        <w:t xml:space="preserve"> </w:t>
      </w:r>
      <w:r w:rsidR="002F2E9E">
        <w:rPr>
          <w:spacing w:val="-36"/>
        </w:rPr>
        <w:t xml:space="preserve"> </w:t>
      </w:r>
      <w:r>
        <w:t>While</w:t>
      </w:r>
      <w:r>
        <w:rPr>
          <w:spacing w:val="-4"/>
        </w:rPr>
        <w:t xml:space="preserve"> </w:t>
      </w:r>
      <w:r>
        <w:t>cancer</w:t>
      </w:r>
      <w:r>
        <w:rPr>
          <w:spacing w:val="-3"/>
        </w:rPr>
        <w:t xml:space="preserve"> </w:t>
      </w:r>
      <w:r>
        <w:t>hospitals like DFCI may be more likely to have these attributes than average hospitals, literature findings alone cannot indicate that other hospitals with high-volume, specialized oncology programs in the Commonwealth, such as several Boston-area AMCs, have poorer patient outcomes than DFCI for the oncology care they provide, or that expanded capacity at DFCI would improve patient outcomes solely due to DFCI’s status as a PPS-exempt cancer hospital.</w:t>
      </w:r>
    </w:p>
    <w:p w14:paraId="1C34E998" w14:textId="77777777" w:rsidR="004C558F" w:rsidRDefault="004C558F">
      <w:pPr>
        <w:pStyle w:val="BodyText"/>
        <w:rPr>
          <w:sz w:val="20"/>
        </w:rPr>
      </w:pPr>
    </w:p>
    <w:p w14:paraId="1C34E999" w14:textId="77777777" w:rsidR="004C558F" w:rsidRDefault="004C558F">
      <w:pPr>
        <w:pStyle w:val="BodyText"/>
        <w:rPr>
          <w:sz w:val="20"/>
        </w:rPr>
      </w:pPr>
    </w:p>
    <w:p w14:paraId="1C34E99A" w14:textId="77777777" w:rsidR="004C558F" w:rsidRDefault="004C558F">
      <w:pPr>
        <w:pStyle w:val="BodyText"/>
        <w:rPr>
          <w:sz w:val="20"/>
        </w:rPr>
      </w:pPr>
    </w:p>
    <w:p w14:paraId="1C34E99B" w14:textId="77777777" w:rsidR="004C558F" w:rsidRDefault="004C558F">
      <w:pPr>
        <w:pStyle w:val="BodyText"/>
        <w:rPr>
          <w:sz w:val="20"/>
        </w:rPr>
      </w:pPr>
    </w:p>
    <w:p w14:paraId="1C34E99C" w14:textId="77777777" w:rsidR="004C558F" w:rsidRDefault="004C558F">
      <w:pPr>
        <w:pStyle w:val="BodyText"/>
        <w:rPr>
          <w:sz w:val="20"/>
        </w:rPr>
      </w:pPr>
    </w:p>
    <w:p w14:paraId="1C34E99D" w14:textId="77777777" w:rsidR="004C558F" w:rsidRDefault="004C558F">
      <w:pPr>
        <w:pStyle w:val="BodyText"/>
        <w:rPr>
          <w:sz w:val="20"/>
        </w:rPr>
      </w:pPr>
    </w:p>
    <w:p w14:paraId="1C34E99E" w14:textId="77777777" w:rsidR="004C558F" w:rsidRDefault="004C558F">
      <w:pPr>
        <w:pStyle w:val="BodyText"/>
        <w:rPr>
          <w:sz w:val="20"/>
        </w:rPr>
      </w:pPr>
    </w:p>
    <w:p w14:paraId="1C34E99F" w14:textId="6259C4BF" w:rsidR="004C558F" w:rsidRDefault="004C558F">
      <w:pPr>
        <w:pStyle w:val="BodyText"/>
        <w:spacing w:before="90"/>
        <w:rPr>
          <w:sz w:val="20"/>
        </w:rPr>
      </w:pPr>
    </w:p>
    <w:p w14:paraId="1C34E9A3" w14:textId="77777777" w:rsidR="004C558F" w:rsidRDefault="004C558F">
      <w:pPr>
        <w:rPr>
          <w:sz w:val="20"/>
        </w:rPr>
        <w:sectPr w:rsidR="004C558F">
          <w:pgSz w:w="12240" w:h="15840"/>
          <w:pgMar w:top="1360" w:right="740" w:bottom="720" w:left="480" w:header="0" w:footer="521" w:gutter="0"/>
          <w:cols w:space="720"/>
        </w:sectPr>
      </w:pPr>
      <w:bookmarkStart w:id="164" w:name="_bookmark194"/>
      <w:bookmarkStart w:id="165" w:name="_bookmark196"/>
      <w:bookmarkEnd w:id="164"/>
      <w:bookmarkEnd w:id="165"/>
    </w:p>
    <w:p w14:paraId="1C34E9A4" w14:textId="77777777" w:rsidR="004C558F" w:rsidRDefault="00461887">
      <w:pPr>
        <w:pStyle w:val="Heading3"/>
        <w:numPr>
          <w:ilvl w:val="2"/>
          <w:numId w:val="16"/>
        </w:numPr>
        <w:tabs>
          <w:tab w:val="left" w:pos="958"/>
          <w:tab w:val="left" w:pos="960"/>
        </w:tabs>
        <w:spacing w:before="79"/>
        <w:ind w:left="960" w:right="1108" w:hanging="361"/>
        <w:rPr>
          <w:color w:val="042339"/>
        </w:rPr>
      </w:pPr>
      <w:bookmarkStart w:id="166" w:name="4._The_parties_have_identified_several_e"/>
      <w:bookmarkEnd w:id="166"/>
      <w:r>
        <w:rPr>
          <w:color w:val="042339"/>
        </w:rPr>
        <w:lastRenderedPageBreak/>
        <w:t>The parties have identified several early-stage plans that have the potential to improve</w:t>
      </w:r>
      <w:r>
        <w:rPr>
          <w:color w:val="042339"/>
          <w:spacing w:val="-1"/>
        </w:rPr>
        <w:t xml:space="preserve"> </w:t>
      </w:r>
      <w:r>
        <w:rPr>
          <w:color w:val="042339"/>
        </w:rPr>
        <w:t>care</w:t>
      </w:r>
      <w:r>
        <w:rPr>
          <w:color w:val="042339"/>
          <w:spacing w:val="-4"/>
        </w:rPr>
        <w:t xml:space="preserve"> </w:t>
      </w:r>
      <w:r>
        <w:rPr>
          <w:color w:val="042339"/>
        </w:rPr>
        <w:t>quality,</w:t>
      </w:r>
      <w:r>
        <w:rPr>
          <w:color w:val="042339"/>
          <w:spacing w:val="-2"/>
        </w:rPr>
        <w:t xml:space="preserve"> </w:t>
      </w:r>
      <w:r>
        <w:rPr>
          <w:color w:val="042339"/>
        </w:rPr>
        <w:t>but</w:t>
      </w:r>
      <w:r>
        <w:rPr>
          <w:color w:val="042339"/>
          <w:spacing w:val="-4"/>
        </w:rPr>
        <w:t xml:space="preserve"> </w:t>
      </w:r>
      <w:r>
        <w:rPr>
          <w:color w:val="042339"/>
        </w:rPr>
        <w:t>these</w:t>
      </w:r>
      <w:r>
        <w:rPr>
          <w:color w:val="042339"/>
          <w:spacing w:val="-4"/>
        </w:rPr>
        <w:t xml:space="preserve"> </w:t>
      </w:r>
      <w:r>
        <w:rPr>
          <w:color w:val="042339"/>
        </w:rPr>
        <w:t>plans</w:t>
      </w:r>
      <w:r>
        <w:rPr>
          <w:color w:val="042339"/>
          <w:spacing w:val="-5"/>
        </w:rPr>
        <w:t xml:space="preserve"> </w:t>
      </w:r>
      <w:r>
        <w:rPr>
          <w:color w:val="042339"/>
        </w:rPr>
        <w:t>are</w:t>
      </w:r>
      <w:r>
        <w:rPr>
          <w:color w:val="042339"/>
          <w:spacing w:val="-4"/>
        </w:rPr>
        <w:t xml:space="preserve"> </w:t>
      </w:r>
      <w:r>
        <w:rPr>
          <w:color w:val="042339"/>
        </w:rPr>
        <w:t>not</w:t>
      </w:r>
      <w:r>
        <w:rPr>
          <w:color w:val="042339"/>
          <w:spacing w:val="-4"/>
        </w:rPr>
        <w:t xml:space="preserve"> </w:t>
      </w:r>
      <w:r>
        <w:rPr>
          <w:color w:val="042339"/>
        </w:rPr>
        <w:t>yet</w:t>
      </w:r>
      <w:r>
        <w:rPr>
          <w:color w:val="042339"/>
          <w:spacing w:val="-4"/>
        </w:rPr>
        <w:t xml:space="preserve"> </w:t>
      </w:r>
      <w:r>
        <w:rPr>
          <w:color w:val="042339"/>
        </w:rPr>
        <w:t>sufficiently</w:t>
      </w:r>
      <w:r>
        <w:rPr>
          <w:color w:val="042339"/>
          <w:spacing w:val="-4"/>
        </w:rPr>
        <w:t xml:space="preserve"> </w:t>
      </w:r>
      <w:r>
        <w:rPr>
          <w:color w:val="042339"/>
        </w:rPr>
        <w:t>developed</w:t>
      </w:r>
      <w:r>
        <w:rPr>
          <w:color w:val="042339"/>
          <w:spacing w:val="-5"/>
        </w:rPr>
        <w:t xml:space="preserve"> </w:t>
      </w:r>
      <w:r>
        <w:rPr>
          <w:color w:val="042339"/>
        </w:rPr>
        <w:t>to</w:t>
      </w:r>
      <w:r>
        <w:rPr>
          <w:color w:val="042339"/>
          <w:spacing w:val="-3"/>
        </w:rPr>
        <w:t xml:space="preserve"> </w:t>
      </w:r>
      <w:r>
        <w:rPr>
          <w:color w:val="042339"/>
        </w:rPr>
        <w:t>assess the likelihood of any specific impacts.</w:t>
      </w:r>
    </w:p>
    <w:p w14:paraId="1C34E9A5" w14:textId="77777777" w:rsidR="004C558F" w:rsidRDefault="004C558F">
      <w:pPr>
        <w:pStyle w:val="BodyText"/>
        <w:spacing w:before="72"/>
        <w:rPr>
          <w:rFonts w:ascii="Franklin Gothic Medium"/>
          <w:sz w:val="26"/>
        </w:rPr>
      </w:pPr>
    </w:p>
    <w:p w14:paraId="1C34E9A6" w14:textId="77777777" w:rsidR="004C558F" w:rsidRDefault="00461887">
      <w:pPr>
        <w:pStyle w:val="BodyText"/>
        <w:spacing w:line="276" w:lineRule="auto"/>
        <w:ind w:left="960" w:right="702" w:firstLine="720"/>
      </w:pPr>
      <w:r>
        <w:t>BILH and Dana-Farber have stated an intention to expand several existing programs, including</w:t>
      </w:r>
      <w:r>
        <w:rPr>
          <w:spacing w:val="-4"/>
        </w:rPr>
        <w:t xml:space="preserve"> </w:t>
      </w:r>
      <w:r>
        <w:t>the</w:t>
      </w:r>
      <w:r>
        <w:rPr>
          <w:spacing w:val="-5"/>
        </w:rPr>
        <w:t xml:space="preserve"> </w:t>
      </w:r>
      <w:r>
        <w:t>DFCI</w:t>
      </w:r>
      <w:r>
        <w:rPr>
          <w:spacing w:val="-3"/>
        </w:rPr>
        <w:t xml:space="preserve"> </w:t>
      </w:r>
      <w:r>
        <w:t>acute</w:t>
      </w:r>
      <w:r>
        <w:rPr>
          <w:spacing w:val="-3"/>
        </w:rPr>
        <w:t xml:space="preserve"> </w:t>
      </w:r>
      <w:r>
        <w:t>care</w:t>
      </w:r>
      <w:r>
        <w:rPr>
          <w:spacing w:val="-3"/>
        </w:rPr>
        <w:t xml:space="preserve"> </w:t>
      </w:r>
      <w:r>
        <w:t>clinic,</w:t>
      </w:r>
      <w:r>
        <w:rPr>
          <w:spacing w:val="-6"/>
        </w:rPr>
        <w:t xml:space="preserve"> </w:t>
      </w:r>
      <w:r>
        <w:t>coordination</w:t>
      </w:r>
      <w:r>
        <w:rPr>
          <w:spacing w:val="-3"/>
        </w:rPr>
        <w:t xml:space="preserve"> </w:t>
      </w:r>
      <w:r>
        <w:t>with</w:t>
      </w:r>
      <w:r>
        <w:rPr>
          <w:spacing w:val="-3"/>
        </w:rPr>
        <w:t xml:space="preserve"> </w:t>
      </w:r>
      <w:r>
        <w:t>satellite</w:t>
      </w:r>
      <w:r>
        <w:rPr>
          <w:spacing w:val="-3"/>
        </w:rPr>
        <w:t xml:space="preserve"> </w:t>
      </w:r>
      <w:r>
        <w:t>locations</w:t>
      </w:r>
      <w:r>
        <w:rPr>
          <w:spacing w:val="-3"/>
        </w:rPr>
        <w:t xml:space="preserve"> </w:t>
      </w:r>
      <w:r>
        <w:t>and</w:t>
      </w:r>
      <w:r>
        <w:rPr>
          <w:spacing w:val="-5"/>
        </w:rPr>
        <w:t xml:space="preserve"> </w:t>
      </w:r>
      <w:r>
        <w:t>community</w:t>
      </w:r>
      <w:r>
        <w:rPr>
          <w:spacing w:val="-4"/>
        </w:rPr>
        <w:t xml:space="preserve"> </w:t>
      </w:r>
      <w:r>
        <w:t>health centers, patient navigator assignments, and access to clinical trials described in Section</w:t>
      </w:r>
    </w:p>
    <w:p w14:paraId="1C34E9A7" w14:textId="3D00F449" w:rsidR="004C558F" w:rsidRDefault="00461887">
      <w:pPr>
        <w:pStyle w:val="BodyText"/>
        <w:spacing w:before="1" w:line="276" w:lineRule="auto"/>
        <w:ind w:left="959" w:right="991"/>
      </w:pPr>
      <w:r>
        <w:t>III.B.1.</w:t>
      </w:r>
      <w:r w:rsidR="002F2E9E">
        <w:rPr>
          <w:rStyle w:val="FootnoteReference"/>
        </w:rPr>
        <w:footnoteReference w:id="169"/>
      </w:r>
      <w:r>
        <w:rPr>
          <w:position w:val="5"/>
          <w:sz w:val="14"/>
        </w:rPr>
        <w:t>,</w:t>
      </w:r>
      <w:r>
        <w:rPr>
          <w:spacing w:val="-15"/>
          <w:position w:val="5"/>
          <w:sz w:val="14"/>
        </w:rPr>
        <w:t xml:space="preserve"> </w:t>
      </w:r>
      <w:r w:rsidR="00494AAB" w:rsidRPr="007512BE">
        <w:rPr>
          <w:rStyle w:val="FootnoteReference"/>
          <w:spacing w:val="-15"/>
          <w:position w:val="5"/>
          <w:sz w:val="18"/>
          <w:szCs w:val="28"/>
        </w:rPr>
        <w:footnoteReference w:id="170"/>
      </w:r>
      <w:r w:rsidR="007512BE" w:rsidRPr="007512BE">
        <w:rPr>
          <w:spacing w:val="-15"/>
          <w:position w:val="5"/>
          <w:sz w:val="18"/>
          <w:szCs w:val="28"/>
        </w:rPr>
        <w:t xml:space="preserve"> </w:t>
      </w:r>
      <w:r>
        <w:t>While these expansions and</w:t>
      </w:r>
      <w:r>
        <w:rPr>
          <w:spacing w:val="-2"/>
        </w:rPr>
        <w:t xml:space="preserve"> </w:t>
      </w:r>
      <w:r>
        <w:t>collaborations</w:t>
      </w:r>
      <w:r>
        <w:rPr>
          <w:spacing w:val="-2"/>
        </w:rPr>
        <w:t xml:space="preserve"> </w:t>
      </w:r>
      <w:r>
        <w:t>may tend to promote</w:t>
      </w:r>
      <w:r>
        <w:rPr>
          <w:spacing w:val="-2"/>
        </w:rPr>
        <w:t xml:space="preserve"> </w:t>
      </w:r>
      <w:r>
        <w:t xml:space="preserve">clinical </w:t>
      </w:r>
      <w:proofErr w:type="gramStart"/>
      <w:r>
        <w:t>quality, and</w:t>
      </w:r>
      <w:proofErr w:type="gramEnd"/>
      <w:r>
        <w:t xml:space="preserve"> could promote access as discussed in Section III.C.3, the parties’ plans are not sufficiently developed to allow the HPC to assess to what extent they might result in specific improvements. The</w:t>
      </w:r>
      <w:r>
        <w:rPr>
          <w:spacing w:val="-1"/>
        </w:rPr>
        <w:t xml:space="preserve"> </w:t>
      </w:r>
      <w:r>
        <w:t>parties</w:t>
      </w:r>
      <w:r>
        <w:rPr>
          <w:spacing w:val="-3"/>
        </w:rPr>
        <w:t xml:space="preserve"> </w:t>
      </w:r>
      <w:r>
        <w:t>have</w:t>
      </w:r>
      <w:r>
        <w:rPr>
          <w:spacing w:val="-3"/>
        </w:rPr>
        <w:t xml:space="preserve"> </w:t>
      </w:r>
      <w:r>
        <w:t>stated that</w:t>
      </w:r>
      <w:r>
        <w:rPr>
          <w:spacing w:val="-2"/>
        </w:rPr>
        <w:t xml:space="preserve"> </w:t>
      </w:r>
      <w:r>
        <w:t>they</w:t>
      </w:r>
      <w:r>
        <w:rPr>
          <w:spacing w:val="-4"/>
        </w:rPr>
        <w:t xml:space="preserve"> </w:t>
      </w:r>
      <w:r>
        <w:t>have</w:t>
      </w:r>
      <w:r>
        <w:rPr>
          <w:spacing w:val="-1"/>
        </w:rPr>
        <w:t xml:space="preserve"> </w:t>
      </w:r>
      <w:r>
        <w:t>not</w:t>
      </w:r>
      <w:r>
        <w:rPr>
          <w:spacing w:val="-2"/>
        </w:rPr>
        <w:t xml:space="preserve"> </w:t>
      </w:r>
      <w:r>
        <w:t>developed concrete</w:t>
      </w:r>
      <w:r>
        <w:rPr>
          <w:spacing w:val="-1"/>
        </w:rPr>
        <w:t xml:space="preserve"> </w:t>
      </w:r>
      <w:r>
        <w:t>plans</w:t>
      </w:r>
      <w:r>
        <w:rPr>
          <w:spacing w:val="-3"/>
        </w:rPr>
        <w:t xml:space="preserve"> </w:t>
      </w:r>
      <w:r>
        <w:t>for</w:t>
      </w:r>
      <w:r>
        <w:rPr>
          <w:spacing w:val="-5"/>
        </w:rPr>
        <w:t xml:space="preserve"> </w:t>
      </w:r>
      <w:r>
        <w:t>collaborative</w:t>
      </w:r>
      <w:r>
        <w:rPr>
          <w:spacing w:val="-1"/>
        </w:rPr>
        <w:t xml:space="preserve"> </w:t>
      </w:r>
      <w:r>
        <w:t>new</w:t>
      </w:r>
      <w:r>
        <w:rPr>
          <w:spacing w:val="-2"/>
        </w:rPr>
        <w:t xml:space="preserve"> </w:t>
      </w:r>
      <w:r>
        <w:t>quality improvement</w:t>
      </w:r>
      <w:r>
        <w:rPr>
          <w:spacing w:val="-3"/>
        </w:rPr>
        <w:t xml:space="preserve"> </w:t>
      </w:r>
      <w:r>
        <w:t>initiatives</w:t>
      </w:r>
      <w:r>
        <w:rPr>
          <w:spacing w:val="-4"/>
        </w:rPr>
        <w:t xml:space="preserve"> </w:t>
      </w:r>
      <w:r>
        <w:t>at</w:t>
      </w:r>
      <w:r>
        <w:rPr>
          <w:spacing w:val="-5"/>
        </w:rPr>
        <w:t xml:space="preserve"> </w:t>
      </w:r>
      <w:r>
        <w:t>this</w:t>
      </w:r>
      <w:r>
        <w:rPr>
          <w:spacing w:val="-2"/>
        </w:rPr>
        <w:t xml:space="preserve"> </w:t>
      </w:r>
      <w:r>
        <w:t>point</w:t>
      </w:r>
      <w:r>
        <w:rPr>
          <w:spacing w:val="-3"/>
        </w:rPr>
        <w:t xml:space="preserve"> </w:t>
      </w:r>
      <w:r>
        <w:t>but</w:t>
      </w:r>
      <w:r>
        <w:rPr>
          <w:spacing w:val="-3"/>
        </w:rPr>
        <w:t xml:space="preserve"> </w:t>
      </w:r>
      <w:r>
        <w:t>intend</w:t>
      </w:r>
      <w:r>
        <w:rPr>
          <w:spacing w:val="-1"/>
        </w:rPr>
        <w:t xml:space="preserve"> </w:t>
      </w:r>
      <w:r>
        <w:t>to</w:t>
      </w:r>
      <w:r>
        <w:rPr>
          <w:spacing w:val="-4"/>
        </w:rPr>
        <w:t xml:space="preserve"> </w:t>
      </w:r>
      <w:r>
        <w:t>do</w:t>
      </w:r>
      <w:r>
        <w:rPr>
          <w:spacing w:val="-4"/>
        </w:rPr>
        <w:t xml:space="preserve"> </w:t>
      </w:r>
      <w:r>
        <w:t>so</w:t>
      </w:r>
      <w:r>
        <w:rPr>
          <w:spacing w:val="-2"/>
        </w:rPr>
        <w:t xml:space="preserve"> </w:t>
      </w:r>
      <w:r>
        <w:t>closer</w:t>
      </w:r>
      <w:r>
        <w:rPr>
          <w:spacing w:val="-3"/>
        </w:rPr>
        <w:t xml:space="preserve"> </w:t>
      </w:r>
      <w:r>
        <w:t>to</w:t>
      </w:r>
      <w:r>
        <w:rPr>
          <w:spacing w:val="-2"/>
        </w:rPr>
        <w:t xml:space="preserve"> </w:t>
      </w:r>
      <w:r>
        <w:t>the</w:t>
      </w:r>
      <w:r>
        <w:rPr>
          <w:spacing w:val="-4"/>
        </w:rPr>
        <w:t xml:space="preserve"> </w:t>
      </w:r>
      <w:r>
        <w:t>date</w:t>
      </w:r>
      <w:r>
        <w:rPr>
          <w:spacing w:val="-4"/>
        </w:rPr>
        <w:t xml:space="preserve"> </w:t>
      </w:r>
      <w:r>
        <w:t>of</w:t>
      </w:r>
      <w:r>
        <w:rPr>
          <w:spacing w:val="-1"/>
        </w:rPr>
        <w:t xml:space="preserve"> </w:t>
      </w:r>
      <w:r>
        <w:t>the</w:t>
      </w:r>
      <w:r>
        <w:rPr>
          <w:spacing w:val="-2"/>
        </w:rPr>
        <w:t xml:space="preserve"> </w:t>
      </w:r>
      <w:r>
        <w:t>affiliation</w:t>
      </w:r>
      <w:r>
        <w:rPr>
          <w:spacing w:val="-2"/>
        </w:rPr>
        <w:t xml:space="preserve"> </w:t>
      </w:r>
      <w:r>
        <w:t xml:space="preserve">rollout. DFCI also identified several potential benefits of the proposed new cancer facility, including greater control over infection control protocols specific to cancer patients, nursing staff being certified in oncology care, diversion of admissions to newly created observation beds, improved </w:t>
      </w:r>
      <w:proofErr w:type="gramStart"/>
      <w:r>
        <w:t>wait</w:t>
      </w:r>
      <w:proofErr w:type="gramEnd"/>
      <w:r>
        <w:t xml:space="preserve"> times, and improved patient experience in space designed specifically for oncology care.</w:t>
      </w:r>
      <w:r>
        <w:rPr>
          <w:spacing w:val="-33"/>
        </w:rPr>
        <w:t xml:space="preserve"> </w:t>
      </w:r>
      <w:r w:rsidR="007512BE">
        <w:rPr>
          <w:rStyle w:val="FootnoteReference"/>
          <w:spacing w:val="-33"/>
        </w:rPr>
        <w:footnoteReference w:id="171"/>
      </w:r>
      <w:r>
        <w:t>As outlined by the parties, these features appear generally likely to promote high-quality care.</w:t>
      </w:r>
    </w:p>
    <w:p w14:paraId="1C34E9A8" w14:textId="00B2EF17" w:rsidR="004C558F" w:rsidRDefault="00461887">
      <w:pPr>
        <w:pStyle w:val="BodyText"/>
        <w:spacing w:line="276" w:lineRule="auto"/>
        <w:ind w:left="959" w:right="991"/>
        <w:rPr>
          <w:sz w:val="14"/>
        </w:rPr>
      </w:pPr>
      <w:r>
        <w:t>Finally, the parties’ affiliation agreements include performance commitments on several specific quality metrics, but the parties have not yet</w:t>
      </w:r>
      <w:r>
        <w:rPr>
          <w:spacing w:val="-1"/>
        </w:rPr>
        <w:t xml:space="preserve"> </w:t>
      </w:r>
      <w:r>
        <w:t>developed benchmark</w:t>
      </w:r>
      <w:r>
        <w:rPr>
          <w:spacing w:val="-1"/>
        </w:rPr>
        <w:t xml:space="preserve"> </w:t>
      </w:r>
      <w:r>
        <w:t>data that would allow the HPC to assess the feasibility or impacts of meeting these targets.</w:t>
      </w:r>
      <w:r>
        <w:rPr>
          <w:spacing w:val="-34"/>
        </w:rPr>
        <w:t xml:space="preserve"> </w:t>
      </w:r>
      <w:r w:rsidR="007512BE">
        <w:rPr>
          <w:rStyle w:val="FootnoteReference"/>
          <w:spacing w:val="-34"/>
        </w:rPr>
        <w:footnoteReference w:id="172"/>
      </w:r>
      <w:r>
        <w:t>Annual reporting on the quality and</w:t>
      </w:r>
      <w:r>
        <w:rPr>
          <w:spacing w:val="-4"/>
        </w:rPr>
        <w:t xml:space="preserve"> </w:t>
      </w:r>
      <w:r>
        <w:t>patient</w:t>
      </w:r>
      <w:r>
        <w:rPr>
          <w:spacing w:val="-5"/>
        </w:rPr>
        <w:t xml:space="preserve"> </w:t>
      </w:r>
      <w:r>
        <w:t>experience</w:t>
      </w:r>
      <w:r>
        <w:rPr>
          <w:spacing w:val="-3"/>
        </w:rPr>
        <w:t xml:space="preserve"> </w:t>
      </w:r>
      <w:r>
        <w:t>measures</w:t>
      </w:r>
      <w:r>
        <w:rPr>
          <w:spacing w:val="-3"/>
        </w:rPr>
        <w:t xml:space="preserve"> </w:t>
      </w:r>
      <w:r>
        <w:t>recommended</w:t>
      </w:r>
      <w:r>
        <w:rPr>
          <w:spacing w:val="-2"/>
        </w:rPr>
        <w:t xml:space="preserve"> </w:t>
      </w:r>
      <w:r>
        <w:t>in</w:t>
      </w:r>
      <w:r>
        <w:rPr>
          <w:spacing w:val="-4"/>
        </w:rPr>
        <w:t xml:space="preserve"> </w:t>
      </w:r>
      <w:r>
        <w:t>the</w:t>
      </w:r>
      <w:r>
        <w:rPr>
          <w:spacing w:val="-3"/>
        </w:rPr>
        <w:t xml:space="preserve"> </w:t>
      </w:r>
      <w:proofErr w:type="spellStart"/>
      <w:r>
        <w:t>DoN</w:t>
      </w:r>
      <w:proofErr w:type="spellEnd"/>
      <w:r>
        <w:rPr>
          <w:spacing w:val="-3"/>
        </w:rPr>
        <w:t xml:space="preserve"> </w:t>
      </w:r>
      <w:r>
        <w:t>Staff</w:t>
      </w:r>
      <w:r>
        <w:rPr>
          <w:spacing w:val="-2"/>
        </w:rPr>
        <w:t xml:space="preserve"> </w:t>
      </w:r>
      <w:r>
        <w:t>Report</w:t>
      </w:r>
      <w:r>
        <w:rPr>
          <w:spacing w:val="-3"/>
        </w:rPr>
        <w:t xml:space="preserve"> </w:t>
      </w:r>
      <w:r>
        <w:t>would</w:t>
      </w:r>
      <w:r>
        <w:rPr>
          <w:spacing w:val="-2"/>
        </w:rPr>
        <w:t xml:space="preserve"> </w:t>
      </w:r>
      <w:r>
        <w:t>allow</w:t>
      </w:r>
      <w:r>
        <w:rPr>
          <w:spacing w:val="-3"/>
        </w:rPr>
        <w:t xml:space="preserve"> </w:t>
      </w:r>
      <w:r>
        <w:t>assessment of the extent to which DFCI’s quality improves in the years following the opening of the new hospital.</w:t>
      </w:r>
      <w:r>
        <w:rPr>
          <w:spacing w:val="-36"/>
        </w:rPr>
        <w:t xml:space="preserve"> </w:t>
      </w:r>
      <w:r w:rsidR="007512BE">
        <w:rPr>
          <w:rStyle w:val="FootnoteReference"/>
          <w:spacing w:val="-36"/>
        </w:rPr>
        <w:footnoteReference w:id="173"/>
      </w:r>
    </w:p>
    <w:p w14:paraId="1C34E9A9" w14:textId="77777777" w:rsidR="004C558F" w:rsidRDefault="004C558F">
      <w:pPr>
        <w:pStyle w:val="BodyText"/>
        <w:spacing w:before="195"/>
      </w:pPr>
    </w:p>
    <w:p w14:paraId="1C34E9AA" w14:textId="77777777" w:rsidR="004C558F" w:rsidRDefault="00461887">
      <w:pPr>
        <w:pStyle w:val="Heading3"/>
        <w:numPr>
          <w:ilvl w:val="2"/>
          <w:numId w:val="16"/>
        </w:numPr>
        <w:tabs>
          <w:tab w:val="left" w:pos="958"/>
          <w:tab w:val="left" w:pos="960"/>
        </w:tabs>
        <w:spacing w:before="1"/>
        <w:ind w:left="960" w:right="998" w:hanging="361"/>
        <w:rPr>
          <w:color w:val="042339"/>
        </w:rPr>
      </w:pPr>
      <w:bookmarkStart w:id="167" w:name="5._Changes_in_care_team_affiliations_wou"/>
      <w:bookmarkEnd w:id="167"/>
      <w:r>
        <w:rPr>
          <w:color w:val="042339"/>
        </w:rPr>
        <w:t>Changes</w:t>
      </w:r>
      <w:r>
        <w:rPr>
          <w:color w:val="042339"/>
          <w:spacing w:val="-6"/>
        </w:rPr>
        <w:t xml:space="preserve"> </w:t>
      </w:r>
      <w:r>
        <w:rPr>
          <w:color w:val="042339"/>
        </w:rPr>
        <w:t>in</w:t>
      </w:r>
      <w:r>
        <w:rPr>
          <w:color w:val="042339"/>
          <w:spacing w:val="-5"/>
        </w:rPr>
        <w:t xml:space="preserve"> </w:t>
      </w:r>
      <w:r>
        <w:rPr>
          <w:color w:val="042339"/>
        </w:rPr>
        <w:t>care</w:t>
      </w:r>
      <w:r>
        <w:rPr>
          <w:color w:val="042339"/>
          <w:spacing w:val="-5"/>
        </w:rPr>
        <w:t xml:space="preserve"> </w:t>
      </w:r>
      <w:r>
        <w:rPr>
          <w:color w:val="042339"/>
        </w:rPr>
        <w:t>team</w:t>
      </w:r>
      <w:r>
        <w:rPr>
          <w:color w:val="042339"/>
          <w:spacing w:val="-3"/>
        </w:rPr>
        <w:t xml:space="preserve"> </w:t>
      </w:r>
      <w:r>
        <w:rPr>
          <w:color w:val="042339"/>
        </w:rPr>
        <w:t>affiliations</w:t>
      </w:r>
      <w:r>
        <w:rPr>
          <w:color w:val="042339"/>
          <w:spacing w:val="-6"/>
        </w:rPr>
        <w:t xml:space="preserve"> </w:t>
      </w:r>
      <w:r>
        <w:rPr>
          <w:color w:val="042339"/>
        </w:rPr>
        <w:t>would</w:t>
      </w:r>
      <w:r>
        <w:rPr>
          <w:color w:val="042339"/>
          <w:spacing w:val="-6"/>
        </w:rPr>
        <w:t xml:space="preserve"> </w:t>
      </w:r>
      <w:r>
        <w:rPr>
          <w:color w:val="042339"/>
        </w:rPr>
        <w:t>require</w:t>
      </w:r>
      <w:r>
        <w:rPr>
          <w:color w:val="042339"/>
          <w:spacing w:val="-5"/>
        </w:rPr>
        <w:t xml:space="preserve"> </w:t>
      </w:r>
      <w:r>
        <w:rPr>
          <w:color w:val="042339"/>
        </w:rPr>
        <w:t>substantial</w:t>
      </w:r>
      <w:r>
        <w:rPr>
          <w:color w:val="042339"/>
          <w:spacing w:val="-7"/>
        </w:rPr>
        <w:t xml:space="preserve"> </w:t>
      </w:r>
      <w:r>
        <w:rPr>
          <w:color w:val="042339"/>
        </w:rPr>
        <w:t>coordination</w:t>
      </w:r>
      <w:r>
        <w:rPr>
          <w:color w:val="042339"/>
          <w:spacing w:val="-2"/>
        </w:rPr>
        <w:t xml:space="preserve"> </w:t>
      </w:r>
      <w:r>
        <w:rPr>
          <w:color w:val="042339"/>
        </w:rPr>
        <w:t>amongst providers to avoid disruptions to patient care.</w:t>
      </w:r>
    </w:p>
    <w:p w14:paraId="1C34E9AB" w14:textId="77777777" w:rsidR="004C558F" w:rsidRDefault="004C558F">
      <w:pPr>
        <w:pStyle w:val="BodyText"/>
        <w:spacing w:before="73"/>
        <w:rPr>
          <w:rFonts w:ascii="Franklin Gothic Medium"/>
          <w:sz w:val="26"/>
        </w:rPr>
      </w:pPr>
    </w:p>
    <w:p w14:paraId="1C34E9AC" w14:textId="069DA9AC" w:rsidR="004C558F" w:rsidRDefault="00461887">
      <w:pPr>
        <w:pStyle w:val="BodyText"/>
        <w:spacing w:line="276" w:lineRule="auto"/>
        <w:ind w:left="959" w:right="702" w:firstLine="720"/>
      </w:pPr>
      <w:r>
        <w:t>The expected shifts in medical oncology care from hospitals other than BIDMC, BWH, and DFCI to the new DFCI facility would require patients to transition elements of their care to new medical</w:t>
      </w:r>
      <w:r>
        <w:rPr>
          <w:spacing w:val="-5"/>
        </w:rPr>
        <w:t xml:space="preserve"> </w:t>
      </w:r>
      <w:r>
        <w:t>oncologists</w:t>
      </w:r>
      <w:r>
        <w:rPr>
          <w:spacing w:val="-2"/>
        </w:rPr>
        <w:t xml:space="preserve"> </w:t>
      </w:r>
      <w:r>
        <w:t>immediately</w:t>
      </w:r>
      <w:r>
        <w:rPr>
          <w:spacing w:val="-6"/>
        </w:rPr>
        <w:t xml:space="preserve"> </w:t>
      </w:r>
      <w:r>
        <w:t>following</w:t>
      </w:r>
      <w:r>
        <w:rPr>
          <w:spacing w:val="-4"/>
        </w:rPr>
        <w:t xml:space="preserve"> </w:t>
      </w:r>
      <w:r>
        <w:t>the</w:t>
      </w:r>
      <w:r>
        <w:rPr>
          <w:spacing w:val="-3"/>
        </w:rPr>
        <w:t xml:space="preserve"> </w:t>
      </w:r>
      <w:r>
        <w:t>proposed</w:t>
      </w:r>
      <w:r>
        <w:rPr>
          <w:spacing w:val="-2"/>
        </w:rPr>
        <w:t xml:space="preserve"> </w:t>
      </w:r>
      <w:r>
        <w:t>transaction.</w:t>
      </w:r>
      <w:r>
        <w:rPr>
          <w:spacing w:val="-36"/>
        </w:rPr>
        <w:t xml:space="preserve"> </w:t>
      </w:r>
      <w:r w:rsidR="007512BE">
        <w:rPr>
          <w:rStyle w:val="FootnoteReference"/>
          <w:spacing w:val="-36"/>
        </w:rPr>
        <w:footnoteReference w:id="174"/>
      </w:r>
      <w:r>
        <w:t>As</w:t>
      </w:r>
      <w:r>
        <w:rPr>
          <w:spacing w:val="-3"/>
        </w:rPr>
        <w:t xml:space="preserve"> </w:t>
      </w:r>
      <w:r>
        <w:t>the</w:t>
      </w:r>
      <w:r>
        <w:rPr>
          <w:spacing w:val="-3"/>
        </w:rPr>
        <w:t xml:space="preserve"> </w:t>
      </w:r>
      <w:proofErr w:type="gramStart"/>
      <w:r>
        <w:t>leaders</w:t>
      </w:r>
      <w:proofErr w:type="gramEnd"/>
      <w:r>
        <w:rPr>
          <w:spacing w:val="-3"/>
        </w:rPr>
        <w:t xml:space="preserve"> </w:t>
      </w:r>
      <w:r>
        <w:t>of</w:t>
      </w:r>
      <w:r>
        <w:rPr>
          <w:spacing w:val="-2"/>
        </w:rPr>
        <w:t xml:space="preserve"> </w:t>
      </w:r>
      <w:r>
        <w:t>oncology</w:t>
      </w:r>
    </w:p>
    <w:p w14:paraId="1C34E9AD" w14:textId="2AB8F89E" w:rsidR="004C558F" w:rsidRDefault="004C558F">
      <w:pPr>
        <w:pStyle w:val="BodyText"/>
        <w:spacing w:before="10"/>
        <w:rPr>
          <w:sz w:val="20"/>
        </w:rPr>
      </w:pPr>
    </w:p>
    <w:p w14:paraId="1C34E9B4" w14:textId="77777777" w:rsidR="004C558F" w:rsidRDefault="004C558F">
      <w:pPr>
        <w:rPr>
          <w:sz w:val="20"/>
        </w:rPr>
        <w:sectPr w:rsidR="004C558F">
          <w:pgSz w:w="12240" w:h="15840"/>
          <w:pgMar w:top="1360" w:right="740" w:bottom="720" w:left="480" w:header="0" w:footer="521" w:gutter="0"/>
          <w:cols w:space="720"/>
        </w:sectPr>
      </w:pPr>
      <w:bookmarkStart w:id="168" w:name="_bookmark197"/>
      <w:bookmarkStart w:id="169" w:name="_bookmark201"/>
      <w:bookmarkEnd w:id="168"/>
      <w:bookmarkEnd w:id="169"/>
    </w:p>
    <w:p w14:paraId="1C34E9B5" w14:textId="23FD2F1B" w:rsidR="004C558F" w:rsidRDefault="00461887">
      <w:pPr>
        <w:pStyle w:val="BodyText"/>
        <w:spacing w:before="80" w:line="276" w:lineRule="auto"/>
        <w:ind w:left="959" w:right="943"/>
      </w:pPr>
      <w:r>
        <w:lastRenderedPageBreak/>
        <w:t>care teams, medical oncologists at DFCI would need to dedicate substantial time to coordinate with</w:t>
      </w:r>
      <w:r>
        <w:rPr>
          <w:spacing w:val="-2"/>
        </w:rPr>
        <w:t xml:space="preserve"> </w:t>
      </w:r>
      <w:r>
        <w:t>these</w:t>
      </w:r>
      <w:r>
        <w:rPr>
          <w:spacing w:val="-2"/>
        </w:rPr>
        <w:t xml:space="preserve"> </w:t>
      </w:r>
      <w:r>
        <w:t>patients’</w:t>
      </w:r>
      <w:r>
        <w:rPr>
          <w:spacing w:val="-5"/>
        </w:rPr>
        <w:t xml:space="preserve"> </w:t>
      </w:r>
      <w:r>
        <w:t>current</w:t>
      </w:r>
      <w:r>
        <w:rPr>
          <w:spacing w:val="-3"/>
        </w:rPr>
        <w:t xml:space="preserve"> </w:t>
      </w:r>
      <w:r>
        <w:t>specialists</w:t>
      </w:r>
      <w:r>
        <w:rPr>
          <w:spacing w:val="-4"/>
        </w:rPr>
        <w:t xml:space="preserve"> </w:t>
      </w:r>
      <w:r>
        <w:t>and</w:t>
      </w:r>
      <w:r>
        <w:rPr>
          <w:spacing w:val="-1"/>
        </w:rPr>
        <w:t xml:space="preserve"> </w:t>
      </w:r>
      <w:r>
        <w:t>primary</w:t>
      </w:r>
      <w:r>
        <w:rPr>
          <w:spacing w:val="-5"/>
        </w:rPr>
        <w:t xml:space="preserve"> </w:t>
      </w:r>
      <w:r>
        <w:t>care</w:t>
      </w:r>
      <w:r>
        <w:rPr>
          <w:spacing w:val="-2"/>
        </w:rPr>
        <w:t xml:space="preserve"> </w:t>
      </w:r>
      <w:r>
        <w:t>providers.</w:t>
      </w:r>
      <w:r w:rsidR="006B7D6E">
        <w:rPr>
          <w:rStyle w:val="FootnoteReference"/>
        </w:rPr>
        <w:footnoteReference w:id="175"/>
      </w:r>
      <w:r>
        <w:rPr>
          <w:position w:val="5"/>
          <w:sz w:val="14"/>
        </w:rPr>
        <w:t>,</w:t>
      </w:r>
      <w:r>
        <w:rPr>
          <w:spacing w:val="-13"/>
          <w:position w:val="5"/>
          <w:sz w:val="14"/>
        </w:rPr>
        <w:t xml:space="preserve"> </w:t>
      </w:r>
      <w:r w:rsidR="006B7D6E">
        <w:rPr>
          <w:rStyle w:val="FootnoteReference"/>
          <w:spacing w:val="-13"/>
          <w:position w:val="5"/>
          <w:sz w:val="14"/>
        </w:rPr>
        <w:footnoteReference w:id="176"/>
      </w:r>
      <w:r>
        <w:t>Considerable</w:t>
      </w:r>
      <w:r>
        <w:rPr>
          <w:spacing w:val="-2"/>
        </w:rPr>
        <w:t xml:space="preserve"> </w:t>
      </w:r>
      <w:r>
        <w:t>time</w:t>
      </w:r>
      <w:r>
        <w:rPr>
          <w:spacing w:val="-2"/>
        </w:rPr>
        <w:t xml:space="preserve"> </w:t>
      </w:r>
      <w:r>
        <w:t>would also be spent building relationships with new patients and developing or refining care plans.</w:t>
      </w:r>
    </w:p>
    <w:p w14:paraId="1C34E9B6" w14:textId="1AAD9B73" w:rsidR="004C558F" w:rsidRDefault="00461887">
      <w:pPr>
        <w:pStyle w:val="BodyText"/>
        <w:spacing w:before="1" w:line="276" w:lineRule="auto"/>
        <w:ind w:left="959" w:right="1009"/>
      </w:pPr>
      <w:r>
        <w:t>Similar effort would be needed to the extent some BIDMC oncology patients seek care elsewhere or DFCI or BWH patients choose to remain with MGB for their oncology care, situations in which patients would be seen by a new medical oncologist.</w:t>
      </w:r>
      <w:r>
        <w:rPr>
          <w:spacing w:val="-30"/>
        </w:rPr>
        <w:t xml:space="preserve"> </w:t>
      </w:r>
      <w:r w:rsidR="006B7D6E">
        <w:rPr>
          <w:rStyle w:val="FootnoteReference"/>
          <w:spacing w:val="-30"/>
        </w:rPr>
        <w:footnoteReference w:id="177"/>
      </w:r>
      <w:r>
        <w:t>Coordination among oncologists and other providers at DFCI, BIDMC, and MGB may be particularly challenging during the early years after the affiliation as new relationships and protocols develop between providers. To facilitate care coordination for impacted patients and avoid disruptions to care continuity, the parties and other oncology providers with whom they collaborate will need to develop robust plans for care coordination and management. The parties have stated their intention to pursue such plans but have</w:t>
      </w:r>
      <w:r>
        <w:rPr>
          <w:spacing w:val="-3"/>
        </w:rPr>
        <w:t xml:space="preserve"> </w:t>
      </w:r>
      <w:r>
        <w:t>not</w:t>
      </w:r>
      <w:r>
        <w:rPr>
          <w:spacing w:val="-4"/>
        </w:rPr>
        <w:t xml:space="preserve"> </w:t>
      </w:r>
      <w:r>
        <w:t>yet</w:t>
      </w:r>
      <w:r>
        <w:rPr>
          <w:spacing w:val="-4"/>
        </w:rPr>
        <w:t xml:space="preserve"> </w:t>
      </w:r>
      <w:r>
        <w:t>developed</w:t>
      </w:r>
      <w:r>
        <w:rPr>
          <w:spacing w:val="-2"/>
        </w:rPr>
        <w:t xml:space="preserve"> </w:t>
      </w:r>
      <w:r>
        <w:t>specific</w:t>
      </w:r>
      <w:r>
        <w:rPr>
          <w:spacing w:val="-5"/>
        </w:rPr>
        <w:t xml:space="preserve"> </w:t>
      </w:r>
      <w:r>
        <w:t>details</w:t>
      </w:r>
      <w:r>
        <w:rPr>
          <w:spacing w:val="-3"/>
        </w:rPr>
        <w:t xml:space="preserve"> </w:t>
      </w:r>
      <w:r>
        <w:t>of</w:t>
      </w:r>
      <w:r>
        <w:rPr>
          <w:spacing w:val="-2"/>
        </w:rPr>
        <w:t xml:space="preserve"> </w:t>
      </w:r>
      <w:r>
        <w:t>these</w:t>
      </w:r>
      <w:r>
        <w:rPr>
          <w:spacing w:val="-3"/>
        </w:rPr>
        <w:t xml:space="preserve"> </w:t>
      </w:r>
      <w:r>
        <w:t>plans.</w:t>
      </w:r>
      <w:r>
        <w:rPr>
          <w:spacing w:val="-3"/>
        </w:rPr>
        <w:t xml:space="preserve"> </w:t>
      </w:r>
      <w:r>
        <w:t>Future</w:t>
      </w:r>
      <w:r>
        <w:rPr>
          <w:spacing w:val="-3"/>
        </w:rPr>
        <w:t xml:space="preserve"> </w:t>
      </w:r>
      <w:r>
        <w:t>reporting</w:t>
      </w:r>
      <w:r>
        <w:rPr>
          <w:spacing w:val="-6"/>
        </w:rPr>
        <w:t xml:space="preserve"> </w:t>
      </w:r>
      <w:r>
        <w:t>from</w:t>
      </w:r>
      <w:r>
        <w:rPr>
          <w:spacing w:val="-3"/>
        </w:rPr>
        <w:t xml:space="preserve"> </w:t>
      </w:r>
      <w:r>
        <w:t>the</w:t>
      </w:r>
      <w:r>
        <w:rPr>
          <w:spacing w:val="-3"/>
        </w:rPr>
        <w:t xml:space="preserve"> </w:t>
      </w:r>
      <w:r>
        <w:t>parties,</w:t>
      </w:r>
      <w:r>
        <w:rPr>
          <w:spacing w:val="-3"/>
        </w:rPr>
        <w:t xml:space="preserve"> </w:t>
      </w:r>
      <w:r>
        <w:t>including on the development of transition plans for impacted patients and progress updates on initiatives intended to promote coordination amongst BIDMC and DFCI providers (such as the integration of DFCI into the BILH EMR system), would enable the Commonwealth to evaluate progress towards implementing these plans.</w:t>
      </w:r>
    </w:p>
    <w:p w14:paraId="1C34E9B7" w14:textId="77777777" w:rsidR="004C558F" w:rsidRDefault="004C558F">
      <w:pPr>
        <w:pStyle w:val="BodyText"/>
        <w:rPr>
          <w:sz w:val="20"/>
        </w:rPr>
      </w:pPr>
    </w:p>
    <w:p w14:paraId="1C34E9B8" w14:textId="1C91870F" w:rsidR="004C558F" w:rsidRDefault="004C558F">
      <w:pPr>
        <w:pStyle w:val="BodyText"/>
        <w:spacing w:before="77"/>
        <w:rPr>
          <w:sz w:val="20"/>
        </w:rPr>
      </w:pPr>
    </w:p>
    <w:p w14:paraId="1C34E9BC" w14:textId="77777777" w:rsidR="004C558F" w:rsidRDefault="004C558F">
      <w:pPr>
        <w:rPr>
          <w:sz w:val="20"/>
        </w:rPr>
        <w:sectPr w:rsidR="004C558F">
          <w:pgSz w:w="12240" w:h="15840"/>
          <w:pgMar w:top="1360" w:right="740" w:bottom="720" w:left="480" w:header="0" w:footer="521" w:gutter="0"/>
          <w:cols w:space="720"/>
        </w:sectPr>
      </w:pPr>
      <w:bookmarkStart w:id="170" w:name="_bookmark203"/>
      <w:bookmarkEnd w:id="170"/>
    </w:p>
    <w:p w14:paraId="1C34E9BD" w14:textId="77777777" w:rsidR="004C558F" w:rsidRDefault="00461887">
      <w:pPr>
        <w:pStyle w:val="Heading3"/>
        <w:numPr>
          <w:ilvl w:val="2"/>
          <w:numId w:val="16"/>
        </w:numPr>
        <w:tabs>
          <w:tab w:val="left" w:pos="959"/>
        </w:tabs>
        <w:spacing w:before="77" w:line="242" w:lineRule="auto"/>
        <w:ind w:left="959" w:right="1113"/>
        <w:jc w:val="both"/>
        <w:rPr>
          <w:color w:val="042339"/>
        </w:rPr>
      </w:pPr>
      <w:bookmarkStart w:id="171" w:name="6._The_proposed_clinical_affiliation_may"/>
      <w:bookmarkEnd w:id="171"/>
      <w:r>
        <w:rPr>
          <w:color w:val="042339"/>
        </w:rPr>
        <w:lastRenderedPageBreak/>
        <w:t>The</w:t>
      </w:r>
      <w:r>
        <w:rPr>
          <w:color w:val="042339"/>
          <w:spacing w:val="-4"/>
        </w:rPr>
        <w:t xml:space="preserve"> </w:t>
      </w:r>
      <w:r>
        <w:rPr>
          <w:color w:val="042339"/>
        </w:rPr>
        <w:t>proposed</w:t>
      </w:r>
      <w:r>
        <w:rPr>
          <w:color w:val="042339"/>
          <w:spacing w:val="-5"/>
        </w:rPr>
        <w:t xml:space="preserve"> </w:t>
      </w:r>
      <w:r>
        <w:rPr>
          <w:color w:val="042339"/>
        </w:rPr>
        <w:t>clinical</w:t>
      </w:r>
      <w:r>
        <w:rPr>
          <w:color w:val="042339"/>
          <w:spacing w:val="-3"/>
        </w:rPr>
        <w:t xml:space="preserve"> </w:t>
      </w:r>
      <w:r>
        <w:rPr>
          <w:color w:val="042339"/>
        </w:rPr>
        <w:t>affiliation</w:t>
      </w:r>
      <w:r>
        <w:rPr>
          <w:color w:val="042339"/>
          <w:spacing w:val="-3"/>
        </w:rPr>
        <w:t xml:space="preserve"> </w:t>
      </w:r>
      <w:r>
        <w:rPr>
          <w:color w:val="042339"/>
        </w:rPr>
        <w:t>may</w:t>
      </w:r>
      <w:r>
        <w:rPr>
          <w:color w:val="042339"/>
          <w:spacing w:val="-4"/>
        </w:rPr>
        <w:t xml:space="preserve"> </w:t>
      </w:r>
      <w:r>
        <w:rPr>
          <w:color w:val="042339"/>
        </w:rPr>
        <w:t>result</w:t>
      </w:r>
      <w:r>
        <w:rPr>
          <w:color w:val="042339"/>
          <w:spacing w:val="-3"/>
        </w:rPr>
        <w:t xml:space="preserve"> </w:t>
      </w:r>
      <w:r>
        <w:rPr>
          <w:color w:val="042339"/>
        </w:rPr>
        <w:t>in</w:t>
      </w:r>
      <w:r>
        <w:rPr>
          <w:color w:val="042339"/>
          <w:spacing w:val="-3"/>
        </w:rPr>
        <w:t xml:space="preserve"> </w:t>
      </w:r>
      <w:r>
        <w:rPr>
          <w:color w:val="042339"/>
        </w:rPr>
        <w:t>more</w:t>
      </w:r>
      <w:r>
        <w:rPr>
          <w:color w:val="042339"/>
          <w:spacing w:val="-4"/>
        </w:rPr>
        <w:t xml:space="preserve"> </w:t>
      </w:r>
      <w:r>
        <w:rPr>
          <w:color w:val="042339"/>
        </w:rPr>
        <w:t>patients</w:t>
      </w:r>
      <w:r>
        <w:rPr>
          <w:color w:val="042339"/>
          <w:spacing w:val="-3"/>
        </w:rPr>
        <w:t xml:space="preserve"> </w:t>
      </w:r>
      <w:r>
        <w:rPr>
          <w:color w:val="042339"/>
        </w:rPr>
        <w:t>using</w:t>
      </w:r>
      <w:r>
        <w:rPr>
          <w:color w:val="042339"/>
          <w:spacing w:val="-3"/>
        </w:rPr>
        <w:t xml:space="preserve"> </w:t>
      </w:r>
      <w:r>
        <w:rPr>
          <w:color w:val="042339"/>
        </w:rPr>
        <w:t>BILH</w:t>
      </w:r>
      <w:r>
        <w:rPr>
          <w:color w:val="042339"/>
          <w:spacing w:val="-5"/>
        </w:rPr>
        <w:t xml:space="preserve"> </w:t>
      </w:r>
      <w:r>
        <w:rPr>
          <w:color w:val="042339"/>
        </w:rPr>
        <w:t>providers for non-oncology care, on which BILH providers generally perform comparably to statewide average across most metrics.</w:t>
      </w:r>
    </w:p>
    <w:p w14:paraId="1C34E9BE" w14:textId="77777777" w:rsidR="004C558F" w:rsidRDefault="004C558F">
      <w:pPr>
        <w:pStyle w:val="BodyText"/>
        <w:spacing w:before="65"/>
        <w:rPr>
          <w:rFonts w:ascii="Franklin Gothic Medium"/>
          <w:sz w:val="26"/>
        </w:rPr>
      </w:pPr>
    </w:p>
    <w:p w14:paraId="1C34E9BF" w14:textId="6BA541B4" w:rsidR="004C558F" w:rsidRDefault="00461887">
      <w:pPr>
        <w:pStyle w:val="BodyText"/>
        <w:spacing w:line="276" w:lineRule="auto"/>
        <w:ind w:left="959" w:right="1034" w:firstLine="720"/>
      </w:pPr>
      <w:r>
        <w:t>Under the proposed clinical affiliation, a DFCI medical oncologist would operate as the care team lead for DFCI patients, coordinating care for services delivered at DFCI as well as surgical</w:t>
      </w:r>
      <w:r>
        <w:rPr>
          <w:spacing w:val="-1"/>
        </w:rPr>
        <w:t xml:space="preserve"> </w:t>
      </w:r>
      <w:r>
        <w:t>and non-oncology</w:t>
      </w:r>
      <w:r>
        <w:rPr>
          <w:spacing w:val="-1"/>
        </w:rPr>
        <w:t xml:space="preserve"> </w:t>
      </w:r>
      <w:r>
        <w:t>specialty services that would be delivered at</w:t>
      </w:r>
      <w:r>
        <w:rPr>
          <w:spacing w:val="-1"/>
        </w:rPr>
        <w:t xml:space="preserve"> </w:t>
      </w:r>
      <w:r>
        <w:t xml:space="preserve">BIDMC, </w:t>
      </w:r>
      <w:proofErr w:type="gramStart"/>
      <w:r>
        <w:t>similar to</w:t>
      </w:r>
      <w:proofErr w:type="gramEnd"/>
      <w:r>
        <w:t xml:space="preserve"> DFCI’s current clinical arrangement with BWH. The parties also expect DFCI to join BILH’s electronic medical</w:t>
      </w:r>
      <w:r>
        <w:rPr>
          <w:spacing w:val="-4"/>
        </w:rPr>
        <w:t xml:space="preserve"> </w:t>
      </w:r>
      <w:r>
        <w:t>record</w:t>
      </w:r>
      <w:r>
        <w:rPr>
          <w:spacing w:val="-5"/>
        </w:rPr>
        <w:t xml:space="preserve"> </w:t>
      </w:r>
      <w:r>
        <w:t>system.</w:t>
      </w:r>
      <w:r>
        <w:rPr>
          <w:spacing w:val="-6"/>
        </w:rPr>
        <w:t xml:space="preserve"> </w:t>
      </w:r>
      <w:r>
        <w:t>Given</w:t>
      </w:r>
      <w:r>
        <w:rPr>
          <w:spacing w:val="-3"/>
        </w:rPr>
        <w:t xml:space="preserve"> </w:t>
      </w:r>
      <w:r>
        <w:t>this</w:t>
      </w:r>
      <w:r>
        <w:rPr>
          <w:spacing w:val="-5"/>
        </w:rPr>
        <w:t xml:space="preserve"> </w:t>
      </w:r>
      <w:r>
        <w:t>expected</w:t>
      </w:r>
      <w:r>
        <w:rPr>
          <w:spacing w:val="-2"/>
        </w:rPr>
        <w:t xml:space="preserve"> </w:t>
      </w:r>
      <w:r>
        <w:t>preferred</w:t>
      </w:r>
      <w:r>
        <w:rPr>
          <w:spacing w:val="-2"/>
        </w:rPr>
        <w:t xml:space="preserve"> </w:t>
      </w:r>
      <w:r>
        <w:t>provider</w:t>
      </w:r>
      <w:r>
        <w:rPr>
          <w:spacing w:val="-4"/>
        </w:rPr>
        <w:t xml:space="preserve"> </w:t>
      </w:r>
      <w:r>
        <w:t>relationship,</w:t>
      </w:r>
      <w:r>
        <w:rPr>
          <w:spacing w:val="-3"/>
        </w:rPr>
        <w:t xml:space="preserve"> </w:t>
      </w:r>
      <w:r>
        <w:t>the</w:t>
      </w:r>
      <w:r>
        <w:rPr>
          <w:spacing w:val="-3"/>
        </w:rPr>
        <w:t xml:space="preserve"> </w:t>
      </w:r>
      <w:r>
        <w:t>EMR</w:t>
      </w:r>
      <w:r>
        <w:rPr>
          <w:spacing w:val="-4"/>
        </w:rPr>
        <w:t xml:space="preserve"> </w:t>
      </w:r>
      <w:r>
        <w:t>integration, and BILH’s stated goal of managing patient care across its entire system,</w:t>
      </w:r>
      <w:r>
        <w:rPr>
          <w:spacing w:val="-33"/>
        </w:rPr>
        <w:t xml:space="preserve"> </w:t>
      </w:r>
      <w:r w:rsidR="003D6FCB">
        <w:rPr>
          <w:rStyle w:val="FootnoteReference"/>
          <w:spacing w:val="-33"/>
        </w:rPr>
        <w:footnoteReference w:id="178"/>
      </w:r>
      <w:r>
        <w:t>the proposed affiliation may result in more patients associated with DFCI receiving non-oncology care from other BILH hospitals and providers.</w:t>
      </w:r>
    </w:p>
    <w:p w14:paraId="1C34E9C0" w14:textId="77777777" w:rsidR="004C558F" w:rsidRDefault="004C558F">
      <w:pPr>
        <w:pStyle w:val="BodyText"/>
        <w:spacing w:before="38"/>
      </w:pPr>
    </w:p>
    <w:p w14:paraId="1C34E9C1" w14:textId="6A85192F" w:rsidR="004C558F" w:rsidRDefault="00461887">
      <w:pPr>
        <w:pStyle w:val="BodyText"/>
        <w:spacing w:line="276" w:lineRule="auto"/>
        <w:ind w:left="959" w:right="1009" w:firstLine="720"/>
      </w:pPr>
      <w:r>
        <w:t>To assess the potential impact of non-oncology care delivery shifts for DFCI patients towards BIDMC and BILH community hospitals, the HPC reviewed a broad set of outpatient and inpatient</w:t>
      </w:r>
      <w:r>
        <w:rPr>
          <w:spacing w:val="-1"/>
        </w:rPr>
        <w:t xml:space="preserve"> </w:t>
      </w:r>
      <w:r>
        <w:t>quality</w:t>
      </w:r>
      <w:r>
        <w:rPr>
          <w:spacing w:val="-1"/>
        </w:rPr>
        <w:t xml:space="preserve"> </w:t>
      </w:r>
      <w:r>
        <w:t>metrics.</w:t>
      </w:r>
      <w:r>
        <w:rPr>
          <w:spacing w:val="-3"/>
        </w:rPr>
        <w:t xml:space="preserve"> </w:t>
      </w:r>
      <w:r>
        <w:t>Our</w:t>
      </w:r>
      <w:r>
        <w:rPr>
          <w:spacing w:val="-1"/>
        </w:rPr>
        <w:t xml:space="preserve"> </w:t>
      </w:r>
      <w:r>
        <w:t>assessment</w:t>
      </w:r>
      <w:r>
        <w:rPr>
          <w:spacing w:val="-1"/>
        </w:rPr>
        <w:t xml:space="preserve"> </w:t>
      </w:r>
      <w:r>
        <w:t>included</w:t>
      </w:r>
      <w:r>
        <w:rPr>
          <w:spacing w:val="-2"/>
        </w:rPr>
        <w:t xml:space="preserve"> </w:t>
      </w:r>
      <w:r>
        <w:t>a review</w:t>
      </w:r>
      <w:r>
        <w:rPr>
          <w:spacing w:val="-1"/>
        </w:rPr>
        <w:t xml:space="preserve"> </w:t>
      </w:r>
      <w:r>
        <w:t>of 18 CMS</w:t>
      </w:r>
      <w:r>
        <w:rPr>
          <w:spacing w:val="-1"/>
        </w:rPr>
        <w:t xml:space="preserve"> </w:t>
      </w:r>
      <w:r>
        <w:t>Hospital</w:t>
      </w:r>
      <w:r>
        <w:rPr>
          <w:spacing w:val="-1"/>
        </w:rPr>
        <w:t xml:space="preserve"> </w:t>
      </w:r>
      <w:r>
        <w:t>Compare metrics and 41 AHRQ mortality and patient safety metrics assessing patient experience, timely and effective</w:t>
      </w:r>
      <w:r>
        <w:rPr>
          <w:spacing w:val="-1"/>
        </w:rPr>
        <w:t xml:space="preserve"> </w:t>
      </w:r>
      <w:r>
        <w:t>care,</w:t>
      </w:r>
      <w:r>
        <w:rPr>
          <w:spacing w:val="-1"/>
        </w:rPr>
        <w:t xml:space="preserve"> </w:t>
      </w:r>
      <w:r>
        <w:t>mortality</w:t>
      </w:r>
      <w:r>
        <w:rPr>
          <w:spacing w:val="-2"/>
        </w:rPr>
        <w:t xml:space="preserve"> </w:t>
      </w:r>
      <w:r>
        <w:t>and patient</w:t>
      </w:r>
      <w:r>
        <w:rPr>
          <w:spacing w:val="-2"/>
        </w:rPr>
        <w:t xml:space="preserve"> </w:t>
      </w:r>
      <w:r>
        <w:t>safety,</w:t>
      </w:r>
      <w:r>
        <w:rPr>
          <w:spacing w:val="-1"/>
        </w:rPr>
        <w:t xml:space="preserve"> </w:t>
      </w:r>
      <w:r>
        <w:t>and unplanned</w:t>
      </w:r>
      <w:r>
        <w:rPr>
          <w:spacing w:val="-3"/>
        </w:rPr>
        <w:t xml:space="preserve"> </w:t>
      </w:r>
      <w:r>
        <w:t>hospital</w:t>
      </w:r>
      <w:r>
        <w:rPr>
          <w:spacing w:val="-2"/>
        </w:rPr>
        <w:t xml:space="preserve"> </w:t>
      </w:r>
      <w:r>
        <w:t>visits.</w:t>
      </w:r>
      <w:r w:rsidR="003D6FCB">
        <w:rPr>
          <w:rStyle w:val="FootnoteReference"/>
        </w:rPr>
        <w:footnoteReference w:id="179"/>
      </w:r>
      <w:r>
        <w:rPr>
          <w:spacing w:val="19"/>
          <w:position w:val="5"/>
          <w:sz w:val="14"/>
        </w:rPr>
        <w:t xml:space="preserve"> </w:t>
      </w:r>
      <w:r>
        <w:t>We</w:t>
      </w:r>
      <w:r>
        <w:rPr>
          <w:spacing w:val="-1"/>
        </w:rPr>
        <w:t xml:space="preserve"> </w:t>
      </w:r>
      <w:r>
        <w:t>also</w:t>
      </w:r>
      <w:r>
        <w:rPr>
          <w:spacing w:val="-1"/>
        </w:rPr>
        <w:t xml:space="preserve"> </w:t>
      </w:r>
      <w:r>
        <w:t>reviewed</w:t>
      </w:r>
      <w:r>
        <w:rPr>
          <w:spacing w:val="-3"/>
        </w:rPr>
        <w:t xml:space="preserve"> </w:t>
      </w:r>
      <w:r>
        <w:t>14 HEDIS</w:t>
      </w:r>
      <w:r>
        <w:rPr>
          <w:spacing w:val="-1"/>
        </w:rPr>
        <w:t xml:space="preserve"> </w:t>
      </w:r>
      <w:r>
        <w:t>measures</w:t>
      </w:r>
      <w:r>
        <w:rPr>
          <w:spacing w:val="-2"/>
        </w:rPr>
        <w:t xml:space="preserve"> </w:t>
      </w:r>
      <w:r>
        <w:t>and 9 patient</w:t>
      </w:r>
      <w:r>
        <w:rPr>
          <w:spacing w:val="-1"/>
        </w:rPr>
        <w:t xml:space="preserve"> </w:t>
      </w:r>
      <w:r>
        <w:t>experience measures for</w:t>
      </w:r>
      <w:r>
        <w:rPr>
          <w:spacing w:val="-3"/>
        </w:rPr>
        <w:t xml:space="preserve"> </w:t>
      </w:r>
      <w:r>
        <w:t>BILH</w:t>
      </w:r>
      <w:r>
        <w:rPr>
          <w:spacing w:val="-1"/>
        </w:rPr>
        <w:t xml:space="preserve"> </w:t>
      </w:r>
      <w:r>
        <w:t>primary</w:t>
      </w:r>
      <w:r>
        <w:rPr>
          <w:spacing w:val="-1"/>
        </w:rPr>
        <w:t xml:space="preserve"> </w:t>
      </w:r>
      <w:r>
        <w:t>care physicians. All</w:t>
      </w:r>
      <w:r>
        <w:rPr>
          <w:spacing w:val="-1"/>
        </w:rPr>
        <w:t xml:space="preserve"> </w:t>
      </w:r>
      <w:r>
        <w:t>metrics were analyzed in relation to statewide performance levels.</w:t>
      </w:r>
      <w:r>
        <w:rPr>
          <w:spacing w:val="-33"/>
        </w:rPr>
        <w:t xml:space="preserve"> </w:t>
      </w:r>
      <w:r w:rsidR="003D6FCB">
        <w:rPr>
          <w:rStyle w:val="FootnoteReference"/>
          <w:spacing w:val="-33"/>
        </w:rPr>
        <w:footnoteReference w:id="180"/>
      </w:r>
      <w:r>
        <w:t>BILH hospitals and providers generally perform at or above statewide average performance, with some variation by hospital and metric. Full details of the HPC’s analysis of these non-oncology metrics for BILH providers is available in Section D of the Data Appendix.</w:t>
      </w:r>
    </w:p>
    <w:p w14:paraId="1C34E9C2" w14:textId="77777777" w:rsidR="004C558F" w:rsidRDefault="004C558F">
      <w:pPr>
        <w:pStyle w:val="BodyText"/>
        <w:spacing w:before="38"/>
      </w:pPr>
    </w:p>
    <w:p w14:paraId="1C34E9C3" w14:textId="77777777" w:rsidR="004C558F" w:rsidRDefault="00461887">
      <w:pPr>
        <w:ind w:left="5311"/>
      </w:pPr>
      <w:r>
        <w:rPr>
          <w:spacing w:val="-5"/>
        </w:rPr>
        <w:t>***</w:t>
      </w:r>
    </w:p>
    <w:p w14:paraId="1C34E9C4" w14:textId="77777777" w:rsidR="004C558F" w:rsidRDefault="00461887">
      <w:pPr>
        <w:pStyle w:val="BodyText"/>
        <w:spacing w:before="37" w:line="276" w:lineRule="auto"/>
        <w:ind w:left="960" w:right="1034" w:firstLine="719"/>
      </w:pPr>
      <w:r>
        <w:t>In summary, DFCI and BIDMC are internationally recognized for their oncology care and have historically generally performed comparably to statewide averages on available oncology care quality metrics. Research suggests that hospitals with specialized oncology care offerings achieve</w:t>
      </w:r>
      <w:r>
        <w:rPr>
          <w:spacing w:val="-3"/>
        </w:rPr>
        <w:t xml:space="preserve"> </w:t>
      </w:r>
      <w:r>
        <w:t>superior</w:t>
      </w:r>
      <w:r>
        <w:rPr>
          <w:spacing w:val="-4"/>
        </w:rPr>
        <w:t xml:space="preserve"> </w:t>
      </w:r>
      <w:r>
        <w:t>outcomes</w:t>
      </w:r>
      <w:r>
        <w:rPr>
          <w:spacing w:val="-3"/>
        </w:rPr>
        <w:t xml:space="preserve"> </w:t>
      </w:r>
      <w:r>
        <w:t>for</w:t>
      </w:r>
      <w:r>
        <w:rPr>
          <w:spacing w:val="-4"/>
        </w:rPr>
        <w:t xml:space="preserve"> </w:t>
      </w:r>
      <w:r>
        <w:t>their</w:t>
      </w:r>
      <w:r>
        <w:rPr>
          <w:spacing w:val="-4"/>
        </w:rPr>
        <w:t xml:space="preserve"> </w:t>
      </w:r>
      <w:r>
        <w:t>patients,</w:t>
      </w:r>
      <w:r>
        <w:rPr>
          <w:spacing w:val="-5"/>
        </w:rPr>
        <w:t xml:space="preserve"> </w:t>
      </w:r>
      <w:r>
        <w:t>although</w:t>
      </w:r>
      <w:r>
        <w:rPr>
          <w:spacing w:val="-3"/>
        </w:rPr>
        <w:t xml:space="preserve"> </w:t>
      </w:r>
      <w:r>
        <w:t>these</w:t>
      </w:r>
      <w:r>
        <w:rPr>
          <w:spacing w:val="-3"/>
        </w:rPr>
        <w:t xml:space="preserve"> </w:t>
      </w:r>
      <w:r>
        <w:t>findings</w:t>
      </w:r>
      <w:r>
        <w:rPr>
          <w:spacing w:val="-4"/>
        </w:rPr>
        <w:t xml:space="preserve"> </w:t>
      </w:r>
      <w:r>
        <w:t>do</w:t>
      </w:r>
      <w:r>
        <w:rPr>
          <w:spacing w:val="-4"/>
        </w:rPr>
        <w:t xml:space="preserve"> </w:t>
      </w:r>
      <w:r>
        <w:t>not</w:t>
      </w:r>
      <w:r>
        <w:rPr>
          <w:spacing w:val="-4"/>
        </w:rPr>
        <w:t xml:space="preserve"> </w:t>
      </w:r>
      <w:r>
        <w:t>necessarily</w:t>
      </w:r>
      <w:r>
        <w:rPr>
          <w:spacing w:val="-4"/>
        </w:rPr>
        <w:t xml:space="preserve"> </w:t>
      </w:r>
      <w:r>
        <w:t>indicate</w:t>
      </w:r>
    </w:p>
    <w:p w14:paraId="1C34E9C5" w14:textId="265E58DE" w:rsidR="004C558F" w:rsidRDefault="004C558F">
      <w:pPr>
        <w:pStyle w:val="BodyText"/>
        <w:spacing w:before="99"/>
        <w:rPr>
          <w:sz w:val="20"/>
        </w:rPr>
      </w:pPr>
    </w:p>
    <w:p w14:paraId="1C34E9CA" w14:textId="77777777" w:rsidR="004C558F" w:rsidRDefault="004C558F">
      <w:pPr>
        <w:rPr>
          <w:sz w:val="20"/>
        </w:rPr>
        <w:sectPr w:rsidR="004C558F">
          <w:pgSz w:w="12240" w:h="15840"/>
          <w:pgMar w:top="1360" w:right="740" w:bottom="720" w:left="480" w:header="0" w:footer="521" w:gutter="0"/>
          <w:cols w:space="720"/>
        </w:sectPr>
      </w:pPr>
      <w:bookmarkStart w:id="172" w:name="_bookmark206"/>
      <w:bookmarkStart w:id="173" w:name="_bookmark208"/>
      <w:bookmarkEnd w:id="172"/>
      <w:bookmarkEnd w:id="173"/>
    </w:p>
    <w:p w14:paraId="1C34E9CB" w14:textId="77777777" w:rsidR="004C558F" w:rsidRDefault="00461887">
      <w:pPr>
        <w:pStyle w:val="BodyText"/>
        <w:spacing w:before="80" w:line="276" w:lineRule="auto"/>
        <w:ind w:left="959" w:right="1009"/>
      </w:pPr>
      <w:proofErr w:type="gramStart"/>
      <w:r>
        <w:lastRenderedPageBreak/>
        <w:t>the</w:t>
      </w:r>
      <w:proofErr w:type="gramEnd"/>
      <w:r>
        <w:t xml:space="preserve"> transaction would result in higher quality care than that currently provided by the parties. The parties have emphasized several aspects of their plans designed to improve care quality, including</w:t>
      </w:r>
      <w:r>
        <w:rPr>
          <w:spacing w:val="-3"/>
        </w:rPr>
        <w:t xml:space="preserve"> </w:t>
      </w:r>
      <w:r>
        <w:t>their</w:t>
      </w:r>
      <w:r>
        <w:rPr>
          <w:spacing w:val="-5"/>
        </w:rPr>
        <w:t xml:space="preserve"> </w:t>
      </w:r>
      <w:r>
        <w:t>stated</w:t>
      </w:r>
      <w:r>
        <w:rPr>
          <w:spacing w:val="-1"/>
        </w:rPr>
        <w:t xml:space="preserve"> </w:t>
      </w:r>
      <w:r>
        <w:t>intention</w:t>
      </w:r>
      <w:r>
        <w:rPr>
          <w:spacing w:val="-2"/>
        </w:rPr>
        <w:t xml:space="preserve"> </w:t>
      </w:r>
      <w:r>
        <w:t>to</w:t>
      </w:r>
      <w:r>
        <w:rPr>
          <w:spacing w:val="-2"/>
        </w:rPr>
        <w:t xml:space="preserve"> </w:t>
      </w:r>
      <w:r>
        <w:t>integrate</w:t>
      </w:r>
      <w:r>
        <w:rPr>
          <w:spacing w:val="-2"/>
        </w:rPr>
        <w:t xml:space="preserve"> </w:t>
      </w:r>
      <w:r>
        <w:t>and</w:t>
      </w:r>
      <w:r>
        <w:rPr>
          <w:spacing w:val="-4"/>
        </w:rPr>
        <w:t xml:space="preserve"> </w:t>
      </w:r>
      <w:r>
        <w:t>expand</w:t>
      </w:r>
      <w:r>
        <w:rPr>
          <w:spacing w:val="-3"/>
        </w:rPr>
        <w:t xml:space="preserve"> </w:t>
      </w:r>
      <w:r>
        <w:t>existing</w:t>
      </w:r>
      <w:r>
        <w:rPr>
          <w:spacing w:val="-5"/>
        </w:rPr>
        <w:t xml:space="preserve"> </w:t>
      </w:r>
      <w:r>
        <w:t>care</w:t>
      </w:r>
      <w:r>
        <w:rPr>
          <w:spacing w:val="-4"/>
        </w:rPr>
        <w:t xml:space="preserve"> </w:t>
      </w:r>
      <w:r>
        <w:t>delivery</w:t>
      </w:r>
      <w:r>
        <w:rPr>
          <w:spacing w:val="-3"/>
        </w:rPr>
        <w:t xml:space="preserve"> </w:t>
      </w:r>
      <w:r>
        <w:t>initiatives,</w:t>
      </w:r>
      <w:r>
        <w:rPr>
          <w:spacing w:val="-2"/>
        </w:rPr>
        <w:t xml:space="preserve"> </w:t>
      </w:r>
      <w:r>
        <w:t>as</w:t>
      </w:r>
      <w:r>
        <w:rPr>
          <w:spacing w:val="-2"/>
        </w:rPr>
        <w:t xml:space="preserve"> </w:t>
      </w:r>
      <w:r>
        <w:t>well</w:t>
      </w:r>
      <w:r>
        <w:rPr>
          <w:spacing w:val="-5"/>
        </w:rPr>
        <w:t xml:space="preserve"> </w:t>
      </w:r>
      <w:r>
        <w:t>as quality benefits DFCI expects to realize by building its new facility. These plans have the potential to improve clinical quality but are not sufficiently developed for the HPC to be able to assess the likelihood of their specific impacts.</w:t>
      </w:r>
    </w:p>
    <w:p w14:paraId="1C34E9CC" w14:textId="77777777" w:rsidR="004C558F" w:rsidRDefault="004C558F">
      <w:pPr>
        <w:pStyle w:val="BodyText"/>
        <w:spacing w:before="37"/>
      </w:pPr>
    </w:p>
    <w:p w14:paraId="1C34E9CD" w14:textId="77777777" w:rsidR="004C558F" w:rsidRDefault="00461887">
      <w:pPr>
        <w:pStyle w:val="BodyText"/>
        <w:spacing w:line="276" w:lineRule="auto"/>
        <w:ind w:left="960" w:right="995" w:firstLine="720"/>
      </w:pPr>
      <w:r>
        <w:t>The proposed transaction also carries the risk of disruptions to care continuity for patients, especially those who may shift to a new medical oncologist. The parties would need to develop</w:t>
      </w:r>
      <w:r>
        <w:rPr>
          <w:spacing w:val="-3"/>
        </w:rPr>
        <w:t xml:space="preserve"> </w:t>
      </w:r>
      <w:r>
        <w:t>robust</w:t>
      </w:r>
      <w:r>
        <w:rPr>
          <w:spacing w:val="-3"/>
        </w:rPr>
        <w:t xml:space="preserve"> </w:t>
      </w:r>
      <w:r>
        <w:t>plans</w:t>
      </w:r>
      <w:r>
        <w:rPr>
          <w:spacing w:val="-2"/>
        </w:rPr>
        <w:t xml:space="preserve"> </w:t>
      </w:r>
      <w:r>
        <w:t>to</w:t>
      </w:r>
      <w:r>
        <w:rPr>
          <w:spacing w:val="-4"/>
        </w:rPr>
        <w:t xml:space="preserve"> </w:t>
      </w:r>
      <w:r>
        <w:t>avoid</w:t>
      </w:r>
      <w:r>
        <w:rPr>
          <w:spacing w:val="-1"/>
        </w:rPr>
        <w:t xml:space="preserve"> </w:t>
      </w:r>
      <w:r>
        <w:t>care</w:t>
      </w:r>
      <w:r>
        <w:rPr>
          <w:spacing w:val="-4"/>
        </w:rPr>
        <w:t xml:space="preserve"> </w:t>
      </w:r>
      <w:r>
        <w:t>disruptions</w:t>
      </w:r>
      <w:r>
        <w:rPr>
          <w:spacing w:val="-4"/>
        </w:rPr>
        <w:t xml:space="preserve"> </w:t>
      </w:r>
      <w:r>
        <w:t>for</w:t>
      </w:r>
      <w:r>
        <w:rPr>
          <w:spacing w:val="-3"/>
        </w:rPr>
        <w:t xml:space="preserve"> </w:t>
      </w:r>
      <w:r>
        <w:t>impacted</w:t>
      </w:r>
      <w:r>
        <w:rPr>
          <w:spacing w:val="-1"/>
        </w:rPr>
        <w:t xml:space="preserve"> </w:t>
      </w:r>
      <w:r>
        <w:t>patients</w:t>
      </w:r>
      <w:r>
        <w:rPr>
          <w:spacing w:val="-2"/>
        </w:rPr>
        <w:t xml:space="preserve"> </w:t>
      </w:r>
      <w:r>
        <w:t>and</w:t>
      </w:r>
      <w:r>
        <w:rPr>
          <w:spacing w:val="-4"/>
        </w:rPr>
        <w:t xml:space="preserve"> </w:t>
      </w:r>
      <w:r>
        <w:t>should</w:t>
      </w:r>
      <w:r>
        <w:rPr>
          <w:spacing w:val="-1"/>
        </w:rPr>
        <w:t xml:space="preserve"> </w:t>
      </w:r>
      <w:r>
        <w:t>be</w:t>
      </w:r>
      <w:r>
        <w:rPr>
          <w:spacing w:val="-2"/>
        </w:rPr>
        <w:t xml:space="preserve"> </w:t>
      </w:r>
      <w:r>
        <w:t>called</w:t>
      </w:r>
      <w:r>
        <w:rPr>
          <w:spacing w:val="-4"/>
        </w:rPr>
        <w:t xml:space="preserve"> </w:t>
      </w:r>
      <w:r>
        <w:t>upon</w:t>
      </w:r>
      <w:r>
        <w:rPr>
          <w:spacing w:val="-2"/>
        </w:rPr>
        <w:t xml:space="preserve"> </w:t>
      </w:r>
      <w:r>
        <w:t>to report on their progress in developing and implementing these plans if the transaction proceeds.</w:t>
      </w:r>
    </w:p>
    <w:p w14:paraId="1C34E9CE" w14:textId="77777777" w:rsidR="004C558F" w:rsidRDefault="004C558F">
      <w:pPr>
        <w:pStyle w:val="BodyText"/>
        <w:spacing w:before="36"/>
      </w:pPr>
    </w:p>
    <w:p w14:paraId="1C34E9CF" w14:textId="77777777" w:rsidR="004C558F" w:rsidRDefault="00461887">
      <w:pPr>
        <w:pStyle w:val="BodyText"/>
        <w:spacing w:line="276" w:lineRule="auto"/>
        <w:ind w:left="960" w:right="891" w:firstLine="720"/>
      </w:pPr>
      <w:r>
        <w:t>Finally,</w:t>
      </w:r>
      <w:r>
        <w:rPr>
          <w:spacing w:val="-2"/>
        </w:rPr>
        <w:t xml:space="preserve"> </w:t>
      </w:r>
      <w:r>
        <w:t>the</w:t>
      </w:r>
      <w:r>
        <w:rPr>
          <w:spacing w:val="-2"/>
        </w:rPr>
        <w:t xml:space="preserve"> </w:t>
      </w:r>
      <w:r>
        <w:t>proposed</w:t>
      </w:r>
      <w:r>
        <w:rPr>
          <w:spacing w:val="-1"/>
        </w:rPr>
        <w:t xml:space="preserve"> </w:t>
      </w:r>
      <w:r>
        <w:t>clinical</w:t>
      </w:r>
      <w:r>
        <w:rPr>
          <w:spacing w:val="-3"/>
        </w:rPr>
        <w:t xml:space="preserve"> </w:t>
      </w:r>
      <w:r>
        <w:t>affiliation</w:t>
      </w:r>
      <w:r>
        <w:rPr>
          <w:spacing w:val="-4"/>
        </w:rPr>
        <w:t xml:space="preserve"> </w:t>
      </w:r>
      <w:r>
        <w:t>may</w:t>
      </w:r>
      <w:r>
        <w:rPr>
          <w:spacing w:val="-3"/>
        </w:rPr>
        <w:t xml:space="preserve"> </w:t>
      </w:r>
      <w:r>
        <w:t>result</w:t>
      </w:r>
      <w:r>
        <w:rPr>
          <w:spacing w:val="-3"/>
        </w:rPr>
        <w:t xml:space="preserve"> </w:t>
      </w:r>
      <w:r>
        <w:t>in</w:t>
      </w:r>
      <w:r>
        <w:rPr>
          <w:spacing w:val="-4"/>
        </w:rPr>
        <w:t xml:space="preserve"> </w:t>
      </w:r>
      <w:r>
        <w:t>more</w:t>
      </w:r>
      <w:r>
        <w:rPr>
          <w:spacing w:val="-2"/>
        </w:rPr>
        <w:t xml:space="preserve"> </w:t>
      </w:r>
      <w:r>
        <w:t>patients</w:t>
      </w:r>
      <w:r>
        <w:rPr>
          <w:spacing w:val="-4"/>
        </w:rPr>
        <w:t xml:space="preserve"> </w:t>
      </w:r>
      <w:r>
        <w:t>using</w:t>
      </w:r>
      <w:r>
        <w:rPr>
          <w:spacing w:val="-5"/>
        </w:rPr>
        <w:t xml:space="preserve"> </w:t>
      </w:r>
      <w:r>
        <w:t>BIDMC</w:t>
      </w:r>
      <w:r>
        <w:rPr>
          <w:spacing w:val="-3"/>
        </w:rPr>
        <w:t xml:space="preserve"> </w:t>
      </w:r>
      <w:r>
        <w:t>or</w:t>
      </w:r>
      <w:r>
        <w:rPr>
          <w:spacing w:val="-3"/>
        </w:rPr>
        <w:t xml:space="preserve"> </w:t>
      </w:r>
      <w:r>
        <w:t>other BILH providers for their non-oncology care; the HPC did not identify quality concerns related to these potential shifts, as BILH providers generally perform comparably to statewide average performance on general quality metrics.</w:t>
      </w:r>
    </w:p>
    <w:p w14:paraId="1C34E9D0" w14:textId="77777777" w:rsidR="004C558F" w:rsidRDefault="004C558F">
      <w:pPr>
        <w:pStyle w:val="BodyText"/>
        <w:spacing w:before="200"/>
      </w:pPr>
    </w:p>
    <w:p w14:paraId="1C34E9D1" w14:textId="77777777" w:rsidR="004C558F" w:rsidRDefault="00461887">
      <w:pPr>
        <w:pStyle w:val="Heading2"/>
        <w:numPr>
          <w:ilvl w:val="1"/>
          <w:numId w:val="16"/>
        </w:numPr>
        <w:tabs>
          <w:tab w:val="left" w:pos="959"/>
        </w:tabs>
        <w:ind w:left="959" w:hanging="359"/>
        <w:rPr>
          <w:color w:val="063656"/>
        </w:rPr>
      </w:pPr>
      <w:bookmarkStart w:id="174" w:name="C._Access_to_and_Equity_of_Care"/>
      <w:bookmarkStart w:id="175" w:name="_bookmark209"/>
      <w:bookmarkEnd w:id="174"/>
      <w:bookmarkEnd w:id="175"/>
      <w:r>
        <w:rPr>
          <w:color w:val="063656"/>
        </w:rPr>
        <w:t>Access</w:t>
      </w:r>
      <w:r>
        <w:rPr>
          <w:color w:val="063656"/>
          <w:spacing w:val="-3"/>
        </w:rPr>
        <w:t xml:space="preserve"> </w:t>
      </w:r>
      <w:r>
        <w:rPr>
          <w:color w:val="063656"/>
        </w:rPr>
        <w:t>to</w:t>
      </w:r>
      <w:r>
        <w:rPr>
          <w:color w:val="063656"/>
          <w:spacing w:val="-3"/>
        </w:rPr>
        <w:t xml:space="preserve"> </w:t>
      </w:r>
      <w:r>
        <w:rPr>
          <w:color w:val="063656"/>
        </w:rPr>
        <w:t>and</w:t>
      </w:r>
      <w:r>
        <w:rPr>
          <w:color w:val="063656"/>
          <w:spacing w:val="-3"/>
        </w:rPr>
        <w:t xml:space="preserve"> </w:t>
      </w:r>
      <w:r>
        <w:rPr>
          <w:color w:val="063656"/>
        </w:rPr>
        <w:t>Equity</w:t>
      </w:r>
      <w:r>
        <w:rPr>
          <w:color w:val="063656"/>
          <w:spacing w:val="-2"/>
        </w:rPr>
        <w:t xml:space="preserve"> </w:t>
      </w:r>
      <w:r>
        <w:rPr>
          <w:color w:val="063656"/>
        </w:rPr>
        <w:t>of</w:t>
      </w:r>
      <w:r>
        <w:rPr>
          <w:color w:val="063656"/>
          <w:spacing w:val="-3"/>
        </w:rPr>
        <w:t xml:space="preserve"> </w:t>
      </w:r>
      <w:r>
        <w:rPr>
          <w:color w:val="063656"/>
          <w:spacing w:val="-4"/>
        </w:rPr>
        <w:t>Care</w:t>
      </w:r>
    </w:p>
    <w:p w14:paraId="1C34E9D2" w14:textId="77777777" w:rsidR="004C558F" w:rsidRDefault="004C558F">
      <w:pPr>
        <w:pStyle w:val="BodyText"/>
        <w:spacing w:before="94"/>
        <w:rPr>
          <w:rFonts w:ascii="Franklin Gothic Medium"/>
          <w:sz w:val="28"/>
        </w:rPr>
      </w:pPr>
    </w:p>
    <w:p w14:paraId="1C34E9D3" w14:textId="683180D3" w:rsidR="004C558F" w:rsidRDefault="00461887">
      <w:pPr>
        <w:pStyle w:val="BodyText"/>
        <w:spacing w:before="1" w:line="276" w:lineRule="auto"/>
        <w:ind w:left="960" w:right="993" w:firstLine="719"/>
      </w:pPr>
      <w:r>
        <w:t>To assess factors related to access to and equity of care, we examined recent and projected trends in inpatient oncology utilization and the extent to which the parties’ proposals</w:t>
      </w:r>
      <w:r>
        <w:rPr>
          <w:spacing w:val="40"/>
        </w:rPr>
        <w:t xml:space="preserve"> </w:t>
      </w:r>
      <w:r>
        <w:t>are necessary to ensure accessibility of inpatient oncology care, reviewed the parties’ roles in serving specific patient populations, and assessed party programs designed to improve access and</w:t>
      </w:r>
      <w:r>
        <w:rPr>
          <w:spacing w:val="-4"/>
        </w:rPr>
        <w:t xml:space="preserve"> </w:t>
      </w:r>
      <w:r>
        <w:t>equitable</w:t>
      </w:r>
      <w:r>
        <w:rPr>
          <w:spacing w:val="-5"/>
        </w:rPr>
        <w:t xml:space="preserve"> </w:t>
      </w:r>
      <w:r>
        <w:t>care</w:t>
      </w:r>
      <w:r>
        <w:rPr>
          <w:spacing w:val="-4"/>
        </w:rPr>
        <w:t xml:space="preserve"> </w:t>
      </w:r>
      <w:r>
        <w:t>for</w:t>
      </w:r>
      <w:r>
        <w:rPr>
          <w:spacing w:val="-6"/>
        </w:rPr>
        <w:t xml:space="preserve"> </w:t>
      </w:r>
      <w:r>
        <w:t>oncology</w:t>
      </w:r>
      <w:r>
        <w:rPr>
          <w:spacing w:val="-3"/>
        </w:rPr>
        <w:t xml:space="preserve"> </w:t>
      </w:r>
      <w:r>
        <w:t>patients</w:t>
      </w:r>
      <w:r>
        <w:rPr>
          <w:spacing w:val="-1"/>
        </w:rPr>
        <w:t xml:space="preserve"> </w:t>
      </w:r>
      <w:r>
        <w:t>and</w:t>
      </w:r>
      <w:r>
        <w:rPr>
          <w:spacing w:val="-1"/>
        </w:rPr>
        <w:t xml:space="preserve"> </w:t>
      </w:r>
      <w:r>
        <w:t>the</w:t>
      </w:r>
      <w:r>
        <w:rPr>
          <w:spacing w:val="-2"/>
        </w:rPr>
        <w:t xml:space="preserve"> </w:t>
      </w:r>
      <w:r>
        <w:t>potential</w:t>
      </w:r>
      <w:r>
        <w:rPr>
          <w:spacing w:val="-3"/>
        </w:rPr>
        <w:t xml:space="preserve"> </w:t>
      </w:r>
      <w:r>
        <w:t>impacts</w:t>
      </w:r>
      <w:r>
        <w:rPr>
          <w:spacing w:val="-4"/>
        </w:rPr>
        <w:t xml:space="preserve"> </w:t>
      </w:r>
      <w:r>
        <w:t>of</w:t>
      </w:r>
      <w:r>
        <w:rPr>
          <w:spacing w:val="-1"/>
        </w:rPr>
        <w:t xml:space="preserve"> </w:t>
      </w:r>
      <w:r>
        <w:t>the</w:t>
      </w:r>
      <w:r>
        <w:rPr>
          <w:spacing w:val="-2"/>
        </w:rPr>
        <w:t xml:space="preserve"> </w:t>
      </w:r>
      <w:r>
        <w:t>proposed</w:t>
      </w:r>
      <w:r>
        <w:rPr>
          <w:spacing w:val="-1"/>
        </w:rPr>
        <w:t xml:space="preserve"> </w:t>
      </w:r>
      <w:r>
        <w:t>transaction</w:t>
      </w:r>
      <w:r>
        <w:rPr>
          <w:spacing w:val="-2"/>
        </w:rPr>
        <w:t xml:space="preserve"> </w:t>
      </w:r>
      <w:r>
        <w:t>on these efforts.</w:t>
      </w:r>
      <w:r w:rsidR="00587847">
        <w:rPr>
          <w:rStyle w:val="FootnoteReference"/>
        </w:rPr>
        <w:footnoteReference w:id="181"/>
      </w:r>
      <w:r>
        <w:rPr>
          <w:spacing w:val="40"/>
          <w:position w:val="5"/>
          <w:sz w:val="14"/>
        </w:rPr>
        <w:t xml:space="preserve"> </w:t>
      </w:r>
      <w:r>
        <w:t>The HPC’s findings are summarized below:</w:t>
      </w:r>
    </w:p>
    <w:p w14:paraId="1C34E9D4" w14:textId="77777777" w:rsidR="004C558F" w:rsidRDefault="004C558F">
      <w:pPr>
        <w:pStyle w:val="BodyText"/>
        <w:spacing w:before="38"/>
      </w:pPr>
    </w:p>
    <w:p w14:paraId="1C34E9D5" w14:textId="77777777" w:rsidR="004C558F" w:rsidRDefault="00461887">
      <w:pPr>
        <w:pStyle w:val="BodyText"/>
        <w:ind w:left="960"/>
      </w:pPr>
      <w:r>
        <w:t>Inpatient</w:t>
      </w:r>
      <w:r>
        <w:rPr>
          <w:spacing w:val="-6"/>
        </w:rPr>
        <w:t xml:space="preserve"> </w:t>
      </w:r>
      <w:r>
        <w:t>Oncology</w:t>
      </w:r>
      <w:r>
        <w:rPr>
          <w:spacing w:val="-6"/>
        </w:rPr>
        <w:t xml:space="preserve"> </w:t>
      </w:r>
      <w:r>
        <w:t>Utilization</w:t>
      </w:r>
      <w:r>
        <w:rPr>
          <w:spacing w:val="-5"/>
        </w:rPr>
        <w:t xml:space="preserve"> </w:t>
      </w:r>
      <w:r>
        <w:t>Trends</w:t>
      </w:r>
      <w:r>
        <w:rPr>
          <w:spacing w:val="-7"/>
        </w:rPr>
        <w:t xml:space="preserve"> </w:t>
      </w:r>
      <w:r>
        <w:t>and</w:t>
      </w:r>
      <w:r>
        <w:rPr>
          <w:spacing w:val="-3"/>
        </w:rPr>
        <w:t xml:space="preserve"> </w:t>
      </w:r>
      <w:r>
        <w:rPr>
          <w:spacing w:val="-2"/>
        </w:rPr>
        <w:t>Access</w:t>
      </w:r>
    </w:p>
    <w:p w14:paraId="1C34E9D6" w14:textId="77777777" w:rsidR="004C558F" w:rsidRDefault="00461887">
      <w:pPr>
        <w:pStyle w:val="ListParagraph"/>
        <w:numPr>
          <w:ilvl w:val="0"/>
          <w:numId w:val="9"/>
        </w:numPr>
        <w:tabs>
          <w:tab w:val="left" w:pos="1680"/>
        </w:tabs>
        <w:spacing w:before="38" w:line="276" w:lineRule="auto"/>
        <w:ind w:right="1209"/>
      </w:pPr>
      <w:r>
        <w:t>DFCI asserts that the proposed new cancer hospital is necessary to meet projected changes</w:t>
      </w:r>
      <w:r>
        <w:rPr>
          <w:spacing w:val="-3"/>
        </w:rPr>
        <w:t xml:space="preserve"> </w:t>
      </w:r>
      <w:r>
        <w:t>in</w:t>
      </w:r>
      <w:r>
        <w:rPr>
          <w:spacing w:val="-3"/>
        </w:rPr>
        <w:t xml:space="preserve"> </w:t>
      </w:r>
      <w:r>
        <w:t>oncology</w:t>
      </w:r>
      <w:r>
        <w:rPr>
          <w:spacing w:val="-6"/>
        </w:rPr>
        <w:t xml:space="preserve"> </w:t>
      </w:r>
      <w:r>
        <w:t>utilization.</w:t>
      </w:r>
      <w:r>
        <w:rPr>
          <w:spacing w:val="-3"/>
        </w:rPr>
        <w:t xml:space="preserve"> </w:t>
      </w:r>
      <w:r>
        <w:t>However,</w:t>
      </w:r>
      <w:r>
        <w:rPr>
          <w:spacing w:val="-3"/>
        </w:rPr>
        <w:t xml:space="preserve"> </w:t>
      </w:r>
      <w:r>
        <w:t>given</w:t>
      </w:r>
      <w:r>
        <w:rPr>
          <w:spacing w:val="-3"/>
        </w:rPr>
        <w:t xml:space="preserve"> </w:t>
      </w:r>
      <w:r>
        <w:t>the</w:t>
      </w:r>
      <w:r>
        <w:rPr>
          <w:spacing w:val="-5"/>
        </w:rPr>
        <w:t xml:space="preserve"> </w:t>
      </w:r>
      <w:r>
        <w:t>many</w:t>
      </w:r>
      <w:r>
        <w:rPr>
          <w:spacing w:val="-6"/>
        </w:rPr>
        <w:t xml:space="preserve"> </w:t>
      </w:r>
      <w:r>
        <w:t>factors</w:t>
      </w:r>
      <w:r>
        <w:rPr>
          <w:spacing w:val="-3"/>
        </w:rPr>
        <w:t xml:space="preserve"> </w:t>
      </w:r>
      <w:r>
        <w:t>that</w:t>
      </w:r>
      <w:r>
        <w:rPr>
          <w:spacing w:val="-4"/>
        </w:rPr>
        <w:t xml:space="preserve"> </w:t>
      </w:r>
      <w:r>
        <w:t>may</w:t>
      </w:r>
      <w:r>
        <w:rPr>
          <w:spacing w:val="-4"/>
        </w:rPr>
        <w:t xml:space="preserve"> </w:t>
      </w:r>
      <w:r>
        <w:t>impact</w:t>
      </w:r>
      <w:r>
        <w:rPr>
          <w:spacing w:val="-4"/>
        </w:rPr>
        <w:t xml:space="preserve"> </w:t>
      </w:r>
      <w:r>
        <w:t>future inpatient oncology utilization, the limits of statistical modeling, and the inability to fully assess other inpatient oncology capacity, it is unclear to what extent the proposed transaction is necessary or sufficient to ensure future access to oncology care.</w:t>
      </w:r>
    </w:p>
    <w:p w14:paraId="1C34E9D7" w14:textId="77777777" w:rsidR="004C558F" w:rsidRDefault="004C558F">
      <w:pPr>
        <w:pStyle w:val="BodyText"/>
        <w:spacing w:before="34"/>
      </w:pPr>
    </w:p>
    <w:p w14:paraId="1C34E9D8" w14:textId="77777777" w:rsidR="004C558F" w:rsidRDefault="00461887">
      <w:pPr>
        <w:pStyle w:val="BodyText"/>
        <w:ind w:left="960"/>
      </w:pPr>
      <w:r>
        <w:t>Payer</w:t>
      </w:r>
      <w:r>
        <w:rPr>
          <w:spacing w:val="-4"/>
        </w:rPr>
        <w:t xml:space="preserve"> </w:t>
      </w:r>
      <w:r>
        <w:t>Mix</w:t>
      </w:r>
      <w:r>
        <w:rPr>
          <w:spacing w:val="-3"/>
        </w:rPr>
        <w:t xml:space="preserve"> </w:t>
      </w:r>
      <w:r>
        <w:t>and</w:t>
      </w:r>
      <w:r>
        <w:rPr>
          <w:spacing w:val="-3"/>
        </w:rPr>
        <w:t xml:space="preserve"> </w:t>
      </w:r>
      <w:r>
        <w:t>Patient</w:t>
      </w:r>
      <w:r>
        <w:rPr>
          <w:spacing w:val="-3"/>
        </w:rPr>
        <w:t xml:space="preserve"> </w:t>
      </w:r>
      <w:r>
        <w:rPr>
          <w:spacing w:val="-2"/>
        </w:rPr>
        <w:t>Demographics</w:t>
      </w:r>
    </w:p>
    <w:p w14:paraId="1C34E9D9" w14:textId="77777777" w:rsidR="004C558F" w:rsidRDefault="00461887">
      <w:pPr>
        <w:pStyle w:val="ListParagraph"/>
        <w:numPr>
          <w:ilvl w:val="0"/>
          <w:numId w:val="9"/>
        </w:numPr>
        <w:tabs>
          <w:tab w:val="left" w:pos="1680"/>
        </w:tabs>
        <w:spacing w:before="36" w:line="276" w:lineRule="auto"/>
        <w:ind w:right="1019"/>
      </w:pPr>
      <w:r>
        <w:t>DFCI and BIDMC serve a larger proportion of commercially insured and Medicaid-insured oncology</w:t>
      </w:r>
      <w:r>
        <w:rPr>
          <w:spacing w:val="-3"/>
        </w:rPr>
        <w:t xml:space="preserve"> </w:t>
      </w:r>
      <w:r>
        <w:t>patients</w:t>
      </w:r>
      <w:r>
        <w:rPr>
          <w:spacing w:val="-2"/>
        </w:rPr>
        <w:t xml:space="preserve"> </w:t>
      </w:r>
      <w:r>
        <w:t>than</w:t>
      </w:r>
      <w:r>
        <w:rPr>
          <w:spacing w:val="-2"/>
        </w:rPr>
        <w:t xml:space="preserve"> </w:t>
      </w:r>
      <w:r>
        <w:t>the</w:t>
      </w:r>
      <w:r>
        <w:rPr>
          <w:spacing w:val="-2"/>
        </w:rPr>
        <w:t xml:space="preserve"> </w:t>
      </w:r>
      <w:r>
        <w:t>statewide</w:t>
      </w:r>
      <w:r>
        <w:rPr>
          <w:spacing w:val="-4"/>
        </w:rPr>
        <w:t xml:space="preserve"> </w:t>
      </w:r>
      <w:r>
        <w:t>average,</w:t>
      </w:r>
      <w:r>
        <w:rPr>
          <w:spacing w:val="-5"/>
        </w:rPr>
        <w:t xml:space="preserve"> </w:t>
      </w:r>
      <w:r>
        <w:t>and</w:t>
      </w:r>
      <w:r>
        <w:rPr>
          <w:spacing w:val="-4"/>
        </w:rPr>
        <w:t xml:space="preserve"> </w:t>
      </w:r>
      <w:r>
        <w:t>DFCI’s</w:t>
      </w:r>
      <w:r>
        <w:rPr>
          <w:spacing w:val="-4"/>
        </w:rPr>
        <w:t xml:space="preserve"> </w:t>
      </w:r>
      <w:r>
        <w:t>Medicare</w:t>
      </w:r>
      <w:r>
        <w:rPr>
          <w:spacing w:val="-2"/>
        </w:rPr>
        <w:t xml:space="preserve"> </w:t>
      </w:r>
      <w:r>
        <w:t>payer</w:t>
      </w:r>
      <w:r>
        <w:rPr>
          <w:spacing w:val="-3"/>
        </w:rPr>
        <w:t xml:space="preserve"> </w:t>
      </w:r>
      <w:r>
        <w:t>mix</w:t>
      </w:r>
      <w:r>
        <w:rPr>
          <w:spacing w:val="-2"/>
        </w:rPr>
        <w:t xml:space="preserve"> </w:t>
      </w:r>
      <w:r>
        <w:t>would</w:t>
      </w:r>
      <w:r>
        <w:rPr>
          <w:spacing w:val="-1"/>
        </w:rPr>
        <w:t xml:space="preserve"> </w:t>
      </w:r>
      <w:r>
        <w:t xml:space="preserve">likely increase somewhat </w:t>
      </w:r>
      <w:proofErr w:type="gramStart"/>
      <w:r>
        <w:t>as a result of</w:t>
      </w:r>
      <w:proofErr w:type="gramEnd"/>
      <w:r>
        <w:t xml:space="preserve"> the transaction.</w:t>
      </w:r>
    </w:p>
    <w:p w14:paraId="1C34E9DA" w14:textId="77777777" w:rsidR="004C558F" w:rsidRDefault="00461887">
      <w:pPr>
        <w:pStyle w:val="ListParagraph"/>
        <w:numPr>
          <w:ilvl w:val="0"/>
          <w:numId w:val="9"/>
        </w:numPr>
        <w:tabs>
          <w:tab w:val="left" w:pos="1680"/>
        </w:tabs>
        <w:spacing w:line="273" w:lineRule="auto"/>
        <w:ind w:right="1303"/>
      </w:pPr>
      <w:r>
        <w:t>Based</w:t>
      </w:r>
      <w:r>
        <w:rPr>
          <w:spacing w:val="-4"/>
        </w:rPr>
        <w:t xml:space="preserve"> </w:t>
      </w:r>
      <w:r>
        <w:t>on</w:t>
      </w:r>
      <w:r>
        <w:rPr>
          <w:spacing w:val="-4"/>
        </w:rPr>
        <w:t xml:space="preserve"> </w:t>
      </w:r>
      <w:r>
        <w:t>certain</w:t>
      </w:r>
      <w:r>
        <w:rPr>
          <w:spacing w:val="-3"/>
        </w:rPr>
        <w:t xml:space="preserve"> </w:t>
      </w:r>
      <w:r>
        <w:t>indicia</w:t>
      </w:r>
      <w:r>
        <w:rPr>
          <w:spacing w:val="-2"/>
        </w:rPr>
        <w:t xml:space="preserve"> </w:t>
      </w:r>
      <w:r>
        <w:t>of</w:t>
      </w:r>
      <w:r>
        <w:rPr>
          <w:spacing w:val="-2"/>
        </w:rPr>
        <w:t xml:space="preserve"> </w:t>
      </w:r>
      <w:r>
        <w:t>social</w:t>
      </w:r>
      <w:r>
        <w:rPr>
          <w:spacing w:val="-5"/>
        </w:rPr>
        <w:t xml:space="preserve"> </w:t>
      </w:r>
      <w:r>
        <w:t>need,</w:t>
      </w:r>
      <w:r>
        <w:rPr>
          <w:spacing w:val="-3"/>
        </w:rPr>
        <w:t xml:space="preserve"> </w:t>
      </w:r>
      <w:r>
        <w:t>BIDMC’s</w:t>
      </w:r>
      <w:r>
        <w:rPr>
          <w:spacing w:val="-4"/>
        </w:rPr>
        <w:t xml:space="preserve"> </w:t>
      </w:r>
      <w:r>
        <w:t>oncology</w:t>
      </w:r>
      <w:r>
        <w:rPr>
          <w:spacing w:val="-3"/>
        </w:rPr>
        <w:t xml:space="preserve"> </w:t>
      </w:r>
      <w:r>
        <w:t>patients</w:t>
      </w:r>
      <w:r>
        <w:rPr>
          <w:spacing w:val="-3"/>
        </w:rPr>
        <w:t xml:space="preserve"> </w:t>
      </w:r>
      <w:r>
        <w:t>reside</w:t>
      </w:r>
      <w:r>
        <w:rPr>
          <w:spacing w:val="-3"/>
        </w:rPr>
        <w:t xml:space="preserve"> </w:t>
      </w:r>
      <w:r>
        <w:t>in</w:t>
      </w:r>
      <w:r>
        <w:rPr>
          <w:spacing w:val="-4"/>
        </w:rPr>
        <w:t xml:space="preserve"> </w:t>
      </w:r>
      <w:r>
        <w:t>areas</w:t>
      </w:r>
      <w:r>
        <w:rPr>
          <w:spacing w:val="-3"/>
        </w:rPr>
        <w:t xml:space="preserve"> </w:t>
      </w:r>
      <w:r>
        <w:t>with greater social determinant of health burdens than DFCI’s patients.</w:t>
      </w:r>
    </w:p>
    <w:p w14:paraId="1C34E9DB" w14:textId="77777777" w:rsidR="004C558F" w:rsidRDefault="004C558F">
      <w:pPr>
        <w:pStyle w:val="BodyText"/>
        <w:rPr>
          <w:sz w:val="20"/>
        </w:rPr>
      </w:pPr>
    </w:p>
    <w:p w14:paraId="1C34E9DC" w14:textId="5BC2F820" w:rsidR="004C558F" w:rsidRDefault="004C558F">
      <w:pPr>
        <w:pStyle w:val="BodyText"/>
        <w:spacing w:before="133"/>
        <w:rPr>
          <w:sz w:val="20"/>
        </w:rPr>
      </w:pPr>
    </w:p>
    <w:p w14:paraId="1C34E9DE" w14:textId="77777777" w:rsidR="004C558F" w:rsidRDefault="004C558F">
      <w:pPr>
        <w:rPr>
          <w:sz w:val="20"/>
        </w:rPr>
        <w:sectPr w:rsidR="004C558F">
          <w:pgSz w:w="12240" w:h="15840"/>
          <w:pgMar w:top="1360" w:right="740" w:bottom="720" w:left="480" w:header="0" w:footer="521" w:gutter="0"/>
          <w:cols w:space="720"/>
        </w:sectPr>
      </w:pPr>
      <w:bookmarkStart w:id="176" w:name="_bookmark210"/>
      <w:bookmarkEnd w:id="176"/>
    </w:p>
    <w:p w14:paraId="1C34E9DF" w14:textId="77777777" w:rsidR="004C558F" w:rsidRDefault="00461887">
      <w:pPr>
        <w:pStyle w:val="ListParagraph"/>
        <w:numPr>
          <w:ilvl w:val="0"/>
          <w:numId w:val="9"/>
        </w:numPr>
        <w:tabs>
          <w:tab w:val="left" w:pos="1680"/>
        </w:tabs>
        <w:spacing w:before="79" w:line="273" w:lineRule="auto"/>
        <w:ind w:right="1046"/>
      </w:pPr>
      <w:r>
        <w:lastRenderedPageBreak/>
        <w:t>DFCI</w:t>
      </w:r>
      <w:r>
        <w:rPr>
          <w:spacing w:val="-5"/>
        </w:rPr>
        <w:t xml:space="preserve"> </w:t>
      </w:r>
      <w:r>
        <w:t>and</w:t>
      </w:r>
      <w:r>
        <w:rPr>
          <w:spacing w:val="-1"/>
        </w:rPr>
        <w:t xml:space="preserve"> </w:t>
      </w:r>
      <w:r>
        <w:t>BIDMC</w:t>
      </w:r>
      <w:r>
        <w:rPr>
          <w:spacing w:val="-3"/>
        </w:rPr>
        <w:t xml:space="preserve"> </w:t>
      </w:r>
      <w:r>
        <w:t>serve</w:t>
      </w:r>
      <w:r>
        <w:rPr>
          <w:spacing w:val="-2"/>
        </w:rPr>
        <w:t xml:space="preserve"> </w:t>
      </w:r>
      <w:r>
        <w:t>a</w:t>
      </w:r>
      <w:r>
        <w:rPr>
          <w:spacing w:val="-1"/>
        </w:rPr>
        <w:t xml:space="preserve"> </w:t>
      </w:r>
      <w:r>
        <w:t>greater</w:t>
      </w:r>
      <w:r>
        <w:rPr>
          <w:spacing w:val="-3"/>
        </w:rPr>
        <w:t xml:space="preserve"> </w:t>
      </w:r>
      <w:r>
        <w:t>proportion</w:t>
      </w:r>
      <w:r>
        <w:rPr>
          <w:spacing w:val="-4"/>
        </w:rPr>
        <w:t xml:space="preserve"> </w:t>
      </w:r>
      <w:r>
        <w:t>of</w:t>
      </w:r>
      <w:r>
        <w:rPr>
          <w:spacing w:val="-4"/>
        </w:rPr>
        <w:t xml:space="preserve"> </w:t>
      </w:r>
      <w:r>
        <w:t>BIPOC</w:t>
      </w:r>
      <w:r>
        <w:rPr>
          <w:spacing w:val="-5"/>
        </w:rPr>
        <w:t xml:space="preserve"> </w:t>
      </w:r>
      <w:r>
        <w:t>and</w:t>
      </w:r>
      <w:r>
        <w:rPr>
          <w:spacing w:val="-1"/>
        </w:rPr>
        <w:t xml:space="preserve"> </w:t>
      </w:r>
      <w:r>
        <w:t>Hispanic</w:t>
      </w:r>
      <w:r>
        <w:rPr>
          <w:spacing w:val="-4"/>
        </w:rPr>
        <w:t xml:space="preserve"> </w:t>
      </w:r>
      <w:r>
        <w:t>oncology</w:t>
      </w:r>
      <w:r>
        <w:rPr>
          <w:spacing w:val="-3"/>
        </w:rPr>
        <w:t xml:space="preserve"> </w:t>
      </w:r>
      <w:r>
        <w:t>patients</w:t>
      </w:r>
      <w:r>
        <w:rPr>
          <w:spacing w:val="-2"/>
        </w:rPr>
        <w:t xml:space="preserve"> </w:t>
      </w:r>
      <w:r>
        <w:t>than the statewide average, with BIDMC serving a particularly high proportion of Black individuals who would likely shift to the new facility.</w:t>
      </w:r>
    </w:p>
    <w:p w14:paraId="1C34E9E0" w14:textId="77777777" w:rsidR="004C558F" w:rsidRDefault="00461887">
      <w:pPr>
        <w:pStyle w:val="ListParagraph"/>
        <w:numPr>
          <w:ilvl w:val="0"/>
          <w:numId w:val="9"/>
        </w:numPr>
        <w:tabs>
          <w:tab w:val="left" w:pos="1680"/>
        </w:tabs>
        <w:spacing w:before="5" w:line="273" w:lineRule="auto"/>
        <w:ind w:right="1078"/>
      </w:pPr>
      <w:r>
        <w:t>DFCI has the largest proportion of oncology discharges from rural areas among major cancer</w:t>
      </w:r>
      <w:r>
        <w:rPr>
          <w:spacing w:val="-3"/>
        </w:rPr>
        <w:t xml:space="preserve"> </w:t>
      </w:r>
      <w:r>
        <w:t>providers</w:t>
      </w:r>
      <w:r>
        <w:rPr>
          <w:spacing w:val="-2"/>
        </w:rPr>
        <w:t xml:space="preserve"> </w:t>
      </w:r>
      <w:r>
        <w:t>in</w:t>
      </w:r>
      <w:r>
        <w:rPr>
          <w:spacing w:val="-4"/>
        </w:rPr>
        <w:t xml:space="preserve"> </w:t>
      </w:r>
      <w:r>
        <w:t>Boston</w:t>
      </w:r>
      <w:r>
        <w:rPr>
          <w:spacing w:val="-2"/>
        </w:rPr>
        <w:t xml:space="preserve"> </w:t>
      </w:r>
      <w:r>
        <w:t>and</w:t>
      </w:r>
      <w:r>
        <w:rPr>
          <w:spacing w:val="-1"/>
        </w:rPr>
        <w:t xml:space="preserve"> </w:t>
      </w:r>
      <w:r>
        <w:t>would</w:t>
      </w:r>
      <w:r>
        <w:rPr>
          <w:spacing w:val="-1"/>
        </w:rPr>
        <w:t xml:space="preserve"> </w:t>
      </w:r>
      <w:r>
        <w:t>likely</w:t>
      </w:r>
      <w:r>
        <w:rPr>
          <w:spacing w:val="-3"/>
        </w:rPr>
        <w:t xml:space="preserve"> </w:t>
      </w:r>
      <w:r>
        <w:t>serve</w:t>
      </w:r>
      <w:r>
        <w:rPr>
          <w:spacing w:val="-4"/>
        </w:rPr>
        <w:t xml:space="preserve"> </w:t>
      </w:r>
      <w:r>
        <w:t>a</w:t>
      </w:r>
      <w:r>
        <w:rPr>
          <w:spacing w:val="-4"/>
        </w:rPr>
        <w:t xml:space="preserve"> </w:t>
      </w:r>
      <w:r>
        <w:t>greater</w:t>
      </w:r>
      <w:r>
        <w:rPr>
          <w:spacing w:val="-3"/>
        </w:rPr>
        <w:t xml:space="preserve"> </w:t>
      </w:r>
      <w:r>
        <w:t>share</w:t>
      </w:r>
      <w:r>
        <w:rPr>
          <w:spacing w:val="-4"/>
        </w:rPr>
        <w:t xml:space="preserve"> </w:t>
      </w:r>
      <w:r>
        <w:t>of</w:t>
      </w:r>
      <w:r>
        <w:rPr>
          <w:spacing w:val="-1"/>
        </w:rPr>
        <w:t xml:space="preserve"> </w:t>
      </w:r>
      <w:r>
        <w:t>patients</w:t>
      </w:r>
      <w:r>
        <w:rPr>
          <w:spacing w:val="-4"/>
        </w:rPr>
        <w:t xml:space="preserve"> </w:t>
      </w:r>
      <w:r>
        <w:t>from</w:t>
      </w:r>
      <w:r>
        <w:rPr>
          <w:spacing w:val="-2"/>
        </w:rPr>
        <w:t xml:space="preserve"> </w:t>
      </w:r>
      <w:r>
        <w:t>nearby urban areas in the new facility.</w:t>
      </w:r>
    </w:p>
    <w:p w14:paraId="1C34E9E1" w14:textId="77777777" w:rsidR="004C558F" w:rsidRDefault="004C558F">
      <w:pPr>
        <w:pStyle w:val="BodyText"/>
        <w:spacing w:before="41"/>
      </w:pPr>
    </w:p>
    <w:p w14:paraId="1C34E9E2" w14:textId="77777777" w:rsidR="004C558F" w:rsidRDefault="00461887">
      <w:pPr>
        <w:pStyle w:val="BodyText"/>
        <w:spacing w:before="1"/>
        <w:ind w:left="960"/>
      </w:pPr>
      <w:r>
        <w:t>Current</w:t>
      </w:r>
      <w:r>
        <w:rPr>
          <w:spacing w:val="-5"/>
        </w:rPr>
        <w:t xml:space="preserve"> </w:t>
      </w:r>
      <w:r>
        <w:t>and</w:t>
      </w:r>
      <w:r>
        <w:rPr>
          <w:spacing w:val="-2"/>
        </w:rPr>
        <w:t xml:space="preserve"> </w:t>
      </w:r>
      <w:r>
        <w:t>Proposed</w:t>
      </w:r>
      <w:r>
        <w:rPr>
          <w:spacing w:val="-3"/>
        </w:rPr>
        <w:t xml:space="preserve"> </w:t>
      </w:r>
      <w:r>
        <w:t>Access</w:t>
      </w:r>
      <w:r>
        <w:rPr>
          <w:spacing w:val="-5"/>
        </w:rPr>
        <w:t xml:space="preserve"> </w:t>
      </w:r>
      <w:r>
        <w:t>and</w:t>
      </w:r>
      <w:r>
        <w:rPr>
          <w:spacing w:val="-5"/>
        </w:rPr>
        <w:t xml:space="preserve"> </w:t>
      </w:r>
      <w:r>
        <w:t>Equity</w:t>
      </w:r>
      <w:r>
        <w:rPr>
          <w:spacing w:val="-4"/>
        </w:rPr>
        <w:t xml:space="preserve"> </w:t>
      </w:r>
      <w:r>
        <w:rPr>
          <w:spacing w:val="-2"/>
        </w:rPr>
        <w:t>Efforts</w:t>
      </w:r>
    </w:p>
    <w:p w14:paraId="1C34E9E3" w14:textId="77777777" w:rsidR="004C558F" w:rsidRDefault="00461887">
      <w:pPr>
        <w:pStyle w:val="ListParagraph"/>
        <w:numPr>
          <w:ilvl w:val="0"/>
          <w:numId w:val="9"/>
        </w:numPr>
        <w:tabs>
          <w:tab w:val="left" w:pos="1680"/>
        </w:tabs>
        <w:spacing w:before="35" w:line="276" w:lineRule="auto"/>
        <w:ind w:right="1033"/>
      </w:pPr>
      <w:r>
        <w:t>The parties currently engage in programs designed to improve access and equitable care for</w:t>
      </w:r>
      <w:r>
        <w:rPr>
          <w:spacing w:val="-3"/>
        </w:rPr>
        <w:t xml:space="preserve"> </w:t>
      </w:r>
      <w:r>
        <w:t>oncology</w:t>
      </w:r>
      <w:r>
        <w:rPr>
          <w:spacing w:val="-3"/>
        </w:rPr>
        <w:t xml:space="preserve"> </w:t>
      </w:r>
      <w:r>
        <w:t>patients</w:t>
      </w:r>
      <w:r>
        <w:rPr>
          <w:spacing w:val="-2"/>
        </w:rPr>
        <w:t xml:space="preserve"> </w:t>
      </w:r>
      <w:r>
        <w:t>and</w:t>
      </w:r>
      <w:r>
        <w:rPr>
          <w:spacing w:val="-4"/>
        </w:rPr>
        <w:t xml:space="preserve"> </w:t>
      </w:r>
      <w:r>
        <w:t>state</w:t>
      </w:r>
      <w:r>
        <w:rPr>
          <w:spacing w:val="-2"/>
        </w:rPr>
        <w:t xml:space="preserve"> </w:t>
      </w:r>
      <w:r>
        <w:t>that</w:t>
      </w:r>
      <w:r>
        <w:rPr>
          <w:spacing w:val="-3"/>
        </w:rPr>
        <w:t xml:space="preserve"> </w:t>
      </w:r>
      <w:r>
        <w:t>they</w:t>
      </w:r>
      <w:r>
        <w:rPr>
          <w:spacing w:val="-3"/>
        </w:rPr>
        <w:t xml:space="preserve"> </w:t>
      </w:r>
      <w:r>
        <w:t>intend</w:t>
      </w:r>
      <w:r>
        <w:rPr>
          <w:spacing w:val="-1"/>
        </w:rPr>
        <w:t xml:space="preserve"> </w:t>
      </w:r>
      <w:r>
        <w:t>to</w:t>
      </w:r>
      <w:r>
        <w:rPr>
          <w:spacing w:val="-2"/>
        </w:rPr>
        <w:t xml:space="preserve"> </w:t>
      </w:r>
      <w:r>
        <w:t>collaborate</w:t>
      </w:r>
      <w:r>
        <w:rPr>
          <w:spacing w:val="-4"/>
        </w:rPr>
        <w:t xml:space="preserve"> </w:t>
      </w:r>
      <w:r>
        <w:t>on</w:t>
      </w:r>
      <w:r>
        <w:rPr>
          <w:spacing w:val="-2"/>
        </w:rPr>
        <w:t xml:space="preserve"> </w:t>
      </w:r>
      <w:r>
        <w:t>expanding</w:t>
      </w:r>
      <w:r>
        <w:rPr>
          <w:spacing w:val="-3"/>
        </w:rPr>
        <w:t xml:space="preserve"> </w:t>
      </w:r>
      <w:r>
        <w:t>these</w:t>
      </w:r>
      <w:r>
        <w:rPr>
          <w:spacing w:val="-2"/>
        </w:rPr>
        <w:t xml:space="preserve"> </w:t>
      </w:r>
      <w:r>
        <w:t>efforts, although their plans are not yet sufficiently developed for the HPC to evaluate the likelihood of any specific impacts.</w:t>
      </w:r>
    </w:p>
    <w:p w14:paraId="1C34E9E4" w14:textId="77777777" w:rsidR="004C558F" w:rsidRDefault="004C558F">
      <w:pPr>
        <w:pStyle w:val="BodyText"/>
        <w:spacing w:before="35"/>
      </w:pPr>
    </w:p>
    <w:p w14:paraId="1C34E9E5" w14:textId="77777777" w:rsidR="004C558F" w:rsidRDefault="00461887">
      <w:pPr>
        <w:pStyle w:val="BodyText"/>
        <w:ind w:left="960"/>
      </w:pPr>
      <w:r>
        <w:t>The</w:t>
      </w:r>
      <w:r>
        <w:rPr>
          <w:spacing w:val="-7"/>
        </w:rPr>
        <w:t xml:space="preserve"> </w:t>
      </w:r>
      <w:r>
        <w:t>remainder</w:t>
      </w:r>
      <w:r>
        <w:rPr>
          <w:spacing w:val="-5"/>
        </w:rPr>
        <w:t xml:space="preserve"> </w:t>
      </w:r>
      <w:r>
        <w:t>of</w:t>
      </w:r>
      <w:r>
        <w:rPr>
          <w:spacing w:val="-4"/>
        </w:rPr>
        <w:t xml:space="preserve"> </w:t>
      </w:r>
      <w:r>
        <w:t>this</w:t>
      </w:r>
      <w:r>
        <w:rPr>
          <w:spacing w:val="-6"/>
        </w:rPr>
        <w:t xml:space="preserve"> </w:t>
      </w:r>
      <w:r>
        <w:t>section</w:t>
      </w:r>
      <w:r>
        <w:rPr>
          <w:spacing w:val="-5"/>
        </w:rPr>
        <w:t xml:space="preserve"> </w:t>
      </w:r>
      <w:r>
        <w:t>discusses</w:t>
      </w:r>
      <w:r>
        <w:rPr>
          <w:spacing w:val="-4"/>
        </w:rPr>
        <w:t xml:space="preserve"> </w:t>
      </w:r>
      <w:r>
        <w:t>these</w:t>
      </w:r>
      <w:r>
        <w:rPr>
          <w:spacing w:val="-5"/>
        </w:rPr>
        <w:t xml:space="preserve"> </w:t>
      </w:r>
      <w:r>
        <w:t>findings</w:t>
      </w:r>
      <w:r>
        <w:rPr>
          <w:spacing w:val="-5"/>
        </w:rPr>
        <w:t xml:space="preserve"> </w:t>
      </w:r>
      <w:r>
        <w:t>in</w:t>
      </w:r>
      <w:r>
        <w:rPr>
          <w:spacing w:val="-4"/>
        </w:rPr>
        <w:t xml:space="preserve"> </w:t>
      </w:r>
      <w:r>
        <w:t>greater</w:t>
      </w:r>
      <w:r>
        <w:rPr>
          <w:spacing w:val="-5"/>
        </w:rPr>
        <w:t xml:space="preserve"> </w:t>
      </w:r>
      <w:r>
        <w:rPr>
          <w:spacing w:val="-2"/>
        </w:rPr>
        <w:t>depth.</w:t>
      </w:r>
    </w:p>
    <w:p w14:paraId="1C34E9E6" w14:textId="77777777" w:rsidR="004C558F" w:rsidRDefault="004C558F">
      <w:pPr>
        <w:pStyle w:val="BodyText"/>
      </w:pPr>
    </w:p>
    <w:p w14:paraId="1C34E9E7" w14:textId="77777777" w:rsidR="004C558F" w:rsidRDefault="004C558F">
      <w:pPr>
        <w:pStyle w:val="BodyText"/>
        <w:spacing w:before="9"/>
      </w:pPr>
    </w:p>
    <w:p w14:paraId="1C34E9E8" w14:textId="77777777" w:rsidR="004C558F" w:rsidRDefault="00461887">
      <w:pPr>
        <w:pStyle w:val="Heading3"/>
        <w:numPr>
          <w:ilvl w:val="2"/>
          <w:numId w:val="16"/>
        </w:numPr>
        <w:tabs>
          <w:tab w:val="left" w:pos="958"/>
          <w:tab w:val="left" w:pos="960"/>
        </w:tabs>
        <w:spacing w:before="1"/>
        <w:ind w:left="960" w:right="1066" w:hanging="361"/>
        <w:rPr>
          <w:color w:val="042339"/>
        </w:rPr>
      </w:pPr>
      <w:bookmarkStart w:id="177" w:name="1._It_is_unclear_to_what_extent_the_prop"/>
      <w:bookmarkEnd w:id="177"/>
      <w:r>
        <w:rPr>
          <w:color w:val="042339"/>
        </w:rPr>
        <w:t>It is unclear to what extent the proposed transaction is necessary or sufficient to ensure</w:t>
      </w:r>
      <w:r>
        <w:rPr>
          <w:color w:val="042339"/>
          <w:spacing w:val="-4"/>
        </w:rPr>
        <w:t xml:space="preserve"> </w:t>
      </w:r>
      <w:r>
        <w:rPr>
          <w:color w:val="042339"/>
        </w:rPr>
        <w:t>future</w:t>
      </w:r>
      <w:r>
        <w:rPr>
          <w:color w:val="042339"/>
          <w:spacing w:val="-4"/>
        </w:rPr>
        <w:t xml:space="preserve"> </w:t>
      </w:r>
      <w:r>
        <w:rPr>
          <w:color w:val="042339"/>
        </w:rPr>
        <w:t>access</w:t>
      </w:r>
      <w:r>
        <w:rPr>
          <w:color w:val="042339"/>
          <w:spacing w:val="-2"/>
        </w:rPr>
        <w:t xml:space="preserve"> </w:t>
      </w:r>
      <w:r>
        <w:rPr>
          <w:color w:val="042339"/>
        </w:rPr>
        <w:t>to</w:t>
      </w:r>
      <w:r>
        <w:rPr>
          <w:color w:val="042339"/>
          <w:spacing w:val="-5"/>
        </w:rPr>
        <w:t xml:space="preserve"> </w:t>
      </w:r>
      <w:r>
        <w:rPr>
          <w:color w:val="042339"/>
        </w:rPr>
        <w:t>oncology</w:t>
      </w:r>
      <w:r>
        <w:rPr>
          <w:color w:val="042339"/>
          <w:spacing w:val="-4"/>
        </w:rPr>
        <w:t xml:space="preserve"> </w:t>
      </w:r>
      <w:r>
        <w:rPr>
          <w:color w:val="042339"/>
        </w:rPr>
        <w:t>care</w:t>
      </w:r>
      <w:r>
        <w:rPr>
          <w:color w:val="042339"/>
          <w:spacing w:val="-4"/>
        </w:rPr>
        <w:t xml:space="preserve"> </w:t>
      </w:r>
      <w:r>
        <w:rPr>
          <w:color w:val="042339"/>
        </w:rPr>
        <w:t>given</w:t>
      </w:r>
      <w:r>
        <w:rPr>
          <w:color w:val="042339"/>
          <w:spacing w:val="-3"/>
        </w:rPr>
        <w:t xml:space="preserve"> </w:t>
      </w:r>
      <w:r>
        <w:rPr>
          <w:color w:val="042339"/>
        </w:rPr>
        <w:t>the</w:t>
      </w:r>
      <w:r>
        <w:rPr>
          <w:color w:val="042339"/>
          <w:spacing w:val="-4"/>
        </w:rPr>
        <w:t xml:space="preserve"> </w:t>
      </w:r>
      <w:r>
        <w:rPr>
          <w:color w:val="042339"/>
        </w:rPr>
        <w:t>limits</w:t>
      </w:r>
      <w:r>
        <w:rPr>
          <w:color w:val="042339"/>
          <w:spacing w:val="-2"/>
        </w:rPr>
        <w:t xml:space="preserve"> </w:t>
      </w:r>
      <w:r>
        <w:rPr>
          <w:color w:val="042339"/>
        </w:rPr>
        <w:t>of</w:t>
      </w:r>
      <w:r>
        <w:rPr>
          <w:color w:val="042339"/>
          <w:spacing w:val="-5"/>
        </w:rPr>
        <w:t xml:space="preserve"> </w:t>
      </w:r>
      <w:r>
        <w:rPr>
          <w:color w:val="042339"/>
        </w:rPr>
        <w:t>statistical</w:t>
      </w:r>
      <w:r>
        <w:rPr>
          <w:color w:val="042339"/>
          <w:spacing w:val="-6"/>
        </w:rPr>
        <w:t xml:space="preserve"> </w:t>
      </w:r>
      <w:r>
        <w:rPr>
          <w:color w:val="042339"/>
        </w:rPr>
        <w:t>modeling,</w:t>
      </w:r>
      <w:r>
        <w:rPr>
          <w:color w:val="042339"/>
          <w:spacing w:val="-5"/>
        </w:rPr>
        <w:t xml:space="preserve"> </w:t>
      </w:r>
      <w:r>
        <w:rPr>
          <w:color w:val="042339"/>
        </w:rPr>
        <w:t>the many factors that may impact future inpatient oncology utilization, and the inability to fully assess other inpatient oncology capacity.</w:t>
      </w:r>
    </w:p>
    <w:p w14:paraId="1C34E9E9" w14:textId="1BF22DC7" w:rsidR="004C558F" w:rsidRDefault="00461887">
      <w:pPr>
        <w:pStyle w:val="BodyText"/>
        <w:spacing w:before="81" w:line="276" w:lineRule="auto"/>
        <w:ind w:left="959" w:right="991" w:firstLine="720"/>
        <w:rPr>
          <w:sz w:val="14"/>
        </w:rPr>
      </w:pPr>
      <w:r>
        <w:t>The number of oncology discharges for residents of the Commonwealth has increased in recent years,</w:t>
      </w:r>
      <w:r>
        <w:rPr>
          <w:spacing w:val="-2"/>
        </w:rPr>
        <w:t xml:space="preserve"> </w:t>
      </w:r>
      <w:r>
        <w:t>driven by discharges for older adults. From 2016 to 2023, the total number</w:t>
      </w:r>
      <w:r>
        <w:rPr>
          <w:spacing w:val="-2"/>
        </w:rPr>
        <w:t xml:space="preserve"> </w:t>
      </w:r>
      <w:r>
        <w:t>of adult medical and surgical oncology discharges increased by 1.3%, with discharges for adults over 64 years of age increasing by 14.6% and discharges for adults ages 20-64 decreasing by 18%.</w:t>
      </w:r>
      <w:r w:rsidR="00C65A1F">
        <w:rPr>
          <w:rStyle w:val="FootnoteReference"/>
        </w:rPr>
        <w:footnoteReference w:id="182"/>
      </w:r>
      <w:r>
        <w:rPr>
          <w:spacing w:val="40"/>
          <w:position w:val="5"/>
          <w:sz w:val="14"/>
        </w:rPr>
        <w:t xml:space="preserve"> </w:t>
      </w:r>
      <w:r>
        <w:t>Total bed days for adult medical and surgical oncology patients grew at a much faster rate during this period, increasing by 20.2%. The parties cite utilization trends and assert that the proposed transaction would “increase access to</w:t>
      </w:r>
      <w:r>
        <w:rPr>
          <w:spacing w:val="-2"/>
        </w:rPr>
        <w:t xml:space="preserve"> </w:t>
      </w:r>
      <w:r>
        <w:t>high-quality</w:t>
      </w:r>
      <w:r>
        <w:rPr>
          <w:spacing w:val="-1"/>
        </w:rPr>
        <w:t xml:space="preserve"> </w:t>
      </w:r>
      <w:r>
        <w:t>tertiary</w:t>
      </w:r>
      <w:r>
        <w:rPr>
          <w:spacing w:val="-1"/>
        </w:rPr>
        <w:t xml:space="preserve"> </w:t>
      </w:r>
      <w:r>
        <w:t>and quaternary</w:t>
      </w:r>
      <w:r>
        <w:rPr>
          <w:spacing w:val="-3"/>
        </w:rPr>
        <w:t xml:space="preserve"> </w:t>
      </w:r>
      <w:r>
        <w:t>adult</w:t>
      </w:r>
      <w:r>
        <w:rPr>
          <w:spacing w:val="-1"/>
        </w:rPr>
        <w:t xml:space="preserve"> </w:t>
      </w:r>
      <w:r>
        <w:t>oncology</w:t>
      </w:r>
      <w:r>
        <w:rPr>
          <w:spacing w:val="-1"/>
        </w:rPr>
        <w:t xml:space="preserve"> </w:t>
      </w:r>
      <w:r>
        <w:t>services for</w:t>
      </w:r>
      <w:r>
        <w:rPr>
          <w:spacing w:val="-3"/>
        </w:rPr>
        <w:t xml:space="preserve"> </w:t>
      </w:r>
      <w:r>
        <w:t>the</w:t>
      </w:r>
      <w:r>
        <w:rPr>
          <w:spacing w:val="-4"/>
        </w:rPr>
        <w:t xml:space="preserve"> </w:t>
      </w:r>
      <w:r>
        <w:t>highest</w:t>
      </w:r>
      <w:r>
        <w:rPr>
          <w:spacing w:val="-3"/>
        </w:rPr>
        <w:t xml:space="preserve"> </w:t>
      </w:r>
      <w:r>
        <w:t>acuity</w:t>
      </w:r>
      <w:r>
        <w:rPr>
          <w:spacing w:val="-3"/>
        </w:rPr>
        <w:t xml:space="preserve"> </w:t>
      </w:r>
      <w:r>
        <w:t>patients</w:t>
      </w:r>
      <w:r>
        <w:rPr>
          <w:spacing w:val="-2"/>
        </w:rPr>
        <w:t xml:space="preserve"> </w:t>
      </w:r>
      <w:r>
        <w:t>with</w:t>
      </w:r>
      <w:r>
        <w:rPr>
          <w:spacing w:val="-2"/>
        </w:rPr>
        <w:t xml:space="preserve"> </w:t>
      </w:r>
      <w:r>
        <w:t>the</w:t>
      </w:r>
      <w:r>
        <w:rPr>
          <w:spacing w:val="-2"/>
        </w:rPr>
        <w:t xml:space="preserve"> </w:t>
      </w:r>
      <w:r>
        <w:t>most</w:t>
      </w:r>
      <w:r>
        <w:rPr>
          <w:spacing w:val="-3"/>
        </w:rPr>
        <w:t xml:space="preserve"> </w:t>
      </w:r>
      <w:r>
        <w:t>complex</w:t>
      </w:r>
      <w:r>
        <w:rPr>
          <w:spacing w:val="-2"/>
        </w:rPr>
        <w:t xml:space="preserve"> </w:t>
      </w:r>
      <w:r>
        <w:t>diagnoses,</w:t>
      </w:r>
      <w:r>
        <w:rPr>
          <w:spacing w:val="-5"/>
        </w:rPr>
        <w:t xml:space="preserve"> </w:t>
      </w:r>
      <w:r>
        <w:t>which</w:t>
      </w:r>
      <w:r>
        <w:rPr>
          <w:spacing w:val="-2"/>
        </w:rPr>
        <w:t xml:space="preserve"> </w:t>
      </w:r>
      <w:r>
        <w:t>is</w:t>
      </w:r>
      <w:r>
        <w:rPr>
          <w:spacing w:val="-2"/>
        </w:rPr>
        <w:t xml:space="preserve"> </w:t>
      </w:r>
      <w:r>
        <w:t>the</w:t>
      </w:r>
      <w:r>
        <w:rPr>
          <w:spacing w:val="-4"/>
        </w:rPr>
        <w:t xml:space="preserve"> </w:t>
      </w:r>
      <w:r>
        <w:t>primary</w:t>
      </w:r>
      <w:r>
        <w:rPr>
          <w:spacing w:val="-3"/>
        </w:rPr>
        <w:t xml:space="preserve"> </w:t>
      </w:r>
      <w:r>
        <w:t>objective</w:t>
      </w:r>
      <w:r>
        <w:rPr>
          <w:spacing w:val="-4"/>
        </w:rPr>
        <w:t xml:space="preserve"> </w:t>
      </w:r>
      <w:r>
        <w:t>for the [new DFCI] Cancer Center.”</w:t>
      </w:r>
      <w:r>
        <w:rPr>
          <w:spacing w:val="-33"/>
        </w:rPr>
        <w:t xml:space="preserve"> </w:t>
      </w:r>
      <w:r w:rsidR="00C65A1F">
        <w:rPr>
          <w:rStyle w:val="FootnoteReference"/>
          <w:spacing w:val="-33"/>
        </w:rPr>
        <w:footnoteReference w:id="183"/>
      </w:r>
      <w:r>
        <w:t>DFCI states additional inpatient oncology capacity is needed due to factors including Massachusetts’s aging population, an increase in young adult cancers, the development of innovative cancer treatments such as CAR-T therapy that currently require inpatient stays, increasing utilization of certain therapies and imaging,</w:t>
      </w:r>
      <w:r>
        <w:rPr>
          <w:spacing w:val="-32"/>
        </w:rPr>
        <w:t xml:space="preserve"> </w:t>
      </w:r>
      <w:r w:rsidR="00C65A1F">
        <w:rPr>
          <w:rStyle w:val="FootnoteReference"/>
          <w:spacing w:val="-32"/>
        </w:rPr>
        <w:footnoteReference w:id="184"/>
      </w:r>
      <w:r>
        <w:t>present capacity constraints in inpatient and post-acute care settings, and increases in patient acuity.</w:t>
      </w:r>
      <w:r>
        <w:rPr>
          <w:spacing w:val="-33"/>
        </w:rPr>
        <w:t xml:space="preserve"> </w:t>
      </w:r>
      <w:r w:rsidR="00C65A1F">
        <w:rPr>
          <w:rStyle w:val="FootnoteReference"/>
          <w:spacing w:val="-33"/>
        </w:rPr>
        <w:footnoteReference w:id="185"/>
      </w:r>
    </w:p>
    <w:p w14:paraId="1C34E9EA" w14:textId="77777777" w:rsidR="004C558F" w:rsidRDefault="004C558F">
      <w:pPr>
        <w:pStyle w:val="BodyText"/>
        <w:spacing w:before="39"/>
      </w:pPr>
    </w:p>
    <w:p w14:paraId="1C34E9EB" w14:textId="77777777" w:rsidR="004C558F" w:rsidRDefault="00461887">
      <w:pPr>
        <w:pStyle w:val="BodyText"/>
        <w:spacing w:line="276" w:lineRule="auto"/>
        <w:ind w:left="959" w:right="752" w:firstLine="720"/>
      </w:pPr>
      <w:r>
        <w:t>The HPC reviewed projections of future bed utilization by the parties and in the ICA and tested them against its own model based on demographic projections, assessed factors likely to influence</w:t>
      </w:r>
      <w:r>
        <w:rPr>
          <w:spacing w:val="-4"/>
        </w:rPr>
        <w:t xml:space="preserve"> </w:t>
      </w:r>
      <w:r>
        <w:t>current</w:t>
      </w:r>
      <w:r>
        <w:rPr>
          <w:spacing w:val="-5"/>
        </w:rPr>
        <w:t xml:space="preserve"> </w:t>
      </w:r>
      <w:r>
        <w:t>and</w:t>
      </w:r>
      <w:r>
        <w:rPr>
          <w:spacing w:val="-4"/>
        </w:rPr>
        <w:t xml:space="preserve"> </w:t>
      </w:r>
      <w:r>
        <w:t>future</w:t>
      </w:r>
      <w:r>
        <w:rPr>
          <w:spacing w:val="-2"/>
        </w:rPr>
        <w:t xml:space="preserve"> </w:t>
      </w:r>
      <w:r>
        <w:t>inpatient</w:t>
      </w:r>
      <w:r>
        <w:rPr>
          <w:spacing w:val="-5"/>
        </w:rPr>
        <w:t xml:space="preserve"> </w:t>
      </w:r>
      <w:r>
        <w:t>oncology</w:t>
      </w:r>
      <w:r>
        <w:rPr>
          <w:spacing w:val="-3"/>
        </w:rPr>
        <w:t xml:space="preserve"> </w:t>
      </w:r>
      <w:r>
        <w:t>utilization,</w:t>
      </w:r>
      <w:r>
        <w:rPr>
          <w:spacing w:val="-5"/>
        </w:rPr>
        <w:t xml:space="preserve"> </w:t>
      </w:r>
      <w:r>
        <w:t>and</w:t>
      </w:r>
      <w:r>
        <w:rPr>
          <w:spacing w:val="-1"/>
        </w:rPr>
        <w:t xml:space="preserve"> </w:t>
      </w:r>
      <w:r>
        <w:t>considered</w:t>
      </w:r>
      <w:r>
        <w:rPr>
          <w:spacing w:val="-1"/>
        </w:rPr>
        <w:t xml:space="preserve"> </w:t>
      </w:r>
      <w:r>
        <w:t>the</w:t>
      </w:r>
      <w:r>
        <w:rPr>
          <w:spacing w:val="-4"/>
        </w:rPr>
        <w:t xml:space="preserve"> </w:t>
      </w:r>
      <w:r>
        <w:t>availability</w:t>
      </w:r>
      <w:r>
        <w:rPr>
          <w:spacing w:val="-3"/>
        </w:rPr>
        <w:t xml:space="preserve"> </w:t>
      </w:r>
      <w:r>
        <w:t>of</w:t>
      </w:r>
      <w:r>
        <w:rPr>
          <w:spacing w:val="-4"/>
        </w:rPr>
        <w:t xml:space="preserve"> </w:t>
      </w:r>
      <w:r>
        <w:t>data</w:t>
      </w:r>
    </w:p>
    <w:p w14:paraId="1C34E9EC" w14:textId="22DE1568" w:rsidR="004C558F" w:rsidRDefault="004C558F">
      <w:pPr>
        <w:pStyle w:val="BodyText"/>
        <w:spacing w:before="106"/>
        <w:rPr>
          <w:sz w:val="20"/>
        </w:rPr>
      </w:pPr>
    </w:p>
    <w:p w14:paraId="1C34E9F2" w14:textId="77777777" w:rsidR="004C558F" w:rsidRDefault="004C558F">
      <w:pPr>
        <w:rPr>
          <w:sz w:val="20"/>
        </w:rPr>
        <w:sectPr w:rsidR="004C558F">
          <w:pgSz w:w="12240" w:h="15840"/>
          <w:pgMar w:top="1360" w:right="740" w:bottom="720" w:left="480" w:header="0" w:footer="521" w:gutter="0"/>
          <w:cols w:space="720"/>
        </w:sectPr>
      </w:pPr>
      <w:bookmarkStart w:id="178" w:name="_bookmark213"/>
      <w:bookmarkEnd w:id="178"/>
    </w:p>
    <w:p w14:paraId="1C34E9F3" w14:textId="77777777" w:rsidR="004C558F" w:rsidRDefault="00461887">
      <w:pPr>
        <w:pStyle w:val="BodyText"/>
        <w:spacing w:before="80" w:line="276" w:lineRule="auto"/>
        <w:ind w:left="960" w:right="752"/>
      </w:pPr>
      <w:r>
        <w:lastRenderedPageBreak/>
        <w:t>on</w:t>
      </w:r>
      <w:r>
        <w:rPr>
          <w:spacing w:val="-2"/>
        </w:rPr>
        <w:t xml:space="preserve"> </w:t>
      </w:r>
      <w:r>
        <w:t>current</w:t>
      </w:r>
      <w:r>
        <w:rPr>
          <w:spacing w:val="-3"/>
        </w:rPr>
        <w:t xml:space="preserve"> </w:t>
      </w:r>
      <w:r>
        <w:t>inpatient</w:t>
      </w:r>
      <w:r>
        <w:rPr>
          <w:spacing w:val="-3"/>
        </w:rPr>
        <w:t xml:space="preserve"> </w:t>
      </w:r>
      <w:r>
        <w:t>oncology</w:t>
      </w:r>
      <w:r>
        <w:rPr>
          <w:spacing w:val="-3"/>
        </w:rPr>
        <w:t xml:space="preserve"> </w:t>
      </w:r>
      <w:r>
        <w:t>capacity.</w:t>
      </w:r>
      <w:r>
        <w:rPr>
          <w:spacing w:val="-4"/>
        </w:rPr>
        <w:t xml:space="preserve"> </w:t>
      </w:r>
      <w:r>
        <w:t>Based</w:t>
      </w:r>
      <w:r>
        <w:rPr>
          <w:spacing w:val="-4"/>
        </w:rPr>
        <w:t xml:space="preserve"> </w:t>
      </w:r>
      <w:r>
        <w:t>on</w:t>
      </w:r>
      <w:r>
        <w:rPr>
          <w:spacing w:val="-2"/>
        </w:rPr>
        <w:t xml:space="preserve"> </w:t>
      </w:r>
      <w:r>
        <w:t>these</w:t>
      </w:r>
      <w:r>
        <w:rPr>
          <w:spacing w:val="-4"/>
        </w:rPr>
        <w:t xml:space="preserve"> </w:t>
      </w:r>
      <w:r>
        <w:t>analyses,</w:t>
      </w:r>
      <w:r>
        <w:rPr>
          <w:spacing w:val="-2"/>
        </w:rPr>
        <w:t xml:space="preserve"> </w:t>
      </w:r>
      <w:r>
        <w:t>it</w:t>
      </w:r>
      <w:r>
        <w:rPr>
          <w:spacing w:val="-3"/>
        </w:rPr>
        <w:t xml:space="preserve"> </w:t>
      </w:r>
      <w:r>
        <w:t>is</w:t>
      </w:r>
      <w:r>
        <w:rPr>
          <w:spacing w:val="-2"/>
        </w:rPr>
        <w:t xml:space="preserve"> </w:t>
      </w:r>
      <w:r>
        <w:t>unclear</w:t>
      </w:r>
      <w:r>
        <w:rPr>
          <w:spacing w:val="-5"/>
        </w:rPr>
        <w:t xml:space="preserve"> </w:t>
      </w:r>
      <w:r>
        <w:t>to</w:t>
      </w:r>
      <w:r>
        <w:rPr>
          <w:spacing w:val="-2"/>
        </w:rPr>
        <w:t xml:space="preserve"> </w:t>
      </w:r>
      <w:r>
        <w:t>what</w:t>
      </w:r>
      <w:r>
        <w:rPr>
          <w:spacing w:val="-5"/>
        </w:rPr>
        <w:t xml:space="preserve"> </w:t>
      </w:r>
      <w:r>
        <w:t>extent</w:t>
      </w:r>
      <w:r>
        <w:rPr>
          <w:spacing w:val="-3"/>
        </w:rPr>
        <w:t xml:space="preserve"> </w:t>
      </w:r>
      <w:r>
        <w:t>the proposed transaction is necessary or sufficient to ensure future access to inpatient oncology services, as described in more detail below.</w:t>
      </w:r>
    </w:p>
    <w:p w14:paraId="1C34E9F4" w14:textId="77777777" w:rsidR="004C558F" w:rsidRDefault="004C558F">
      <w:pPr>
        <w:pStyle w:val="BodyText"/>
        <w:spacing w:before="116"/>
      </w:pPr>
    </w:p>
    <w:p w14:paraId="1C34E9F5" w14:textId="77777777" w:rsidR="004C558F" w:rsidRDefault="00461887">
      <w:pPr>
        <w:pStyle w:val="ListParagraph"/>
        <w:numPr>
          <w:ilvl w:val="3"/>
          <w:numId w:val="16"/>
        </w:numPr>
        <w:tabs>
          <w:tab w:val="left" w:pos="958"/>
        </w:tabs>
        <w:ind w:left="958" w:hanging="358"/>
      </w:pPr>
      <w:bookmarkStart w:id="179" w:name="a._Models_for_Future_Inpatient_Utilizati"/>
      <w:bookmarkEnd w:id="179"/>
      <w:r>
        <w:rPr>
          <w:color w:val="063656"/>
        </w:rPr>
        <w:t>Models</w:t>
      </w:r>
      <w:r>
        <w:rPr>
          <w:color w:val="063656"/>
          <w:spacing w:val="-5"/>
        </w:rPr>
        <w:t xml:space="preserve"> </w:t>
      </w:r>
      <w:r>
        <w:rPr>
          <w:color w:val="063656"/>
        </w:rPr>
        <w:t>for</w:t>
      </w:r>
      <w:r>
        <w:rPr>
          <w:color w:val="063656"/>
          <w:spacing w:val="-4"/>
        </w:rPr>
        <w:t xml:space="preserve"> </w:t>
      </w:r>
      <w:r>
        <w:rPr>
          <w:color w:val="063656"/>
        </w:rPr>
        <w:t>Future</w:t>
      </w:r>
      <w:r>
        <w:rPr>
          <w:color w:val="063656"/>
          <w:spacing w:val="-3"/>
        </w:rPr>
        <w:t xml:space="preserve"> </w:t>
      </w:r>
      <w:r>
        <w:rPr>
          <w:color w:val="063656"/>
        </w:rPr>
        <w:t>Inpatient</w:t>
      </w:r>
      <w:r>
        <w:rPr>
          <w:color w:val="063656"/>
          <w:spacing w:val="-3"/>
        </w:rPr>
        <w:t xml:space="preserve"> </w:t>
      </w:r>
      <w:r>
        <w:rPr>
          <w:color w:val="063656"/>
          <w:spacing w:val="-2"/>
        </w:rPr>
        <w:t>Utilization</w:t>
      </w:r>
    </w:p>
    <w:p w14:paraId="1C34E9F6" w14:textId="77777777" w:rsidR="004C558F" w:rsidRDefault="004C558F">
      <w:pPr>
        <w:pStyle w:val="BodyText"/>
        <w:spacing w:before="79"/>
      </w:pPr>
    </w:p>
    <w:p w14:paraId="1C34E9F7" w14:textId="77777777" w:rsidR="004C558F" w:rsidRDefault="00461887">
      <w:pPr>
        <w:pStyle w:val="BodyText"/>
        <w:spacing w:before="1" w:line="276" w:lineRule="auto"/>
        <w:ind w:left="959" w:right="702" w:firstLine="720"/>
      </w:pPr>
      <w:r>
        <w:t>DFCI and the ICA both provide estimations of future inpatient oncology bed need based primarily</w:t>
      </w:r>
      <w:r>
        <w:rPr>
          <w:spacing w:val="-4"/>
        </w:rPr>
        <w:t xml:space="preserve"> </w:t>
      </w:r>
      <w:r>
        <w:t>on</w:t>
      </w:r>
      <w:r>
        <w:rPr>
          <w:spacing w:val="-3"/>
        </w:rPr>
        <w:t xml:space="preserve"> </w:t>
      </w:r>
      <w:r>
        <w:t>projected</w:t>
      </w:r>
      <w:r>
        <w:rPr>
          <w:spacing w:val="-2"/>
        </w:rPr>
        <w:t xml:space="preserve"> </w:t>
      </w:r>
      <w:r>
        <w:t>demographic</w:t>
      </w:r>
      <w:r>
        <w:rPr>
          <w:spacing w:val="-3"/>
        </w:rPr>
        <w:t xml:space="preserve"> </w:t>
      </w:r>
      <w:r>
        <w:t>and</w:t>
      </w:r>
      <w:r>
        <w:rPr>
          <w:spacing w:val="-5"/>
        </w:rPr>
        <w:t xml:space="preserve"> </w:t>
      </w:r>
      <w:r>
        <w:t>utilization</w:t>
      </w:r>
      <w:r>
        <w:rPr>
          <w:spacing w:val="-5"/>
        </w:rPr>
        <w:t xml:space="preserve"> </w:t>
      </w:r>
      <w:r>
        <w:t>trends.</w:t>
      </w:r>
      <w:r>
        <w:rPr>
          <w:spacing w:val="-6"/>
        </w:rPr>
        <w:t xml:space="preserve"> </w:t>
      </w:r>
      <w:r>
        <w:t>DFCI</w:t>
      </w:r>
      <w:r>
        <w:rPr>
          <w:spacing w:val="-3"/>
        </w:rPr>
        <w:t xml:space="preserve"> </w:t>
      </w:r>
      <w:r>
        <w:t>estimates</w:t>
      </w:r>
      <w:r>
        <w:rPr>
          <w:spacing w:val="-3"/>
        </w:rPr>
        <w:t xml:space="preserve"> </w:t>
      </w:r>
      <w:r>
        <w:t>that</w:t>
      </w:r>
      <w:r>
        <w:rPr>
          <w:spacing w:val="-4"/>
        </w:rPr>
        <w:t xml:space="preserve"> </w:t>
      </w:r>
      <w:r>
        <w:t>inpatient</w:t>
      </w:r>
      <w:r>
        <w:rPr>
          <w:spacing w:val="-4"/>
        </w:rPr>
        <w:t xml:space="preserve"> </w:t>
      </w:r>
      <w:r>
        <w:t>medical oncology utilization for the patients of DFCI, BIDMC, and BWH would increase by approximately</w:t>
      </w:r>
    </w:p>
    <w:p w14:paraId="1C34E9F8" w14:textId="1DC3B95D" w:rsidR="004C558F" w:rsidRDefault="00461887">
      <w:pPr>
        <w:pStyle w:val="BodyText"/>
        <w:spacing w:line="276" w:lineRule="auto"/>
        <w:ind w:left="959" w:right="1023"/>
        <w:rPr>
          <w:sz w:val="14"/>
        </w:rPr>
      </w:pPr>
      <w:r>
        <w:t>48.7 beds over ten years, an increase of 17.9%, and that it would need an additional 62.4 beds to</w:t>
      </w:r>
      <w:r>
        <w:rPr>
          <w:spacing w:val="-2"/>
        </w:rPr>
        <w:t xml:space="preserve"> </w:t>
      </w:r>
      <w:r>
        <w:t>ensure</w:t>
      </w:r>
      <w:r>
        <w:rPr>
          <w:spacing w:val="-2"/>
        </w:rPr>
        <w:t xml:space="preserve"> </w:t>
      </w:r>
      <w:r>
        <w:t>capacity</w:t>
      </w:r>
      <w:r>
        <w:rPr>
          <w:spacing w:val="-3"/>
        </w:rPr>
        <w:t xml:space="preserve"> </w:t>
      </w:r>
      <w:r>
        <w:t>to</w:t>
      </w:r>
      <w:r>
        <w:rPr>
          <w:spacing w:val="-2"/>
        </w:rPr>
        <w:t xml:space="preserve"> </w:t>
      </w:r>
      <w:r>
        <w:t>admit</w:t>
      </w:r>
      <w:r>
        <w:rPr>
          <w:spacing w:val="-3"/>
        </w:rPr>
        <w:t xml:space="preserve"> </w:t>
      </w:r>
      <w:r>
        <w:t>most</w:t>
      </w:r>
      <w:r>
        <w:rPr>
          <w:spacing w:val="-3"/>
        </w:rPr>
        <w:t xml:space="preserve"> </w:t>
      </w:r>
      <w:r>
        <w:t>patients</w:t>
      </w:r>
      <w:r>
        <w:rPr>
          <w:spacing w:val="-4"/>
        </w:rPr>
        <w:t xml:space="preserve"> </w:t>
      </w:r>
      <w:r>
        <w:t>during</w:t>
      </w:r>
      <w:r>
        <w:rPr>
          <w:spacing w:val="-3"/>
        </w:rPr>
        <w:t xml:space="preserve"> </w:t>
      </w:r>
      <w:r>
        <w:t>periods</w:t>
      </w:r>
      <w:r>
        <w:rPr>
          <w:spacing w:val="-4"/>
        </w:rPr>
        <w:t xml:space="preserve"> </w:t>
      </w:r>
      <w:r>
        <w:t>of</w:t>
      </w:r>
      <w:r>
        <w:rPr>
          <w:spacing w:val="-4"/>
        </w:rPr>
        <w:t xml:space="preserve"> </w:t>
      </w:r>
      <w:r>
        <w:t>high</w:t>
      </w:r>
      <w:r>
        <w:rPr>
          <w:spacing w:val="-4"/>
        </w:rPr>
        <w:t xml:space="preserve"> </w:t>
      </w:r>
      <w:r>
        <w:t>utilization.</w:t>
      </w:r>
      <w:r>
        <w:rPr>
          <w:spacing w:val="-36"/>
        </w:rPr>
        <w:t xml:space="preserve"> </w:t>
      </w:r>
      <w:r w:rsidR="001D7C1B">
        <w:rPr>
          <w:rStyle w:val="FootnoteReference"/>
          <w:spacing w:val="-36"/>
        </w:rPr>
        <w:footnoteReference w:id="186"/>
      </w:r>
      <w:r>
        <w:t>DFCI’s</w:t>
      </w:r>
      <w:r>
        <w:rPr>
          <w:spacing w:val="-2"/>
        </w:rPr>
        <w:t xml:space="preserve"> </w:t>
      </w:r>
      <w:r>
        <w:t>projection</w:t>
      </w:r>
      <w:r>
        <w:rPr>
          <w:spacing w:val="-2"/>
        </w:rPr>
        <w:t xml:space="preserve"> </w:t>
      </w:r>
      <w:r>
        <w:t>is based on “national organic growth projections” for inpatient medical oncology care; the inputs and methodologies underlying these projections were not provided, but they do not appear to be based on Massachusetts-specific data.</w:t>
      </w:r>
      <w:r w:rsidR="003A7F19">
        <w:rPr>
          <w:rStyle w:val="FootnoteReference"/>
        </w:rPr>
        <w:footnoteReference w:id="187"/>
      </w:r>
      <w:r>
        <w:rPr>
          <w:spacing w:val="35"/>
          <w:position w:val="5"/>
          <w:sz w:val="14"/>
        </w:rPr>
        <w:t xml:space="preserve"> </w:t>
      </w:r>
      <w:r>
        <w:t>The ICA forecasts future statewide inpatient oncology utilization by combining current utilization by payer category, age range, sex, and geographic location with projected changes in population and demographics.</w:t>
      </w:r>
      <w:r>
        <w:rPr>
          <w:spacing w:val="-33"/>
        </w:rPr>
        <w:t xml:space="preserve"> </w:t>
      </w:r>
      <w:r w:rsidR="003A7F19">
        <w:rPr>
          <w:rStyle w:val="FootnoteReference"/>
          <w:spacing w:val="-33"/>
        </w:rPr>
        <w:footnoteReference w:id="188"/>
      </w:r>
      <w:r>
        <w:t>The ICA model additionally incorporates trends in utilization per capita by age and sex from 2019 to 2022.</w:t>
      </w:r>
      <w:r>
        <w:rPr>
          <w:spacing w:val="-33"/>
        </w:rPr>
        <w:t xml:space="preserve"> </w:t>
      </w:r>
      <w:r w:rsidR="003A7F19">
        <w:rPr>
          <w:rStyle w:val="FootnoteReference"/>
          <w:spacing w:val="-33"/>
        </w:rPr>
        <w:footnoteReference w:id="189"/>
      </w:r>
      <w:r>
        <w:t>Based on these inputs, the ICA projects a 26.8% increase in the number of discharges for Massachusetts residents for oncology care from 2025 to 2040.</w:t>
      </w:r>
      <w:r>
        <w:rPr>
          <w:spacing w:val="-29"/>
        </w:rPr>
        <w:t xml:space="preserve"> </w:t>
      </w:r>
      <w:r w:rsidR="003A7F19">
        <w:rPr>
          <w:rStyle w:val="FootnoteReference"/>
          <w:spacing w:val="-29"/>
        </w:rPr>
        <w:footnoteReference w:id="190"/>
      </w:r>
    </w:p>
    <w:p w14:paraId="1C34E9F9" w14:textId="77777777" w:rsidR="004C558F" w:rsidRDefault="004C558F">
      <w:pPr>
        <w:pStyle w:val="BodyText"/>
        <w:spacing w:before="36"/>
      </w:pPr>
    </w:p>
    <w:p w14:paraId="1C34E9FA" w14:textId="1262A1F0" w:rsidR="004C558F" w:rsidRDefault="00461887">
      <w:pPr>
        <w:pStyle w:val="BodyText"/>
        <w:spacing w:line="276" w:lineRule="auto"/>
        <w:ind w:left="959" w:right="991" w:firstLine="720"/>
        <w:rPr>
          <w:sz w:val="14"/>
        </w:rPr>
      </w:pPr>
      <w:r>
        <w:t>Although</w:t>
      </w:r>
      <w:r>
        <w:rPr>
          <w:spacing w:val="-3"/>
        </w:rPr>
        <w:t xml:space="preserve"> </w:t>
      </w:r>
      <w:r>
        <w:t>the</w:t>
      </w:r>
      <w:r>
        <w:rPr>
          <w:spacing w:val="-3"/>
        </w:rPr>
        <w:t xml:space="preserve"> </w:t>
      </w:r>
      <w:r>
        <w:t>HPC</w:t>
      </w:r>
      <w:r>
        <w:rPr>
          <w:spacing w:val="-4"/>
        </w:rPr>
        <w:t xml:space="preserve"> </w:t>
      </w:r>
      <w:r>
        <w:t>identified</w:t>
      </w:r>
      <w:r>
        <w:rPr>
          <w:spacing w:val="-2"/>
        </w:rPr>
        <w:t xml:space="preserve"> </w:t>
      </w:r>
      <w:r>
        <w:t>numerous</w:t>
      </w:r>
      <w:r>
        <w:rPr>
          <w:spacing w:val="-5"/>
        </w:rPr>
        <w:t xml:space="preserve"> </w:t>
      </w:r>
      <w:r>
        <w:t>factors</w:t>
      </w:r>
      <w:r>
        <w:rPr>
          <w:spacing w:val="-5"/>
        </w:rPr>
        <w:t xml:space="preserve"> </w:t>
      </w:r>
      <w:r>
        <w:t>discussed</w:t>
      </w:r>
      <w:r>
        <w:rPr>
          <w:spacing w:val="-2"/>
        </w:rPr>
        <w:t xml:space="preserve"> </w:t>
      </w:r>
      <w:r>
        <w:t>below</w:t>
      </w:r>
      <w:r>
        <w:rPr>
          <w:spacing w:val="-4"/>
        </w:rPr>
        <w:t xml:space="preserve"> </w:t>
      </w:r>
      <w:r>
        <w:t>that</w:t>
      </w:r>
      <w:r>
        <w:rPr>
          <w:spacing w:val="-4"/>
        </w:rPr>
        <w:t xml:space="preserve"> </w:t>
      </w:r>
      <w:r>
        <w:t>raise</w:t>
      </w:r>
      <w:r>
        <w:rPr>
          <w:spacing w:val="-3"/>
        </w:rPr>
        <w:t xml:space="preserve"> </w:t>
      </w:r>
      <w:r>
        <w:t>questions</w:t>
      </w:r>
      <w:r>
        <w:rPr>
          <w:spacing w:val="-5"/>
        </w:rPr>
        <w:t xml:space="preserve"> </w:t>
      </w:r>
      <w:r>
        <w:t>about the credibility of models based on current utilization trends and demographics, the HPC also created a model of future inpatient utilization based on the Commonwealth’s projected demographic trends (i.e., Massachusetts’ aging population) to test the models provided by the parties and the ICA</w:t>
      </w:r>
      <w:bookmarkStart w:id="180" w:name="_bookmark215"/>
      <w:bookmarkEnd w:id="180"/>
      <w:r>
        <w:t>.</w:t>
      </w:r>
      <w:r w:rsidR="00747AA5">
        <w:rPr>
          <w:rStyle w:val="FootnoteReference"/>
        </w:rPr>
        <w:footnoteReference w:id="191"/>
      </w:r>
      <w:r>
        <w:rPr>
          <w:position w:val="5"/>
          <w:sz w:val="14"/>
        </w:rPr>
        <w:t xml:space="preserve"> </w:t>
      </w:r>
      <w:r>
        <w:t>Assuming per-capita utilization specific to age and gender cohorts would remain unchanged, the HPC’s demographics-based model predicts an increase in total inpatient oncology utilization for the whole Commonwealth equivalent to approximately 113 beds (10%) from 2023 to 2030, and 172 beds (16%) by 2040.</w:t>
      </w:r>
      <w:r w:rsidR="000F5FB5">
        <w:rPr>
          <w:rStyle w:val="FootnoteReference"/>
        </w:rPr>
        <w:footnoteReference w:id="192"/>
      </w:r>
      <w:r w:rsidR="000F5FB5">
        <w:rPr>
          <w:sz w:val="14"/>
        </w:rPr>
        <w:t xml:space="preserve"> </w:t>
      </w:r>
    </w:p>
    <w:p w14:paraId="1C34E9FB" w14:textId="77777777" w:rsidR="004C558F" w:rsidRDefault="004C558F">
      <w:pPr>
        <w:pStyle w:val="BodyText"/>
        <w:rPr>
          <w:sz w:val="20"/>
        </w:rPr>
      </w:pPr>
    </w:p>
    <w:p w14:paraId="1C34E9FC" w14:textId="77777777" w:rsidR="004C558F" w:rsidRDefault="004C558F">
      <w:pPr>
        <w:pStyle w:val="BodyText"/>
        <w:rPr>
          <w:sz w:val="20"/>
        </w:rPr>
      </w:pPr>
    </w:p>
    <w:p w14:paraId="1C34E9FD" w14:textId="5368E869" w:rsidR="004C558F" w:rsidRDefault="004C558F">
      <w:pPr>
        <w:pStyle w:val="BodyText"/>
        <w:spacing w:before="181"/>
        <w:rPr>
          <w:sz w:val="20"/>
        </w:rPr>
      </w:pPr>
    </w:p>
    <w:p w14:paraId="1C34EA05" w14:textId="77777777" w:rsidR="004C558F" w:rsidRDefault="004C558F">
      <w:pPr>
        <w:rPr>
          <w:sz w:val="20"/>
        </w:rPr>
        <w:sectPr w:rsidR="004C558F">
          <w:pgSz w:w="12240" w:h="15840"/>
          <w:pgMar w:top="1360" w:right="740" w:bottom="720" w:left="480" w:header="0" w:footer="521" w:gutter="0"/>
          <w:cols w:space="720"/>
        </w:sectPr>
      </w:pPr>
      <w:bookmarkStart w:id="181" w:name="_bookmark216"/>
      <w:bookmarkStart w:id="182" w:name="_bookmark221"/>
      <w:bookmarkEnd w:id="181"/>
      <w:bookmarkEnd w:id="182"/>
    </w:p>
    <w:p w14:paraId="1C34EA06" w14:textId="77777777" w:rsidR="004C558F" w:rsidRDefault="00461887">
      <w:pPr>
        <w:pStyle w:val="BodyText"/>
        <w:spacing w:before="80" w:line="276" w:lineRule="auto"/>
        <w:ind w:left="3021" w:right="702" w:hanging="1995"/>
      </w:pPr>
      <w:r>
        <w:lastRenderedPageBreak/>
        <w:t>Figure</w:t>
      </w:r>
      <w:r>
        <w:rPr>
          <w:spacing w:val="-3"/>
        </w:rPr>
        <w:t xml:space="preserve"> </w:t>
      </w:r>
      <w:r>
        <w:t>III.C.1:</w:t>
      </w:r>
      <w:r>
        <w:rPr>
          <w:spacing w:val="-3"/>
        </w:rPr>
        <w:t xml:space="preserve"> </w:t>
      </w:r>
      <w:r>
        <w:t>Estimated</w:t>
      </w:r>
      <w:r>
        <w:rPr>
          <w:spacing w:val="-2"/>
        </w:rPr>
        <w:t xml:space="preserve"> </w:t>
      </w:r>
      <w:r>
        <w:t>Inpatient</w:t>
      </w:r>
      <w:r>
        <w:rPr>
          <w:spacing w:val="-4"/>
        </w:rPr>
        <w:t xml:space="preserve"> </w:t>
      </w:r>
      <w:r>
        <w:t>Oncology</w:t>
      </w:r>
      <w:r>
        <w:rPr>
          <w:spacing w:val="-4"/>
        </w:rPr>
        <w:t xml:space="preserve"> </w:t>
      </w:r>
      <w:r>
        <w:t>Bed</w:t>
      </w:r>
      <w:r>
        <w:rPr>
          <w:spacing w:val="-2"/>
        </w:rPr>
        <w:t xml:space="preserve"> </w:t>
      </w:r>
      <w:r>
        <w:t>Utilization</w:t>
      </w:r>
      <w:r>
        <w:rPr>
          <w:spacing w:val="-3"/>
        </w:rPr>
        <w:t xml:space="preserve"> </w:t>
      </w:r>
      <w:r>
        <w:t>Using</w:t>
      </w:r>
      <w:r>
        <w:rPr>
          <w:spacing w:val="-4"/>
        </w:rPr>
        <w:t xml:space="preserve"> </w:t>
      </w:r>
      <w:r>
        <w:t>2019</w:t>
      </w:r>
      <w:r>
        <w:rPr>
          <w:spacing w:val="-3"/>
        </w:rPr>
        <w:t xml:space="preserve"> </w:t>
      </w:r>
      <w:r>
        <w:t>Utilization</w:t>
      </w:r>
      <w:r>
        <w:rPr>
          <w:spacing w:val="-3"/>
        </w:rPr>
        <w:t xml:space="preserve"> </w:t>
      </w:r>
      <w:r>
        <w:t>and</w:t>
      </w:r>
      <w:r>
        <w:rPr>
          <w:spacing w:val="-2"/>
        </w:rPr>
        <w:t xml:space="preserve"> </w:t>
      </w:r>
      <w:r>
        <w:t>Population Projections by Age and Gender Cohort (2023 – 2040)</w:t>
      </w:r>
    </w:p>
    <w:p w14:paraId="1C34EA07" w14:textId="77777777" w:rsidR="004C558F" w:rsidRDefault="00461887">
      <w:pPr>
        <w:pStyle w:val="BodyText"/>
        <w:ind w:left="862"/>
        <w:rPr>
          <w:sz w:val="20"/>
        </w:rPr>
      </w:pPr>
      <w:r>
        <w:rPr>
          <w:noProof/>
          <w:sz w:val="20"/>
        </w:rPr>
        <mc:AlternateContent>
          <mc:Choice Requires="wpg">
            <w:drawing>
              <wp:inline distT="0" distB="0" distL="0" distR="0" wp14:anchorId="1C34F12C" wp14:editId="67B1D43B">
                <wp:extent cx="6308725" cy="3768725"/>
                <wp:effectExtent l="0" t="0" r="15875" b="22225"/>
                <wp:docPr id="262" name="Group 262" descr="Line graph of Estimated Inpatient Oncology Bed Utilization Using 2019 Utilization and Population Projections by Age and Gender Cohort (2023 –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3768725"/>
                          <a:chOff x="0" y="0"/>
                          <a:chExt cx="6308725" cy="3768725"/>
                        </a:xfrm>
                      </wpg:grpSpPr>
                      <wps:wsp>
                        <wps:cNvPr id="263" name="Graphic 263"/>
                        <wps:cNvSpPr/>
                        <wps:spPr>
                          <a:xfrm>
                            <a:off x="516331" y="144462"/>
                            <a:ext cx="5648325" cy="2252980"/>
                          </a:xfrm>
                          <a:custGeom>
                            <a:avLst/>
                            <a:gdLst/>
                            <a:ahLst/>
                            <a:cxnLst/>
                            <a:rect l="l" t="t" r="r" b="b"/>
                            <a:pathLst>
                              <a:path w="5648325" h="2252980">
                                <a:moveTo>
                                  <a:pt x="0" y="2252916"/>
                                </a:moveTo>
                                <a:lnTo>
                                  <a:pt x="5647931" y="2252916"/>
                                </a:lnTo>
                              </a:path>
                              <a:path w="5648325" h="2252980">
                                <a:moveTo>
                                  <a:pt x="0" y="1690560"/>
                                </a:moveTo>
                                <a:lnTo>
                                  <a:pt x="5647931" y="1690560"/>
                                </a:lnTo>
                              </a:path>
                              <a:path w="5648325" h="2252980">
                                <a:moveTo>
                                  <a:pt x="0" y="1126680"/>
                                </a:moveTo>
                                <a:lnTo>
                                  <a:pt x="5647931" y="1126680"/>
                                </a:lnTo>
                              </a:path>
                              <a:path w="5648325" h="2252980">
                                <a:moveTo>
                                  <a:pt x="0" y="562800"/>
                                </a:moveTo>
                                <a:lnTo>
                                  <a:pt x="5647931" y="562800"/>
                                </a:lnTo>
                              </a:path>
                              <a:path w="5648325" h="2252980">
                                <a:moveTo>
                                  <a:pt x="0" y="0"/>
                                </a:moveTo>
                                <a:lnTo>
                                  <a:pt x="5647931" y="0"/>
                                </a:lnTo>
                              </a:path>
                            </a:pathLst>
                          </a:custGeom>
                          <a:ln w="9525">
                            <a:solidFill>
                              <a:srgbClr val="ECECEC"/>
                            </a:solidFill>
                            <a:prstDash val="solid"/>
                          </a:ln>
                        </wps:spPr>
                        <wps:bodyPr wrap="square" lIns="0" tIns="0" rIns="0" bIns="0" rtlCol="0">
                          <a:prstTxWarp prst="textNoShape">
                            <a:avLst/>
                          </a:prstTxWarp>
                          <a:noAutofit/>
                        </wps:bodyPr>
                      </wps:wsp>
                      <wps:wsp>
                        <wps:cNvPr id="264" name="Graphic 264"/>
                        <wps:cNvSpPr/>
                        <wps:spPr>
                          <a:xfrm>
                            <a:off x="516331" y="2961130"/>
                            <a:ext cx="5648325" cy="1270"/>
                          </a:xfrm>
                          <a:custGeom>
                            <a:avLst/>
                            <a:gdLst/>
                            <a:ahLst/>
                            <a:cxnLst/>
                            <a:rect l="l" t="t" r="r" b="b"/>
                            <a:pathLst>
                              <a:path w="5648325">
                                <a:moveTo>
                                  <a:pt x="0" y="0"/>
                                </a:moveTo>
                                <a:lnTo>
                                  <a:pt x="5647931" y="0"/>
                                </a:lnTo>
                              </a:path>
                            </a:pathLst>
                          </a:custGeom>
                          <a:ln w="9525">
                            <a:solidFill>
                              <a:srgbClr val="D9D9D9"/>
                            </a:solidFill>
                            <a:prstDash val="solid"/>
                          </a:ln>
                        </wps:spPr>
                        <wps:bodyPr wrap="square" lIns="0" tIns="0" rIns="0" bIns="0" rtlCol="0">
                          <a:prstTxWarp prst="textNoShape">
                            <a:avLst/>
                          </a:prstTxWarp>
                          <a:noAutofit/>
                        </wps:bodyPr>
                      </wps:wsp>
                      <wps:wsp>
                        <wps:cNvPr id="265" name="Graphic 265"/>
                        <wps:cNvSpPr/>
                        <wps:spPr>
                          <a:xfrm>
                            <a:off x="673218" y="2860013"/>
                            <a:ext cx="5334635" cy="15240"/>
                          </a:xfrm>
                          <a:custGeom>
                            <a:avLst/>
                            <a:gdLst/>
                            <a:ahLst/>
                            <a:cxnLst/>
                            <a:rect l="l" t="t" r="r" b="b"/>
                            <a:pathLst>
                              <a:path w="5334635" h="15240">
                                <a:moveTo>
                                  <a:pt x="0" y="0"/>
                                </a:moveTo>
                                <a:lnTo>
                                  <a:pt x="313766" y="8280"/>
                                </a:lnTo>
                                <a:lnTo>
                                  <a:pt x="627710" y="9804"/>
                                </a:lnTo>
                                <a:lnTo>
                                  <a:pt x="941654" y="9804"/>
                                </a:lnTo>
                                <a:lnTo>
                                  <a:pt x="1255598" y="9804"/>
                                </a:lnTo>
                                <a:lnTo>
                                  <a:pt x="1569542" y="11328"/>
                                </a:lnTo>
                                <a:lnTo>
                                  <a:pt x="1881962" y="11328"/>
                                </a:lnTo>
                                <a:lnTo>
                                  <a:pt x="2195906" y="11328"/>
                                </a:lnTo>
                                <a:lnTo>
                                  <a:pt x="2509850" y="11328"/>
                                </a:lnTo>
                                <a:lnTo>
                                  <a:pt x="2823794" y="12852"/>
                                </a:lnTo>
                                <a:lnTo>
                                  <a:pt x="3137738" y="12852"/>
                                </a:lnTo>
                                <a:lnTo>
                                  <a:pt x="3451682" y="12852"/>
                                </a:lnTo>
                                <a:lnTo>
                                  <a:pt x="3765626" y="12852"/>
                                </a:lnTo>
                                <a:lnTo>
                                  <a:pt x="4079570" y="14376"/>
                                </a:lnTo>
                                <a:lnTo>
                                  <a:pt x="4393514" y="14376"/>
                                </a:lnTo>
                                <a:lnTo>
                                  <a:pt x="4705934" y="14376"/>
                                </a:lnTo>
                                <a:lnTo>
                                  <a:pt x="5019878" y="14376"/>
                                </a:lnTo>
                                <a:lnTo>
                                  <a:pt x="5334152" y="14922"/>
                                </a:lnTo>
                              </a:path>
                            </a:pathLst>
                          </a:custGeom>
                          <a:ln w="28575">
                            <a:solidFill>
                              <a:srgbClr val="084875"/>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75" cstate="print"/>
                          <a:stretch>
                            <a:fillRect/>
                          </a:stretch>
                        </pic:blipFill>
                        <pic:spPr>
                          <a:xfrm>
                            <a:off x="635508" y="2823972"/>
                            <a:ext cx="73533" cy="73532"/>
                          </a:xfrm>
                          <a:prstGeom prst="rect">
                            <a:avLst/>
                          </a:prstGeom>
                        </pic:spPr>
                      </pic:pic>
                      <pic:pic xmlns:pic="http://schemas.openxmlformats.org/drawingml/2006/picture">
                        <pic:nvPicPr>
                          <pic:cNvPr id="267" name="Image 267"/>
                          <pic:cNvPicPr/>
                        </pic:nvPicPr>
                        <pic:blipFill>
                          <a:blip r:embed="rId76" cstate="print"/>
                          <a:stretch>
                            <a:fillRect/>
                          </a:stretch>
                        </pic:blipFill>
                        <pic:spPr>
                          <a:xfrm>
                            <a:off x="949452" y="2831592"/>
                            <a:ext cx="73532" cy="73532"/>
                          </a:xfrm>
                          <a:prstGeom prst="rect">
                            <a:avLst/>
                          </a:prstGeom>
                        </pic:spPr>
                      </pic:pic>
                      <pic:pic xmlns:pic="http://schemas.openxmlformats.org/drawingml/2006/picture">
                        <pic:nvPicPr>
                          <pic:cNvPr id="268" name="Image 268"/>
                          <pic:cNvPicPr/>
                        </pic:nvPicPr>
                        <pic:blipFill>
                          <a:blip r:embed="rId75" cstate="print"/>
                          <a:stretch>
                            <a:fillRect/>
                          </a:stretch>
                        </pic:blipFill>
                        <pic:spPr>
                          <a:xfrm>
                            <a:off x="1263396" y="2833116"/>
                            <a:ext cx="73532" cy="73532"/>
                          </a:xfrm>
                          <a:prstGeom prst="rect">
                            <a:avLst/>
                          </a:prstGeom>
                        </pic:spPr>
                      </pic:pic>
                      <pic:pic xmlns:pic="http://schemas.openxmlformats.org/drawingml/2006/picture">
                        <pic:nvPicPr>
                          <pic:cNvPr id="269" name="Image 269"/>
                          <pic:cNvPicPr/>
                        </pic:nvPicPr>
                        <pic:blipFill>
                          <a:blip r:embed="rId75" cstate="print"/>
                          <a:stretch>
                            <a:fillRect/>
                          </a:stretch>
                        </pic:blipFill>
                        <pic:spPr>
                          <a:xfrm>
                            <a:off x="1577339" y="2833116"/>
                            <a:ext cx="73532" cy="73532"/>
                          </a:xfrm>
                          <a:prstGeom prst="rect">
                            <a:avLst/>
                          </a:prstGeom>
                        </pic:spPr>
                      </pic:pic>
                      <pic:pic xmlns:pic="http://schemas.openxmlformats.org/drawingml/2006/picture">
                        <pic:nvPicPr>
                          <pic:cNvPr id="270" name="Image 270"/>
                          <pic:cNvPicPr/>
                        </pic:nvPicPr>
                        <pic:blipFill>
                          <a:blip r:embed="rId75" cstate="print"/>
                          <a:stretch>
                            <a:fillRect/>
                          </a:stretch>
                        </pic:blipFill>
                        <pic:spPr>
                          <a:xfrm>
                            <a:off x="1891283" y="2833116"/>
                            <a:ext cx="73532" cy="73532"/>
                          </a:xfrm>
                          <a:prstGeom prst="rect">
                            <a:avLst/>
                          </a:prstGeom>
                        </pic:spPr>
                      </pic:pic>
                      <pic:pic xmlns:pic="http://schemas.openxmlformats.org/drawingml/2006/picture">
                        <pic:nvPicPr>
                          <pic:cNvPr id="271" name="Image 271"/>
                          <pic:cNvPicPr/>
                        </pic:nvPicPr>
                        <pic:blipFill>
                          <a:blip r:embed="rId77" cstate="print"/>
                          <a:stretch>
                            <a:fillRect/>
                          </a:stretch>
                        </pic:blipFill>
                        <pic:spPr>
                          <a:xfrm>
                            <a:off x="2205227" y="2834639"/>
                            <a:ext cx="73532" cy="73532"/>
                          </a:xfrm>
                          <a:prstGeom prst="rect">
                            <a:avLst/>
                          </a:prstGeom>
                        </pic:spPr>
                      </pic:pic>
                      <pic:pic xmlns:pic="http://schemas.openxmlformats.org/drawingml/2006/picture">
                        <pic:nvPicPr>
                          <pic:cNvPr id="272" name="Image 272"/>
                          <pic:cNvPicPr/>
                        </pic:nvPicPr>
                        <pic:blipFill>
                          <a:blip r:embed="rId77" cstate="print"/>
                          <a:stretch>
                            <a:fillRect/>
                          </a:stretch>
                        </pic:blipFill>
                        <pic:spPr>
                          <a:xfrm>
                            <a:off x="2517648" y="2834639"/>
                            <a:ext cx="73533" cy="73532"/>
                          </a:xfrm>
                          <a:prstGeom prst="rect">
                            <a:avLst/>
                          </a:prstGeom>
                        </pic:spPr>
                      </pic:pic>
                      <pic:pic xmlns:pic="http://schemas.openxmlformats.org/drawingml/2006/picture">
                        <pic:nvPicPr>
                          <pic:cNvPr id="273" name="Image 273"/>
                          <pic:cNvPicPr/>
                        </pic:nvPicPr>
                        <pic:blipFill>
                          <a:blip r:embed="rId77" cstate="print"/>
                          <a:stretch>
                            <a:fillRect/>
                          </a:stretch>
                        </pic:blipFill>
                        <pic:spPr>
                          <a:xfrm>
                            <a:off x="2831592" y="2834639"/>
                            <a:ext cx="73533" cy="73532"/>
                          </a:xfrm>
                          <a:prstGeom prst="rect">
                            <a:avLst/>
                          </a:prstGeom>
                        </pic:spPr>
                      </pic:pic>
                      <pic:pic xmlns:pic="http://schemas.openxmlformats.org/drawingml/2006/picture">
                        <pic:nvPicPr>
                          <pic:cNvPr id="274" name="Image 274"/>
                          <pic:cNvPicPr/>
                        </pic:nvPicPr>
                        <pic:blipFill>
                          <a:blip r:embed="rId76" cstate="print"/>
                          <a:stretch>
                            <a:fillRect/>
                          </a:stretch>
                        </pic:blipFill>
                        <pic:spPr>
                          <a:xfrm>
                            <a:off x="3145535" y="2834639"/>
                            <a:ext cx="73533" cy="73532"/>
                          </a:xfrm>
                          <a:prstGeom prst="rect">
                            <a:avLst/>
                          </a:prstGeom>
                        </pic:spPr>
                      </pic:pic>
                      <pic:pic xmlns:pic="http://schemas.openxmlformats.org/drawingml/2006/picture">
                        <pic:nvPicPr>
                          <pic:cNvPr id="275" name="Image 275"/>
                          <pic:cNvPicPr/>
                        </pic:nvPicPr>
                        <pic:blipFill>
                          <a:blip r:embed="rId76" cstate="print"/>
                          <a:stretch>
                            <a:fillRect/>
                          </a:stretch>
                        </pic:blipFill>
                        <pic:spPr>
                          <a:xfrm>
                            <a:off x="3459479" y="2836164"/>
                            <a:ext cx="73533" cy="73532"/>
                          </a:xfrm>
                          <a:prstGeom prst="rect">
                            <a:avLst/>
                          </a:prstGeom>
                        </pic:spPr>
                      </pic:pic>
                      <pic:pic xmlns:pic="http://schemas.openxmlformats.org/drawingml/2006/picture">
                        <pic:nvPicPr>
                          <pic:cNvPr id="276" name="Image 276"/>
                          <pic:cNvPicPr/>
                        </pic:nvPicPr>
                        <pic:blipFill>
                          <a:blip r:embed="rId76" cstate="print"/>
                          <a:stretch>
                            <a:fillRect/>
                          </a:stretch>
                        </pic:blipFill>
                        <pic:spPr>
                          <a:xfrm>
                            <a:off x="3773423" y="2836164"/>
                            <a:ext cx="73533" cy="73532"/>
                          </a:xfrm>
                          <a:prstGeom prst="rect">
                            <a:avLst/>
                          </a:prstGeom>
                        </pic:spPr>
                      </pic:pic>
                      <pic:pic xmlns:pic="http://schemas.openxmlformats.org/drawingml/2006/picture">
                        <pic:nvPicPr>
                          <pic:cNvPr id="277" name="Image 277"/>
                          <pic:cNvPicPr/>
                        </pic:nvPicPr>
                        <pic:blipFill>
                          <a:blip r:embed="rId76" cstate="print"/>
                          <a:stretch>
                            <a:fillRect/>
                          </a:stretch>
                        </pic:blipFill>
                        <pic:spPr>
                          <a:xfrm>
                            <a:off x="4087367" y="2836164"/>
                            <a:ext cx="73533" cy="73532"/>
                          </a:xfrm>
                          <a:prstGeom prst="rect">
                            <a:avLst/>
                          </a:prstGeom>
                        </pic:spPr>
                      </pic:pic>
                      <pic:pic xmlns:pic="http://schemas.openxmlformats.org/drawingml/2006/picture">
                        <pic:nvPicPr>
                          <pic:cNvPr id="278" name="Image 278"/>
                          <pic:cNvPicPr/>
                        </pic:nvPicPr>
                        <pic:blipFill>
                          <a:blip r:embed="rId76" cstate="print"/>
                          <a:stretch>
                            <a:fillRect/>
                          </a:stretch>
                        </pic:blipFill>
                        <pic:spPr>
                          <a:xfrm>
                            <a:off x="4401311" y="2836164"/>
                            <a:ext cx="73533" cy="73532"/>
                          </a:xfrm>
                          <a:prstGeom prst="rect">
                            <a:avLst/>
                          </a:prstGeom>
                        </pic:spPr>
                      </pic:pic>
                      <pic:pic xmlns:pic="http://schemas.openxmlformats.org/drawingml/2006/picture">
                        <pic:nvPicPr>
                          <pic:cNvPr id="279" name="Image 279"/>
                          <pic:cNvPicPr/>
                        </pic:nvPicPr>
                        <pic:blipFill>
                          <a:blip r:embed="rId75" cstate="print"/>
                          <a:stretch>
                            <a:fillRect/>
                          </a:stretch>
                        </pic:blipFill>
                        <pic:spPr>
                          <a:xfrm>
                            <a:off x="4715255" y="2837688"/>
                            <a:ext cx="73533" cy="73532"/>
                          </a:xfrm>
                          <a:prstGeom prst="rect">
                            <a:avLst/>
                          </a:prstGeom>
                        </pic:spPr>
                      </pic:pic>
                      <pic:pic xmlns:pic="http://schemas.openxmlformats.org/drawingml/2006/picture">
                        <pic:nvPicPr>
                          <pic:cNvPr id="280" name="Image 280"/>
                          <pic:cNvPicPr/>
                        </pic:nvPicPr>
                        <pic:blipFill>
                          <a:blip r:embed="rId78" cstate="print"/>
                          <a:stretch>
                            <a:fillRect/>
                          </a:stretch>
                        </pic:blipFill>
                        <pic:spPr>
                          <a:xfrm>
                            <a:off x="5029200" y="2837688"/>
                            <a:ext cx="73533" cy="73532"/>
                          </a:xfrm>
                          <a:prstGeom prst="rect">
                            <a:avLst/>
                          </a:prstGeom>
                        </pic:spPr>
                      </pic:pic>
                      <pic:pic xmlns:pic="http://schemas.openxmlformats.org/drawingml/2006/picture">
                        <pic:nvPicPr>
                          <pic:cNvPr id="281" name="Image 281"/>
                          <pic:cNvPicPr/>
                        </pic:nvPicPr>
                        <pic:blipFill>
                          <a:blip r:embed="rId78" cstate="print"/>
                          <a:stretch>
                            <a:fillRect/>
                          </a:stretch>
                        </pic:blipFill>
                        <pic:spPr>
                          <a:xfrm>
                            <a:off x="5341620" y="2837688"/>
                            <a:ext cx="73533" cy="73532"/>
                          </a:xfrm>
                          <a:prstGeom prst="rect">
                            <a:avLst/>
                          </a:prstGeom>
                        </pic:spPr>
                      </pic:pic>
                      <pic:pic xmlns:pic="http://schemas.openxmlformats.org/drawingml/2006/picture">
                        <pic:nvPicPr>
                          <pic:cNvPr id="282" name="Image 282"/>
                          <pic:cNvPicPr/>
                        </pic:nvPicPr>
                        <pic:blipFill>
                          <a:blip r:embed="rId78" cstate="print"/>
                          <a:stretch>
                            <a:fillRect/>
                          </a:stretch>
                        </pic:blipFill>
                        <pic:spPr>
                          <a:xfrm>
                            <a:off x="5655564" y="2837688"/>
                            <a:ext cx="73532" cy="73532"/>
                          </a:xfrm>
                          <a:prstGeom prst="rect">
                            <a:avLst/>
                          </a:prstGeom>
                        </pic:spPr>
                      </pic:pic>
                      <pic:pic xmlns:pic="http://schemas.openxmlformats.org/drawingml/2006/picture">
                        <pic:nvPicPr>
                          <pic:cNvPr id="283" name="Image 283"/>
                          <pic:cNvPicPr/>
                        </pic:nvPicPr>
                        <pic:blipFill>
                          <a:blip r:embed="rId75" cstate="print"/>
                          <a:stretch>
                            <a:fillRect/>
                          </a:stretch>
                        </pic:blipFill>
                        <pic:spPr>
                          <a:xfrm>
                            <a:off x="5969508" y="2837688"/>
                            <a:ext cx="73532" cy="73532"/>
                          </a:xfrm>
                          <a:prstGeom prst="rect">
                            <a:avLst/>
                          </a:prstGeom>
                        </pic:spPr>
                      </pic:pic>
                      <wps:wsp>
                        <wps:cNvPr id="284" name="Graphic 284"/>
                        <wps:cNvSpPr/>
                        <wps:spPr>
                          <a:xfrm>
                            <a:off x="673218" y="2834095"/>
                            <a:ext cx="5334635" cy="20320"/>
                          </a:xfrm>
                          <a:custGeom>
                            <a:avLst/>
                            <a:gdLst/>
                            <a:ahLst/>
                            <a:cxnLst/>
                            <a:rect l="l" t="t" r="r" b="b"/>
                            <a:pathLst>
                              <a:path w="5334635" h="20320">
                                <a:moveTo>
                                  <a:pt x="0" y="20002"/>
                                </a:moveTo>
                                <a:lnTo>
                                  <a:pt x="313766" y="673"/>
                                </a:lnTo>
                                <a:lnTo>
                                  <a:pt x="627710" y="0"/>
                                </a:lnTo>
                                <a:lnTo>
                                  <a:pt x="941654" y="673"/>
                                </a:lnTo>
                                <a:lnTo>
                                  <a:pt x="1255598" y="673"/>
                                </a:lnTo>
                                <a:lnTo>
                                  <a:pt x="1569542" y="673"/>
                                </a:lnTo>
                                <a:lnTo>
                                  <a:pt x="1881962" y="2197"/>
                                </a:lnTo>
                                <a:lnTo>
                                  <a:pt x="2195906" y="2197"/>
                                </a:lnTo>
                                <a:lnTo>
                                  <a:pt x="2509850" y="3721"/>
                                </a:lnTo>
                                <a:lnTo>
                                  <a:pt x="2823794" y="3721"/>
                                </a:lnTo>
                                <a:lnTo>
                                  <a:pt x="3137738" y="5245"/>
                                </a:lnTo>
                                <a:lnTo>
                                  <a:pt x="3451682" y="5245"/>
                                </a:lnTo>
                                <a:lnTo>
                                  <a:pt x="3765626" y="6769"/>
                                </a:lnTo>
                                <a:lnTo>
                                  <a:pt x="4079570" y="6769"/>
                                </a:lnTo>
                                <a:lnTo>
                                  <a:pt x="4393514" y="8293"/>
                                </a:lnTo>
                                <a:lnTo>
                                  <a:pt x="4705934" y="8293"/>
                                </a:lnTo>
                                <a:lnTo>
                                  <a:pt x="5019878" y="8293"/>
                                </a:lnTo>
                                <a:lnTo>
                                  <a:pt x="5334152" y="9817"/>
                                </a:lnTo>
                              </a:path>
                            </a:pathLst>
                          </a:custGeom>
                          <a:ln w="28575">
                            <a:solidFill>
                              <a:srgbClr val="F1682A"/>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79" cstate="print"/>
                          <a:stretch>
                            <a:fillRect/>
                          </a:stretch>
                        </pic:blipFill>
                        <pic:spPr>
                          <a:xfrm>
                            <a:off x="635508" y="2817876"/>
                            <a:ext cx="73533" cy="73532"/>
                          </a:xfrm>
                          <a:prstGeom prst="rect">
                            <a:avLst/>
                          </a:prstGeom>
                        </pic:spPr>
                      </pic:pic>
                      <pic:pic xmlns:pic="http://schemas.openxmlformats.org/drawingml/2006/picture">
                        <pic:nvPicPr>
                          <pic:cNvPr id="286" name="Image 286"/>
                          <pic:cNvPicPr/>
                        </pic:nvPicPr>
                        <pic:blipFill>
                          <a:blip r:embed="rId80" cstate="print"/>
                          <a:stretch>
                            <a:fillRect/>
                          </a:stretch>
                        </pic:blipFill>
                        <pic:spPr>
                          <a:xfrm>
                            <a:off x="949452" y="2798064"/>
                            <a:ext cx="73532" cy="73532"/>
                          </a:xfrm>
                          <a:prstGeom prst="rect">
                            <a:avLst/>
                          </a:prstGeom>
                        </pic:spPr>
                      </pic:pic>
                      <pic:pic xmlns:pic="http://schemas.openxmlformats.org/drawingml/2006/picture">
                        <pic:nvPicPr>
                          <pic:cNvPr id="287" name="Image 287"/>
                          <pic:cNvPicPr/>
                        </pic:nvPicPr>
                        <pic:blipFill>
                          <a:blip r:embed="rId80" cstate="print"/>
                          <a:stretch>
                            <a:fillRect/>
                          </a:stretch>
                        </pic:blipFill>
                        <pic:spPr>
                          <a:xfrm>
                            <a:off x="1263396" y="2798064"/>
                            <a:ext cx="73532" cy="73532"/>
                          </a:xfrm>
                          <a:prstGeom prst="rect">
                            <a:avLst/>
                          </a:prstGeom>
                        </pic:spPr>
                      </pic:pic>
                      <pic:pic xmlns:pic="http://schemas.openxmlformats.org/drawingml/2006/picture">
                        <pic:nvPicPr>
                          <pic:cNvPr id="288" name="Image 288"/>
                          <pic:cNvPicPr/>
                        </pic:nvPicPr>
                        <pic:blipFill>
                          <a:blip r:embed="rId80" cstate="print"/>
                          <a:stretch>
                            <a:fillRect/>
                          </a:stretch>
                        </pic:blipFill>
                        <pic:spPr>
                          <a:xfrm>
                            <a:off x="1577339" y="2798064"/>
                            <a:ext cx="73532" cy="73532"/>
                          </a:xfrm>
                          <a:prstGeom prst="rect">
                            <a:avLst/>
                          </a:prstGeom>
                        </pic:spPr>
                      </pic:pic>
                      <pic:pic xmlns:pic="http://schemas.openxmlformats.org/drawingml/2006/picture">
                        <pic:nvPicPr>
                          <pic:cNvPr id="289" name="Image 289"/>
                          <pic:cNvPicPr/>
                        </pic:nvPicPr>
                        <pic:blipFill>
                          <a:blip r:embed="rId80" cstate="print"/>
                          <a:stretch>
                            <a:fillRect/>
                          </a:stretch>
                        </pic:blipFill>
                        <pic:spPr>
                          <a:xfrm>
                            <a:off x="1891283" y="2798064"/>
                            <a:ext cx="73532" cy="73532"/>
                          </a:xfrm>
                          <a:prstGeom prst="rect">
                            <a:avLst/>
                          </a:prstGeom>
                        </pic:spPr>
                      </pic:pic>
                      <pic:pic xmlns:pic="http://schemas.openxmlformats.org/drawingml/2006/picture">
                        <pic:nvPicPr>
                          <pic:cNvPr id="290" name="Image 290"/>
                          <pic:cNvPicPr/>
                        </pic:nvPicPr>
                        <pic:blipFill>
                          <a:blip r:embed="rId81" cstate="print"/>
                          <a:stretch>
                            <a:fillRect/>
                          </a:stretch>
                        </pic:blipFill>
                        <pic:spPr>
                          <a:xfrm>
                            <a:off x="2205227" y="2798064"/>
                            <a:ext cx="73532" cy="73532"/>
                          </a:xfrm>
                          <a:prstGeom prst="rect">
                            <a:avLst/>
                          </a:prstGeom>
                        </pic:spPr>
                      </pic:pic>
                      <pic:pic xmlns:pic="http://schemas.openxmlformats.org/drawingml/2006/picture">
                        <pic:nvPicPr>
                          <pic:cNvPr id="291" name="Image 291"/>
                          <pic:cNvPicPr/>
                        </pic:nvPicPr>
                        <pic:blipFill>
                          <a:blip r:embed="rId82" cstate="print"/>
                          <a:stretch>
                            <a:fillRect/>
                          </a:stretch>
                        </pic:blipFill>
                        <pic:spPr>
                          <a:xfrm>
                            <a:off x="2517648" y="2799588"/>
                            <a:ext cx="73533" cy="73532"/>
                          </a:xfrm>
                          <a:prstGeom prst="rect">
                            <a:avLst/>
                          </a:prstGeom>
                        </pic:spPr>
                      </pic:pic>
                      <pic:pic xmlns:pic="http://schemas.openxmlformats.org/drawingml/2006/picture">
                        <pic:nvPicPr>
                          <pic:cNvPr id="292" name="Image 292"/>
                          <pic:cNvPicPr/>
                        </pic:nvPicPr>
                        <pic:blipFill>
                          <a:blip r:embed="rId82" cstate="print"/>
                          <a:stretch>
                            <a:fillRect/>
                          </a:stretch>
                        </pic:blipFill>
                        <pic:spPr>
                          <a:xfrm>
                            <a:off x="2831592" y="2799588"/>
                            <a:ext cx="73533" cy="73532"/>
                          </a:xfrm>
                          <a:prstGeom prst="rect">
                            <a:avLst/>
                          </a:prstGeom>
                        </pic:spPr>
                      </pic:pic>
                      <pic:pic xmlns:pic="http://schemas.openxmlformats.org/drawingml/2006/picture">
                        <pic:nvPicPr>
                          <pic:cNvPr id="293" name="Image 293"/>
                          <pic:cNvPicPr/>
                        </pic:nvPicPr>
                        <pic:blipFill>
                          <a:blip r:embed="rId80" cstate="print"/>
                          <a:stretch>
                            <a:fillRect/>
                          </a:stretch>
                        </pic:blipFill>
                        <pic:spPr>
                          <a:xfrm>
                            <a:off x="3145535" y="2801111"/>
                            <a:ext cx="73533" cy="73532"/>
                          </a:xfrm>
                          <a:prstGeom prst="rect">
                            <a:avLst/>
                          </a:prstGeom>
                        </pic:spPr>
                      </pic:pic>
                      <pic:pic xmlns:pic="http://schemas.openxmlformats.org/drawingml/2006/picture">
                        <pic:nvPicPr>
                          <pic:cNvPr id="294" name="Image 294"/>
                          <pic:cNvPicPr/>
                        </pic:nvPicPr>
                        <pic:blipFill>
                          <a:blip r:embed="rId80" cstate="print"/>
                          <a:stretch>
                            <a:fillRect/>
                          </a:stretch>
                        </pic:blipFill>
                        <pic:spPr>
                          <a:xfrm>
                            <a:off x="3459479" y="2801111"/>
                            <a:ext cx="73533" cy="73532"/>
                          </a:xfrm>
                          <a:prstGeom prst="rect">
                            <a:avLst/>
                          </a:prstGeom>
                        </pic:spPr>
                      </pic:pic>
                      <pic:pic xmlns:pic="http://schemas.openxmlformats.org/drawingml/2006/picture">
                        <pic:nvPicPr>
                          <pic:cNvPr id="295" name="Image 295"/>
                          <pic:cNvPicPr/>
                        </pic:nvPicPr>
                        <pic:blipFill>
                          <a:blip r:embed="rId80" cstate="print"/>
                          <a:stretch>
                            <a:fillRect/>
                          </a:stretch>
                        </pic:blipFill>
                        <pic:spPr>
                          <a:xfrm>
                            <a:off x="3773423" y="2802635"/>
                            <a:ext cx="73533" cy="73532"/>
                          </a:xfrm>
                          <a:prstGeom prst="rect">
                            <a:avLst/>
                          </a:prstGeom>
                        </pic:spPr>
                      </pic:pic>
                      <pic:pic xmlns:pic="http://schemas.openxmlformats.org/drawingml/2006/picture">
                        <pic:nvPicPr>
                          <pic:cNvPr id="296" name="Image 296"/>
                          <pic:cNvPicPr/>
                        </pic:nvPicPr>
                        <pic:blipFill>
                          <a:blip r:embed="rId80" cstate="print"/>
                          <a:stretch>
                            <a:fillRect/>
                          </a:stretch>
                        </pic:blipFill>
                        <pic:spPr>
                          <a:xfrm>
                            <a:off x="4087367" y="2802635"/>
                            <a:ext cx="73533" cy="73532"/>
                          </a:xfrm>
                          <a:prstGeom prst="rect">
                            <a:avLst/>
                          </a:prstGeom>
                        </pic:spPr>
                      </pic:pic>
                      <pic:pic xmlns:pic="http://schemas.openxmlformats.org/drawingml/2006/picture">
                        <pic:nvPicPr>
                          <pic:cNvPr id="297" name="Image 297"/>
                          <pic:cNvPicPr/>
                        </pic:nvPicPr>
                        <pic:blipFill>
                          <a:blip r:embed="rId79" cstate="print"/>
                          <a:stretch>
                            <a:fillRect/>
                          </a:stretch>
                        </pic:blipFill>
                        <pic:spPr>
                          <a:xfrm>
                            <a:off x="4401311" y="2804160"/>
                            <a:ext cx="73533" cy="73532"/>
                          </a:xfrm>
                          <a:prstGeom prst="rect">
                            <a:avLst/>
                          </a:prstGeom>
                        </pic:spPr>
                      </pic:pic>
                      <pic:pic xmlns:pic="http://schemas.openxmlformats.org/drawingml/2006/picture">
                        <pic:nvPicPr>
                          <pic:cNvPr id="298" name="Image 298"/>
                          <pic:cNvPicPr/>
                        </pic:nvPicPr>
                        <pic:blipFill>
                          <a:blip r:embed="rId79" cstate="print"/>
                          <a:stretch>
                            <a:fillRect/>
                          </a:stretch>
                        </pic:blipFill>
                        <pic:spPr>
                          <a:xfrm>
                            <a:off x="4715255" y="2804160"/>
                            <a:ext cx="73533" cy="73532"/>
                          </a:xfrm>
                          <a:prstGeom prst="rect">
                            <a:avLst/>
                          </a:prstGeom>
                        </pic:spPr>
                      </pic:pic>
                      <pic:pic xmlns:pic="http://schemas.openxmlformats.org/drawingml/2006/picture">
                        <pic:nvPicPr>
                          <pic:cNvPr id="299" name="Image 299"/>
                          <pic:cNvPicPr/>
                        </pic:nvPicPr>
                        <pic:blipFill>
                          <a:blip r:embed="rId81" cstate="print"/>
                          <a:stretch>
                            <a:fillRect/>
                          </a:stretch>
                        </pic:blipFill>
                        <pic:spPr>
                          <a:xfrm>
                            <a:off x="5029200" y="2805683"/>
                            <a:ext cx="73533" cy="73532"/>
                          </a:xfrm>
                          <a:prstGeom prst="rect">
                            <a:avLst/>
                          </a:prstGeom>
                        </pic:spPr>
                      </pic:pic>
                      <pic:pic xmlns:pic="http://schemas.openxmlformats.org/drawingml/2006/picture">
                        <pic:nvPicPr>
                          <pic:cNvPr id="300" name="Image 300"/>
                          <pic:cNvPicPr/>
                        </pic:nvPicPr>
                        <pic:blipFill>
                          <a:blip r:embed="rId81" cstate="print"/>
                          <a:stretch>
                            <a:fillRect/>
                          </a:stretch>
                        </pic:blipFill>
                        <pic:spPr>
                          <a:xfrm>
                            <a:off x="5341620" y="2805683"/>
                            <a:ext cx="73533" cy="73532"/>
                          </a:xfrm>
                          <a:prstGeom prst="rect">
                            <a:avLst/>
                          </a:prstGeom>
                        </pic:spPr>
                      </pic:pic>
                      <pic:pic xmlns:pic="http://schemas.openxmlformats.org/drawingml/2006/picture">
                        <pic:nvPicPr>
                          <pic:cNvPr id="301" name="Image 301"/>
                          <pic:cNvPicPr/>
                        </pic:nvPicPr>
                        <pic:blipFill>
                          <a:blip r:embed="rId81" cstate="print"/>
                          <a:stretch>
                            <a:fillRect/>
                          </a:stretch>
                        </pic:blipFill>
                        <pic:spPr>
                          <a:xfrm>
                            <a:off x="5655564" y="2805683"/>
                            <a:ext cx="73532" cy="73532"/>
                          </a:xfrm>
                          <a:prstGeom prst="rect">
                            <a:avLst/>
                          </a:prstGeom>
                        </pic:spPr>
                      </pic:pic>
                      <pic:pic xmlns:pic="http://schemas.openxmlformats.org/drawingml/2006/picture">
                        <pic:nvPicPr>
                          <pic:cNvPr id="302" name="Image 302"/>
                          <pic:cNvPicPr/>
                        </pic:nvPicPr>
                        <pic:blipFill>
                          <a:blip r:embed="rId80" cstate="print"/>
                          <a:stretch>
                            <a:fillRect/>
                          </a:stretch>
                        </pic:blipFill>
                        <pic:spPr>
                          <a:xfrm>
                            <a:off x="5969508" y="2807207"/>
                            <a:ext cx="73532" cy="73532"/>
                          </a:xfrm>
                          <a:prstGeom prst="rect">
                            <a:avLst/>
                          </a:prstGeom>
                        </pic:spPr>
                      </pic:pic>
                      <wps:wsp>
                        <wps:cNvPr id="303" name="Graphic 303"/>
                        <wps:cNvSpPr/>
                        <wps:spPr>
                          <a:xfrm>
                            <a:off x="673218" y="2050224"/>
                            <a:ext cx="5334635" cy="67945"/>
                          </a:xfrm>
                          <a:custGeom>
                            <a:avLst/>
                            <a:gdLst/>
                            <a:ahLst/>
                            <a:cxnLst/>
                            <a:rect l="l" t="t" r="r" b="b"/>
                            <a:pathLst>
                              <a:path w="5334635" h="67945">
                                <a:moveTo>
                                  <a:pt x="0" y="13398"/>
                                </a:moveTo>
                                <a:lnTo>
                                  <a:pt x="313766" y="0"/>
                                </a:lnTo>
                                <a:lnTo>
                                  <a:pt x="627710" y="5778"/>
                                </a:lnTo>
                                <a:lnTo>
                                  <a:pt x="941654" y="14922"/>
                                </a:lnTo>
                                <a:lnTo>
                                  <a:pt x="1255598" y="24066"/>
                                </a:lnTo>
                                <a:lnTo>
                                  <a:pt x="1569542" y="33210"/>
                                </a:lnTo>
                                <a:lnTo>
                                  <a:pt x="1881962" y="42354"/>
                                </a:lnTo>
                                <a:lnTo>
                                  <a:pt x="2195906" y="51498"/>
                                </a:lnTo>
                                <a:lnTo>
                                  <a:pt x="2509850" y="54546"/>
                                </a:lnTo>
                                <a:lnTo>
                                  <a:pt x="2823794" y="57594"/>
                                </a:lnTo>
                                <a:lnTo>
                                  <a:pt x="3137738" y="60642"/>
                                </a:lnTo>
                                <a:lnTo>
                                  <a:pt x="3451682" y="65214"/>
                                </a:lnTo>
                                <a:lnTo>
                                  <a:pt x="3765626" y="67881"/>
                                </a:lnTo>
                                <a:lnTo>
                                  <a:pt x="4079570" y="62166"/>
                                </a:lnTo>
                                <a:lnTo>
                                  <a:pt x="4393514" y="57594"/>
                                </a:lnTo>
                                <a:lnTo>
                                  <a:pt x="4705934" y="53022"/>
                                </a:lnTo>
                                <a:lnTo>
                                  <a:pt x="5019878" y="46926"/>
                                </a:lnTo>
                                <a:lnTo>
                                  <a:pt x="5334152" y="42354"/>
                                </a:lnTo>
                              </a:path>
                            </a:pathLst>
                          </a:custGeom>
                          <a:ln w="28575">
                            <a:solidFill>
                              <a:srgbClr val="F9A720"/>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83" cstate="print"/>
                          <a:stretch>
                            <a:fillRect/>
                          </a:stretch>
                        </pic:blipFill>
                        <pic:spPr>
                          <a:xfrm>
                            <a:off x="635508" y="2026921"/>
                            <a:ext cx="73533" cy="73532"/>
                          </a:xfrm>
                          <a:prstGeom prst="rect">
                            <a:avLst/>
                          </a:prstGeom>
                        </pic:spPr>
                      </pic:pic>
                      <pic:pic xmlns:pic="http://schemas.openxmlformats.org/drawingml/2006/picture">
                        <pic:nvPicPr>
                          <pic:cNvPr id="305" name="Image 305"/>
                          <pic:cNvPicPr/>
                        </pic:nvPicPr>
                        <pic:blipFill>
                          <a:blip r:embed="rId83" cstate="print"/>
                          <a:stretch>
                            <a:fillRect/>
                          </a:stretch>
                        </pic:blipFill>
                        <pic:spPr>
                          <a:xfrm>
                            <a:off x="949452" y="2013205"/>
                            <a:ext cx="73532" cy="73532"/>
                          </a:xfrm>
                          <a:prstGeom prst="rect">
                            <a:avLst/>
                          </a:prstGeom>
                        </pic:spPr>
                      </pic:pic>
                      <pic:pic xmlns:pic="http://schemas.openxmlformats.org/drawingml/2006/picture">
                        <pic:nvPicPr>
                          <pic:cNvPr id="306" name="Image 306"/>
                          <pic:cNvPicPr/>
                        </pic:nvPicPr>
                        <pic:blipFill>
                          <a:blip r:embed="rId83" cstate="print"/>
                          <a:stretch>
                            <a:fillRect/>
                          </a:stretch>
                        </pic:blipFill>
                        <pic:spPr>
                          <a:xfrm>
                            <a:off x="1263396" y="2019301"/>
                            <a:ext cx="73532" cy="73532"/>
                          </a:xfrm>
                          <a:prstGeom prst="rect">
                            <a:avLst/>
                          </a:prstGeom>
                        </pic:spPr>
                      </pic:pic>
                      <pic:pic xmlns:pic="http://schemas.openxmlformats.org/drawingml/2006/picture">
                        <pic:nvPicPr>
                          <pic:cNvPr id="307" name="Image 307"/>
                          <pic:cNvPicPr/>
                        </pic:nvPicPr>
                        <pic:blipFill>
                          <a:blip r:embed="rId83" cstate="print"/>
                          <a:stretch>
                            <a:fillRect/>
                          </a:stretch>
                        </pic:blipFill>
                        <pic:spPr>
                          <a:xfrm>
                            <a:off x="1577339" y="2028444"/>
                            <a:ext cx="73532" cy="73532"/>
                          </a:xfrm>
                          <a:prstGeom prst="rect">
                            <a:avLst/>
                          </a:prstGeom>
                        </pic:spPr>
                      </pic:pic>
                      <pic:pic xmlns:pic="http://schemas.openxmlformats.org/drawingml/2006/picture">
                        <pic:nvPicPr>
                          <pic:cNvPr id="308" name="Image 308"/>
                          <pic:cNvPicPr/>
                        </pic:nvPicPr>
                        <pic:blipFill>
                          <a:blip r:embed="rId83" cstate="print"/>
                          <a:stretch>
                            <a:fillRect/>
                          </a:stretch>
                        </pic:blipFill>
                        <pic:spPr>
                          <a:xfrm>
                            <a:off x="1891283" y="2037588"/>
                            <a:ext cx="73532" cy="73532"/>
                          </a:xfrm>
                          <a:prstGeom prst="rect">
                            <a:avLst/>
                          </a:prstGeom>
                        </pic:spPr>
                      </pic:pic>
                      <pic:pic xmlns:pic="http://schemas.openxmlformats.org/drawingml/2006/picture">
                        <pic:nvPicPr>
                          <pic:cNvPr id="309" name="Image 309"/>
                          <pic:cNvPicPr/>
                        </pic:nvPicPr>
                        <pic:blipFill>
                          <a:blip r:embed="rId84" cstate="print"/>
                          <a:stretch>
                            <a:fillRect/>
                          </a:stretch>
                        </pic:blipFill>
                        <pic:spPr>
                          <a:xfrm>
                            <a:off x="2205227" y="2046733"/>
                            <a:ext cx="73532" cy="73532"/>
                          </a:xfrm>
                          <a:prstGeom prst="rect">
                            <a:avLst/>
                          </a:prstGeom>
                        </pic:spPr>
                      </pic:pic>
                      <pic:pic xmlns:pic="http://schemas.openxmlformats.org/drawingml/2006/picture">
                        <pic:nvPicPr>
                          <pic:cNvPr id="310" name="Image 310"/>
                          <pic:cNvPicPr/>
                        </pic:nvPicPr>
                        <pic:blipFill>
                          <a:blip r:embed="rId84" cstate="print"/>
                          <a:stretch>
                            <a:fillRect/>
                          </a:stretch>
                        </pic:blipFill>
                        <pic:spPr>
                          <a:xfrm>
                            <a:off x="2517648" y="2055877"/>
                            <a:ext cx="73533" cy="73532"/>
                          </a:xfrm>
                          <a:prstGeom prst="rect">
                            <a:avLst/>
                          </a:prstGeom>
                        </pic:spPr>
                      </pic:pic>
                      <pic:pic xmlns:pic="http://schemas.openxmlformats.org/drawingml/2006/picture">
                        <pic:nvPicPr>
                          <pic:cNvPr id="311" name="Image 311"/>
                          <pic:cNvPicPr/>
                        </pic:nvPicPr>
                        <pic:blipFill>
                          <a:blip r:embed="rId84" cstate="print"/>
                          <a:stretch>
                            <a:fillRect/>
                          </a:stretch>
                        </pic:blipFill>
                        <pic:spPr>
                          <a:xfrm>
                            <a:off x="2831592" y="2065021"/>
                            <a:ext cx="73533" cy="73532"/>
                          </a:xfrm>
                          <a:prstGeom prst="rect">
                            <a:avLst/>
                          </a:prstGeom>
                        </pic:spPr>
                      </pic:pic>
                      <pic:pic xmlns:pic="http://schemas.openxmlformats.org/drawingml/2006/picture">
                        <pic:nvPicPr>
                          <pic:cNvPr id="312" name="Image 312"/>
                          <pic:cNvPicPr/>
                        </pic:nvPicPr>
                        <pic:blipFill>
                          <a:blip r:embed="rId85" cstate="print"/>
                          <a:stretch>
                            <a:fillRect/>
                          </a:stretch>
                        </pic:blipFill>
                        <pic:spPr>
                          <a:xfrm>
                            <a:off x="3145535" y="2068067"/>
                            <a:ext cx="73533" cy="73532"/>
                          </a:xfrm>
                          <a:prstGeom prst="rect">
                            <a:avLst/>
                          </a:prstGeom>
                        </pic:spPr>
                      </pic:pic>
                      <pic:pic xmlns:pic="http://schemas.openxmlformats.org/drawingml/2006/picture">
                        <pic:nvPicPr>
                          <pic:cNvPr id="313" name="Image 313"/>
                          <pic:cNvPicPr/>
                        </pic:nvPicPr>
                        <pic:blipFill>
                          <a:blip r:embed="rId83" cstate="print"/>
                          <a:stretch>
                            <a:fillRect/>
                          </a:stretch>
                        </pic:blipFill>
                        <pic:spPr>
                          <a:xfrm>
                            <a:off x="3459479" y="2071116"/>
                            <a:ext cx="73533" cy="73532"/>
                          </a:xfrm>
                          <a:prstGeom prst="rect">
                            <a:avLst/>
                          </a:prstGeom>
                        </pic:spPr>
                      </pic:pic>
                      <pic:pic xmlns:pic="http://schemas.openxmlformats.org/drawingml/2006/picture">
                        <pic:nvPicPr>
                          <pic:cNvPr id="314" name="Image 314"/>
                          <pic:cNvPicPr/>
                        </pic:nvPicPr>
                        <pic:blipFill>
                          <a:blip r:embed="rId85" cstate="print"/>
                          <a:stretch>
                            <a:fillRect/>
                          </a:stretch>
                        </pic:blipFill>
                        <pic:spPr>
                          <a:xfrm>
                            <a:off x="3773423" y="2074164"/>
                            <a:ext cx="73533" cy="73532"/>
                          </a:xfrm>
                          <a:prstGeom prst="rect">
                            <a:avLst/>
                          </a:prstGeom>
                        </pic:spPr>
                      </pic:pic>
                      <pic:pic xmlns:pic="http://schemas.openxmlformats.org/drawingml/2006/picture">
                        <pic:nvPicPr>
                          <pic:cNvPr id="315" name="Image 315"/>
                          <pic:cNvPicPr/>
                        </pic:nvPicPr>
                        <pic:blipFill>
                          <a:blip r:embed="rId85" cstate="print"/>
                          <a:stretch>
                            <a:fillRect/>
                          </a:stretch>
                        </pic:blipFill>
                        <pic:spPr>
                          <a:xfrm>
                            <a:off x="4087367" y="2078735"/>
                            <a:ext cx="73533" cy="73532"/>
                          </a:xfrm>
                          <a:prstGeom prst="rect">
                            <a:avLst/>
                          </a:prstGeom>
                        </pic:spPr>
                      </pic:pic>
                      <pic:pic xmlns:pic="http://schemas.openxmlformats.org/drawingml/2006/picture">
                        <pic:nvPicPr>
                          <pic:cNvPr id="316" name="Image 316"/>
                          <pic:cNvPicPr/>
                        </pic:nvPicPr>
                        <pic:blipFill>
                          <a:blip r:embed="rId85" cstate="print"/>
                          <a:stretch>
                            <a:fillRect/>
                          </a:stretch>
                        </pic:blipFill>
                        <pic:spPr>
                          <a:xfrm>
                            <a:off x="4401311" y="2081785"/>
                            <a:ext cx="73533" cy="73532"/>
                          </a:xfrm>
                          <a:prstGeom prst="rect">
                            <a:avLst/>
                          </a:prstGeom>
                        </pic:spPr>
                      </pic:pic>
                      <pic:pic xmlns:pic="http://schemas.openxmlformats.org/drawingml/2006/picture">
                        <pic:nvPicPr>
                          <pic:cNvPr id="317" name="Image 317"/>
                          <pic:cNvPicPr/>
                        </pic:nvPicPr>
                        <pic:blipFill>
                          <a:blip r:embed="rId83" cstate="print"/>
                          <a:stretch>
                            <a:fillRect/>
                          </a:stretch>
                        </pic:blipFill>
                        <pic:spPr>
                          <a:xfrm>
                            <a:off x="4715255" y="2075688"/>
                            <a:ext cx="73533" cy="73532"/>
                          </a:xfrm>
                          <a:prstGeom prst="rect">
                            <a:avLst/>
                          </a:prstGeom>
                        </pic:spPr>
                      </pic:pic>
                      <pic:pic xmlns:pic="http://schemas.openxmlformats.org/drawingml/2006/picture">
                        <pic:nvPicPr>
                          <pic:cNvPr id="318" name="Image 318"/>
                          <pic:cNvPicPr/>
                        </pic:nvPicPr>
                        <pic:blipFill>
                          <a:blip r:embed="rId84" cstate="print"/>
                          <a:stretch>
                            <a:fillRect/>
                          </a:stretch>
                        </pic:blipFill>
                        <pic:spPr>
                          <a:xfrm>
                            <a:off x="5029200" y="2071116"/>
                            <a:ext cx="73533" cy="73532"/>
                          </a:xfrm>
                          <a:prstGeom prst="rect">
                            <a:avLst/>
                          </a:prstGeom>
                        </pic:spPr>
                      </pic:pic>
                      <pic:pic xmlns:pic="http://schemas.openxmlformats.org/drawingml/2006/picture">
                        <pic:nvPicPr>
                          <pic:cNvPr id="319" name="Image 319"/>
                          <pic:cNvPicPr/>
                        </pic:nvPicPr>
                        <pic:blipFill>
                          <a:blip r:embed="rId84" cstate="print"/>
                          <a:stretch>
                            <a:fillRect/>
                          </a:stretch>
                        </pic:blipFill>
                        <pic:spPr>
                          <a:xfrm>
                            <a:off x="5341620" y="2066544"/>
                            <a:ext cx="73533" cy="73532"/>
                          </a:xfrm>
                          <a:prstGeom prst="rect">
                            <a:avLst/>
                          </a:prstGeom>
                        </pic:spPr>
                      </pic:pic>
                      <pic:pic xmlns:pic="http://schemas.openxmlformats.org/drawingml/2006/picture">
                        <pic:nvPicPr>
                          <pic:cNvPr id="320" name="Image 320"/>
                          <pic:cNvPicPr/>
                        </pic:nvPicPr>
                        <pic:blipFill>
                          <a:blip r:embed="rId84" cstate="print"/>
                          <a:stretch>
                            <a:fillRect/>
                          </a:stretch>
                        </pic:blipFill>
                        <pic:spPr>
                          <a:xfrm>
                            <a:off x="5655564" y="2060449"/>
                            <a:ext cx="73532" cy="73532"/>
                          </a:xfrm>
                          <a:prstGeom prst="rect">
                            <a:avLst/>
                          </a:prstGeom>
                        </pic:spPr>
                      </pic:pic>
                      <pic:pic xmlns:pic="http://schemas.openxmlformats.org/drawingml/2006/picture">
                        <pic:nvPicPr>
                          <pic:cNvPr id="321" name="Image 321"/>
                          <pic:cNvPicPr/>
                        </pic:nvPicPr>
                        <pic:blipFill>
                          <a:blip r:embed="rId83" cstate="print"/>
                          <a:stretch>
                            <a:fillRect/>
                          </a:stretch>
                        </pic:blipFill>
                        <pic:spPr>
                          <a:xfrm>
                            <a:off x="5969508" y="2055877"/>
                            <a:ext cx="73532" cy="73532"/>
                          </a:xfrm>
                          <a:prstGeom prst="rect">
                            <a:avLst/>
                          </a:prstGeom>
                        </pic:spPr>
                      </pic:pic>
                      <wps:wsp>
                        <wps:cNvPr id="322" name="Graphic 322"/>
                        <wps:cNvSpPr/>
                        <wps:spPr>
                          <a:xfrm>
                            <a:off x="673218" y="452325"/>
                            <a:ext cx="5334635" cy="519430"/>
                          </a:xfrm>
                          <a:custGeom>
                            <a:avLst/>
                            <a:gdLst/>
                            <a:ahLst/>
                            <a:cxnLst/>
                            <a:rect l="l" t="t" r="r" b="b"/>
                            <a:pathLst>
                              <a:path w="5334635" h="519430">
                                <a:moveTo>
                                  <a:pt x="0" y="519391"/>
                                </a:moveTo>
                                <a:lnTo>
                                  <a:pt x="313766" y="506399"/>
                                </a:lnTo>
                                <a:lnTo>
                                  <a:pt x="627710" y="422579"/>
                                </a:lnTo>
                                <a:lnTo>
                                  <a:pt x="941654" y="370763"/>
                                </a:lnTo>
                                <a:lnTo>
                                  <a:pt x="1255598" y="320471"/>
                                </a:lnTo>
                                <a:lnTo>
                                  <a:pt x="1569542" y="270179"/>
                                </a:lnTo>
                                <a:lnTo>
                                  <a:pt x="1881962" y="219887"/>
                                </a:lnTo>
                                <a:lnTo>
                                  <a:pt x="2195906" y="169595"/>
                                </a:lnTo>
                                <a:lnTo>
                                  <a:pt x="2509850" y="140639"/>
                                </a:lnTo>
                                <a:lnTo>
                                  <a:pt x="2823794" y="111683"/>
                                </a:lnTo>
                                <a:lnTo>
                                  <a:pt x="3137738" y="82727"/>
                                </a:lnTo>
                                <a:lnTo>
                                  <a:pt x="3451682" y="53771"/>
                                </a:lnTo>
                                <a:lnTo>
                                  <a:pt x="3765626" y="24815"/>
                                </a:lnTo>
                                <a:lnTo>
                                  <a:pt x="4079570" y="20243"/>
                                </a:lnTo>
                                <a:lnTo>
                                  <a:pt x="4393514" y="15671"/>
                                </a:lnTo>
                                <a:lnTo>
                                  <a:pt x="4705934" y="9575"/>
                                </a:lnTo>
                                <a:lnTo>
                                  <a:pt x="5019878" y="5003"/>
                                </a:lnTo>
                                <a:lnTo>
                                  <a:pt x="5334152" y="0"/>
                                </a:lnTo>
                              </a:path>
                            </a:pathLst>
                          </a:custGeom>
                          <a:ln w="28575">
                            <a:solidFill>
                              <a:srgbClr val="339FC7"/>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86" cstate="print"/>
                          <a:stretch>
                            <a:fillRect/>
                          </a:stretch>
                        </pic:blipFill>
                        <pic:spPr>
                          <a:xfrm>
                            <a:off x="635508" y="935737"/>
                            <a:ext cx="73533" cy="73532"/>
                          </a:xfrm>
                          <a:prstGeom prst="rect">
                            <a:avLst/>
                          </a:prstGeom>
                        </pic:spPr>
                      </pic:pic>
                      <pic:pic xmlns:pic="http://schemas.openxmlformats.org/drawingml/2006/picture">
                        <pic:nvPicPr>
                          <pic:cNvPr id="324" name="Image 324"/>
                          <pic:cNvPicPr/>
                        </pic:nvPicPr>
                        <pic:blipFill>
                          <a:blip r:embed="rId87" cstate="print"/>
                          <a:stretch>
                            <a:fillRect/>
                          </a:stretch>
                        </pic:blipFill>
                        <pic:spPr>
                          <a:xfrm>
                            <a:off x="949452" y="922021"/>
                            <a:ext cx="73532" cy="73532"/>
                          </a:xfrm>
                          <a:prstGeom prst="rect">
                            <a:avLst/>
                          </a:prstGeom>
                        </pic:spPr>
                      </pic:pic>
                      <pic:pic xmlns:pic="http://schemas.openxmlformats.org/drawingml/2006/picture">
                        <pic:nvPicPr>
                          <pic:cNvPr id="325" name="Image 325"/>
                          <pic:cNvPicPr/>
                        </pic:nvPicPr>
                        <pic:blipFill>
                          <a:blip r:embed="rId87" cstate="print"/>
                          <a:stretch>
                            <a:fillRect/>
                          </a:stretch>
                        </pic:blipFill>
                        <pic:spPr>
                          <a:xfrm>
                            <a:off x="1263396" y="838201"/>
                            <a:ext cx="73532" cy="73532"/>
                          </a:xfrm>
                          <a:prstGeom prst="rect">
                            <a:avLst/>
                          </a:prstGeom>
                        </pic:spPr>
                      </pic:pic>
                      <pic:pic xmlns:pic="http://schemas.openxmlformats.org/drawingml/2006/picture">
                        <pic:nvPicPr>
                          <pic:cNvPr id="326" name="Image 326"/>
                          <pic:cNvPicPr/>
                        </pic:nvPicPr>
                        <pic:blipFill>
                          <a:blip r:embed="rId86" cstate="print"/>
                          <a:stretch>
                            <a:fillRect/>
                          </a:stretch>
                        </pic:blipFill>
                        <pic:spPr>
                          <a:xfrm>
                            <a:off x="1577339" y="786385"/>
                            <a:ext cx="73532" cy="73532"/>
                          </a:xfrm>
                          <a:prstGeom prst="rect">
                            <a:avLst/>
                          </a:prstGeom>
                        </pic:spPr>
                      </pic:pic>
                      <pic:pic xmlns:pic="http://schemas.openxmlformats.org/drawingml/2006/picture">
                        <pic:nvPicPr>
                          <pic:cNvPr id="327" name="Image 327"/>
                          <pic:cNvPicPr/>
                        </pic:nvPicPr>
                        <pic:blipFill>
                          <a:blip r:embed="rId86" cstate="print"/>
                          <a:stretch>
                            <a:fillRect/>
                          </a:stretch>
                        </pic:blipFill>
                        <pic:spPr>
                          <a:xfrm>
                            <a:off x="1891283" y="736091"/>
                            <a:ext cx="73532" cy="73532"/>
                          </a:xfrm>
                          <a:prstGeom prst="rect">
                            <a:avLst/>
                          </a:prstGeom>
                        </pic:spPr>
                      </pic:pic>
                      <pic:pic xmlns:pic="http://schemas.openxmlformats.org/drawingml/2006/picture">
                        <pic:nvPicPr>
                          <pic:cNvPr id="328" name="Image 328"/>
                          <pic:cNvPicPr/>
                        </pic:nvPicPr>
                        <pic:blipFill>
                          <a:blip r:embed="rId88" cstate="print"/>
                          <a:stretch>
                            <a:fillRect/>
                          </a:stretch>
                        </pic:blipFill>
                        <pic:spPr>
                          <a:xfrm>
                            <a:off x="2205227" y="685801"/>
                            <a:ext cx="73532" cy="73532"/>
                          </a:xfrm>
                          <a:prstGeom prst="rect">
                            <a:avLst/>
                          </a:prstGeom>
                        </pic:spPr>
                      </pic:pic>
                      <pic:pic xmlns:pic="http://schemas.openxmlformats.org/drawingml/2006/picture">
                        <pic:nvPicPr>
                          <pic:cNvPr id="329" name="Image 329"/>
                          <pic:cNvPicPr/>
                        </pic:nvPicPr>
                        <pic:blipFill>
                          <a:blip r:embed="rId89" cstate="print"/>
                          <a:stretch>
                            <a:fillRect/>
                          </a:stretch>
                        </pic:blipFill>
                        <pic:spPr>
                          <a:xfrm>
                            <a:off x="2517648" y="635509"/>
                            <a:ext cx="73533" cy="73532"/>
                          </a:xfrm>
                          <a:prstGeom prst="rect">
                            <a:avLst/>
                          </a:prstGeom>
                        </pic:spPr>
                      </pic:pic>
                      <pic:pic xmlns:pic="http://schemas.openxmlformats.org/drawingml/2006/picture">
                        <pic:nvPicPr>
                          <pic:cNvPr id="330" name="Image 330"/>
                          <pic:cNvPicPr/>
                        </pic:nvPicPr>
                        <pic:blipFill>
                          <a:blip r:embed="rId88" cstate="print"/>
                          <a:stretch>
                            <a:fillRect/>
                          </a:stretch>
                        </pic:blipFill>
                        <pic:spPr>
                          <a:xfrm>
                            <a:off x="2831592" y="585216"/>
                            <a:ext cx="73533" cy="73532"/>
                          </a:xfrm>
                          <a:prstGeom prst="rect">
                            <a:avLst/>
                          </a:prstGeom>
                        </pic:spPr>
                      </pic:pic>
                      <pic:pic xmlns:pic="http://schemas.openxmlformats.org/drawingml/2006/picture">
                        <pic:nvPicPr>
                          <pic:cNvPr id="331" name="Image 331"/>
                          <pic:cNvPicPr/>
                        </pic:nvPicPr>
                        <pic:blipFill>
                          <a:blip r:embed="rId87" cstate="print"/>
                          <a:stretch>
                            <a:fillRect/>
                          </a:stretch>
                        </pic:blipFill>
                        <pic:spPr>
                          <a:xfrm>
                            <a:off x="3145535" y="556261"/>
                            <a:ext cx="73533" cy="73532"/>
                          </a:xfrm>
                          <a:prstGeom prst="rect">
                            <a:avLst/>
                          </a:prstGeom>
                        </pic:spPr>
                      </pic:pic>
                      <pic:pic xmlns:pic="http://schemas.openxmlformats.org/drawingml/2006/picture">
                        <pic:nvPicPr>
                          <pic:cNvPr id="332" name="Image 332"/>
                          <pic:cNvPicPr/>
                        </pic:nvPicPr>
                        <pic:blipFill>
                          <a:blip r:embed="rId87" cstate="print"/>
                          <a:stretch>
                            <a:fillRect/>
                          </a:stretch>
                        </pic:blipFill>
                        <pic:spPr>
                          <a:xfrm>
                            <a:off x="3459479" y="527304"/>
                            <a:ext cx="73533" cy="73532"/>
                          </a:xfrm>
                          <a:prstGeom prst="rect">
                            <a:avLst/>
                          </a:prstGeom>
                        </pic:spPr>
                      </pic:pic>
                      <pic:pic xmlns:pic="http://schemas.openxmlformats.org/drawingml/2006/picture">
                        <pic:nvPicPr>
                          <pic:cNvPr id="333" name="Image 333"/>
                          <pic:cNvPicPr/>
                        </pic:nvPicPr>
                        <pic:blipFill>
                          <a:blip r:embed="rId87" cstate="print"/>
                          <a:stretch>
                            <a:fillRect/>
                          </a:stretch>
                        </pic:blipFill>
                        <pic:spPr>
                          <a:xfrm>
                            <a:off x="3773423" y="498349"/>
                            <a:ext cx="73533" cy="73532"/>
                          </a:xfrm>
                          <a:prstGeom prst="rect">
                            <a:avLst/>
                          </a:prstGeom>
                        </pic:spPr>
                      </pic:pic>
                      <pic:pic xmlns:pic="http://schemas.openxmlformats.org/drawingml/2006/picture">
                        <pic:nvPicPr>
                          <pic:cNvPr id="334" name="Image 334"/>
                          <pic:cNvPicPr/>
                        </pic:nvPicPr>
                        <pic:blipFill>
                          <a:blip r:embed="rId86" cstate="print"/>
                          <a:stretch>
                            <a:fillRect/>
                          </a:stretch>
                        </pic:blipFill>
                        <pic:spPr>
                          <a:xfrm>
                            <a:off x="4087367" y="469391"/>
                            <a:ext cx="73533" cy="73532"/>
                          </a:xfrm>
                          <a:prstGeom prst="rect">
                            <a:avLst/>
                          </a:prstGeom>
                        </pic:spPr>
                      </pic:pic>
                      <pic:pic xmlns:pic="http://schemas.openxmlformats.org/drawingml/2006/picture">
                        <pic:nvPicPr>
                          <pic:cNvPr id="335" name="Image 335"/>
                          <pic:cNvPicPr/>
                        </pic:nvPicPr>
                        <pic:blipFill>
                          <a:blip r:embed="rId86" cstate="print"/>
                          <a:stretch>
                            <a:fillRect/>
                          </a:stretch>
                        </pic:blipFill>
                        <pic:spPr>
                          <a:xfrm>
                            <a:off x="4401311" y="440437"/>
                            <a:ext cx="73533" cy="73532"/>
                          </a:xfrm>
                          <a:prstGeom prst="rect">
                            <a:avLst/>
                          </a:prstGeom>
                        </pic:spPr>
                      </pic:pic>
                      <pic:pic xmlns:pic="http://schemas.openxmlformats.org/drawingml/2006/picture">
                        <pic:nvPicPr>
                          <pic:cNvPr id="336" name="Image 336"/>
                          <pic:cNvPicPr/>
                        </pic:nvPicPr>
                        <pic:blipFill>
                          <a:blip r:embed="rId86" cstate="print"/>
                          <a:stretch>
                            <a:fillRect/>
                          </a:stretch>
                        </pic:blipFill>
                        <pic:spPr>
                          <a:xfrm>
                            <a:off x="4715255" y="435863"/>
                            <a:ext cx="73533" cy="73532"/>
                          </a:xfrm>
                          <a:prstGeom prst="rect">
                            <a:avLst/>
                          </a:prstGeom>
                        </pic:spPr>
                      </pic:pic>
                      <pic:pic xmlns:pic="http://schemas.openxmlformats.org/drawingml/2006/picture">
                        <pic:nvPicPr>
                          <pic:cNvPr id="337" name="Image 337"/>
                          <pic:cNvPicPr/>
                        </pic:nvPicPr>
                        <pic:blipFill>
                          <a:blip r:embed="rId89" cstate="print"/>
                          <a:stretch>
                            <a:fillRect/>
                          </a:stretch>
                        </pic:blipFill>
                        <pic:spPr>
                          <a:xfrm>
                            <a:off x="5029200" y="431291"/>
                            <a:ext cx="73533" cy="73532"/>
                          </a:xfrm>
                          <a:prstGeom prst="rect">
                            <a:avLst/>
                          </a:prstGeom>
                        </pic:spPr>
                      </pic:pic>
                      <pic:pic xmlns:pic="http://schemas.openxmlformats.org/drawingml/2006/picture">
                        <pic:nvPicPr>
                          <pic:cNvPr id="338" name="Image 338"/>
                          <pic:cNvPicPr/>
                        </pic:nvPicPr>
                        <pic:blipFill>
                          <a:blip r:embed="rId89" cstate="print"/>
                          <a:stretch>
                            <a:fillRect/>
                          </a:stretch>
                        </pic:blipFill>
                        <pic:spPr>
                          <a:xfrm>
                            <a:off x="5341620" y="425197"/>
                            <a:ext cx="73533" cy="73532"/>
                          </a:xfrm>
                          <a:prstGeom prst="rect">
                            <a:avLst/>
                          </a:prstGeom>
                        </pic:spPr>
                      </pic:pic>
                      <pic:pic xmlns:pic="http://schemas.openxmlformats.org/drawingml/2006/picture">
                        <pic:nvPicPr>
                          <pic:cNvPr id="339" name="Image 339"/>
                          <pic:cNvPicPr/>
                        </pic:nvPicPr>
                        <pic:blipFill>
                          <a:blip r:embed="rId89" cstate="print"/>
                          <a:stretch>
                            <a:fillRect/>
                          </a:stretch>
                        </pic:blipFill>
                        <pic:spPr>
                          <a:xfrm>
                            <a:off x="5655564" y="420625"/>
                            <a:ext cx="73532" cy="73532"/>
                          </a:xfrm>
                          <a:prstGeom prst="rect">
                            <a:avLst/>
                          </a:prstGeom>
                        </pic:spPr>
                      </pic:pic>
                      <pic:pic xmlns:pic="http://schemas.openxmlformats.org/drawingml/2006/picture">
                        <pic:nvPicPr>
                          <pic:cNvPr id="340" name="Image 340"/>
                          <pic:cNvPicPr/>
                        </pic:nvPicPr>
                        <pic:blipFill>
                          <a:blip r:embed="rId86" cstate="print"/>
                          <a:stretch>
                            <a:fillRect/>
                          </a:stretch>
                        </pic:blipFill>
                        <pic:spPr>
                          <a:xfrm>
                            <a:off x="5969508" y="416053"/>
                            <a:ext cx="73532" cy="73532"/>
                          </a:xfrm>
                          <a:prstGeom prst="rect">
                            <a:avLst/>
                          </a:prstGeom>
                        </pic:spPr>
                      </pic:pic>
                      <wps:wsp>
                        <wps:cNvPr id="341" name="Graphic 341"/>
                        <wps:cNvSpPr/>
                        <wps:spPr>
                          <a:xfrm>
                            <a:off x="454583" y="3070097"/>
                            <a:ext cx="5572125" cy="285115"/>
                          </a:xfrm>
                          <a:custGeom>
                            <a:avLst/>
                            <a:gdLst/>
                            <a:ahLst/>
                            <a:cxnLst/>
                            <a:rect l="l" t="t" r="r" b="b"/>
                            <a:pathLst>
                              <a:path w="5572125" h="285115">
                                <a:moveTo>
                                  <a:pt x="98386" y="236499"/>
                                </a:moveTo>
                                <a:lnTo>
                                  <a:pt x="91262" y="230517"/>
                                </a:lnTo>
                                <a:lnTo>
                                  <a:pt x="59563" y="268287"/>
                                </a:lnTo>
                                <a:lnTo>
                                  <a:pt x="60375" y="257911"/>
                                </a:lnTo>
                                <a:lnTo>
                                  <a:pt x="60921" y="248018"/>
                                </a:lnTo>
                                <a:lnTo>
                                  <a:pt x="60921" y="221043"/>
                                </a:lnTo>
                                <a:lnTo>
                                  <a:pt x="59842" y="213423"/>
                                </a:lnTo>
                                <a:lnTo>
                                  <a:pt x="55994" y="203047"/>
                                </a:lnTo>
                                <a:lnTo>
                                  <a:pt x="53340" y="199224"/>
                                </a:lnTo>
                                <a:lnTo>
                                  <a:pt x="53035" y="198780"/>
                                </a:lnTo>
                                <a:lnTo>
                                  <a:pt x="43268" y="190588"/>
                                </a:lnTo>
                                <a:lnTo>
                                  <a:pt x="36766" y="188760"/>
                                </a:lnTo>
                                <a:lnTo>
                                  <a:pt x="36017" y="188760"/>
                                </a:lnTo>
                                <a:lnTo>
                                  <a:pt x="2146" y="211848"/>
                                </a:lnTo>
                                <a:lnTo>
                                  <a:pt x="0" y="222034"/>
                                </a:lnTo>
                                <a:lnTo>
                                  <a:pt x="1892" y="232549"/>
                                </a:lnTo>
                                <a:lnTo>
                                  <a:pt x="7835" y="243344"/>
                                </a:lnTo>
                                <a:lnTo>
                                  <a:pt x="16941" y="237388"/>
                                </a:lnTo>
                                <a:lnTo>
                                  <a:pt x="12420" y="232918"/>
                                </a:lnTo>
                                <a:lnTo>
                                  <a:pt x="10096" y="227901"/>
                                </a:lnTo>
                                <a:lnTo>
                                  <a:pt x="9969" y="222313"/>
                                </a:lnTo>
                                <a:lnTo>
                                  <a:pt x="9842" y="216738"/>
                                </a:lnTo>
                                <a:lnTo>
                                  <a:pt x="11404" y="212153"/>
                                </a:lnTo>
                                <a:lnTo>
                                  <a:pt x="11518" y="211848"/>
                                </a:lnTo>
                                <a:lnTo>
                                  <a:pt x="18427" y="203619"/>
                                </a:lnTo>
                                <a:lnTo>
                                  <a:pt x="22720" y="201129"/>
                                </a:lnTo>
                                <a:lnTo>
                                  <a:pt x="33083" y="199224"/>
                                </a:lnTo>
                                <a:lnTo>
                                  <a:pt x="37769" y="200507"/>
                                </a:lnTo>
                                <a:lnTo>
                                  <a:pt x="51701" y="248018"/>
                                </a:lnTo>
                                <a:lnTo>
                                  <a:pt x="51460" y="257733"/>
                                </a:lnTo>
                                <a:lnTo>
                                  <a:pt x="50469" y="279120"/>
                                </a:lnTo>
                                <a:lnTo>
                                  <a:pt x="57594" y="285102"/>
                                </a:lnTo>
                                <a:lnTo>
                                  <a:pt x="71704" y="268287"/>
                                </a:lnTo>
                                <a:lnTo>
                                  <a:pt x="98386" y="236499"/>
                                </a:lnTo>
                                <a:close/>
                              </a:path>
                              <a:path w="5572125" h="285115">
                                <a:moveTo>
                                  <a:pt x="136728" y="181546"/>
                                </a:moveTo>
                                <a:lnTo>
                                  <a:pt x="135242" y="173913"/>
                                </a:lnTo>
                                <a:lnTo>
                                  <a:pt x="132219" y="166293"/>
                                </a:lnTo>
                                <a:lnTo>
                                  <a:pt x="128828" y="160489"/>
                                </a:lnTo>
                                <a:lnTo>
                                  <a:pt x="128828" y="184607"/>
                                </a:lnTo>
                                <a:lnTo>
                                  <a:pt x="127965" y="190347"/>
                                </a:lnTo>
                                <a:lnTo>
                                  <a:pt x="118275" y="201891"/>
                                </a:lnTo>
                                <a:lnTo>
                                  <a:pt x="118110" y="201891"/>
                                </a:lnTo>
                                <a:lnTo>
                                  <a:pt x="112064" y="203898"/>
                                </a:lnTo>
                                <a:lnTo>
                                  <a:pt x="73406" y="183565"/>
                                </a:lnTo>
                                <a:lnTo>
                                  <a:pt x="59194" y="160172"/>
                                </a:lnTo>
                                <a:lnTo>
                                  <a:pt x="60134" y="153720"/>
                                </a:lnTo>
                                <a:lnTo>
                                  <a:pt x="69888" y="142087"/>
                                </a:lnTo>
                                <a:lnTo>
                                  <a:pt x="76454" y="140106"/>
                                </a:lnTo>
                                <a:lnTo>
                                  <a:pt x="84594" y="142087"/>
                                </a:lnTo>
                                <a:lnTo>
                                  <a:pt x="119786" y="166141"/>
                                </a:lnTo>
                                <a:lnTo>
                                  <a:pt x="128828" y="184607"/>
                                </a:lnTo>
                                <a:lnTo>
                                  <a:pt x="128828" y="160489"/>
                                </a:lnTo>
                                <a:lnTo>
                                  <a:pt x="93484" y="133616"/>
                                </a:lnTo>
                                <a:lnTo>
                                  <a:pt x="77622" y="131597"/>
                                </a:lnTo>
                                <a:lnTo>
                                  <a:pt x="70497" y="133261"/>
                                </a:lnTo>
                                <a:lnTo>
                                  <a:pt x="51511" y="159156"/>
                                </a:lnTo>
                                <a:lnTo>
                                  <a:pt x="51384" y="161010"/>
                                </a:lnTo>
                                <a:lnTo>
                                  <a:pt x="72351" y="197904"/>
                                </a:lnTo>
                                <a:lnTo>
                                  <a:pt x="103708" y="212153"/>
                                </a:lnTo>
                                <a:lnTo>
                                  <a:pt x="111150" y="212153"/>
                                </a:lnTo>
                                <a:lnTo>
                                  <a:pt x="136613" y="183565"/>
                                </a:lnTo>
                                <a:lnTo>
                                  <a:pt x="136728" y="181546"/>
                                </a:lnTo>
                                <a:close/>
                              </a:path>
                              <a:path w="5572125" h="285115">
                                <a:moveTo>
                                  <a:pt x="199288" y="116243"/>
                                </a:moveTo>
                                <a:lnTo>
                                  <a:pt x="192163" y="110274"/>
                                </a:lnTo>
                                <a:lnTo>
                                  <a:pt x="160464" y="148043"/>
                                </a:lnTo>
                                <a:lnTo>
                                  <a:pt x="161277" y="137655"/>
                                </a:lnTo>
                                <a:lnTo>
                                  <a:pt x="161823" y="127774"/>
                                </a:lnTo>
                                <a:lnTo>
                                  <a:pt x="161963" y="123101"/>
                                </a:lnTo>
                                <a:lnTo>
                                  <a:pt x="161963" y="107645"/>
                                </a:lnTo>
                                <a:lnTo>
                                  <a:pt x="161823" y="101790"/>
                                </a:lnTo>
                                <a:lnTo>
                                  <a:pt x="161810" y="100787"/>
                                </a:lnTo>
                                <a:lnTo>
                                  <a:pt x="154241" y="78981"/>
                                </a:lnTo>
                                <a:lnTo>
                                  <a:pt x="153936" y="78536"/>
                                </a:lnTo>
                                <a:lnTo>
                                  <a:pt x="144170" y="70345"/>
                                </a:lnTo>
                                <a:lnTo>
                                  <a:pt x="137414" y="68440"/>
                                </a:lnTo>
                                <a:lnTo>
                                  <a:pt x="121983" y="70535"/>
                                </a:lnTo>
                                <a:lnTo>
                                  <a:pt x="115163" y="74587"/>
                                </a:lnTo>
                                <a:lnTo>
                                  <a:pt x="109245" y="81635"/>
                                </a:lnTo>
                                <a:lnTo>
                                  <a:pt x="103047" y="91605"/>
                                </a:lnTo>
                                <a:lnTo>
                                  <a:pt x="100901" y="101790"/>
                                </a:lnTo>
                                <a:lnTo>
                                  <a:pt x="102793" y="112306"/>
                                </a:lnTo>
                                <a:lnTo>
                                  <a:pt x="108737" y="123101"/>
                                </a:lnTo>
                                <a:lnTo>
                                  <a:pt x="117830" y="117144"/>
                                </a:lnTo>
                                <a:lnTo>
                                  <a:pt x="113322" y="112674"/>
                                </a:lnTo>
                                <a:lnTo>
                                  <a:pt x="110998" y="107645"/>
                                </a:lnTo>
                                <a:lnTo>
                                  <a:pt x="110858" y="101790"/>
                                </a:lnTo>
                                <a:lnTo>
                                  <a:pt x="110731" y="96481"/>
                                </a:lnTo>
                                <a:lnTo>
                                  <a:pt x="112420" y="91605"/>
                                </a:lnTo>
                                <a:lnTo>
                                  <a:pt x="119329" y="83375"/>
                                </a:lnTo>
                                <a:lnTo>
                                  <a:pt x="123621" y="80873"/>
                                </a:lnTo>
                                <a:lnTo>
                                  <a:pt x="133985" y="78981"/>
                                </a:lnTo>
                                <a:lnTo>
                                  <a:pt x="138671" y="80264"/>
                                </a:lnTo>
                                <a:lnTo>
                                  <a:pt x="147332" y="87528"/>
                                </a:lnTo>
                                <a:lnTo>
                                  <a:pt x="150304" y="93167"/>
                                </a:lnTo>
                                <a:lnTo>
                                  <a:pt x="151765" y="100787"/>
                                </a:lnTo>
                                <a:lnTo>
                                  <a:pt x="152463" y="107645"/>
                                </a:lnTo>
                                <a:lnTo>
                                  <a:pt x="152361" y="137490"/>
                                </a:lnTo>
                                <a:lnTo>
                                  <a:pt x="151371" y="158877"/>
                                </a:lnTo>
                                <a:lnTo>
                                  <a:pt x="158496" y="164858"/>
                                </a:lnTo>
                                <a:lnTo>
                                  <a:pt x="172605" y="148043"/>
                                </a:lnTo>
                                <a:lnTo>
                                  <a:pt x="199288" y="116243"/>
                                </a:lnTo>
                                <a:close/>
                              </a:path>
                              <a:path w="5572125" h="285115">
                                <a:moveTo>
                                  <a:pt x="239877" y="50927"/>
                                </a:moveTo>
                                <a:lnTo>
                                  <a:pt x="237020" y="44564"/>
                                </a:lnTo>
                                <a:lnTo>
                                  <a:pt x="236651" y="44259"/>
                                </a:lnTo>
                                <a:lnTo>
                                  <a:pt x="233070" y="41262"/>
                                </a:lnTo>
                                <a:lnTo>
                                  <a:pt x="226504" y="35750"/>
                                </a:lnTo>
                                <a:lnTo>
                                  <a:pt x="221297" y="34036"/>
                                </a:lnTo>
                                <a:lnTo>
                                  <a:pt x="210032" y="35242"/>
                                </a:lnTo>
                                <a:lnTo>
                                  <a:pt x="205066" y="37452"/>
                                </a:lnTo>
                                <a:lnTo>
                                  <a:pt x="200787" y="41262"/>
                                </a:lnTo>
                                <a:lnTo>
                                  <a:pt x="203301" y="36766"/>
                                </a:lnTo>
                                <a:lnTo>
                                  <a:pt x="204152" y="32067"/>
                                </a:lnTo>
                                <a:lnTo>
                                  <a:pt x="202514" y="22263"/>
                                </a:lnTo>
                                <a:lnTo>
                                  <a:pt x="201180" y="19951"/>
                                </a:lnTo>
                                <a:lnTo>
                                  <a:pt x="200164" y="18173"/>
                                </a:lnTo>
                                <a:lnTo>
                                  <a:pt x="191262" y="10706"/>
                                </a:lnTo>
                                <a:lnTo>
                                  <a:pt x="185242" y="9156"/>
                                </a:lnTo>
                                <a:lnTo>
                                  <a:pt x="171221" y="11404"/>
                                </a:lnTo>
                                <a:lnTo>
                                  <a:pt x="164896" y="15316"/>
                                </a:lnTo>
                                <a:lnTo>
                                  <a:pt x="159283" y="21996"/>
                                </a:lnTo>
                                <a:lnTo>
                                  <a:pt x="153365" y="31051"/>
                                </a:lnTo>
                                <a:lnTo>
                                  <a:pt x="150596" y="40360"/>
                                </a:lnTo>
                                <a:lnTo>
                                  <a:pt x="150634" y="41262"/>
                                </a:lnTo>
                                <a:lnTo>
                                  <a:pt x="150749" y="44259"/>
                                </a:lnTo>
                                <a:lnTo>
                                  <a:pt x="150850" y="47066"/>
                                </a:lnTo>
                                <a:lnTo>
                                  <a:pt x="150964" y="49911"/>
                                </a:lnTo>
                                <a:lnTo>
                                  <a:pt x="154495" y="59702"/>
                                </a:lnTo>
                                <a:lnTo>
                                  <a:pt x="163182" y="53822"/>
                                </a:lnTo>
                                <a:lnTo>
                                  <a:pt x="160515" y="47066"/>
                                </a:lnTo>
                                <a:lnTo>
                                  <a:pt x="160045" y="41262"/>
                                </a:lnTo>
                                <a:lnTo>
                                  <a:pt x="181775" y="19951"/>
                                </a:lnTo>
                                <a:lnTo>
                                  <a:pt x="185851" y="21043"/>
                                </a:lnTo>
                                <a:lnTo>
                                  <a:pt x="192913" y="26962"/>
                                </a:lnTo>
                                <a:lnTo>
                                  <a:pt x="194729" y="30581"/>
                                </a:lnTo>
                                <a:lnTo>
                                  <a:pt x="195313" y="39446"/>
                                </a:lnTo>
                                <a:lnTo>
                                  <a:pt x="193167" y="44259"/>
                                </a:lnTo>
                                <a:lnTo>
                                  <a:pt x="193001" y="44564"/>
                                </a:lnTo>
                                <a:lnTo>
                                  <a:pt x="181686" y="58064"/>
                                </a:lnTo>
                                <a:lnTo>
                                  <a:pt x="188455" y="63741"/>
                                </a:lnTo>
                                <a:lnTo>
                                  <a:pt x="199910" y="50101"/>
                                </a:lnTo>
                                <a:lnTo>
                                  <a:pt x="204927" y="46609"/>
                                </a:lnTo>
                                <a:lnTo>
                                  <a:pt x="215239" y="44259"/>
                                </a:lnTo>
                                <a:lnTo>
                                  <a:pt x="219786" y="45326"/>
                                </a:lnTo>
                                <a:lnTo>
                                  <a:pt x="227393" y="51701"/>
                                </a:lnTo>
                                <a:lnTo>
                                  <a:pt x="229400" y="55689"/>
                                </a:lnTo>
                                <a:lnTo>
                                  <a:pt x="230009" y="63741"/>
                                </a:lnTo>
                                <a:lnTo>
                                  <a:pt x="230098" y="64808"/>
                                </a:lnTo>
                                <a:lnTo>
                                  <a:pt x="230149" y="65481"/>
                                </a:lnTo>
                                <a:lnTo>
                                  <a:pt x="228041" y="70345"/>
                                </a:lnTo>
                                <a:lnTo>
                                  <a:pt x="227952" y="70535"/>
                                </a:lnTo>
                                <a:lnTo>
                                  <a:pt x="227838" y="70789"/>
                                </a:lnTo>
                                <a:lnTo>
                                  <a:pt x="202742" y="86664"/>
                                </a:lnTo>
                                <a:lnTo>
                                  <a:pt x="195249" y="84582"/>
                                </a:lnTo>
                                <a:lnTo>
                                  <a:pt x="191223" y="94780"/>
                                </a:lnTo>
                                <a:lnTo>
                                  <a:pt x="197726" y="97282"/>
                                </a:lnTo>
                                <a:lnTo>
                                  <a:pt x="204419" y="97523"/>
                                </a:lnTo>
                                <a:lnTo>
                                  <a:pt x="218173" y="93510"/>
                                </a:lnTo>
                                <a:lnTo>
                                  <a:pt x="237197" y="71018"/>
                                </a:lnTo>
                                <a:lnTo>
                                  <a:pt x="237324" y="70789"/>
                                </a:lnTo>
                                <a:lnTo>
                                  <a:pt x="239229" y="64808"/>
                                </a:lnTo>
                                <a:lnTo>
                                  <a:pt x="239776" y="59702"/>
                                </a:lnTo>
                                <a:lnTo>
                                  <a:pt x="239877" y="50927"/>
                                </a:lnTo>
                                <a:close/>
                              </a:path>
                              <a:path w="5572125" h="285115">
                                <a:moveTo>
                                  <a:pt x="412153" y="236499"/>
                                </a:moveTo>
                                <a:lnTo>
                                  <a:pt x="405028" y="230517"/>
                                </a:lnTo>
                                <a:lnTo>
                                  <a:pt x="373329" y="268287"/>
                                </a:lnTo>
                                <a:lnTo>
                                  <a:pt x="374142" y="257911"/>
                                </a:lnTo>
                                <a:lnTo>
                                  <a:pt x="374700" y="248018"/>
                                </a:lnTo>
                                <a:lnTo>
                                  <a:pt x="374688" y="221043"/>
                                </a:lnTo>
                                <a:lnTo>
                                  <a:pt x="373608" y="213423"/>
                                </a:lnTo>
                                <a:lnTo>
                                  <a:pt x="369760" y="203047"/>
                                </a:lnTo>
                                <a:lnTo>
                                  <a:pt x="367106" y="199224"/>
                                </a:lnTo>
                                <a:lnTo>
                                  <a:pt x="366801" y="198780"/>
                                </a:lnTo>
                                <a:lnTo>
                                  <a:pt x="357035" y="190588"/>
                                </a:lnTo>
                                <a:lnTo>
                                  <a:pt x="350532" y="188760"/>
                                </a:lnTo>
                                <a:lnTo>
                                  <a:pt x="349796" y="188760"/>
                                </a:lnTo>
                                <a:lnTo>
                                  <a:pt x="315912" y="211848"/>
                                </a:lnTo>
                                <a:lnTo>
                                  <a:pt x="313778" y="222034"/>
                                </a:lnTo>
                                <a:lnTo>
                                  <a:pt x="315671" y="232549"/>
                                </a:lnTo>
                                <a:lnTo>
                                  <a:pt x="321602" y="243344"/>
                                </a:lnTo>
                                <a:lnTo>
                                  <a:pt x="330708" y="237388"/>
                                </a:lnTo>
                                <a:lnTo>
                                  <a:pt x="326186" y="232918"/>
                                </a:lnTo>
                                <a:lnTo>
                                  <a:pt x="323862" y="227901"/>
                                </a:lnTo>
                                <a:lnTo>
                                  <a:pt x="323735" y="222313"/>
                                </a:lnTo>
                                <a:lnTo>
                                  <a:pt x="323608" y="216738"/>
                                </a:lnTo>
                                <a:lnTo>
                                  <a:pt x="325183" y="212153"/>
                                </a:lnTo>
                                <a:lnTo>
                                  <a:pt x="325285" y="211848"/>
                                </a:lnTo>
                                <a:lnTo>
                                  <a:pt x="332193" y="203619"/>
                                </a:lnTo>
                                <a:lnTo>
                                  <a:pt x="336486" y="201129"/>
                                </a:lnTo>
                                <a:lnTo>
                                  <a:pt x="346849" y="199224"/>
                                </a:lnTo>
                                <a:lnTo>
                                  <a:pt x="351536" y="200507"/>
                                </a:lnTo>
                                <a:lnTo>
                                  <a:pt x="365467" y="230517"/>
                                </a:lnTo>
                                <a:lnTo>
                                  <a:pt x="365467" y="248018"/>
                                </a:lnTo>
                                <a:lnTo>
                                  <a:pt x="365239" y="257733"/>
                                </a:lnTo>
                                <a:lnTo>
                                  <a:pt x="364236" y="279120"/>
                                </a:lnTo>
                                <a:lnTo>
                                  <a:pt x="371360" y="285102"/>
                                </a:lnTo>
                                <a:lnTo>
                                  <a:pt x="385470" y="268287"/>
                                </a:lnTo>
                                <a:lnTo>
                                  <a:pt x="412153" y="236499"/>
                                </a:lnTo>
                                <a:close/>
                              </a:path>
                              <a:path w="5572125" h="285115">
                                <a:moveTo>
                                  <a:pt x="450507" y="181546"/>
                                </a:moveTo>
                                <a:lnTo>
                                  <a:pt x="449008" y="173913"/>
                                </a:lnTo>
                                <a:lnTo>
                                  <a:pt x="445998" y="166293"/>
                                </a:lnTo>
                                <a:lnTo>
                                  <a:pt x="442607" y="160502"/>
                                </a:lnTo>
                                <a:lnTo>
                                  <a:pt x="442607" y="184607"/>
                                </a:lnTo>
                                <a:lnTo>
                                  <a:pt x="441731" y="190347"/>
                                </a:lnTo>
                                <a:lnTo>
                                  <a:pt x="432041" y="201891"/>
                                </a:lnTo>
                                <a:lnTo>
                                  <a:pt x="431876" y="201891"/>
                                </a:lnTo>
                                <a:lnTo>
                                  <a:pt x="425831" y="203898"/>
                                </a:lnTo>
                                <a:lnTo>
                                  <a:pt x="387172" y="183565"/>
                                </a:lnTo>
                                <a:lnTo>
                                  <a:pt x="372960" y="160172"/>
                                </a:lnTo>
                                <a:lnTo>
                                  <a:pt x="373900" y="153720"/>
                                </a:lnTo>
                                <a:lnTo>
                                  <a:pt x="383654" y="142087"/>
                                </a:lnTo>
                                <a:lnTo>
                                  <a:pt x="390220" y="140106"/>
                                </a:lnTo>
                                <a:lnTo>
                                  <a:pt x="398360" y="142087"/>
                                </a:lnTo>
                                <a:lnTo>
                                  <a:pt x="433565" y="166141"/>
                                </a:lnTo>
                                <a:lnTo>
                                  <a:pt x="442607" y="184607"/>
                                </a:lnTo>
                                <a:lnTo>
                                  <a:pt x="442607" y="160502"/>
                                </a:lnTo>
                                <a:lnTo>
                                  <a:pt x="407250" y="133616"/>
                                </a:lnTo>
                                <a:lnTo>
                                  <a:pt x="391401" y="131597"/>
                                </a:lnTo>
                                <a:lnTo>
                                  <a:pt x="384276" y="133261"/>
                                </a:lnTo>
                                <a:lnTo>
                                  <a:pt x="365302" y="158877"/>
                                </a:lnTo>
                                <a:lnTo>
                                  <a:pt x="365277" y="159156"/>
                                </a:lnTo>
                                <a:lnTo>
                                  <a:pt x="365163" y="161010"/>
                                </a:lnTo>
                                <a:lnTo>
                                  <a:pt x="365061" y="162458"/>
                                </a:lnTo>
                                <a:lnTo>
                                  <a:pt x="366445" y="169938"/>
                                </a:lnTo>
                                <a:lnTo>
                                  <a:pt x="393065" y="203047"/>
                                </a:lnTo>
                                <a:lnTo>
                                  <a:pt x="417474" y="212153"/>
                                </a:lnTo>
                                <a:lnTo>
                                  <a:pt x="424929" y="212153"/>
                                </a:lnTo>
                                <a:lnTo>
                                  <a:pt x="432104" y="210350"/>
                                </a:lnTo>
                                <a:lnTo>
                                  <a:pt x="438251" y="206946"/>
                                </a:lnTo>
                                <a:lnTo>
                                  <a:pt x="441464" y="203898"/>
                                </a:lnTo>
                                <a:lnTo>
                                  <a:pt x="443585" y="201891"/>
                                </a:lnTo>
                                <a:lnTo>
                                  <a:pt x="447802" y="195529"/>
                                </a:lnTo>
                                <a:lnTo>
                                  <a:pt x="450037" y="188950"/>
                                </a:lnTo>
                                <a:lnTo>
                                  <a:pt x="450100" y="188760"/>
                                </a:lnTo>
                                <a:lnTo>
                                  <a:pt x="450329" y="184607"/>
                                </a:lnTo>
                                <a:lnTo>
                                  <a:pt x="450392" y="183565"/>
                                </a:lnTo>
                                <a:lnTo>
                                  <a:pt x="450507" y="181546"/>
                                </a:lnTo>
                                <a:close/>
                              </a:path>
                              <a:path w="5572125" h="285115">
                                <a:moveTo>
                                  <a:pt x="513054" y="116243"/>
                                </a:moveTo>
                                <a:lnTo>
                                  <a:pt x="505929" y="110274"/>
                                </a:lnTo>
                                <a:lnTo>
                                  <a:pt x="474230" y="148043"/>
                                </a:lnTo>
                                <a:lnTo>
                                  <a:pt x="475043" y="137655"/>
                                </a:lnTo>
                                <a:lnTo>
                                  <a:pt x="475602" y="127774"/>
                                </a:lnTo>
                                <a:lnTo>
                                  <a:pt x="475729" y="123101"/>
                                </a:lnTo>
                                <a:lnTo>
                                  <a:pt x="475742" y="107645"/>
                                </a:lnTo>
                                <a:lnTo>
                                  <a:pt x="475615" y="101790"/>
                                </a:lnTo>
                                <a:lnTo>
                                  <a:pt x="468007" y="78981"/>
                                </a:lnTo>
                                <a:lnTo>
                                  <a:pt x="467702" y="78536"/>
                                </a:lnTo>
                                <a:lnTo>
                                  <a:pt x="457936" y="70345"/>
                                </a:lnTo>
                                <a:lnTo>
                                  <a:pt x="451180" y="68440"/>
                                </a:lnTo>
                                <a:lnTo>
                                  <a:pt x="435749" y="70535"/>
                                </a:lnTo>
                                <a:lnTo>
                                  <a:pt x="428929" y="74587"/>
                                </a:lnTo>
                                <a:lnTo>
                                  <a:pt x="423011" y="81635"/>
                                </a:lnTo>
                                <a:lnTo>
                                  <a:pt x="416814" y="91605"/>
                                </a:lnTo>
                                <a:lnTo>
                                  <a:pt x="414680" y="101790"/>
                                </a:lnTo>
                                <a:lnTo>
                                  <a:pt x="416572" y="112306"/>
                                </a:lnTo>
                                <a:lnTo>
                                  <a:pt x="422503" y="123101"/>
                                </a:lnTo>
                                <a:lnTo>
                                  <a:pt x="431596" y="117144"/>
                                </a:lnTo>
                                <a:lnTo>
                                  <a:pt x="427088" y="112674"/>
                                </a:lnTo>
                                <a:lnTo>
                                  <a:pt x="424764" y="107645"/>
                                </a:lnTo>
                                <a:lnTo>
                                  <a:pt x="424624" y="101790"/>
                                </a:lnTo>
                                <a:lnTo>
                                  <a:pt x="424497" y="96481"/>
                                </a:lnTo>
                                <a:lnTo>
                                  <a:pt x="426186" y="91605"/>
                                </a:lnTo>
                                <a:lnTo>
                                  <a:pt x="433095" y="83375"/>
                                </a:lnTo>
                                <a:lnTo>
                                  <a:pt x="437388" y="80873"/>
                                </a:lnTo>
                                <a:lnTo>
                                  <a:pt x="447751" y="78981"/>
                                </a:lnTo>
                                <a:lnTo>
                                  <a:pt x="452437" y="80264"/>
                                </a:lnTo>
                                <a:lnTo>
                                  <a:pt x="461098" y="87528"/>
                                </a:lnTo>
                                <a:lnTo>
                                  <a:pt x="464070" y="93167"/>
                                </a:lnTo>
                                <a:lnTo>
                                  <a:pt x="465543" y="100787"/>
                                </a:lnTo>
                                <a:lnTo>
                                  <a:pt x="466242" y="107645"/>
                                </a:lnTo>
                                <a:lnTo>
                                  <a:pt x="466140" y="137490"/>
                                </a:lnTo>
                                <a:lnTo>
                                  <a:pt x="465137" y="158877"/>
                                </a:lnTo>
                                <a:lnTo>
                                  <a:pt x="472262" y="164858"/>
                                </a:lnTo>
                                <a:lnTo>
                                  <a:pt x="486371" y="148043"/>
                                </a:lnTo>
                                <a:lnTo>
                                  <a:pt x="513054" y="116243"/>
                                </a:lnTo>
                                <a:close/>
                              </a:path>
                              <a:path w="5572125" h="285115">
                                <a:moveTo>
                                  <a:pt x="555777" y="65341"/>
                                </a:moveTo>
                                <a:lnTo>
                                  <a:pt x="549275" y="59880"/>
                                </a:lnTo>
                                <a:lnTo>
                                  <a:pt x="539470" y="51650"/>
                                </a:lnTo>
                                <a:lnTo>
                                  <a:pt x="544233" y="45974"/>
                                </a:lnTo>
                                <a:lnTo>
                                  <a:pt x="548767" y="40563"/>
                                </a:lnTo>
                                <a:lnTo>
                                  <a:pt x="541997" y="34886"/>
                                </a:lnTo>
                                <a:lnTo>
                                  <a:pt x="532701" y="45974"/>
                                </a:lnTo>
                                <a:lnTo>
                                  <a:pt x="525792" y="40182"/>
                                </a:lnTo>
                                <a:lnTo>
                                  <a:pt x="525792" y="54203"/>
                                </a:lnTo>
                                <a:lnTo>
                                  <a:pt x="504825" y="79184"/>
                                </a:lnTo>
                                <a:lnTo>
                                  <a:pt x="488518" y="27228"/>
                                </a:lnTo>
                                <a:lnTo>
                                  <a:pt x="487413" y="24193"/>
                                </a:lnTo>
                                <a:lnTo>
                                  <a:pt x="485990" y="20548"/>
                                </a:lnTo>
                                <a:lnTo>
                                  <a:pt x="488607" y="22910"/>
                                </a:lnTo>
                                <a:lnTo>
                                  <a:pt x="491083" y="25082"/>
                                </a:lnTo>
                                <a:lnTo>
                                  <a:pt x="525792" y="54203"/>
                                </a:lnTo>
                                <a:lnTo>
                                  <a:pt x="525792" y="40182"/>
                                </a:lnTo>
                                <a:lnTo>
                                  <a:pt x="502399" y="20548"/>
                                </a:lnTo>
                                <a:lnTo>
                                  <a:pt x="485889" y="6705"/>
                                </a:lnTo>
                                <a:lnTo>
                                  <a:pt x="476948" y="17360"/>
                                </a:lnTo>
                                <a:lnTo>
                                  <a:pt x="498335" y="88950"/>
                                </a:lnTo>
                                <a:lnTo>
                                  <a:pt x="504113" y="93789"/>
                                </a:lnTo>
                                <a:lnTo>
                                  <a:pt x="516369" y="79184"/>
                                </a:lnTo>
                                <a:lnTo>
                                  <a:pt x="532561" y="59880"/>
                                </a:lnTo>
                                <a:lnTo>
                                  <a:pt x="548868" y="73558"/>
                                </a:lnTo>
                                <a:lnTo>
                                  <a:pt x="555777" y="65341"/>
                                </a:lnTo>
                                <a:close/>
                              </a:path>
                              <a:path w="5572125" h="285115">
                                <a:moveTo>
                                  <a:pt x="725932" y="236499"/>
                                </a:moveTo>
                                <a:lnTo>
                                  <a:pt x="718807" y="230517"/>
                                </a:lnTo>
                                <a:lnTo>
                                  <a:pt x="687108" y="268287"/>
                                </a:lnTo>
                                <a:lnTo>
                                  <a:pt x="687920" y="257911"/>
                                </a:lnTo>
                                <a:lnTo>
                                  <a:pt x="688479" y="248018"/>
                                </a:lnTo>
                                <a:lnTo>
                                  <a:pt x="688467" y="221043"/>
                                </a:lnTo>
                                <a:lnTo>
                                  <a:pt x="687387" y="213423"/>
                                </a:lnTo>
                                <a:lnTo>
                                  <a:pt x="683539" y="203047"/>
                                </a:lnTo>
                                <a:lnTo>
                                  <a:pt x="680885" y="199224"/>
                                </a:lnTo>
                                <a:lnTo>
                                  <a:pt x="680580" y="198780"/>
                                </a:lnTo>
                                <a:lnTo>
                                  <a:pt x="670814" y="190588"/>
                                </a:lnTo>
                                <a:lnTo>
                                  <a:pt x="664311" y="188760"/>
                                </a:lnTo>
                                <a:lnTo>
                                  <a:pt x="663562" y="188760"/>
                                </a:lnTo>
                                <a:lnTo>
                                  <a:pt x="629691" y="211848"/>
                                </a:lnTo>
                                <a:lnTo>
                                  <a:pt x="627545" y="222034"/>
                                </a:lnTo>
                                <a:lnTo>
                                  <a:pt x="629450" y="232549"/>
                                </a:lnTo>
                                <a:lnTo>
                                  <a:pt x="635381" y="243344"/>
                                </a:lnTo>
                                <a:lnTo>
                                  <a:pt x="644486" y="237388"/>
                                </a:lnTo>
                                <a:lnTo>
                                  <a:pt x="639965" y="232918"/>
                                </a:lnTo>
                                <a:lnTo>
                                  <a:pt x="637641" y="227901"/>
                                </a:lnTo>
                                <a:lnTo>
                                  <a:pt x="637514" y="222313"/>
                                </a:lnTo>
                                <a:lnTo>
                                  <a:pt x="637387" y="216738"/>
                                </a:lnTo>
                                <a:lnTo>
                                  <a:pt x="638962" y="212153"/>
                                </a:lnTo>
                                <a:lnTo>
                                  <a:pt x="639064" y="211848"/>
                                </a:lnTo>
                                <a:lnTo>
                                  <a:pt x="645972" y="203619"/>
                                </a:lnTo>
                                <a:lnTo>
                                  <a:pt x="650265" y="201129"/>
                                </a:lnTo>
                                <a:lnTo>
                                  <a:pt x="660628" y="199224"/>
                                </a:lnTo>
                                <a:lnTo>
                                  <a:pt x="665314" y="200507"/>
                                </a:lnTo>
                                <a:lnTo>
                                  <a:pt x="679246" y="248018"/>
                                </a:lnTo>
                                <a:lnTo>
                                  <a:pt x="679018" y="257733"/>
                                </a:lnTo>
                                <a:lnTo>
                                  <a:pt x="678014" y="279120"/>
                                </a:lnTo>
                                <a:lnTo>
                                  <a:pt x="685139" y="285102"/>
                                </a:lnTo>
                                <a:lnTo>
                                  <a:pt x="699249" y="268287"/>
                                </a:lnTo>
                                <a:lnTo>
                                  <a:pt x="725932" y="236499"/>
                                </a:lnTo>
                                <a:close/>
                              </a:path>
                              <a:path w="5572125" h="285115">
                                <a:moveTo>
                                  <a:pt x="764273" y="181546"/>
                                </a:moveTo>
                                <a:lnTo>
                                  <a:pt x="762787" y="173913"/>
                                </a:lnTo>
                                <a:lnTo>
                                  <a:pt x="759777" y="166293"/>
                                </a:lnTo>
                                <a:lnTo>
                                  <a:pt x="756373" y="160489"/>
                                </a:lnTo>
                                <a:lnTo>
                                  <a:pt x="756373" y="184607"/>
                                </a:lnTo>
                                <a:lnTo>
                                  <a:pt x="755510" y="190347"/>
                                </a:lnTo>
                                <a:lnTo>
                                  <a:pt x="745820" y="201891"/>
                                </a:lnTo>
                                <a:lnTo>
                                  <a:pt x="745655" y="201891"/>
                                </a:lnTo>
                                <a:lnTo>
                                  <a:pt x="739609" y="203898"/>
                                </a:lnTo>
                                <a:lnTo>
                                  <a:pt x="700951" y="183565"/>
                                </a:lnTo>
                                <a:lnTo>
                                  <a:pt x="686739" y="160172"/>
                                </a:lnTo>
                                <a:lnTo>
                                  <a:pt x="687679" y="153720"/>
                                </a:lnTo>
                                <a:lnTo>
                                  <a:pt x="697433" y="142087"/>
                                </a:lnTo>
                                <a:lnTo>
                                  <a:pt x="703999" y="140106"/>
                                </a:lnTo>
                                <a:lnTo>
                                  <a:pt x="712139" y="142087"/>
                                </a:lnTo>
                                <a:lnTo>
                                  <a:pt x="747331" y="166141"/>
                                </a:lnTo>
                                <a:lnTo>
                                  <a:pt x="756373" y="184607"/>
                                </a:lnTo>
                                <a:lnTo>
                                  <a:pt x="756373" y="160489"/>
                                </a:lnTo>
                                <a:lnTo>
                                  <a:pt x="721029" y="133616"/>
                                </a:lnTo>
                                <a:lnTo>
                                  <a:pt x="705167" y="131597"/>
                                </a:lnTo>
                                <a:lnTo>
                                  <a:pt x="698055" y="133261"/>
                                </a:lnTo>
                                <a:lnTo>
                                  <a:pt x="679081" y="158877"/>
                                </a:lnTo>
                                <a:lnTo>
                                  <a:pt x="679056" y="159156"/>
                                </a:lnTo>
                                <a:lnTo>
                                  <a:pt x="678929" y="161010"/>
                                </a:lnTo>
                                <a:lnTo>
                                  <a:pt x="678827" y="162458"/>
                                </a:lnTo>
                                <a:lnTo>
                                  <a:pt x="680224" y="169938"/>
                                </a:lnTo>
                                <a:lnTo>
                                  <a:pt x="706843" y="203047"/>
                                </a:lnTo>
                                <a:lnTo>
                                  <a:pt x="731253" y="212153"/>
                                </a:lnTo>
                                <a:lnTo>
                                  <a:pt x="738695" y="212153"/>
                                </a:lnTo>
                                <a:lnTo>
                                  <a:pt x="745883" y="210350"/>
                                </a:lnTo>
                                <a:lnTo>
                                  <a:pt x="752030" y="206946"/>
                                </a:lnTo>
                                <a:lnTo>
                                  <a:pt x="755243" y="203898"/>
                                </a:lnTo>
                                <a:lnTo>
                                  <a:pt x="757364" y="201891"/>
                                </a:lnTo>
                                <a:lnTo>
                                  <a:pt x="764159" y="183565"/>
                                </a:lnTo>
                                <a:lnTo>
                                  <a:pt x="764273" y="181546"/>
                                </a:lnTo>
                                <a:close/>
                              </a:path>
                              <a:path w="5572125" h="285115">
                                <a:moveTo>
                                  <a:pt x="826833" y="116243"/>
                                </a:moveTo>
                                <a:lnTo>
                                  <a:pt x="819708" y="110274"/>
                                </a:lnTo>
                                <a:lnTo>
                                  <a:pt x="788009" y="148043"/>
                                </a:lnTo>
                                <a:lnTo>
                                  <a:pt x="788822" y="137655"/>
                                </a:lnTo>
                                <a:lnTo>
                                  <a:pt x="789368" y="127774"/>
                                </a:lnTo>
                                <a:lnTo>
                                  <a:pt x="789508" y="123101"/>
                                </a:lnTo>
                                <a:lnTo>
                                  <a:pt x="789520" y="107645"/>
                                </a:lnTo>
                                <a:lnTo>
                                  <a:pt x="789393" y="101790"/>
                                </a:lnTo>
                                <a:lnTo>
                                  <a:pt x="789368" y="100787"/>
                                </a:lnTo>
                                <a:lnTo>
                                  <a:pt x="788377" y="93802"/>
                                </a:lnTo>
                                <a:lnTo>
                                  <a:pt x="788289" y="93167"/>
                                </a:lnTo>
                                <a:lnTo>
                                  <a:pt x="784428" y="82791"/>
                                </a:lnTo>
                                <a:lnTo>
                                  <a:pt x="781786" y="78981"/>
                                </a:lnTo>
                                <a:lnTo>
                                  <a:pt x="781481" y="78536"/>
                                </a:lnTo>
                                <a:lnTo>
                                  <a:pt x="771715" y="70345"/>
                                </a:lnTo>
                                <a:lnTo>
                                  <a:pt x="764959" y="68440"/>
                                </a:lnTo>
                                <a:lnTo>
                                  <a:pt x="749528" y="70535"/>
                                </a:lnTo>
                                <a:lnTo>
                                  <a:pt x="742708" y="74587"/>
                                </a:lnTo>
                                <a:lnTo>
                                  <a:pt x="736790" y="81635"/>
                                </a:lnTo>
                                <a:lnTo>
                                  <a:pt x="730592" y="91605"/>
                                </a:lnTo>
                                <a:lnTo>
                                  <a:pt x="728446" y="101790"/>
                                </a:lnTo>
                                <a:lnTo>
                                  <a:pt x="730351" y="112306"/>
                                </a:lnTo>
                                <a:lnTo>
                                  <a:pt x="736282" y="123101"/>
                                </a:lnTo>
                                <a:lnTo>
                                  <a:pt x="745375" y="117144"/>
                                </a:lnTo>
                                <a:lnTo>
                                  <a:pt x="740867" y="112674"/>
                                </a:lnTo>
                                <a:lnTo>
                                  <a:pt x="738543" y="107645"/>
                                </a:lnTo>
                                <a:lnTo>
                                  <a:pt x="738403" y="101790"/>
                                </a:lnTo>
                                <a:lnTo>
                                  <a:pt x="738276" y="96481"/>
                                </a:lnTo>
                                <a:lnTo>
                                  <a:pt x="739965" y="91605"/>
                                </a:lnTo>
                                <a:lnTo>
                                  <a:pt x="746874" y="83375"/>
                                </a:lnTo>
                                <a:lnTo>
                                  <a:pt x="751166" y="80873"/>
                                </a:lnTo>
                                <a:lnTo>
                                  <a:pt x="761530" y="78981"/>
                                </a:lnTo>
                                <a:lnTo>
                                  <a:pt x="766216" y="80264"/>
                                </a:lnTo>
                                <a:lnTo>
                                  <a:pt x="774877" y="87528"/>
                                </a:lnTo>
                                <a:lnTo>
                                  <a:pt x="777849" y="93167"/>
                                </a:lnTo>
                                <a:lnTo>
                                  <a:pt x="779322" y="100787"/>
                                </a:lnTo>
                                <a:lnTo>
                                  <a:pt x="780021" y="107645"/>
                                </a:lnTo>
                                <a:lnTo>
                                  <a:pt x="779919" y="137490"/>
                                </a:lnTo>
                                <a:lnTo>
                                  <a:pt x="778916" y="158877"/>
                                </a:lnTo>
                                <a:lnTo>
                                  <a:pt x="786041" y="164858"/>
                                </a:lnTo>
                                <a:lnTo>
                                  <a:pt x="800150" y="148043"/>
                                </a:lnTo>
                                <a:lnTo>
                                  <a:pt x="826833" y="116243"/>
                                </a:lnTo>
                                <a:close/>
                              </a:path>
                              <a:path w="5572125" h="285115">
                                <a:moveTo>
                                  <a:pt x="865809" y="58991"/>
                                </a:moveTo>
                                <a:lnTo>
                                  <a:pt x="865682" y="54457"/>
                                </a:lnTo>
                                <a:lnTo>
                                  <a:pt x="865568" y="50152"/>
                                </a:lnTo>
                                <a:lnTo>
                                  <a:pt x="861987" y="42887"/>
                                </a:lnTo>
                                <a:lnTo>
                                  <a:pt x="859510" y="40754"/>
                                </a:lnTo>
                                <a:lnTo>
                                  <a:pt x="857300" y="38900"/>
                                </a:lnTo>
                                <a:lnTo>
                                  <a:pt x="847979" y="31076"/>
                                </a:lnTo>
                                <a:lnTo>
                                  <a:pt x="840333" y="28638"/>
                                </a:lnTo>
                                <a:lnTo>
                                  <a:pt x="823595" y="30492"/>
                                </a:lnTo>
                                <a:lnTo>
                                  <a:pt x="816711" y="34163"/>
                                </a:lnTo>
                                <a:lnTo>
                                  <a:pt x="806221" y="46672"/>
                                </a:lnTo>
                                <a:lnTo>
                                  <a:pt x="804557" y="52476"/>
                                </a:lnTo>
                                <a:lnTo>
                                  <a:pt x="804024" y="54457"/>
                                </a:lnTo>
                                <a:lnTo>
                                  <a:pt x="804748" y="63614"/>
                                </a:lnTo>
                                <a:lnTo>
                                  <a:pt x="783780" y="43548"/>
                                </a:lnTo>
                                <a:lnTo>
                                  <a:pt x="784263" y="42887"/>
                                </a:lnTo>
                                <a:lnTo>
                                  <a:pt x="811987" y="9855"/>
                                </a:lnTo>
                                <a:lnTo>
                                  <a:pt x="805205" y="2959"/>
                                </a:lnTo>
                                <a:lnTo>
                                  <a:pt x="771144" y="43548"/>
                                </a:lnTo>
                                <a:lnTo>
                                  <a:pt x="806323" y="76822"/>
                                </a:lnTo>
                                <a:lnTo>
                                  <a:pt x="813460" y="71259"/>
                                </a:lnTo>
                                <a:lnTo>
                                  <a:pt x="812215" y="64439"/>
                                </a:lnTo>
                                <a:lnTo>
                                  <a:pt x="812253" y="63614"/>
                                </a:lnTo>
                                <a:lnTo>
                                  <a:pt x="837272" y="38900"/>
                                </a:lnTo>
                                <a:lnTo>
                                  <a:pt x="842708" y="40754"/>
                                </a:lnTo>
                                <a:lnTo>
                                  <a:pt x="852982" y="49390"/>
                                </a:lnTo>
                                <a:lnTo>
                                  <a:pt x="855764" y="54457"/>
                                </a:lnTo>
                                <a:lnTo>
                                  <a:pt x="856589" y="63614"/>
                                </a:lnTo>
                                <a:lnTo>
                                  <a:pt x="856665" y="64439"/>
                                </a:lnTo>
                                <a:lnTo>
                                  <a:pt x="856754" y="65468"/>
                                </a:lnTo>
                                <a:lnTo>
                                  <a:pt x="856830" y="66306"/>
                                </a:lnTo>
                                <a:lnTo>
                                  <a:pt x="854925" y="71666"/>
                                </a:lnTo>
                                <a:lnTo>
                                  <a:pt x="831570" y="86042"/>
                                </a:lnTo>
                                <a:lnTo>
                                  <a:pt x="824039" y="84416"/>
                                </a:lnTo>
                                <a:lnTo>
                                  <a:pt x="820445" y="93802"/>
                                </a:lnTo>
                                <a:lnTo>
                                  <a:pt x="826579" y="96481"/>
                                </a:lnTo>
                                <a:lnTo>
                                  <a:pt x="827874" y="96481"/>
                                </a:lnTo>
                                <a:lnTo>
                                  <a:pt x="832777" y="96735"/>
                                </a:lnTo>
                                <a:lnTo>
                                  <a:pt x="846315" y="92824"/>
                                </a:lnTo>
                                <a:lnTo>
                                  <a:pt x="852106" y="88976"/>
                                </a:lnTo>
                                <a:lnTo>
                                  <a:pt x="854557" y="86042"/>
                                </a:lnTo>
                                <a:lnTo>
                                  <a:pt x="856932" y="83223"/>
                                </a:lnTo>
                                <a:lnTo>
                                  <a:pt x="860945" y="77584"/>
                                </a:lnTo>
                                <a:lnTo>
                                  <a:pt x="863765" y="71666"/>
                                </a:lnTo>
                                <a:lnTo>
                                  <a:pt x="865378" y="65468"/>
                                </a:lnTo>
                                <a:lnTo>
                                  <a:pt x="865809" y="58991"/>
                                </a:lnTo>
                                <a:close/>
                              </a:path>
                              <a:path w="5572125" h="285115">
                                <a:moveTo>
                                  <a:pt x="1039698" y="236499"/>
                                </a:moveTo>
                                <a:lnTo>
                                  <a:pt x="1032573" y="230517"/>
                                </a:lnTo>
                                <a:lnTo>
                                  <a:pt x="1000874" y="268287"/>
                                </a:lnTo>
                                <a:lnTo>
                                  <a:pt x="1001699" y="257911"/>
                                </a:lnTo>
                                <a:lnTo>
                                  <a:pt x="1002245" y="248018"/>
                                </a:lnTo>
                                <a:lnTo>
                                  <a:pt x="1002233" y="221043"/>
                                </a:lnTo>
                                <a:lnTo>
                                  <a:pt x="1001166" y="213423"/>
                                </a:lnTo>
                                <a:lnTo>
                                  <a:pt x="978077" y="188760"/>
                                </a:lnTo>
                                <a:lnTo>
                                  <a:pt x="977341" y="188760"/>
                                </a:lnTo>
                                <a:lnTo>
                                  <a:pt x="943470" y="211848"/>
                                </a:lnTo>
                                <a:lnTo>
                                  <a:pt x="941324" y="222034"/>
                                </a:lnTo>
                                <a:lnTo>
                                  <a:pt x="943216" y="232549"/>
                                </a:lnTo>
                                <a:lnTo>
                                  <a:pt x="949147" y="243344"/>
                                </a:lnTo>
                                <a:lnTo>
                                  <a:pt x="958253" y="237388"/>
                                </a:lnTo>
                                <a:lnTo>
                                  <a:pt x="953731" y="232918"/>
                                </a:lnTo>
                                <a:lnTo>
                                  <a:pt x="951407" y="227901"/>
                                </a:lnTo>
                                <a:lnTo>
                                  <a:pt x="951280" y="222313"/>
                                </a:lnTo>
                                <a:lnTo>
                                  <a:pt x="951153" y="216738"/>
                                </a:lnTo>
                                <a:lnTo>
                                  <a:pt x="952728" y="212153"/>
                                </a:lnTo>
                                <a:lnTo>
                                  <a:pt x="952830" y="211848"/>
                                </a:lnTo>
                                <a:lnTo>
                                  <a:pt x="959739" y="203619"/>
                                </a:lnTo>
                                <a:lnTo>
                                  <a:pt x="964031" y="201129"/>
                                </a:lnTo>
                                <a:lnTo>
                                  <a:pt x="974394" y="199224"/>
                                </a:lnTo>
                                <a:lnTo>
                                  <a:pt x="979081" y="200507"/>
                                </a:lnTo>
                                <a:lnTo>
                                  <a:pt x="993013" y="230517"/>
                                </a:lnTo>
                                <a:lnTo>
                                  <a:pt x="993013" y="248018"/>
                                </a:lnTo>
                                <a:lnTo>
                                  <a:pt x="992784" y="257733"/>
                                </a:lnTo>
                                <a:lnTo>
                                  <a:pt x="991781" y="279120"/>
                                </a:lnTo>
                                <a:lnTo>
                                  <a:pt x="998905" y="285102"/>
                                </a:lnTo>
                                <a:lnTo>
                                  <a:pt x="1013028" y="268287"/>
                                </a:lnTo>
                                <a:lnTo>
                                  <a:pt x="1039698" y="236499"/>
                                </a:lnTo>
                                <a:close/>
                              </a:path>
                              <a:path w="5572125" h="285115">
                                <a:moveTo>
                                  <a:pt x="1078052" y="181546"/>
                                </a:moveTo>
                                <a:lnTo>
                                  <a:pt x="1076553" y="173913"/>
                                </a:lnTo>
                                <a:lnTo>
                                  <a:pt x="1073543" y="166293"/>
                                </a:lnTo>
                                <a:lnTo>
                                  <a:pt x="1070152" y="160502"/>
                                </a:lnTo>
                                <a:lnTo>
                                  <a:pt x="1070152" y="184607"/>
                                </a:lnTo>
                                <a:lnTo>
                                  <a:pt x="1069276" y="190347"/>
                                </a:lnTo>
                                <a:lnTo>
                                  <a:pt x="1059586" y="201891"/>
                                </a:lnTo>
                                <a:lnTo>
                                  <a:pt x="1059421" y="201891"/>
                                </a:lnTo>
                                <a:lnTo>
                                  <a:pt x="1053376" y="203898"/>
                                </a:lnTo>
                                <a:lnTo>
                                  <a:pt x="1014730" y="183565"/>
                                </a:lnTo>
                                <a:lnTo>
                                  <a:pt x="1000506" y="160172"/>
                                </a:lnTo>
                                <a:lnTo>
                                  <a:pt x="1001445" y="153720"/>
                                </a:lnTo>
                                <a:lnTo>
                                  <a:pt x="1011212" y="142087"/>
                                </a:lnTo>
                                <a:lnTo>
                                  <a:pt x="1017765" y="140106"/>
                                </a:lnTo>
                                <a:lnTo>
                                  <a:pt x="1025906" y="142087"/>
                                </a:lnTo>
                                <a:lnTo>
                                  <a:pt x="1061110" y="166141"/>
                                </a:lnTo>
                                <a:lnTo>
                                  <a:pt x="1070152" y="184607"/>
                                </a:lnTo>
                                <a:lnTo>
                                  <a:pt x="1070152" y="160502"/>
                                </a:lnTo>
                                <a:lnTo>
                                  <a:pt x="1034796" y="133616"/>
                                </a:lnTo>
                                <a:lnTo>
                                  <a:pt x="1018946" y="131597"/>
                                </a:lnTo>
                                <a:lnTo>
                                  <a:pt x="1011821" y="133261"/>
                                </a:lnTo>
                                <a:lnTo>
                                  <a:pt x="992835" y="159156"/>
                                </a:lnTo>
                                <a:lnTo>
                                  <a:pt x="992708" y="161010"/>
                                </a:lnTo>
                                <a:lnTo>
                                  <a:pt x="1013675" y="197904"/>
                                </a:lnTo>
                                <a:lnTo>
                                  <a:pt x="1045019" y="212153"/>
                                </a:lnTo>
                                <a:lnTo>
                                  <a:pt x="1052474" y="212153"/>
                                </a:lnTo>
                                <a:lnTo>
                                  <a:pt x="1059649" y="210350"/>
                                </a:lnTo>
                                <a:lnTo>
                                  <a:pt x="1065796" y="206946"/>
                                </a:lnTo>
                                <a:lnTo>
                                  <a:pt x="1069009" y="203898"/>
                                </a:lnTo>
                                <a:lnTo>
                                  <a:pt x="1071130" y="201891"/>
                                </a:lnTo>
                                <a:lnTo>
                                  <a:pt x="1075347" y="195529"/>
                                </a:lnTo>
                                <a:lnTo>
                                  <a:pt x="1077582" y="188950"/>
                                </a:lnTo>
                                <a:lnTo>
                                  <a:pt x="1077645" y="188760"/>
                                </a:lnTo>
                                <a:lnTo>
                                  <a:pt x="1077874" y="184607"/>
                                </a:lnTo>
                                <a:lnTo>
                                  <a:pt x="1077937" y="183565"/>
                                </a:lnTo>
                                <a:lnTo>
                                  <a:pt x="1078052" y="181546"/>
                                </a:lnTo>
                                <a:close/>
                              </a:path>
                              <a:path w="5572125" h="285115">
                                <a:moveTo>
                                  <a:pt x="1140599" y="116243"/>
                                </a:moveTo>
                                <a:lnTo>
                                  <a:pt x="1133475" y="110274"/>
                                </a:lnTo>
                                <a:lnTo>
                                  <a:pt x="1101775" y="148043"/>
                                </a:lnTo>
                                <a:lnTo>
                                  <a:pt x="1102588" y="137655"/>
                                </a:lnTo>
                                <a:lnTo>
                                  <a:pt x="1103147" y="127774"/>
                                </a:lnTo>
                                <a:lnTo>
                                  <a:pt x="1103274" y="123101"/>
                                </a:lnTo>
                                <a:lnTo>
                                  <a:pt x="1103299" y="107645"/>
                                </a:lnTo>
                                <a:lnTo>
                                  <a:pt x="1103160" y="101790"/>
                                </a:lnTo>
                                <a:lnTo>
                                  <a:pt x="1078725" y="68440"/>
                                </a:lnTo>
                                <a:lnTo>
                                  <a:pt x="1063294" y="70535"/>
                                </a:lnTo>
                                <a:lnTo>
                                  <a:pt x="1042225" y="101790"/>
                                </a:lnTo>
                                <a:lnTo>
                                  <a:pt x="1044117" y="112306"/>
                                </a:lnTo>
                                <a:lnTo>
                                  <a:pt x="1050048" y="123101"/>
                                </a:lnTo>
                                <a:lnTo>
                                  <a:pt x="1059141" y="117144"/>
                                </a:lnTo>
                                <a:lnTo>
                                  <a:pt x="1054633" y="112674"/>
                                </a:lnTo>
                                <a:lnTo>
                                  <a:pt x="1052309" y="107645"/>
                                </a:lnTo>
                                <a:lnTo>
                                  <a:pt x="1052169" y="101790"/>
                                </a:lnTo>
                                <a:lnTo>
                                  <a:pt x="1052042" y="96481"/>
                                </a:lnTo>
                                <a:lnTo>
                                  <a:pt x="1053706" y="91706"/>
                                </a:lnTo>
                                <a:lnTo>
                                  <a:pt x="1054112" y="91160"/>
                                </a:lnTo>
                                <a:lnTo>
                                  <a:pt x="1060640" y="83375"/>
                                </a:lnTo>
                                <a:lnTo>
                                  <a:pt x="1064933" y="80873"/>
                                </a:lnTo>
                                <a:lnTo>
                                  <a:pt x="1075296" y="78981"/>
                                </a:lnTo>
                                <a:lnTo>
                                  <a:pt x="1079982" y="80264"/>
                                </a:lnTo>
                                <a:lnTo>
                                  <a:pt x="1088644" y="87528"/>
                                </a:lnTo>
                                <a:lnTo>
                                  <a:pt x="1091615" y="93167"/>
                                </a:lnTo>
                                <a:lnTo>
                                  <a:pt x="1093089" y="100787"/>
                                </a:lnTo>
                                <a:lnTo>
                                  <a:pt x="1093787" y="107645"/>
                                </a:lnTo>
                                <a:lnTo>
                                  <a:pt x="1093685" y="137490"/>
                                </a:lnTo>
                                <a:lnTo>
                                  <a:pt x="1092682" y="158877"/>
                                </a:lnTo>
                                <a:lnTo>
                                  <a:pt x="1099807" y="164858"/>
                                </a:lnTo>
                                <a:lnTo>
                                  <a:pt x="1113917" y="148043"/>
                                </a:lnTo>
                                <a:lnTo>
                                  <a:pt x="1140599" y="116243"/>
                                </a:lnTo>
                                <a:close/>
                              </a:path>
                              <a:path w="5572125" h="285115">
                                <a:moveTo>
                                  <a:pt x="1181900" y="65125"/>
                                </a:moveTo>
                                <a:lnTo>
                                  <a:pt x="1172159" y="37503"/>
                                </a:lnTo>
                                <a:lnTo>
                                  <a:pt x="1172159" y="64312"/>
                                </a:lnTo>
                                <a:lnTo>
                                  <a:pt x="1170432" y="69596"/>
                                </a:lnTo>
                                <a:lnTo>
                                  <a:pt x="1162291" y="79286"/>
                                </a:lnTo>
                                <a:lnTo>
                                  <a:pt x="1157351" y="81902"/>
                                </a:lnTo>
                                <a:lnTo>
                                  <a:pt x="1145755" y="82664"/>
                                </a:lnTo>
                                <a:lnTo>
                                  <a:pt x="1140802" y="81127"/>
                                </a:lnTo>
                                <a:lnTo>
                                  <a:pt x="1132230" y="73926"/>
                                </a:lnTo>
                                <a:lnTo>
                                  <a:pt x="1131049" y="71513"/>
                                </a:lnTo>
                                <a:lnTo>
                                  <a:pt x="1129792" y="68948"/>
                                </a:lnTo>
                                <a:lnTo>
                                  <a:pt x="1129169" y="59702"/>
                                </a:lnTo>
                                <a:lnTo>
                                  <a:pt x="1129080" y="58432"/>
                                </a:lnTo>
                                <a:lnTo>
                                  <a:pt x="1128979" y="56908"/>
                                </a:lnTo>
                                <a:lnTo>
                                  <a:pt x="1154430" y="38811"/>
                                </a:lnTo>
                                <a:lnTo>
                                  <a:pt x="1159497" y="40474"/>
                                </a:lnTo>
                                <a:lnTo>
                                  <a:pt x="1168412" y="47955"/>
                                </a:lnTo>
                                <a:lnTo>
                                  <a:pt x="1170952" y="52730"/>
                                </a:lnTo>
                                <a:lnTo>
                                  <a:pt x="1172159" y="64312"/>
                                </a:lnTo>
                                <a:lnTo>
                                  <a:pt x="1172159" y="37503"/>
                                </a:lnTo>
                                <a:lnTo>
                                  <a:pt x="1163967" y="30632"/>
                                </a:lnTo>
                                <a:lnTo>
                                  <a:pt x="1156843" y="28321"/>
                                </a:lnTo>
                                <a:lnTo>
                                  <a:pt x="1140764" y="29476"/>
                                </a:lnTo>
                                <a:lnTo>
                                  <a:pt x="1134084" y="32943"/>
                                </a:lnTo>
                                <a:lnTo>
                                  <a:pt x="1125232" y="43472"/>
                                </a:lnTo>
                                <a:lnTo>
                                  <a:pt x="1123251" y="47955"/>
                                </a:lnTo>
                                <a:lnTo>
                                  <a:pt x="1123149" y="48158"/>
                                </a:lnTo>
                                <a:lnTo>
                                  <a:pt x="1123048" y="48387"/>
                                </a:lnTo>
                                <a:lnTo>
                                  <a:pt x="1121308" y="59702"/>
                                </a:lnTo>
                                <a:lnTo>
                                  <a:pt x="1122311" y="65125"/>
                                </a:lnTo>
                                <a:lnTo>
                                  <a:pt x="1122375" y="65519"/>
                                </a:lnTo>
                                <a:lnTo>
                                  <a:pt x="1125296" y="71335"/>
                                </a:lnTo>
                                <a:lnTo>
                                  <a:pt x="1125385" y="71513"/>
                                </a:lnTo>
                                <a:lnTo>
                                  <a:pt x="1112634" y="58432"/>
                                </a:lnTo>
                                <a:lnTo>
                                  <a:pt x="1105827" y="46329"/>
                                </a:lnTo>
                                <a:lnTo>
                                  <a:pt x="1104976" y="35204"/>
                                </a:lnTo>
                                <a:lnTo>
                                  <a:pt x="1110068" y="25082"/>
                                </a:lnTo>
                                <a:lnTo>
                                  <a:pt x="1114780" y="20789"/>
                                </a:lnTo>
                                <a:lnTo>
                                  <a:pt x="1120114" y="18415"/>
                                </a:lnTo>
                                <a:lnTo>
                                  <a:pt x="1126058" y="17945"/>
                                </a:lnTo>
                                <a:lnTo>
                                  <a:pt x="1132624" y="19380"/>
                                </a:lnTo>
                                <a:lnTo>
                                  <a:pt x="1133297" y="17945"/>
                                </a:lnTo>
                                <a:lnTo>
                                  <a:pt x="1137005" y="9893"/>
                                </a:lnTo>
                                <a:lnTo>
                                  <a:pt x="1127366" y="7708"/>
                                </a:lnTo>
                                <a:lnTo>
                                  <a:pt x="1118514" y="8483"/>
                                </a:lnTo>
                                <a:lnTo>
                                  <a:pt x="1095082" y="38811"/>
                                </a:lnTo>
                                <a:lnTo>
                                  <a:pt x="1095032" y="39547"/>
                                </a:lnTo>
                                <a:lnTo>
                                  <a:pt x="1094955" y="40474"/>
                                </a:lnTo>
                                <a:lnTo>
                                  <a:pt x="1117003" y="77990"/>
                                </a:lnTo>
                                <a:lnTo>
                                  <a:pt x="1147965" y="91706"/>
                                </a:lnTo>
                                <a:lnTo>
                                  <a:pt x="1155255" y="91160"/>
                                </a:lnTo>
                                <a:lnTo>
                                  <a:pt x="1161923" y="89039"/>
                                </a:lnTo>
                                <a:lnTo>
                                  <a:pt x="1167955" y="85344"/>
                                </a:lnTo>
                                <a:lnTo>
                                  <a:pt x="1170559" y="82791"/>
                                </a:lnTo>
                                <a:lnTo>
                                  <a:pt x="1173353" y="80060"/>
                                </a:lnTo>
                                <a:lnTo>
                                  <a:pt x="1179334" y="72936"/>
                                </a:lnTo>
                                <a:lnTo>
                                  <a:pt x="1181900" y="65125"/>
                                </a:lnTo>
                                <a:close/>
                              </a:path>
                              <a:path w="5572125" h="285115">
                                <a:moveTo>
                                  <a:pt x="1353477" y="236499"/>
                                </a:moveTo>
                                <a:lnTo>
                                  <a:pt x="1346352" y="230517"/>
                                </a:lnTo>
                                <a:lnTo>
                                  <a:pt x="1314653" y="268287"/>
                                </a:lnTo>
                                <a:lnTo>
                                  <a:pt x="1315466" y="257911"/>
                                </a:lnTo>
                                <a:lnTo>
                                  <a:pt x="1316024" y="248018"/>
                                </a:lnTo>
                                <a:lnTo>
                                  <a:pt x="1316012" y="221043"/>
                                </a:lnTo>
                                <a:lnTo>
                                  <a:pt x="1314932" y="213423"/>
                                </a:lnTo>
                                <a:lnTo>
                                  <a:pt x="1311084" y="203047"/>
                                </a:lnTo>
                                <a:lnTo>
                                  <a:pt x="1308430" y="199224"/>
                                </a:lnTo>
                                <a:lnTo>
                                  <a:pt x="1308125" y="198780"/>
                                </a:lnTo>
                                <a:lnTo>
                                  <a:pt x="1298359" y="190588"/>
                                </a:lnTo>
                                <a:lnTo>
                                  <a:pt x="1291856" y="188760"/>
                                </a:lnTo>
                                <a:lnTo>
                                  <a:pt x="1291107" y="188760"/>
                                </a:lnTo>
                                <a:lnTo>
                                  <a:pt x="1257236" y="211848"/>
                                </a:lnTo>
                                <a:lnTo>
                                  <a:pt x="1255102" y="222034"/>
                                </a:lnTo>
                                <a:lnTo>
                                  <a:pt x="1256995" y="232549"/>
                                </a:lnTo>
                                <a:lnTo>
                                  <a:pt x="1262926" y="243344"/>
                                </a:lnTo>
                                <a:lnTo>
                                  <a:pt x="1272032" y="237388"/>
                                </a:lnTo>
                                <a:lnTo>
                                  <a:pt x="1267510" y="232918"/>
                                </a:lnTo>
                                <a:lnTo>
                                  <a:pt x="1265186" y="227901"/>
                                </a:lnTo>
                                <a:lnTo>
                                  <a:pt x="1265059" y="222313"/>
                                </a:lnTo>
                                <a:lnTo>
                                  <a:pt x="1264932" y="216738"/>
                                </a:lnTo>
                                <a:lnTo>
                                  <a:pt x="1266507" y="212153"/>
                                </a:lnTo>
                                <a:lnTo>
                                  <a:pt x="1266609" y="211848"/>
                                </a:lnTo>
                                <a:lnTo>
                                  <a:pt x="1273517" y="203619"/>
                                </a:lnTo>
                                <a:lnTo>
                                  <a:pt x="1277810" y="201129"/>
                                </a:lnTo>
                                <a:lnTo>
                                  <a:pt x="1288173" y="199224"/>
                                </a:lnTo>
                                <a:lnTo>
                                  <a:pt x="1292860" y="200507"/>
                                </a:lnTo>
                                <a:lnTo>
                                  <a:pt x="1306791" y="230517"/>
                                </a:lnTo>
                                <a:lnTo>
                                  <a:pt x="1306791" y="248018"/>
                                </a:lnTo>
                                <a:lnTo>
                                  <a:pt x="1306563" y="257733"/>
                                </a:lnTo>
                                <a:lnTo>
                                  <a:pt x="1305560" y="279120"/>
                                </a:lnTo>
                                <a:lnTo>
                                  <a:pt x="1312684" y="285102"/>
                                </a:lnTo>
                                <a:lnTo>
                                  <a:pt x="1326794" y="268287"/>
                                </a:lnTo>
                                <a:lnTo>
                                  <a:pt x="1353477" y="236499"/>
                                </a:lnTo>
                                <a:close/>
                              </a:path>
                              <a:path w="5572125" h="285115">
                                <a:moveTo>
                                  <a:pt x="1391818" y="181546"/>
                                </a:moveTo>
                                <a:lnTo>
                                  <a:pt x="1390332" y="173913"/>
                                </a:lnTo>
                                <a:lnTo>
                                  <a:pt x="1387322" y="166293"/>
                                </a:lnTo>
                                <a:lnTo>
                                  <a:pt x="1383919" y="160489"/>
                                </a:lnTo>
                                <a:lnTo>
                                  <a:pt x="1383919" y="184607"/>
                                </a:lnTo>
                                <a:lnTo>
                                  <a:pt x="1383055" y="190347"/>
                                </a:lnTo>
                                <a:lnTo>
                                  <a:pt x="1373365" y="201891"/>
                                </a:lnTo>
                                <a:lnTo>
                                  <a:pt x="1373200" y="201891"/>
                                </a:lnTo>
                                <a:lnTo>
                                  <a:pt x="1367155" y="203898"/>
                                </a:lnTo>
                                <a:lnTo>
                                  <a:pt x="1328496" y="183565"/>
                                </a:lnTo>
                                <a:lnTo>
                                  <a:pt x="1314284" y="160172"/>
                                </a:lnTo>
                                <a:lnTo>
                                  <a:pt x="1315224" y="153720"/>
                                </a:lnTo>
                                <a:lnTo>
                                  <a:pt x="1324978" y="142087"/>
                                </a:lnTo>
                                <a:lnTo>
                                  <a:pt x="1331544" y="140106"/>
                                </a:lnTo>
                                <a:lnTo>
                                  <a:pt x="1339684" y="142087"/>
                                </a:lnTo>
                                <a:lnTo>
                                  <a:pt x="1374889" y="166141"/>
                                </a:lnTo>
                                <a:lnTo>
                                  <a:pt x="1383919" y="184607"/>
                                </a:lnTo>
                                <a:lnTo>
                                  <a:pt x="1383919" y="160489"/>
                                </a:lnTo>
                                <a:lnTo>
                                  <a:pt x="1348574" y="133616"/>
                                </a:lnTo>
                                <a:lnTo>
                                  <a:pt x="1332725" y="131597"/>
                                </a:lnTo>
                                <a:lnTo>
                                  <a:pt x="1325600" y="133261"/>
                                </a:lnTo>
                                <a:lnTo>
                                  <a:pt x="1306626" y="158877"/>
                                </a:lnTo>
                                <a:lnTo>
                                  <a:pt x="1306601" y="159156"/>
                                </a:lnTo>
                                <a:lnTo>
                                  <a:pt x="1306487" y="161010"/>
                                </a:lnTo>
                                <a:lnTo>
                                  <a:pt x="1306385" y="162458"/>
                                </a:lnTo>
                                <a:lnTo>
                                  <a:pt x="1307769" y="169938"/>
                                </a:lnTo>
                                <a:lnTo>
                                  <a:pt x="1334389" y="203047"/>
                                </a:lnTo>
                                <a:lnTo>
                                  <a:pt x="1358798" y="212153"/>
                                </a:lnTo>
                                <a:lnTo>
                                  <a:pt x="1366253" y="212153"/>
                                </a:lnTo>
                                <a:lnTo>
                                  <a:pt x="1373428" y="210350"/>
                                </a:lnTo>
                                <a:lnTo>
                                  <a:pt x="1379575" y="206946"/>
                                </a:lnTo>
                                <a:lnTo>
                                  <a:pt x="1382788" y="203898"/>
                                </a:lnTo>
                                <a:lnTo>
                                  <a:pt x="1384909" y="201891"/>
                                </a:lnTo>
                                <a:lnTo>
                                  <a:pt x="1389126" y="195529"/>
                                </a:lnTo>
                                <a:lnTo>
                                  <a:pt x="1391348" y="188950"/>
                                </a:lnTo>
                                <a:lnTo>
                                  <a:pt x="1391424" y="188760"/>
                                </a:lnTo>
                                <a:lnTo>
                                  <a:pt x="1391653" y="184607"/>
                                </a:lnTo>
                                <a:lnTo>
                                  <a:pt x="1391716" y="183565"/>
                                </a:lnTo>
                                <a:lnTo>
                                  <a:pt x="1391818" y="181546"/>
                                </a:lnTo>
                                <a:close/>
                              </a:path>
                              <a:path w="5572125" h="285115">
                                <a:moveTo>
                                  <a:pt x="1454378" y="116243"/>
                                </a:moveTo>
                                <a:lnTo>
                                  <a:pt x="1447253" y="110274"/>
                                </a:lnTo>
                                <a:lnTo>
                                  <a:pt x="1415554" y="148043"/>
                                </a:lnTo>
                                <a:lnTo>
                                  <a:pt x="1416367" y="137655"/>
                                </a:lnTo>
                                <a:lnTo>
                                  <a:pt x="1416926" y="127774"/>
                                </a:lnTo>
                                <a:lnTo>
                                  <a:pt x="1417053" y="123101"/>
                                </a:lnTo>
                                <a:lnTo>
                                  <a:pt x="1417066" y="107645"/>
                                </a:lnTo>
                                <a:lnTo>
                                  <a:pt x="1416939" y="101790"/>
                                </a:lnTo>
                                <a:lnTo>
                                  <a:pt x="1416913" y="100787"/>
                                </a:lnTo>
                                <a:lnTo>
                                  <a:pt x="1415834" y="93167"/>
                                </a:lnTo>
                                <a:lnTo>
                                  <a:pt x="1412049" y="83007"/>
                                </a:lnTo>
                                <a:lnTo>
                                  <a:pt x="1411973" y="82791"/>
                                </a:lnTo>
                                <a:lnTo>
                                  <a:pt x="1409331" y="78981"/>
                                </a:lnTo>
                                <a:lnTo>
                                  <a:pt x="1409026" y="78536"/>
                                </a:lnTo>
                                <a:lnTo>
                                  <a:pt x="1399260" y="70345"/>
                                </a:lnTo>
                                <a:lnTo>
                                  <a:pt x="1358138" y="91605"/>
                                </a:lnTo>
                                <a:lnTo>
                                  <a:pt x="1356004" y="101790"/>
                                </a:lnTo>
                                <a:lnTo>
                                  <a:pt x="1357896" y="112306"/>
                                </a:lnTo>
                                <a:lnTo>
                                  <a:pt x="1363827" y="123101"/>
                                </a:lnTo>
                                <a:lnTo>
                                  <a:pt x="1372920" y="117144"/>
                                </a:lnTo>
                                <a:lnTo>
                                  <a:pt x="1368412" y="112674"/>
                                </a:lnTo>
                                <a:lnTo>
                                  <a:pt x="1366088" y="107645"/>
                                </a:lnTo>
                                <a:lnTo>
                                  <a:pt x="1365948" y="101790"/>
                                </a:lnTo>
                                <a:lnTo>
                                  <a:pt x="1365821" y="96481"/>
                                </a:lnTo>
                                <a:lnTo>
                                  <a:pt x="1367510" y="91605"/>
                                </a:lnTo>
                                <a:lnTo>
                                  <a:pt x="1374419" y="83375"/>
                                </a:lnTo>
                                <a:lnTo>
                                  <a:pt x="1378712" y="80873"/>
                                </a:lnTo>
                                <a:lnTo>
                                  <a:pt x="1389075" y="78981"/>
                                </a:lnTo>
                                <a:lnTo>
                                  <a:pt x="1393761" y="80264"/>
                                </a:lnTo>
                                <a:lnTo>
                                  <a:pt x="1402422" y="87528"/>
                                </a:lnTo>
                                <a:lnTo>
                                  <a:pt x="1405394" y="93167"/>
                                </a:lnTo>
                                <a:lnTo>
                                  <a:pt x="1406867" y="100787"/>
                                </a:lnTo>
                                <a:lnTo>
                                  <a:pt x="1407566" y="107645"/>
                                </a:lnTo>
                                <a:lnTo>
                                  <a:pt x="1407464" y="137490"/>
                                </a:lnTo>
                                <a:lnTo>
                                  <a:pt x="1406461" y="158877"/>
                                </a:lnTo>
                                <a:lnTo>
                                  <a:pt x="1413586" y="164858"/>
                                </a:lnTo>
                                <a:lnTo>
                                  <a:pt x="1427695" y="148043"/>
                                </a:lnTo>
                                <a:lnTo>
                                  <a:pt x="1454378" y="116243"/>
                                </a:lnTo>
                                <a:close/>
                              </a:path>
                              <a:path w="5572125" h="285115">
                                <a:moveTo>
                                  <a:pt x="1483283" y="81788"/>
                                </a:moveTo>
                                <a:lnTo>
                                  <a:pt x="1455686" y="48361"/>
                                </a:lnTo>
                                <a:lnTo>
                                  <a:pt x="1442758" y="15240"/>
                                </a:lnTo>
                                <a:lnTo>
                                  <a:pt x="1440345" y="4292"/>
                                </a:lnTo>
                                <a:lnTo>
                                  <a:pt x="1435227" y="0"/>
                                </a:lnTo>
                                <a:lnTo>
                                  <a:pt x="1397266" y="45250"/>
                                </a:lnTo>
                                <a:lnTo>
                                  <a:pt x="1404073" y="52412"/>
                                </a:lnTo>
                                <a:lnTo>
                                  <a:pt x="1435265" y="15240"/>
                                </a:lnTo>
                                <a:lnTo>
                                  <a:pt x="1437068" y="25095"/>
                                </a:lnTo>
                                <a:lnTo>
                                  <a:pt x="1453908" y="65455"/>
                                </a:lnTo>
                                <a:lnTo>
                                  <a:pt x="1475879" y="90614"/>
                                </a:lnTo>
                                <a:lnTo>
                                  <a:pt x="1483283" y="81788"/>
                                </a:lnTo>
                                <a:close/>
                              </a:path>
                              <a:path w="5572125" h="285115">
                                <a:moveTo>
                                  <a:pt x="1667256" y="236499"/>
                                </a:moveTo>
                                <a:lnTo>
                                  <a:pt x="1660131" y="230517"/>
                                </a:lnTo>
                                <a:lnTo>
                                  <a:pt x="1628432" y="268287"/>
                                </a:lnTo>
                                <a:lnTo>
                                  <a:pt x="1629244" y="257911"/>
                                </a:lnTo>
                                <a:lnTo>
                                  <a:pt x="1629803" y="248018"/>
                                </a:lnTo>
                                <a:lnTo>
                                  <a:pt x="1629791" y="221043"/>
                                </a:lnTo>
                                <a:lnTo>
                                  <a:pt x="1628711" y="213423"/>
                                </a:lnTo>
                                <a:lnTo>
                                  <a:pt x="1624863" y="203047"/>
                                </a:lnTo>
                                <a:lnTo>
                                  <a:pt x="1622209" y="199224"/>
                                </a:lnTo>
                                <a:lnTo>
                                  <a:pt x="1621904" y="198780"/>
                                </a:lnTo>
                                <a:lnTo>
                                  <a:pt x="1612138" y="190588"/>
                                </a:lnTo>
                                <a:lnTo>
                                  <a:pt x="1605635" y="188760"/>
                                </a:lnTo>
                                <a:lnTo>
                                  <a:pt x="1604886" y="188760"/>
                                </a:lnTo>
                                <a:lnTo>
                                  <a:pt x="1571015" y="211848"/>
                                </a:lnTo>
                                <a:lnTo>
                                  <a:pt x="1568869" y="222034"/>
                                </a:lnTo>
                                <a:lnTo>
                                  <a:pt x="1570761" y="232549"/>
                                </a:lnTo>
                                <a:lnTo>
                                  <a:pt x="1576705" y="243344"/>
                                </a:lnTo>
                                <a:lnTo>
                                  <a:pt x="1585810" y="237388"/>
                                </a:lnTo>
                                <a:lnTo>
                                  <a:pt x="1581289" y="232918"/>
                                </a:lnTo>
                                <a:lnTo>
                                  <a:pt x="1578965" y="227901"/>
                                </a:lnTo>
                                <a:lnTo>
                                  <a:pt x="1578838" y="222313"/>
                                </a:lnTo>
                                <a:lnTo>
                                  <a:pt x="1578711" y="216738"/>
                                </a:lnTo>
                                <a:lnTo>
                                  <a:pt x="1580273" y="212153"/>
                                </a:lnTo>
                                <a:lnTo>
                                  <a:pt x="1580388" y="211848"/>
                                </a:lnTo>
                                <a:lnTo>
                                  <a:pt x="1587296" y="203619"/>
                                </a:lnTo>
                                <a:lnTo>
                                  <a:pt x="1591589" y="201129"/>
                                </a:lnTo>
                                <a:lnTo>
                                  <a:pt x="1601952" y="199224"/>
                                </a:lnTo>
                                <a:lnTo>
                                  <a:pt x="1606638" y="200507"/>
                                </a:lnTo>
                                <a:lnTo>
                                  <a:pt x="1620570" y="248018"/>
                                </a:lnTo>
                                <a:lnTo>
                                  <a:pt x="1620342" y="257733"/>
                                </a:lnTo>
                                <a:lnTo>
                                  <a:pt x="1619338" y="279120"/>
                                </a:lnTo>
                                <a:lnTo>
                                  <a:pt x="1626463" y="285102"/>
                                </a:lnTo>
                                <a:lnTo>
                                  <a:pt x="1640573" y="268287"/>
                                </a:lnTo>
                                <a:lnTo>
                                  <a:pt x="1667256" y="236499"/>
                                </a:lnTo>
                                <a:close/>
                              </a:path>
                              <a:path w="5572125" h="285115">
                                <a:moveTo>
                                  <a:pt x="1705597" y="181546"/>
                                </a:moveTo>
                                <a:lnTo>
                                  <a:pt x="1704111" y="173913"/>
                                </a:lnTo>
                                <a:lnTo>
                                  <a:pt x="1701101" y="166293"/>
                                </a:lnTo>
                                <a:lnTo>
                                  <a:pt x="1697697" y="160489"/>
                                </a:lnTo>
                                <a:lnTo>
                                  <a:pt x="1697697" y="184607"/>
                                </a:lnTo>
                                <a:lnTo>
                                  <a:pt x="1696834" y="190347"/>
                                </a:lnTo>
                                <a:lnTo>
                                  <a:pt x="1687144" y="201891"/>
                                </a:lnTo>
                                <a:lnTo>
                                  <a:pt x="1686979" y="201891"/>
                                </a:lnTo>
                                <a:lnTo>
                                  <a:pt x="1680933" y="203898"/>
                                </a:lnTo>
                                <a:lnTo>
                                  <a:pt x="1642275" y="183565"/>
                                </a:lnTo>
                                <a:lnTo>
                                  <a:pt x="1628063" y="160172"/>
                                </a:lnTo>
                                <a:lnTo>
                                  <a:pt x="1629003" y="153720"/>
                                </a:lnTo>
                                <a:lnTo>
                                  <a:pt x="1638757" y="142087"/>
                                </a:lnTo>
                                <a:lnTo>
                                  <a:pt x="1645323" y="140106"/>
                                </a:lnTo>
                                <a:lnTo>
                                  <a:pt x="1653463" y="142087"/>
                                </a:lnTo>
                                <a:lnTo>
                                  <a:pt x="1688655" y="166141"/>
                                </a:lnTo>
                                <a:lnTo>
                                  <a:pt x="1697697" y="184607"/>
                                </a:lnTo>
                                <a:lnTo>
                                  <a:pt x="1697697" y="160489"/>
                                </a:lnTo>
                                <a:lnTo>
                                  <a:pt x="1662353" y="133616"/>
                                </a:lnTo>
                                <a:lnTo>
                                  <a:pt x="1646491" y="131597"/>
                                </a:lnTo>
                                <a:lnTo>
                                  <a:pt x="1639379" y="133261"/>
                                </a:lnTo>
                                <a:lnTo>
                                  <a:pt x="1620380" y="159156"/>
                                </a:lnTo>
                                <a:lnTo>
                                  <a:pt x="1620253" y="161010"/>
                                </a:lnTo>
                                <a:lnTo>
                                  <a:pt x="1641221" y="197904"/>
                                </a:lnTo>
                                <a:lnTo>
                                  <a:pt x="1672577" y="212153"/>
                                </a:lnTo>
                                <a:lnTo>
                                  <a:pt x="1680019" y="212153"/>
                                </a:lnTo>
                                <a:lnTo>
                                  <a:pt x="1705483" y="183565"/>
                                </a:lnTo>
                                <a:lnTo>
                                  <a:pt x="1705597" y="181546"/>
                                </a:lnTo>
                                <a:close/>
                              </a:path>
                              <a:path w="5572125" h="285115">
                                <a:moveTo>
                                  <a:pt x="1768157" y="116243"/>
                                </a:moveTo>
                                <a:lnTo>
                                  <a:pt x="1761032" y="110274"/>
                                </a:lnTo>
                                <a:lnTo>
                                  <a:pt x="1729333" y="148043"/>
                                </a:lnTo>
                                <a:lnTo>
                                  <a:pt x="1730146" y="137655"/>
                                </a:lnTo>
                                <a:lnTo>
                                  <a:pt x="1730692" y="127774"/>
                                </a:lnTo>
                                <a:lnTo>
                                  <a:pt x="1730832" y="123101"/>
                                </a:lnTo>
                                <a:lnTo>
                                  <a:pt x="1730844" y="107645"/>
                                </a:lnTo>
                                <a:lnTo>
                                  <a:pt x="1730705" y="101790"/>
                                </a:lnTo>
                                <a:lnTo>
                                  <a:pt x="1730692" y="100787"/>
                                </a:lnTo>
                                <a:lnTo>
                                  <a:pt x="1729613" y="93167"/>
                                </a:lnTo>
                                <a:lnTo>
                                  <a:pt x="1725752" y="82791"/>
                                </a:lnTo>
                                <a:lnTo>
                                  <a:pt x="1723110" y="78981"/>
                                </a:lnTo>
                                <a:lnTo>
                                  <a:pt x="1722805" y="78536"/>
                                </a:lnTo>
                                <a:lnTo>
                                  <a:pt x="1713052" y="70358"/>
                                </a:lnTo>
                                <a:lnTo>
                                  <a:pt x="1706283" y="68440"/>
                                </a:lnTo>
                                <a:lnTo>
                                  <a:pt x="1690852" y="70535"/>
                                </a:lnTo>
                                <a:lnTo>
                                  <a:pt x="1669770" y="101790"/>
                                </a:lnTo>
                                <a:lnTo>
                                  <a:pt x="1671662" y="112306"/>
                                </a:lnTo>
                                <a:lnTo>
                                  <a:pt x="1677606" y="123101"/>
                                </a:lnTo>
                                <a:lnTo>
                                  <a:pt x="1686699" y="117144"/>
                                </a:lnTo>
                                <a:lnTo>
                                  <a:pt x="1682191" y="112674"/>
                                </a:lnTo>
                                <a:lnTo>
                                  <a:pt x="1679867" y="107645"/>
                                </a:lnTo>
                                <a:lnTo>
                                  <a:pt x="1679727" y="101790"/>
                                </a:lnTo>
                                <a:lnTo>
                                  <a:pt x="1679600" y="96481"/>
                                </a:lnTo>
                                <a:lnTo>
                                  <a:pt x="1681289" y="91605"/>
                                </a:lnTo>
                                <a:lnTo>
                                  <a:pt x="1688198" y="83375"/>
                                </a:lnTo>
                                <a:lnTo>
                                  <a:pt x="1692490" y="80873"/>
                                </a:lnTo>
                                <a:lnTo>
                                  <a:pt x="1702854" y="78981"/>
                                </a:lnTo>
                                <a:lnTo>
                                  <a:pt x="1707540" y="80264"/>
                                </a:lnTo>
                                <a:lnTo>
                                  <a:pt x="1716201" y="87528"/>
                                </a:lnTo>
                                <a:lnTo>
                                  <a:pt x="1719173" y="93167"/>
                                </a:lnTo>
                                <a:lnTo>
                                  <a:pt x="1720634" y="100787"/>
                                </a:lnTo>
                                <a:lnTo>
                                  <a:pt x="1721345" y="107645"/>
                                </a:lnTo>
                                <a:lnTo>
                                  <a:pt x="1721243" y="137490"/>
                                </a:lnTo>
                                <a:lnTo>
                                  <a:pt x="1720240" y="158877"/>
                                </a:lnTo>
                                <a:lnTo>
                                  <a:pt x="1727365" y="164858"/>
                                </a:lnTo>
                                <a:lnTo>
                                  <a:pt x="1741474" y="148043"/>
                                </a:lnTo>
                                <a:lnTo>
                                  <a:pt x="1768157" y="116243"/>
                                </a:lnTo>
                                <a:close/>
                              </a:path>
                              <a:path w="5572125" h="285115">
                                <a:moveTo>
                                  <a:pt x="1810499" y="49860"/>
                                </a:moveTo>
                                <a:lnTo>
                                  <a:pt x="1808657" y="45554"/>
                                </a:lnTo>
                                <a:lnTo>
                                  <a:pt x="1807857" y="43649"/>
                                </a:lnTo>
                                <a:lnTo>
                                  <a:pt x="1802815" y="39420"/>
                                </a:lnTo>
                                <a:lnTo>
                                  <a:pt x="1801266" y="38125"/>
                                </a:lnTo>
                                <a:lnTo>
                                  <a:pt x="1801266" y="55105"/>
                                </a:lnTo>
                                <a:lnTo>
                                  <a:pt x="1800555" y="63474"/>
                                </a:lnTo>
                                <a:lnTo>
                                  <a:pt x="1773529" y="87896"/>
                                </a:lnTo>
                                <a:lnTo>
                                  <a:pt x="1769287" y="87007"/>
                                </a:lnTo>
                                <a:lnTo>
                                  <a:pt x="1760435" y="72212"/>
                                </a:lnTo>
                                <a:lnTo>
                                  <a:pt x="1761566" y="65227"/>
                                </a:lnTo>
                                <a:lnTo>
                                  <a:pt x="1761642" y="64719"/>
                                </a:lnTo>
                                <a:lnTo>
                                  <a:pt x="1761744" y="64071"/>
                                </a:lnTo>
                                <a:lnTo>
                                  <a:pt x="1763077" y="60794"/>
                                </a:lnTo>
                                <a:lnTo>
                                  <a:pt x="1765668" y="54419"/>
                                </a:lnTo>
                                <a:lnTo>
                                  <a:pt x="1766100" y="54152"/>
                                </a:lnTo>
                                <a:lnTo>
                                  <a:pt x="1775294" y="48552"/>
                                </a:lnTo>
                                <a:lnTo>
                                  <a:pt x="1783600" y="45554"/>
                                </a:lnTo>
                                <a:lnTo>
                                  <a:pt x="1790827" y="45554"/>
                                </a:lnTo>
                                <a:lnTo>
                                  <a:pt x="1796249" y="48183"/>
                                </a:lnTo>
                                <a:lnTo>
                                  <a:pt x="1799729" y="51117"/>
                                </a:lnTo>
                                <a:lnTo>
                                  <a:pt x="1801266" y="55105"/>
                                </a:lnTo>
                                <a:lnTo>
                                  <a:pt x="1801266" y="38125"/>
                                </a:lnTo>
                                <a:lnTo>
                                  <a:pt x="1799272" y="36449"/>
                                </a:lnTo>
                                <a:lnTo>
                                  <a:pt x="1795424" y="34772"/>
                                </a:lnTo>
                                <a:lnTo>
                                  <a:pt x="1786204" y="33248"/>
                                </a:lnTo>
                                <a:lnTo>
                                  <a:pt x="1779231" y="35052"/>
                                </a:lnTo>
                                <a:lnTo>
                                  <a:pt x="1769910" y="39420"/>
                                </a:lnTo>
                                <a:lnTo>
                                  <a:pt x="1772043" y="31305"/>
                                </a:lnTo>
                                <a:lnTo>
                                  <a:pt x="1772018" y="24206"/>
                                </a:lnTo>
                                <a:lnTo>
                                  <a:pt x="1769833" y="18122"/>
                                </a:lnTo>
                                <a:lnTo>
                                  <a:pt x="1768487" y="16560"/>
                                </a:lnTo>
                                <a:lnTo>
                                  <a:pt x="1765477" y="13055"/>
                                </a:lnTo>
                                <a:lnTo>
                                  <a:pt x="1763522" y="11417"/>
                                </a:lnTo>
                                <a:lnTo>
                                  <a:pt x="1763522" y="34264"/>
                                </a:lnTo>
                                <a:lnTo>
                                  <a:pt x="1761998" y="39420"/>
                                </a:lnTo>
                                <a:lnTo>
                                  <a:pt x="1740611" y="54152"/>
                                </a:lnTo>
                                <a:lnTo>
                                  <a:pt x="1736521" y="53390"/>
                                </a:lnTo>
                                <a:lnTo>
                                  <a:pt x="1730070" y="47967"/>
                                </a:lnTo>
                                <a:lnTo>
                                  <a:pt x="1728673" y="44399"/>
                                </a:lnTo>
                                <a:lnTo>
                                  <a:pt x="1729447" y="36449"/>
                                </a:lnTo>
                                <a:lnTo>
                                  <a:pt x="1729524" y="35598"/>
                                </a:lnTo>
                                <a:lnTo>
                                  <a:pt x="1729765" y="35052"/>
                                </a:lnTo>
                                <a:lnTo>
                                  <a:pt x="1731530" y="31305"/>
                                </a:lnTo>
                                <a:lnTo>
                                  <a:pt x="1731606" y="31140"/>
                                </a:lnTo>
                                <a:lnTo>
                                  <a:pt x="1739188" y="22110"/>
                                </a:lnTo>
                                <a:lnTo>
                                  <a:pt x="1743214" y="19151"/>
                                </a:lnTo>
                                <a:lnTo>
                                  <a:pt x="1751609" y="16560"/>
                                </a:lnTo>
                                <a:lnTo>
                                  <a:pt x="1755457" y="17386"/>
                                </a:lnTo>
                                <a:lnTo>
                                  <a:pt x="1761972" y="22847"/>
                                </a:lnTo>
                                <a:lnTo>
                                  <a:pt x="1763483" y="26149"/>
                                </a:lnTo>
                                <a:lnTo>
                                  <a:pt x="1763522" y="34264"/>
                                </a:lnTo>
                                <a:lnTo>
                                  <a:pt x="1763522" y="11417"/>
                                </a:lnTo>
                                <a:lnTo>
                                  <a:pt x="1760258" y="8674"/>
                                </a:lnTo>
                                <a:lnTo>
                                  <a:pt x="1754301" y="7213"/>
                                </a:lnTo>
                                <a:lnTo>
                                  <a:pt x="1740890" y="10096"/>
                                </a:lnTo>
                                <a:lnTo>
                                  <a:pt x="1734604" y="14325"/>
                                </a:lnTo>
                                <a:lnTo>
                                  <a:pt x="1722729" y="28473"/>
                                </a:lnTo>
                                <a:lnTo>
                                  <a:pt x="1719605" y="35598"/>
                                </a:lnTo>
                                <a:lnTo>
                                  <a:pt x="1719313" y="43649"/>
                                </a:lnTo>
                                <a:lnTo>
                                  <a:pt x="1719186" y="46850"/>
                                </a:lnTo>
                                <a:lnTo>
                                  <a:pt x="1738998" y="64719"/>
                                </a:lnTo>
                                <a:lnTo>
                                  <a:pt x="1746199" y="63842"/>
                                </a:lnTo>
                                <a:lnTo>
                                  <a:pt x="1754124" y="60794"/>
                                </a:lnTo>
                                <a:lnTo>
                                  <a:pt x="1751698" y="70358"/>
                                </a:lnTo>
                                <a:lnTo>
                                  <a:pt x="1751584" y="70827"/>
                                </a:lnTo>
                                <a:lnTo>
                                  <a:pt x="1751520" y="74587"/>
                                </a:lnTo>
                                <a:lnTo>
                                  <a:pt x="1751431" y="79375"/>
                                </a:lnTo>
                                <a:lnTo>
                                  <a:pt x="1753666" y="86461"/>
                                </a:lnTo>
                                <a:lnTo>
                                  <a:pt x="1758276" y="92075"/>
                                </a:lnTo>
                                <a:lnTo>
                                  <a:pt x="1763522" y="96481"/>
                                </a:lnTo>
                                <a:lnTo>
                                  <a:pt x="1763699" y="96481"/>
                                </a:lnTo>
                                <a:lnTo>
                                  <a:pt x="1769922" y="97853"/>
                                </a:lnTo>
                                <a:lnTo>
                                  <a:pt x="1776844" y="96481"/>
                                </a:lnTo>
                                <a:lnTo>
                                  <a:pt x="1777123" y="96481"/>
                                </a:lnTo>
                                <a:lnTo>
                                  <a:pt x="1783334" y="94538"/>
                                </a:lnTo>
                                <a:lnTo>
                                  <a:pt x="1788960" y="91427"/>
                                </a:lnTo>
                                <a:lnTo>
                                  <a:pt x="1793367" y="87896"/>
                                </a:lnTo>
                                <a:lnTo>
                                  <a:pt x="1794484" y="87007"/>
                                </a:lnTo>
                                <a:lnTo>
                                  <a:pt x="1809381" y="63842"/>
                                </a:lnTo>
                                <a:lnTo>
                                  <a:pt x="1809508" y="63474"/>
                                </a:lnTo>
                                <a:lnTo>
                                  <a:pt x="1810283" y="57619"/>
                                </a:lnTo>
                                <a:lnTo>
                                  <a:pt x="1810397" y="53390"/>
                                </a:lnTo>
                                <a:lnTo>
                                  <a:pt x="1810499" y="49860"/>
                                </a:lnTo>
                                <a:close/>
                              </a:path>
                              <a:path w="5572125" h="285115">
                                <a:moveTo>
                                  <a:pt x="1981022" y="236499"/>
                                </a:moveTo>
                                <a:lnTo>
                                  <a:pt x="1973897" y="230517"/>
                                </a:lnTo>
                                <a:lnTo>
                                  <a:pt x="1942198" y="268287"/>
                                </a:lnTo>
                                <a:lnTo>
                                  <a:pt x="1943011" y="257911"/>
                                </a:lnTo>
                                <a:lnTo>
                                  <a:pt x="1943569" y="248018"/>
                                </a:lnTo>
                                <a:lnTo>
                                  <a:pt x="1943557" y="221043"/>
                                </a:lnTo>
                                <a:lnTo>
                                  <a:pt x="1942490" y="213423"/>
                                </a:lnTo>
                                <a:lnTo>
                                  <a:pt x="1919401" y="188760"/>
                                </a:lnTo>
                                <a:lnTo>
                                  <a:pt x="1918665" y="188760"/>
                                </a:lnTo>
                                <a:lnTo>
                                  <a:pt x="1884781" y="211848"/>
                                </a:lnTo>
                                <a:lnTo>
                                  <a:pt x="1882648" y="222034"/>
                                </a:lnTo>
                                <a:lnTo>
                                  <a:pt x="1884540" y="232549"/>
                                </a:lnTo>
                                <a:lnTo>
                                  <a:pt x="1890471" y="243344"/>
                                </a:lnTo>
                                <a:lnTo>
                                  <a:pt x="1899577" y="237388"/>
                                </a:lnTo>
                                <a:lnTo>
                                  <a:pt x="1895055" y="232918"/>
                                </a:lnTo>
                                <a:lnTo>
                                  <a:pt x="1892731" y="227901"/>
                                </a:lnTo>
                                <a:lnTo>
                                  <a:pt x="1892604" y="222313"/>
                                </a:lnTo>
                                <a:lnTo>
                                  <a:pt x="1892477" y="216738"/>
                                </a:lnTo>
                                <a:lnTo>
                                  <a:pt x="1894052" y="212153"/>
                                </a:lnTo>
                                <a:lnTo>
                                  <a:pt x="1894154" y="211848"/>
                                </a:lnTo>
                                <a:lnTo>
                                  <a:pt x="1901063" y="203619"/>
                                </a:lnTo>
                                <a:lnTo>
                                  <a:pt x="1905355" y="201129"/>
                                </a:lnTo>
                                <a:lnTo>
                                  <a:pt x="1915718" y="199224"/>
                                </a:lnTo>
                                <a:lnTo>
                                  <a:pt x="1920405" y="200507"/>
                                </a:lnTo>
                                <a:lnTo>
                                  <a:pt x="1934337" y="230517"/>
                                </a:lnTo>
                                <a:lnTo>
                                  <a:pt x="1934337" y="248018"/>
                                </a:lnTo>
                                <a:lnTo>
                                  <a:pt x="1934108" y="257733"/>
                                </a:lnTo>
                                <a:lnTo>
                                  <a:pt x="1933105" y="279120"/>
                                </a:lnTo>
                                <a:lnTo>
                                  <a:pt x="1940229" y="285102"/>
                                </a:lnTo>
                                <a:lnTo>
                                  <a:pt x="1954352" y="268287"/>
                                </a:lnTo>
                                <a:lnTo>
                                  <a:pt x="1981022" y="236499"/>
                                </a:lnTo>
                                <a:close/>
                              </a:path>
                              <a:path w="5572125" h="285115">
                                <a:moveTo>
                                  <a:pt x="2019376" y="181546"/>
                                </a:moveTo>
                                <a:lnTo>
                                  <a:pt x="2017877" y="173913"/>
                                </a:lnTo>
                                <a:lnTo>
                                  <a:pt x="2014867" y="166293"/>
                                </a:lnTo>
                                <a:lnTo>
                                  <a:pt x="2011476" y="160502"/>
                                </a:lnTo>
                                <a:lnTo>
                                  <a:pt x="2011476" y="184607"/>
                                </a:lnTo>
                                <a:lnTo>
                                  <a:pt x="2010600" y="190347"/>
                                </a:lnTo>
                                <a:lnTo>
                                  <a:pt x="2000910" y="201891"/>
                                </a:lnTo>
                                <a:lnTo>
                                  <a:pt x="2000745" y="201891"/>
                                </a:lnTo>
                                <a:lnTo>
                                  <a:pt x="1994700" y="203898"/>
                                </a:lnTo>
                                <a:lnTo>
                                  <a:pt x="1956041" y="183565"/>
                                </a:lnTo>
                                <a:lnTo>
                                  <a:pt x="1941830" y="160172"/>
                                </a:lnTo>
                                <a:lnTo>
                                  <a:pt x="1942769" y="153720"/>
                                </a:lnTo>
                                <a:lnTo>
                                  <a:pt x="1952523" y="142087"/>
                                </a:lnTo>
                                <a:lnTo>
                                  <a:pt x="1959089" y="140106"/>
                                </a:lnTo>
                                <a:lnTo>
                                  <a:pt x="1967230" y="142087"/>
                                </a:lnTo>
                                <a:lnTo>
                                  <a:pt x="2002434" y="166141"/>
                                </a:lnTo>
                                <a:lnTo>
                                  <a:pt x="2011476" y="184607"/>
                                </a:lnTo>
                                <a:lnTo>
                                  <a:pt x="2011476" y="160502"/>
                                </a:lnTo>
                                <a:lnTo>
                                  <a:pt x="1976120" y="133616"/>
                                </a:lnTo>
                                <a:lnTo>
                                  <a:pt x="1960270" y="131597"/>
                                </a:lnTo>
                                <a:lnTo>
                                  <a:pt x="1953145" y="133261"/>
                                </a:lnTo>
                                <a:lnTo>
                                  <a:pt x="1934159" y="159156"/>
                                </a:lnTo>
                                <a:lnTo>
                                  <a:pt x="1934032" y="161010"/>
                                </a:lnTo>
                                <a:lnTo>
                                  <a:pt x="1954999" y="197904"/>
                                </a:lnTo>
                                <a:lnTo>
                                  <a:pt x="1986343" y="212153"/>
                                </a:lnTo>
                                <a:lnTo>
                                  <a:pt x="1993798" y="212153"/>
                                </a:lnTo>
                                <a:lnTo>
                                  <a:pt x="2000973" y="210350"/>
                                </a:lnTo>
                                <a:lnTo>
                                  <a:pt x="2007120" y="206946"/>
                                </a:lnTo>
                                <a:lnTo>
                                  <a:pt x="2010333" y="203898"/>
                                </a:lnTo>
                                <a:lnTo>
                                  <a:pt x="2012454" y="201891"/>
                                </a:lnTo>
                                <a:lnTo>
                                  <a:pt x="2016671" y="195529"/>
                                </a:lnTo>
                                <a:lnTo>
                                  <a:pt x="2018906" y="188950"/>
                                </a:lnTo>
                                <a:lnTo>
                                  <a:pt x="2018969" y="188760"/>
                                </a:lnTo>
                                <a:lnTo>
                                  <a:pt x="2019198" y="184607"/>
                                </a:lnTo>
                                <a:lnTo>
                                  <a:pt x="2019261" y="183565"/>
                                </a:lnTo>
                                <a:lnTo>
                                  <a:pt x="2019376" y="181546"/>
                                </a:lnTo>
                                <a:close/>
                              </a:path>
                              <a:path w="5572125" h="285115">
                                <a:moveTo>
                                  <a:pt x="2081923" y="116243"/>
                                </a:moveTo>
                                <a:lnTo>
                                  <a:pt x="2074799" y="110274"/>
                                </a:lnTo>
                                <a:lnTo>
                                  <a:pt x="2043099" y="148043"/>
                                </a:lnTo>
                                <a:lnTo>
                                  <a:pt x="2043912" y="137655"/>
                                </a:lnTo>
                                <a:lnTo>
                                  <a:pt x="2044471" y="127774"/>
                                </a:lnTo>
                                <a:lnTo>
                                  <a:pt x="2044598" y="123101"/>
                                </a:lnTo>
                                <a:lnTo>
                                  <a:pt x="2044611" y="107645"/>
                                </a:lnTo>
                                <a:lnTo>
                                  <a:pt x="2044471" y="101790"/>
                                </a:lnTo>
                                <a:lnTo>
                                  <a:pt x="2027034" y="70535"/>
                                </a:lnTo>
                                <a:lnTo>
                                  <a:pt x="2027491" y="70535"/>
                                </a:lnTo>
                                <a:lnTo>
                                  <a:pt x="2020049" y="68440"/>
                                </a:lnTo>
                                <a:lnTo>
                                  <a:pt x="2004618" y="70535"/>
                                </a:lnTo>
                                <a:lnTo>
                                  <a:pt x="1997798" y="74587"/>
                                </a:lnTo>
                                <a:lnTo>
                                  <a:pt x="1991880" y="81635"/>
                                </a:lnTo>
                                <a:lnTo>
                                  <a:pt x="1985860" y="91313"/>
                                </a:lnTo>
                                <a:lnTo>
                                  <a:pt x="1985683" y="91605"/>
                                </a:lnTo>
                                <a:lnTo>
                                  <a:pt x="1983549" y="101790"/>
                                </a:lnTo>
                                <a:lnTo>
                                  <a:pt x="1985441" y="112306"/>
                                </a:lnTo>
                                <a:lnTo>
                                  <a:pt x="1991372" y="123101"/>
                                </a:lnTo>
                                <a:lnTo>
                                  <a:pt x="2000465" y="117144"/>
                                </a:lnTo>
                                <a:lnTo>
                                  <a:pt x="1995957" y="112674"/>
                                </a:lnTo>
                                <a:lnTo>
                                  <a:pt x="1993633" y="107645"/>
                                </a:lnTo>
                                <a:lnTo>
                                  <a:pt x="1993493" y="101790"/>
                                </a:lnTo>
                                <a:lnTo>
                                  <a:pt x="1993366" y="96481"/>
                                </a:lnTo>
                                <a:lnTo>
                                  <a:pt x="1995055" y="91605"/>
                                </a:lnTo>
                                <a:lnTo>
                                  <a:pt x="2001964" y="83375"/>
                                </a:lnTo>
                                <a:lnTo>
                                  <a:pt x="2006257" y="80873"/>
                                </a:lnTo>
                                <a:lnTo>
                                  <a:pt x="2016620" y="78981"/>
                                </a:lnTo>
                                <a:lnTo>
                                  <a:pt x="2021306" y="80264"/>
                                </a:lnTo>
                                <a:lnTo>
                                  <a:pt x="2029968" y="87528"/>
                                </a:lnTo>
                                <a:lnTo>
                                  <a:pt x="2032939" y="93167"/>
                                </a:lnTo>
                                <a:lnTo>
                                  <a:pt x="2034413" y="100787"/>
                                </a:lnTo>
                                <a:lnTo>
                                  <a:pt x="2035111" y="107645"/>
                                </a:lnTo>
                                <a:lnTo>
                                  <a:pt x="2035009" y="137490"/>
                                </a:lnTo>
                                <a:lnTo>
                                  <a:pt x="2034006" y="158877"/>
                                </a:lnTo>
                                <a:lnTo>
                                  <a:pt x="2041131" y="164858"/>
                                </a:lnTo>
                                <a:lnTo>
                                  <a:pt x="2055241" y="148043"/>
                                </a:lnTo>
                                <a:lnTo>
                                  <a:pt x="2081923" y="116243"/>
                                </a:lnTo>
                                <a:close/>
                              </a:path>
                              <a:path w="5572125" h="285115">
                                <a:moveTo>
                                  <a:pt x="2118893" y="63284"/>
                                </a:moveTo>
                                <a:lnTo>
                                  <a:pt x="2096871" y="25539"/>
                                </a:lnTo>
                                <a:lnTo>
                                  <a:pt x="2085695" y="17830"/>
                                </a:lnTo>
                                <a:lnTo>
                                  <a:pt x="2085695" y="46355"/>
                                </a:lnTo>
                                <a:lnTo>
                                  <a:pt x="2084120" y="51396"/>
                                </a:lnTo>
                                <a:lnTo>
                                  <a:pt x="2084031" y="51689"/>
                                </a:lnTo>
                                <a:lnTo>
                                  <a:pt x="2076488" y="60680"/>
                                </a:lnTo>
                                <a:lnTo>
                                  <a:pt x="2071839" y="63284"/>
                                </a:lnTo>
                                <a:lnTo>
                                  <a:pt x="2071649" y="63284"/>
                                </a:lnTo>
                                <a:lnTo>
                                  <a:pt x="2060803" y="64922"/>
                                </a:lnTo>
                                <a:lnTo>
                                  <a:pt x="2042109" y="40005"/>
                                </a:lnTo>
                                <a:lnTo>
                                  <a:pt x="2042045" y="39535"/>
                                </a:lnTo>
                                <a:lnTo>
                                  <a:pt x="2043734" y="34429"/>
                                </a:lnTo>
                                <a:lnTo>
                                  <a:pt x="2043785" y="34251"/>
                                </a:lnTo>
                                <a:lnTo>
                                  <a:pt x="2052142" y="24282"/>
                                </a:lnTo>
                                <a:lnTo>
                                  <a:pt x="2057031" y="21590"/>
                                </a:lnTo>
                                <a:lnTo>
                                  <a:pt x="2068271" y="20701"/>
                                </a:lnTo>
                                <a:lnTo>
                                  <a:pt x="2073236" y="22288"/>
                                </a:lnTo>
                                <a:lnTo>
                                  <a:pt x="2085695" y="46355"/>
                                </a:lnTo>
                                <a:lnTo>
                                  <a:pt x="2085695" y="17830"/>
                                </a:lnTo>
                                <a:lnTo>
                                  <a:pt x="2081276" y="15367"/>
                                </a:lnTo>
                                <a:lnTo>
                                  <a:pt x="2073656" y="12649"/>
                                </a:lnTo>
                                <a:lnTo>
                                  <a:pt x="2066175" y="11493"/>
                                </a:lnTo>
                                <a:lnTo>
                                  <a:pt x="2059012" y="11988"/>
                                </a:lnTo>
                                <a:lnTo>
                                  <a:pt x="2032101" y="38392"/>
                                </a:lnTo>
                                <a:lnTo>
                                  <a:pt x="2033739" y="55206"/>
                                </a:lnTo>
                                <a:lnTo>
                                  <a:pt x="2037397" y="62141"/>
                                </a:lnTo>
                                <a:lnTo>
                                  <a:pt x="2050288" y="72961"/>
                                </a:lnTo>
                                <a:lnTo>
                                  <a:pt x="2057463" y="75298"/>
                                </a:lnTo>
                                <a:lnTo>
                                  <a:pt x="2073376" y="73952"/>
                                </a:lnTo>
                                <a:lnTo>
                                  <a:pt x="2092198" y="41821"/>
                                </a:lnTo>
                                <a:lnTo>
                                  <a:pt x="2089975" y="33502"/>
                                </a:lnTo>
                                <a:lnTo>
                                  <a:pt x="2096389" y="39535"/>
                                </a:lnTo>
                                <a:lnTo>
                                  <a:pt x="2110740" y="65227"/>
                                </a:lnTo>
                                <a:lnTo>
                                  <a:pt x="2109368" y="72440"/>
                                </a:lnTo>
                                <a:lnTo>
                                  <a:pt x="2098255" y="85674"/>
                                </a:lnTo>
                                <a:lnTo>
                                  <a:pt x="2091080" y="87807"/>
                                </a:lnTo>
                                <a:lnTo>
                                  <a:pt x="2082368" y="85344"/>
                                </a:lnTo>
                                <a:lnTo>
                                  <a:pt x="2079117" y="94322"/>
                                </a:lnTo>
                                <a:lnTo>
                                  <a:pt x="2087994" y="96062"/>
                                </a:lnTo>
                                <a:lnTo>
                                  <a:pt x="2096211" y="95046"/>
                                </a:lnTo>
                                <a:lnTo>
                                  <a:pt x="2103767" y="91313"/>
                                </a:lnTo>
                                <a:lnTo>
                                  <a:pt x="2118677" y="65227"/>
                                </a:lnTo>
                                <a:lnTo>
                                  <a:pt x="2118804" y="64084"/>
                                </a:lnTo>
                                <a:lnTo>
                                  <a:pt x="2118893" y="63284"/>
                                </a:lnTo>
                                <a:close/>
                              </a:path>
                              <a:path w="5572125" h="285115">
                                <a:moveTo>
                                  <a:pt x="2294801" y="236499"/>
                                </a:moveTo>
                                <a:lnTo>
                                  <a:pt x="2287676" y="230517"/>
                                </a:lnTo>
                                <a:lnTo>
                                  <a:pt x="2255977" y="268287"/>
                                </a:lnTo>
                                <a:lnTo>
                                  <a:pt x="2256790" y="257911"/>
                                </a:lnTo>
                                <a:lnTo>
                                  <a:pt x="2257336" y="248018"/>
                                </a:lnTo>
                                <a:lnTo>
                                  <a:pt x="2257336" y="221043"/>
                                </a:lnTo>
                                <a:lnTo>
                                  <a:pt x="2256256" y="213423"/>
                                </a:lnTo>
                                <a:lnTo>
                                  <a:pt x="2252408" y="203047"/>
                                </a:lnTo>
                                <a:lnTo>
                                  <a:pt x="2249754" y="199224"/>
                                </a:lnTo>
                                <a:lnTo>
                                  <a:pt x="2249449" y="198780"/>
                                </a:lnTo>
                                <a:lnTo>
                                  <a:pt x="2239683" y="190588"/>
                                </a:lnTo>
                                <a:lnTo>
                                  <a:pt x="2233180" y="188760"/>
                                </a:lnTo>
                                <a:lnTo>
                                  <a:pt x="2232431" y="188760"/>
                                </a:lnTo>
                                <a:lnTo>
                                  <a:pt x="2198560" y="211848"/>
                                </a:lnTo>
                                <a:lnTo>
                                  <a:pt x="2196427" y="222034"/>
                                </a:lnTo>
                                <a:lnTo>
                                  <a:pt x="2198319" y="232549"/>
                                </a:lnTo>
                                <a:lnTo>
                                  <a:pt x="2204250" y="243344"/>
                                </a:lnTo>
                                <a:lnTo>
                                  <a:pt x="2213356" y="237388"/>
                                </a:lnTo>
                                <a:lnTo>
                                  <a:pt x="2208834" y="232918"/>
                                </a:lnTo>
                                <a:lnTo>
                                  <a:pt x="2206510" y="227901"/>
                                </a:lnTo>
                                <a:lnTo>
                                  <a:pt x="2206383" y="222313"/>
                                </a:lnTo>
                                <a:lnTo>
                                  <a:pt x="2206256" y="216738"/>
                                </a:lnTo>
                                <a:lnTo>
                                  <a:pt x="2207831" y="212153"/>
                                </a:lnTo>
                                <a:lnTo>
                                  <a:pt x="2207933" y="211848"/>
                                </a:lnTo>
                                <a:lnTo>
                                  <a:pt x="2214842" y="203619"/>
                                </a:lnTo>
                                <a:lnTo>
                                  <a:pt x="2219134" y="201129"/>
                                </a:lnTo>
                                <a:lnTo>
                                  <a:pt x="2229497" y="199224"/>
                                </a:lnTo>
                                <a:lnTo>
                                  <a:pt x="2234184" y="200507"/>
                                </a:lnTo>
                                <a:lnTo>
                                  <a:pt x="2248116" y="248018"/>
                                </a:lnTo>
                                <a:lnTo>
                                  <a:pt x="2247887" y="257733"/>
                                </a:lnTo>
                                <a:lnTo>
                                  <a:pt x="2246884" y="279120"/>
                                </a:lnTo>
                                <a:lnTo>
                                  <a:pt x="2254008" y="285102"/>
                                </a:lnTo>
                                <a:lnTo>
                                  <a:pt x="2268118" y="268287"/>
                                </a:lnTo>
                                <a:lnTo>
                                  <a:pt x="2294801" y="236499"/>
                                </a:lnTo>
                                <a:close/>
                              </a:path>
                              <a:path w="5572125" h="285115">
                                <a:moveTo>
                                  <a:pt x="2333142" y="181546"/>
                                </a:moveTo>
                                <a:lnTo>
                                  <a:pt x="2331656" y="173913"/>
                                </a:lnTo>
                                <a:lnTo>
                                  <a:pt x="2328646" y="166293"/>
                                </a:lnTo>
                                <a:lnTo>
                                  <a:pt x="2325243" y="160489"/>
                                </a:lnTo>
                                <a:lnTo>
                                  <a:pt x="2325243" y="184607"/>
                                </a:lnTo>
                                <a:lnTo>
                                  <a:pt x="2324379" y="190347"/>
                                </a:lnTo>
                                <a:lnTo>
                                  <a:pt x="2314689" y="201891"/>
                                </a:lnTo>
                                <a:lnTo>
                                  <a:pt x="2314524" y="201891"/>
                                </a:lnTo>
                                <a:lnTo>
                                  <a:pt x="2308479" y="203898"/>
                                </a:lnTo>
                                <a:lnTo>
                                  <a:pt x="2269820" y="183565"/>
                                </a:lnTo>
                                <a:lnTo>
                                  <a:pt x="2255609" y="160172"/>
                                </a:lnTo>
                                <a:lnTo>
                                  <a:pt x="2256459" y="154330"/>
                                </a:lnTo>
                                <a:lnTo>
                                  <a:pt x="2256548" y="153720"/>
                                </a:lnTo>
                                <a:lnTo>
                                  <a:pt x="2266302" y="142087"/>
                                </a:lnTo>
                                <a:lnTo>
                                  <a:pt x="2272868" y="140106"/>
                                </a:lnTo>
                                <a:lnTo>
                                  <a:pt x="2281009" y="142087"/>
                                </a:lnTo>
                                <a:lnTo>
                                  <a:pt x="2316213" y="166141"/>
                                </a:lnTo>
                                <a:lnTo>
                                  <a:pt x="2325243" y="184607"/>
                                </a:lnTo>
                                <a:lnTo>
                                  <a:pt x="2325243" y="160489"/>
                                </a:lnTo>
                                <a:lnTo>
                                  <a:pt x="2298052" y="136829"/>
                                </a:lnTo>
                                <a:lnTo>
                                  <a:pt x="2298217" y="136829"/>
                                </a:lnTo>
                                <a:lnTo>
                                  <a:pt x="2289899" y="133616"/>
                                </a:lnTo>
                                <a:lnTo>
                                  <a:pt x="2281859" y="131826"/>
                                </a:lnTo>
                                <a:lnTo>
                                  <a:pt x="2274049" y="131597"/>
                                </a:lnTo>
                                <a:lnTo>
                                  <a:pt x="2266924" y="133261"/>
                                </a:lnTo>
                                <a:lnTo>
                                  <a:pt x="2247709" y="162458"/>
                                </a:lnTo>
                                <a:lnTo>
                                  <a:pt x="2249093" y="169938"/>
                                </a:lnTo>
                                <a:lnTo>
                                  <a:pt x="2275713" y="203047"/>
                                </a:lnTo>
                                <a:lnTo>
                                  <a:pt x="2300122" y="212153"/>
                                </a:lnTo>
                                <a:lnTo>
                                  <a:pt x="2307564" y="212153"/>
                                </a:lnTo>
                                <a:lnTo>
                                  <a:pt x="2314752" y="210350"/>
                                </a:lnTo>
                                <a:lnTo>
                                  <a:pt x="2320899" y="206946"/>
                                </a:lnTo>
                                <a:lnTo>
                                  <a:pt x="2324112" y="203898"/>
                                </a:lnTo>
                                <a:lnTo>
                                  <a:pt x="2326233" y="201891"/>
                                </a:lnTo>
                                <a:lnTo>
                                  <a:pt x="2330450" y="195529"/>
                                </a:lnTo>
                                <a:lnTo>
                                  <a:pt x="2332672" y="188950"/>
                                </a:lnTo>
                                <a:lnTo>
                                  <a:pt x="2332748" y="188760"/>
                                </a:lnTo>
                                <a:lnTo>
                                  <a:pt x="2332977" y="184607"/>
                                </a:lnTo>
                                <a:lnTo>
                                  <a:pt x="2333028" y="183565"/>
                                </a:lnTo>
                                <a:lnTo>
                                  <a:pt x="2333142" y="181546"/>
                                </a:lnTo>
                                <a:close/>
                              </a:path>
                              <a:path w="5572125" h="285115">
                                <a:moveTo>
                                  <a:pt x="2386330" y="110464"/>
                                </a:moveTo>
                                <a:lnTo>
                                  <a:pt x="2383472" y="104101"/>
                                </a:lnTo>
                                <a:lnTo>
                                  <a:pt x="2383104" y="103797"/>
                                </a:lnTo>
                                <a:lnTo>
                                  <a:pt x="2379535" y="100799"/>
                                </a:lnTo>
                                <a:lnTo>
                                  <a:pt x="2372969" y="95288"/>
                                </a:lnTo>
                                <a:lnTo>
                                  <a:pt x="2367750" y="93586"/>
                                </a:lnTo>
                                <a:lnTo>
                                  <a:pt x="2356485" y="94780"/>
                                </a:lnTo>
                                <a:lnTo>
                                  <a:pt x="2351519" y="96989"/>
                                </a:lnTo>
                                <a:lnTo>
                                  <a:pt x="2347239" y="100799"/>
                                </a:lnTo>
                                <a:lnTo>
                                  <a:pt x="2349754" y="96304"/>
                                </a:lnTo>
                                <a:lnTo>
                                  <a:pt x="2350554" y="91909"/>
                                </a:lnTo>
                                <a:lnTo>
                                  <a:pt x="2350605" y="91605"/>
                                </a:lnTo>
                                <a:lnTo>
                                  <a:pt x="2349030" y="82156"/>
                                </a:lnTo>
                                <a:lnTo>
                                  <a:pt x="2348966" y="81800"/>
                                </a:lnTo>
                                <a:lnTo>
                                  <a:pt x="2347633" y="79489"/>
                                </a:lnTo>
                                <a:lnTo>
                                  <a:pt x="2346617" y="77711"/>
                                </a:lnTo>
                                <a:lnTo>
                                  <a:pt x="2337714" y="70243"/>
                                </a:lnTo>
                                <a:lnTo>
                                  <a:pt x="2331694" y="68707"/>
                                </a:lnTo>
                                <a:lnTo>
                                  <a:pt x="2317673" y="70942"/>
                                </a:lnTo>
                                <a:lnTo>
                                  <a:pt x="2297049" y="99898"/>
                                </a:lnTo>
                                <a:lnTo>
                                  <a:pt x="2297087" y="100799"/>
                                </a:lnTo>
                                <a:lnTo>
                                  <a:pt x="2297201" y="103797"/>
                                </a:lnTo>
                                <a:lnTo>
                                  <a:pt x="2297315" y="106603"/>
                                </a:lnTo>
                                <a:lnTo>
                                  <a:pt x="2297430" y="109448"/>
                                </a:lnTo>
                                <a:lnTo>
                                  <a:pt x="2300948" y="119240"/>
                                </a:lnTo>
                                <a:lnTo>
                                  <a:pt x="2309647" y="113360"/>
                                </a:lnTo>
                                <a:lnTo>
                                  <a:pt x="2306980" y="106603"/>
                                </a:lnTo>
                                <a:lnTo>
                                  <a:pt x="2306510" y="100799"/>
                                </a:lnTo>
                                <a:lnTo>
                                  <a:pt x="2306510" y="99898"/>
                                </a:lnTo>
                                <a:lnTo>
                                  <a:pt x="2308072" y="93941"/>
                                </a:lnTo>
                                <a:lnTo>
                                  <a:pt x="2311844" y="88023"/>
                                </a:lnTo>
                                <a:lnTo>
                                  <a:pt x="2315324" y="83883"/>
                                </a:lnTo>
                                <a:lnTo>
                                  <a:pt x="2319299" y="81343"/>
                                </a:lnTo>
                                <a:lnTo>
                                  <a:pt x="2328227" y="79489"/>
                                </a:lnTo>
                                <a:lnTo>
                                  <a:pt x="2332304" y="80581"/>
                                </a:lnTo>
                                <a:lnTo>
                                  <a:pt x="2339365" y="86499"/>
                                </a:lnTo>
                                <a:lnTo>
                                  <a:pt x="2341181" y="90119"/>
                                </a:lnTo>
                                <a:lnTo>
                                  <a:pt x="2341765" y="98983"/>
                                </a:lnTo>
                                <a:lnTo>
                                  <a:pt x="2339619" y="103797"/>
                                </a:lnTo>
                                <a:lnTo>
                                  <a:pt x="2339467" y="104101"/>
                                </a:lnTo>
                                <a:lnTo>
                                  <a:pt x="2328138" y="117602"/>
                                </a:lnTo>
                                <a:lnTo>
                                  <a:pt x="2334907" y="123278"/>
                                </a:lnTo>
                                <a:lnTo>
                                  <a:pt x="2346363" y="109639"/>
                                </a:lnTo>
                                <a:lnTo>
                                  <a:pt x="2351379" y="106146"/>
                                </a:lnTo>
                                <a:lnTo>
                                  <a:pt x="2361692" y="103797"/>
                                </a:lnTo>
                                <a:lnTo>
                                  <a:pt x="2366238" y="104863"/>
                                </a:lnTo>
                                <a:lnTo>
                                  <a:pt x="2373846" y="111252"/>
                                </a:lnTo>
                                <a:lnTo>
                                  <a:pt x="2375865" y="115227"/>
                                </a:lnTo>
                                <a:lnTo>
                                  <a:pt x="2376474" y="123278"/>
                                </a:lnTo>
                                <a:lnTo>
                                  <a:pt x="2376551" y="124345"/>
                                </a:lnTo>
                                <a:lnTo>
                                  <a:pt x="2376601" y="125031"/>
                                </a:lnTo>
                                <a:lnTo>
                                  <a:pt x="2349195" y="146202"/>
                                </a:lnTo>
                                <a:lnTo>
                                  <a:pt x="2341715" y="144119"/>
                                </a:lnTo>
                                <a:lnTo>
                                  <a:pt x="2337676" y="154330"/>
                                </a:lnTo>
                                <a:lnTo>
                                  <a:pt x="2344178" y="156819"/>
                                </a:lnTo>
                                <a:lnTo>
                                  <a:pt x="2350871" y="157060"/>
                                </a:lnTo>
                                <a:lnTo>
                                  <a:pt x="2364625" y="153047"/>
                                </a:lnTo>
                                <a:lnTo>
                                  <a:pt x="2386241" y="119240"/>
                                </a:lnTo>
                                <a:lnTo>
                                  <a:pt x="2386330" y="110464"/>
                                </a:lnTo>
                                <a:close/>
                              </a:path>
                              <a:path w="5572125" h="285115">
                                <a:moveTo>
                                  <a:pt x="2434044" y="61302"/>
                                </a:moveTo>
                                <a:lnTo>
                                  <a:pt x="2432558" y="53657"/>
                                </a:lnTo>
                                <a:lnTo>
                                  <a:pt x="2429535" y="46050"/>
                                </a:lnTo>
                                <a:lnTo>
                                  <a:pt x="2426144" y="40246"/>
                                </a:lnTo>
                                <a:lnTo>
                                  <a:pt x="2426144" y="64350"/>
                                </a:lnTo>
                                <a:lnTo>
                                  <a:pt x="2425281" y="70091"/>
                                </a:lnTo>
                                <a:lnTo>
                                  <a:pt x="2415844" y="81343"/>
                                </a:lnTo>
                                <a:lnTo>
                                  <a:pt x="2415540" y="81610"/>
                                </a:lnTo>
                                <a:lnTo>
                                  <a:pt x="2409380" y="83654"/>
                                </a:lnTo>
                                <a:lnTo>
                                  <a:pt x="2401608" y="82156"/>
                                </a:lnTo>
                                <a:lnTo>
                                  <a:pt x="2396083" y="80581"/>
                                </a:lnTo>
                                <a:lnTo>
                                  <a:pt x="2395931" y="80581"/>
                                </a:lnTo>
                                <a:lnTo>
                                  <a:pt x="2362111" y="52527"/>
                                </a:lnTo>
                                <a:lnTo>
                                  <a:pt x="2356497" y="39928"/>
                                </a:lnTo>
                                <a:lnTo>
                                  <a:pt x="2357450" y="33464"/>
                                </a:lnTo>
                                <a:lnTo>
                                  <a:pt x="2367203" y="21844"/>
                                </a:lnTo>
                                <a:lnTo>
                                  <a:pt x="2373769" y="19862"/>
                                </a:lnTo>
                                <a:lnTo>
                                  <a:pt x="2381910" y="21844"/>
                                </a:lnTo>
                                <a:lnTo>
                                  <a:pt x="2417114" y="45897"/>
                                </a:lnTo>
                                <a:lnTo>
                                  <a:pt x="2426144" y="64350"/>
                                </a:lnTo>
                                <a:lnTo>
                                  <a:pt x="2426144" y="40246"/>
                                </a:lnTo>
                                <a:lnTo>
                                  <a:pt x="2390800" y="13373"/>
                                </a:lnTo>
                                <a:lnTo>
                                  <a:pt x="2374950" y="11341"/>
                                </a:lnTo>
                                <a:lnTo>
                                  <a:pt x="2367826" y="13004"/>
                                </a:lnTo>
                                <a:lnTo>
                                  <a:pt x="2348611" y="42214"/>
                                </a:lnTo>
                                <a:lnTo>
                                  <a:pt x="2349995" y="49695"/>
                                </a:lnTo>
                                <a:lnTo>
                                  <a:pt x="2377275" y="83286"/>
                                </a:lnTo>
                                <a:lnTo>
                                  <a:pt x="2401024" y="91909"/>
                                </a:lnTo>
                                <a:lnTo>
                                  <a:pt x="2408466" y="91909"/>
                                </a:lnTo>
                                <a:lnTo>
                                  <a:pt x="2415603" y="90119"/>
                                </a:lnTo>
                                <a:lnTo>
                                  <a:pt x="2421788" y="86702"/>
                                </a:lnTo>
                                <a:lnTo>
                                  <a:pt x="2424988" y="83654"/>
                                </a:lnTo>
                                <a:lnTo>
                                  <a:pt x="2427147" y="81610"/>
                                </a:lnTo>
                                <a:lnTo>
                                  <a:pt x="2431338" y="75272"/>
                                </a:lnTo>
                                <a:lnTo>
                                  <a:pt x="2433574" y="68707"/>
                                </a:lnTo>
                                <a:lnTo>
                                  <a:pt x="2433637" y="68503"/>
                                </a:lnTo>
                                <a:lnTo>
                                  <a:pt x="2433866" y="64350"/>
                                </a:lnTo>
                                <a:lnTo>
                                  <a:pt x="2433929" y="63309"/>
                                </a:lnTo>
                                <a:lnTo>
                                  <a:pt x="2434044" y="61302"/>
                                </a:lnTo>
                                <a:close/>
                              </a:path>
                              <a:path w="5572125" h="285115">
                                <a:moveTo>
                                  <a:pt x="2608580" y="236499"/>
                                </a:moveTo>
                                <a:lnTo>
                                  <a:pt x="2601455" y="230517"/>
                                </a:lnTo>
                                <a:lnTo>
                                  <a:pt x="2569756" y="268287"/>
                                </a:lnTo>
                                <a:lnTo>
                                  <a:pt x="2570569" y="257911"/>
                                </a:lnTo>
                                <a:lnTo>
                                  <a:pt x="2571115" y="248018"/>
                                </a:lnTo>
                                <a:lnTo>
                                  <a:pt x="2571115" y="221043"/>
                                </a:lnTo>
                                <a:lnTo>
                                  <a:pt x="2570035" y="213423"/>
                                </a:lnTo>
                                <a:lnTo>
                                  <a:pt x="2566187" y="203047"/>
                                </a:lnTo>
                                <a:lnTo>
                                  <a:pt x="2563533" y="199224"/>
                                </a:lnTo>
                                <a:lnTo>
                                  <a:pt x="2563228" y="198780"/>
                                </a:lnTo>
                                <a:lnTo>
                                  <a:pt x="2553462" y="190588"/>
                                </a:lnTo>
                                <a:lnTo>
                                  <a:pt x="2546959" y="188760"/>
                                </a:lnTo>
                                <a:lnTo>
                                  <a:pt x="2546210" y="188760"/>
                                </a:lnTo>
                                <a:lnTo>
                                  <a:pt x="2512339" y="211848"/>
                                </a:lnTo>
                                <a:lnTo>
                                  <a:pt x="2510193" y="222034"/>
                                </a:lnTo>
                                <a:lnTo>
                                  <a:pt x="2512085" y="232549"/>
                                </a:lnTo>
                                <a:lnTo>
                                  <a:pt x="2518029" y="243344"/>
                                </a:lnTo>
                                <a:lnTo>
                                  <a:pt x="2527135" y="237388"/>
                                </a:lnTo>
                                <a:lnTo>
                                  <a:pt x="2522613" y="232918"/>
                                </a:lnTo>
                                <a:lnTo>
                                  <a:pt x="2520289" y="227901"/>
                                </a:lnTo>
                                <a:lnTo>
                                  <a:pt x="2520162" y="222313"/>
                                </a:lnTo>
                                <a:lnTo>
                                  <a:pt x="2520035" y="216738"/>
                                </a:lnTo>
                                <a:lnTo>
                                  <a:pt x="2521597" y="212153"/>
                                </a:lnTo>
                                <a:lnTo>
                                  <a:pt x="2521712" y="211848"/>
                                </a:lnTo>
                                <a:lnTo>
                                  <a:pt x="2528620" y="203619"/>
                                </a:lnTo>
                                <a:lnTo>
                                  <a:pt x="2532913" y="201129"/>
                                </a:lnTo>
                                <a:lnTo>
                                  <a:pt x="2543276" y="199224"/>
                                </a:lnTo>
                                <a:lnTo>
                                  <a:pt x="2547963" y="200507"/>
                                </a:lnTo>
                                <a:lnTo>
                                  <a:pt x="2561894" y="248018"/>
                                </a:lnTo>
                                <a:lnTo>
                                  <a:pt x="2561653" y="257733"/>
                                </a:lnTo>
                                <a:lnTo>
                                  <a:pt x="2560663" y="279120"/>
                                </a:lnTo>
                                <a:lnTo>
                                  <a:pt x="2567787" y="285102"/>
                                </a:lnTo>
                                <a:lnTo>
                                  <a:pt x="2581897" y="268287"/>
                                </a:lnTo>
                                <a:lnTo>
                                  <a:pt x="2608580" y="236499"/>
                                </a:lnTo>
                                <a:close/>
                              </a:path>
                              <a:path w="5572125" h="285115">
                                <a:moveTo>
                                  <a:pt x="2646921" y="181546"/>
                                </a:moveTo>
                                <a:lnTo>
                                  <a:pt x="2645435" y="173913"/>
                                </a:lnTo>
                                <a:lnTo>
                                  <a:pt x="2642412" y="166293"/>
                                </a:lnTo>
                                <a:lnTo>
                                  <a:pt x="2639022" y="160489"/>
                                </a:lnTo>
                                <a:lnTo>
                                  <a:pt x="2639022" y="184607"/>
                                </a:lnTo>
                                <a:lnTo>
                                  <a:pt x="2638158" y="190347"/>
                                </a:lnTo>
                                <a:lnTo>
                                  <a:pt x="2628455" y="201891"/>
                                </a:lnTo>
                                <a:lnTo>
                                  <a:pt x="2628290" y="201891"/>
                                </a:lnTo>
                                <a:lnTo>
                                  <a:pt x="2622258" y="203898"/>
                                </a:lnTo>
                                <a:lnTo>
                                  <a:pt x="2583599" y="183565"/>
                                </a:lnTo>
                                <a:lnTo>
                                  <a:pt x="2569387" y="160172"/>
                                </a:lnTo>
                                <a:lnTo>
                                  <a:pt x="2570238" y="154330"/>
                                </a:lnTo>
                                <a:lnTo>
                                  <a:pt x="2570327" y="153720"/>
                                </a:lnTo>
                                <a:lnTo>
                                  <a:pt x="2580081" y="142087"/>
                                </a:lnTo>
                                <a:lnTo>
                                  <a:pt x="2586647" y="140106"/>
                                </a:lnTo>
                                <a:lnTo>
                                  <a:pt x="2594787" y="142087"/>
                                </a:lnTo>
                                <a:lnTo>
                                  <a:pt x="2629979" y="166141"/>
                                </a:lnTo>
                                <a:lnTo>
                                  <a:pt x="2639022" y="184607"/>
                                </a:lnTo>
                                <a:lnTo>
                                  <a:pt x="2639022" y="160489"/>
                                </a:lnTo>
                                <a:lnTo>
                                  <a:pt x="2611831" y="136829"/>
                                </a:lnTo>
                                <a:lnTo>
                                  <a:pt x="2611983" y="136829"/>
                                </a:lnTo>
                                <a:lnTo>
                                  <a:pt x="2603665" y="133616"/>
                                </a:lnTo>
                                <a:lnTo>
                                  <a:pt x="2595638" y="131826"/>
                                </a:lnTo>
                                <a:lnTo>
                                  <a:pt x="2587815" y="131597"/>
                                </a:lnTo>
                                <a:lnTo>
                                  <a:pt x="2580690" y="133261"/>
                                </a:lnTo>
                                <a:lnTo>
                                  <a:pt x="2561704" y="159156"/>
                                </a:lnTo>
                                <a:lnTo>
                                  <a:pt x="2561577" y="161010"/>
                                </a:lnTo>
                                <a:lnTo>
                                  <a:pt x="2582545" y="197904"/>
                                </a:lnTo>
                                <a:lnTo>
                                  <a:pt x="2613901" y="212153"/>
                                </a:lnTo>
                                <a:lnTo>
                                  <a:pt x="2621343" y="212153"/>
                                </a:lnTo>
                                <a:lnTo>
                                  <a:pt x="2646743" y="184607"/>
                                </a:lnTo>
                                <a:lnTo>
                                  <a:pt x="2646807" y="183565"/>
                                </a:lnTo>
                                <a:lnTo>
                                  <a:pt x="2646921" y="181546"/>
                                </a:lnTo>
                                <a:close/>
                              </a:path>
                              <a:path w="5572125" h="285115">
                                <a:moveTo>
                                  <a:pt x="2700109" y="110464"/>
                                </a:moveTo>
                                <a:lnTo>
                                  <a:pt x="2697251" y="104101"/>
                                </a:lnTo>
                                <a:lnTo>
                                  <a:pt x="2696883" y="103797"/>
                                </a:lnTo>
                                <a:lnTo>
                                  <a:pt x="2693314" y="100799"/>
                                </a:lnTo>
                                <a:lnTo>
                                  <a:pt x="2686748" y="95288"/>
                                </a:lnTo>
                                <a:lnTo>
                                  <a:pt x="2681528" y="93586"/>
                                </a:lnTo>
                                <a:lnTo>
                                  <a:pt x="2670264" y="94780"/>
                                </a:lnTo>
                                <a:lnTo>
                                  <a:pt x="2665298" y="96989"/>
                                </a:lnTo>
                                <a:lnTo>
                                  <a:pt x="2661018" y="100799"/>
                                </a:lnTo>
                                <a:lnTo>
                                  <a:pt x="2663533" y="96304"/>
                                </a:lnTo>
                                <a:lnTo>
                                  <a:pt x="2664383" y="91605"/>
                                </a:lnTo>
                                <a:lnTo>
                                  <a:pt x="2662745" y="81800"/>
                                </a:lnTo>
                                <a:lnTo>
                                  <a:pt x="2661412" y="79489"/>
                                </a:lnTo>
                                <a:lnTo>
                                  <a:pt x="2660396" y="77711"/>
                                </a:lnTo>
                                <a:lnTo>
                                  <a:pt x="2651493" y="70243"/>
                                </a:lnTo>
                                <a:lnTo>
                                  <a:pt x="2645473" y="68707"/>
                                </a:lnTo>
                                <a:lnTo>
                                  <a:pt x="2631452" y="70942"/>
                                </a:lnTo>
                                <a:lnTo>
                                  <a:pt x="2625128" y="74853"/>
                                </a:lnTo>
                                <a:lnTo>
                                  <a:pt x="2619527" y="81546"/>
                                </a:lnTo>
                                <a:lnTo>
                                  <a:pt x="2613596" y="90601"/>
                                </a:lnTo>
                                <a:lnTo>
                                  <a:pt x="2610828" y="99898"/>
                                </a:lnTo>
                                <a:lnTo>
                                  <a:pt x="2610866" y="100799"/>
                                </a:lnTo>
                                <a:lnTo>
                                  <a:pt x="2610980" y="103797"/>
                                </a:lnTo>
                                <a:lnTo>
                                  <a:pt x="2611082" y="106603"/>
                                </a:lnTo>
                                <a:lnTo>
                                  <a:pt x="2611196" y="109448"/>
                                </a:lnTo>
                                <a:lnTo>
                                  <a:pt x="2614726" y="119240"/>
                                </a:lnTo>
                                <a:lnTo>
                                  <a:pt x="2623426" y="113360"/>
                                </a:lnTo>
                                <a:lnTo>
                                  <a:pt x="2620746" y="106603"/>
                                </a:lnTo>
                                <a:lnTo>
                                  <a:pt x="2620314" y="101206"/>
                                </a:lnTo>
                                <a:lnTo>
                                  <a:pt x="2642006" y="79489"/>
                                </a:lnTo>
                                <a:lnTo>
                                  <a:pt x="2646083" y="80581"/>
                                </a:lnTo>
                                <a:lnTo>
                                  <a:pt x="2653144" y="86499"/>
                                </a:lnTo>
                                <a:lnTo>
                                  <a:pt x="2654960" y="90119"/>
                                </a:lnTo>
                                <a:lnTo>
                                  <a:pt x="2655544" y="98983"/>
                                </a:lnTo>
                                <a:lnTo>
                                  <a:pt x="2653398" y="103797"/>
                                </a:lnTo>
                                <a:lnTo>
                                  <a:pt x="2653246" y="104101"/>
                                </a:lnTo>
                                <a:lnTo>
                                  <a:pt x="2641917" y="117602"/>
                                </a:lnTo>
                                <a:lnTo>
                                  <a:pt x="2648686" y="123278"/>
                                </a:lnTo>
                                <a:lnTo>
                                  <a:pt x="2660142" y="109639"/>
                                </a:lnTo>
                                <a:lnTo>
                                  <a:pt x="2665158" y="106146"/>
                                </a:lnTo>
                                <a:lnTo>
                                  <a:pt x="2675471" y="103797"/>
                                </a:lnTo>
                                <a:lnTo>
                                  <a:pt x="2680017" y="104863"/>
                                </a:lnTo>
                                <a:lnTo>
                                  <a:pt x="2687624" y="111252"/>
                                </a:lnTo>
                                <a:lnTo>
                                  <a:pt x="2689644" y="115227"/>
                                </a:lnTo>
                                <a:lnTo>
                                  <a:pt x="2690241" y="123278"/>
                                </a:lnTo>
                                <a:lnTo>
                                  <a:pt x="2690317" y="124345"/>
                                </a:lnTo>
                                <a:lnTo>
                                  <a:pt x="2690380" y="125031"/>
                                </a:lnTo>
                                <a:lnTo>
                                  <a:pt x="2688069" y="130327"/>
                                </a:lnTo>
                                <a:lnTo>
                                  <a:pt x="2687980" y="130556"/>
                                </a:lnTo>
                                <a:lnTo>
                                  <a:pt x="2683116" y="136359"/>
                                </a:lnTo>
                                <a:lnTo>
                                  <a:pt x="2682684" y="136829"/>
                                </a:lnTo>
                                <a:lnTo>
                                  <a:pt x="2676639" y="142494"/>
                                </a:lnTo>
                                <a:lnTo>
                                  <a:pt x="2670022" y="145656"/>
                                </a:lnTo>
                                <a:lnTo>
                                  <a:pt x="2662961" y="146202"/>
                                </a:lnTo>
                                <a:lnTo>
                                  <a:pt x="2655493" y="144119"/>
                                </a:lnTo>
                                <a:lnTo>
                                  <a:pt x="2651455" y="154330"/>
                                </a:lnTo>
                                <a:lnTo>
                                  <a:pt x="2657957" y="156819"/>
                                </a:lnTo>
                                <a:lnTo>
                                  <a:pt x="2664650" y="157060"/>
                                </a:lnTo>
                                <a:lnTo>
                                  <a:pt x="2678404" y="153047"/>
                                </a:lnTo>
                                <a:lnTo>
                                  <a:pt x="2684538" y="148831"/>
                                </a:lnTo>
                                <a:lnTo>
                                  <a:pt x="2686634" y="146316"/>
                                </a:lnTo>
                                <a:lnTo>
                                  <a:pt x="2689847" y="142494"/>
                                </a:lnTo>
                                <a:lnTo>
                                  <a:pt x="2694368" y="136359"/>
                                </a:lnTo>
                                <a:lnTo>
                                  <a:pt x="2697429" y="130556"/>
                                </a:lnTo>
                                <a:lnTo>
                                  <a:pt x="2697556" y="130327"/>
                                </a:lnTo>
                                <a:lnTo>
                                  <a:pt x="2699461" y="124345"/>
                                </a:lnTo>
                                <a:lnTo>
                                  <a:pt x="2700007" y="119240"/>
                                </a:lnTo>
                                <a:lnTo>
                                  <a:pt x="2700109" y="110464"/>
                                </a:lnTo>
                                <a:close/>
                              </a:path>
                              <a:path w="5572125" h="285115">
                                <a:moveTo>
                                  <a:pt x="2762389" y="53200"/>
                                </a:moveTo>
                                <a:lnTo>
                                  <a:pt x="2756014" y="47853"/>
                                </a:lnTo>
                                <a:lnTo>
                                  <a:pt x="2739898" y="67068"/>
                                </a:lnTo>
                                <a:lnTo>
                                  <a:pt x="2696807" y="30924"/>
                                </a:lnTo>
                                <a:lnTo>
                                  <a:pt x="2676385" y="13779"/>
                                </a:lnTo>
                                <a:lnTo>
                                  <a:pt x="2671203" y="19939"/>
                                </a:lnTo>
                                <a:lnTo>
                                  <a:pt x="2672461" y="27978"/>
                                </a:lnTo>
                                <a:lnTo>
                                  <a:pt x="2672765" y="36499"/>
                                </a:lnTo>
                                <a:lnTo>
                                  <a:pt x="2672092" y="45491"/>
                                </a:lnTo>
                                <a:lnTo>
                                  <a:pt x="2670454" y="54965"/>
                                </a:lnTo>
                                <a:lnTo>
                                  <a:pt x="2679090" y="62204"/>
                                </a:lnTo>
                                <a:lnTo>
                                  <a:pt x="2680220" y="54965"/>
                                </a:lnTo>
                                <a:lnTo>
                                  <a:pt x="2680741" y="47853"/>
                                </a:lnTo>
                                <a:lnTo>
                                  <a:pt x="2680754" y="39268"/>
                                </a:lnTo>
                                <a:lnTo>
                                  <a:pt x="2680119" y="30924"/>
                                </a:lnTo>
                                <a:lnTo>
                                  <a:pt x="2732989" y="75285"/>
                                </a:lnTo>
                                <a:lnTo>
                                  <a:pt x="2715730" y="95859"/>
                                </a:lnTo>
                                <a:lnTo>
                                  <a:pt x="2722105" y="101206"/>
                                </a:lnTo>
                                <a:lnTo>
                                  <a:pt x="2750743" y="67068"/>
                                </a:lnTo>
                                <a:lnTo>
                                  <a:pt x="2762389" y="53200"/>
                                </a:lnTo>
                                <a:close/>
                              </a:path>
                              <a:path w="5572125" h="285115">
                                <a:moveTo>
                                  <a:pt x="2922346" y="236499"/>
                                </a:moveTo>
                                <a:lnTo>
                                  <a:pt x="2915221" y="230517"/>
                                </a:lnTo>
                                <a:lnTo>
                                  <a:pt x="2883522" y="268287"/>
                                </a:lnTo>
                                <a:lnTo>
                                  <a:pt x="2884335" y="257911"/>
                                </a:lnTo>
                                <a:lnTo>
                                  <a:pt x="2884894" y="248018"/>
                                </a:lnTo>
                                <a:lnTo>
                                  <a:pt x="2884881" y="221043"/>
                                </a:lnTo>
                                <a:lnTo>
                                  <a:pt x="2883801" y="213423"/>
                                </a:lnTo>
                                <a:lnTo>
                                  <a:pt x="2879953" y="203047"/>
                                </a:lnTo>
                                <a:lnTo>
                                  <a:pt x="2877299" y="199224"/>
                                </a:lnTo>
                                <a:lnTo>
                                  <a:pt x="2876994" y="198780"/>
                                </a:lnTo>
                                <a:lnTo>
                                  <a:pt x="2867228" y="190588"/>
                                </a:lnTo>
                                <a:lnTo>
                                  <a:pt x="2860725" y="188760"/>
                                </a:lnTo>
                                <a:lnTo>
                                  <a:pt x="2859976" y="188760"/>
                                </a:lnTo>
                                <a:lnTo>
                                  <a:pt x="2826105" y="211848"/>
                                </a:lnTo>
                                <a:lnTo>
                                  <a:pt x="2823972" y="222034"/>
                                </a:lnTo>
                                <a:lnTo>
                                  <a:pt x="2825864" y="232549"/>
                                </a:lnTo>
                                <a:lnTo>
                                  <a:pt x="2831795" y="243344"/>
                                </a:lnTo>
                                <a:lnTo>
                                  <a:pt x="2840901" y="237388"/>
                                </a:lnTo>
                                <a:lnTo>
                                  <a:pt x="2836380" y="232918"/>
                                </a:lnTo>
                                <a:lnTo>
                                  <a:pt x="2834055" y="227901"/>
                                </a:lnTo>
                                <a:lnTo>
                                  <a:pt x="2833928" y="222313"/>
                                </a:lnTo>
                                <a:lnTo>
                                  <a:pt x="2833801" y="216738"/>
                                </a:lnTo>
                                <a:lnTo>
                                  <a:pt x="2835376" y="212153"/>
                                </a:lnTo>
                                <a:lnTo>
                                  <a:pt x="2835478" y="211848"/>
                                </a:lnTo>
                                <a:lnTo>
                                  <a:pt x="2842387" y="203619"/>
                                </a:lnTo>
                                <a:lnTo>
                                  <a:pt x="2846679" y="201129"/>
                                </a:lnTo>
                                <a:lnTo>
                                  <a:pt x="2857042" y="199224"/>
                                </a:lnTo>
                                <a:lnTo>
                                  <a:pt x="2861729" y="200507"/>
                                </a:lnTo>
                                <a:lnTo>
                                  <a:pt x="2875661" y="230517"/>
                                </a:lnTo>
                                <a:lnTo>
                                  <a:pt x="2875661" y="248018"/>
                                </a:lnTo>
                                <a:lnTo>
                                  <a:pt x="2875432" y="257733"/>
                                </a:lnTo>
                                <a:lnTo>
                                  <a:pt x="2874429" y="279120"/>
                                </a:lnTo>
                                <a:lnTo>
                                  <a:pt x="2881553" y="285102"/>
                                </a:lnTo>
                                <a:lnTo>
                                  <a:pt x="2895663" y="268287"/>
                                </a:lnTo>
                                <a:lnTo>
                                  <a:pt x="2922346" y="236499"/>
                                </a:lnTo>
                                <a:close/>
                              </a:path>
                              <a:path w="5572125" h="285115">
                                <a:moveTo>
                                  <a:pt x="2960687" y="181546"/>
                                </a:moveTo>
                                <a:lnTo>
                                  <a:pt x="2959201" y="173913"/>
                                </a:lnTo>
                                <a:lnTo>
                                  <a:pt x="2956191" y="166293"/>
                                </a:lnTo>
                                <a:lnTo>
                                  <a:pt x="2952788" y="160489"/>
                                </a:lnTo>
                                <a:lnTo>
                                  <a:pt x="2952788" y="184607"/>
                                </a:lnTo>
                                <a:lnTo>
                                  <a:pt x="2951924" y="190347"/>
                                </a:lnTo>
                                <a:lnTo>
                                  <a:pt x="2942234" y="201891"/>
                                </a:lnTo>
                                <a:lnTo>
                                  <a:pt x="2942069" y="201891"/>
                                </a:lnTo>
                                <a:lnTo>
                                  <a:pt x="2936024" y="203898"/>
                                </a:lnTo>
                                <a:lnTo>
                                  <a:pt x="2897365" y="183565"/>
                                </a:lnTo>
                                <a:lnTo>
                                  <a:pt x="2883154" y="160172"/>
                                </a:lnTo>
                                <a:lnTo>
                                  <a:pt x="2884005" y="154330"/>
                                </a:lnTo>
                                <a:lnTo>
                                  <a:pt x="2884093" y="153720"/>
                                </a:lnTo>
                                <a:lnTo>
                                  <a:pt x="2893847" y="142087"/>
                                </a:lnTo>
                                <a:lnTo>
                                  <a:pt x="2900413" y="140106"/>
                                </a:lnTo>
                                <a:lnTo>
                                  <a:pt x="2908554" y="142087"/>
                                </a:lnTo>
                                <a:lnTo>
                                  <a:pt x="2943758" y="166141"/>
                                </a:lnTo>
                                <a:lnTo>
                                  <a:pt x="2952788" y="184607"/>
                                </a:lnTo>
                                <a:lnTo>
                                  <a:pt x="2952788" y="160489"/>
                                </a:lnTo>
                                <a:lnTo>
                                  <a:pt x="2925610" y="136829"/>
                                </a:lnTo>
                                <a:lnTo>
                                  <a:pt x="2925762" y="136829"/>
                                </a:lnTo>
                                <a:lnTo>
                                  <a:pt x="2917444" y="133616"/>
                                </a:lnTo>
                                <a:lnTo>
                                  <a:pt x="2909405" y="131826"/>
                                </a:lnTo>
                                <a:lnTo>
                                  <a:pt x="2901594" y="131597"/>
                                </a:lnTo>
                                <a:lnTo>
                                  <a:pt x="2894469" y="133261"/>
                                </a:lnTo>
                                <a:lnTo>
                                  <a:pt x="2875356" y="161010"/>
                                </a:lnTo>
                                <a:lnTo>
                                  <a:pt x="2875254" y="162458"/>
                                </a:lnTo>
                                <a:lnTo>
                                  <a:pt x="2896324" y="197904"/>
                                </a:lnTo>
                                <a:lnTo>
                                  <a:pt x="2927667" y="212153"/>
                                </a:lnTo>
                                <a:lnTo>
                                  <a:pt x="2935122" y="212153"/>
                                </a:lnTo>
                                <a:lnTo>
                                  <a:pt x="2942298" y="210350"/>
                                </a:lnTo>
                                <a:lnTo>
                                  <a:pt x="2948444" y="206946"/>
                                </a:lnTo>
                                <a:lnTo>
                                  <a:pt x="2951657" y="203898"/>
                                </a:lnTo>
                                <a:lnTo>
                                  <a:pt x="2953778" y="201891"/>
                                </a:lnTo>
                                <a:lnTo>
                                  <a:pt x="2957995" y="195529"/>
                                </a:lnTo>
                                <a:lnTo>
                                  <a:pt x="2960217" y="188950"/>
                                </a:lnTo>
                                <a:lnTo>
                                  <a:pt x="2960293" y="188760"/>
                                </a:lnTo>
                                <a:lnTo>
                                  <a:pt x="2960522" y="184607"/>
                                </a:lnTo>
                                <a:lnTo>
                                  <a:pt x="2960586" y="183565"/>
                                </a:lnTo>
                                <a:lnTo>
                                  <a:pt x="2960687" y="181546"/>
                                </a:lnTo>
                                <a:close/>
                              </a:path>
                              <a:path w="5572125" h="285115">
                                <a:moveTo>
                                  <a:pt x="3013875" y="110464"/>
                                </a:moveTo>
                                <a:lnTo>
                                  <a:pt x="3011017" y="104101"/>
                                </a:lnTo>
                                <a:lnTo>
                                  <a:pt x="3010662" y="103797"/>
                                </a:lnTo>
                                <a:lnTo>
                                  <a:pt x="3007080" y="100799"/>
                                </a:lnTo>
                                <a:lnTo>
                                  <a:pt x="3000514" y="95288"/>
                                </a:lnTo>
                                <a:lnTo>
                                  <a:pt x="2995295" y="93586"/>
                                </a:lnTo>
                                <a:lnTo>
                                  <a:pt x="2984030" y="94780"/>
                                </a:lnTo>
                                <a:lnTo>
                                  <a:pt x="2979064" y="96989"/>
                                </a:lnTo>
                                <a:lnTo>
                                  <a:pt x="2974784" y="100799"/>
                                </a:lnTo>
                                <a:lnTo>
                                  <a:pt x="2977299" y="96304"/>
                                </a:lnTo>
                                <a:lnTo>
                                  <a:pt x="2959239" y="68707"/>
                                </a:lnTo>
                                <a:lnTo>
                                  <a:pt x="2945219" y="70942"/>
                                </a:lnTo>
                                <a:lnTo>
                                  <a:pt x="2938894" y="74853"/>
                                </a:lnTo>
                                <a:lnTo>
                                  <a:pt x="2933293" y="81546"/>
                                </a:lnTo>
                                <a:lnTo>
                                  <a:pt x="2927375" y="90601"/>
                                </a:lnTo>
                                <a:lnTo>
                                  <a:pt x="2924594" y="99898"/>
                                </a:lnTo>
                                <a:lnTo>
                                  <a:pt x="2924632" y="100799"/>
                                </a:lnTo>
                                <a:lnTo>
                                  <a:pt x="2924746" y="103797"/>
                                </a:lnTo>
                                <a:lnTo>
                                  <a:pt x="2924860" y="106603"/>
                                </a:lnTo>
                                <a:lnTo>
                                  <a:pt x="2924975" y="109448"/>
                                </a:lnTo>
                                <a:lnTo>
                                  <a:pt x="2928493" y="119240"/>
                                </a:lnTo>
                                <a:lnTo>
                                  <a:pt x="2937192" y="113360"/>
                                </a:lnTo>
                                <a:lnTo>
                                  <a:pt x="2934525" y="106603"/>
                                </a:lnTo>
                                <a:lnTo>
                                  <a:pt x="2934055" y="100799"/>
                                </a:lnTo>
                                <a:lnTo>
                                  <a:pt x="2955772" y="79489"/>
                                </a:lnTo>
                                <a:lnTo>
                                  <a:pt x="2959849" y="80581"/>
                                </a:lnTo>
                                <a:lnTo>
                                  <a:pt x="2966910" y="86499"/>
                                </a:lnTo>
                                <a:lnTo>
                                  <a:pt x="2968726" y="90119"/>
                                </a:lnTo>
                                <a:lnTo>
                                  <a:pt x="2969310" y="98983"/>
                                </a:lnTo>
                                <a:lnTo>
                                  <a:pt x="2967164" y="103797"/>
                                </a:lnTo>
                                <a:lnTo>
                                  <a:pt x="2967024" y="104101"/>
                                </a:lnTo>
                                <a:lnTo>
                                  <a:pt x="2955683" y="117602"/>
                                </a:lnTo>
                                <a:lnTo>
                                  <a:pt x="2962452" y="123278"/>
                                </a:lnTo>
                                <a:lnTo>
                                  <a:pt x="2973908" y="109639"/>
                                </a:lnTo>
                                <a:lnTo>
                                  <a:pt x="2978924" y="106146"/>
                                </a:lnTo>
                                <a:lnTo>
                                  <a:pt x="2989237" y="103797"/>
                                </a:lnTo>
                                <a:lnTo>
                                  <a:pt x="2993783" y="104863"/>
                                </a:lnTo>
                                <a:lnTo>
                                  <a:pt x="3001391" y="111252"/>
                                </a:lnTo>
                                <a:lnTo>
                                  <a:pt x="3003410" y="115227"/>
                                </a:lnTo>
                                <a:lnTo>
                                  <a:pt x="3004020" y="123278"/>
                                </a:lnTo>
                                <a:lnTo>
                                  <a:pt x="3004096" y="124345"/>
                                </a:lnTo>
                                <a:lnTo>
                                  <a:pt x="3004147" y="125031"/>
                                </a:lnTo>
                                <a:lnTo>
                                  <a:pt x="2976740" y="146202"/>
                                </a:lnTo>
                                <a:lnTo>
                                  <a:pt x="2969260" y="144119"/>
                                </a:lnTo>
                                <a:lnTo>
                                  <a:pt x="2965221" y="154330"/>
                                </a:lnTo>
                                <a:lnTo>
                                  <a:pt x="2971723" y="156819"/>
                                </a:lnTo>
                                <a:lnTo>
                                  <a:pt x="2978416" y="157060"/>
                                </a:lnTo>
                                <a:lnTo>
                                  <a:pt x="2992170" y="153047"/>
                                </a:lnTo>
                                <a:lnTo>
                                  <a:pt x="3013786" y="119240"/>
                                </a:lnTo>
                                <a:lnTo>
                                  <a:pt x="3013875" y="110464"/>
                                </a:lnTo>
                                <a:close/>
                              </a:path>
                              <a:path w="5572125" h="285115">
                                <a:moveTo>
                                  <a:pt x="3073209" y="56705"/>
                                </a:moveTo>
                                <a:lnTo>
                                  <a:pt x="3066084" y="50736"/>
                                </a:lnTo>
                                <a:lnTo>
                                  <a:pt x="3034385" y="88506"/>
                                </a:lnTo>
                                <a:lnTo>
                                  <a:pt x="3034906" y="81800"/>
                                </a:lnTo>
                                <a:lnTo>
                                  <a:pt x="3035008" y="80581"/>
                                </a:lnTo>
                                <a:lnTo>
                                  <a:pt x="3035096" y="79489"/>
                                </a:lnTo>
                                <a:lnTo>
                                  <a:pt x="3035211" y="77952"/>
                                </a:lnTo>
                                <a:lnTo>
                                  <a:pt x="3035604" y="70942"/>
                                </a:lnTo>
                                <a:lnTo>
                                  <a:pt x="3035731" y="68707"/>
                                </a:lnTo>
                                <a:lnTo>
                                  <a:pt x="3035884" y="63563"/>
                                </a:lnTo>
                                <a:lnTo>
                                  <a:pt x="3035897" y="48107"/>
                                </a:lnTo>
                                <a:lnTo>
                                  <a:pt x="3035770" y="42532"/>
                                </a:lnTo>
                                <a:lnTo>
                                  <a:pt x="3035731" y="41249"/>
                                </a:lnTo>
                                <a:lnTo>
                                  <a:pt x="3034652" y="33629"/>
                                </a:lnTo>
                                <a:lnTo>
                                  <a:pt x="3030804" y="23253"/>
                                </a:lnTo>
                                <a:lnTo>
                                  <a:pt x="3028162" y="19443"/>
                                </a:lnTo>
                                <a:lnTo>
                                  <a:pt x="3027857" y="18999"/>
                                </a:lnTo>
                                <a:lnTo>
                                  <a:pt x="3018091" y="10807"/>
                                </a:lnTo>
                                <a:lnTo>
                                  <a:pt x="3011335" y="8902"/>
                                </a:lnTo>
                                <a:lnTo>
                                  <a:pt x="2995904" y="10998"/>
                                </a:lnTo>
                                <a:lnTo>
                                  <a:pt x="2989084" y="15049"/>
                                </a:lnTo>
                                <a:lnTo>
                                  <a:pt x="2983166" y="22098"/>
                                </a:lnTo>
                                <a:lnTo>
                                  <a:pt x="2976969" y="32067"/>
                                </a:lnTo>
                                <a:lnTo>
                                  <a:pt x="2974835" y="42252"/>
                                </a:lnTo>
                                <a:lnTo>
                                  <a:pt x="2976727" y="52755"/>
                                </a:lnTo>
                                <a:lnTo>
                                  <a:pt x="2982658" y="63563"/>
                                </a:lnTo>
                                <a:lnTo>
                                  <a:pt x="2991751" y="57607"/>
                                </a:lnTo>
                                <a:lnTo>
                                  <a:pt x="2987243" y="53136"/>
                                </a:lnTo>
                                <a:lnTo>
                                  <a:pt x="2984919" y="48107"/>
                                </a:lnTo>
                                <a:lnTo>
                                  <a:pt x="2984792" y="42532"/>
                                </a:lnTo>
                                <a:lnTo>
                                  <a:pt x="2984766" y="41249"/>
                                </a:lnTo>
                                <a:lnTo>
                                  <a:pt x="2984652" y="36944"/>
                                </a:lnTo>
                                <a:lnTo>
                                  <a:pt x="2986341" y="32067"/>
                                </a:lnTo>
                                <a:lnTo>
                                  <a:pt x="2993250" y="23837"/>
                                </a:lnTo>
                                <a:lnTo>
                                  <a:pt x="2997543" y="21336"/>
                                </a:lnTo>
                                <a:lnTo>
                                  <a:pt x="3007906" y="19443"/>
                                </a:lnTo>
                                <a:lnTo>
                                  <a:pt x="3012592" y="20713"/>
                                </a:lnTo>
                                <a:lnTo>
                                  <a:pt x="3021253" y="27990"/>
                                </a:lnTo>
                                <a:lnTo>
                                  <a:pt x="3024225" y="33629"/>
                                </a:lnTo>
                                <a:lnTo>
                                  <a:pt x="3025698" y="41249"/>
                                </a:lnTo>
                                <a:lnTo>
                                  <a:pt x="3026397" y="48107"/>
                                </a:lnTo>
                                <a:lnTo>
                                  <a:pt x="3026295" y="77711"/>
                                </a:lnTo>
                                <a:lnTo>
                                  <a:pt x="3026219" y="79489"/>
                                </a:lnTo>
                                <a:lnTo>
                                  <a:pt x="3026143" y="81343"/>
                                </a:lnTo>
                                <a:lnTo>
                                  <a:pt x="3026016" y="83883"/>
                                </a:lnTo>
                                <a:lnTo>
                                  <a:pt x="3025902" y="86499"/>
                                </a:lnTo>
                                <a:lnTo>
                                  <a:pt x="3025825" y="88023"/>
                                </a:lnTo>
                                <a:lnTo>
                                  <a:pt x="3025724" y="90119"/>
                                </a:lnTo>
                                <a:lnTo>
                                  <a:pt x="3025660" y="91605"/>
                                </a:lnTo>
                                <a:lnTo>
                                  <a:pt x="3025559" y="93586"/>
                                </a:lnTo>
                                <a:lnTo>
                                  <a:pt x="3025508" y="94780"/>
                                </a:lnTo>
                                <a:lnTo>
                                  <a:pt x="3025406" y="96989"/>
                                </a:lnTo>
                                <a:lnTo>
                                  <a:pt x="3025292" y="99339"/>
                                </a:lnTo>
                                <a:lnTo>
                                  <a:pt x="3032417" y="105321"/>
                                </a:lnTo>
                                <a:lnTo>
                                  <a:pt x="3046526" y="88506"/>
                                </a:lnTo>
                                <a:lnTo>
                                  <a:pt x="3073209" y="56705"/>
                                </a:lnTo>
                                <a:close/>
                              </a:path>
                              <a:path w="5572125" h="285115">
                                <a:moveTo>
                                  <a:pt x="3236125" y="236499"/>
                                </a:moveTo>
                                <a:lnTo>
                                  <a:pt x="3229000" y="230517"/>
                                </a:lnTo>
                                <a:lnTo>
                                  <a:pt x="3197301" y="268287"/>
                                </a:lnTo>
                                <a:lnTo>
                                  <a:pt x="3198114" y="257911"/>
                                </a:lnTo>
                                <a:lnTo>
                                  <a:pt x="3198660" y="248018"/>
                                </a:lnTo>
                                <a:lnTo>
                                  <a:pt x="3198660" y="221043"/>
                                </a:lnTo>
                                <a:lnTo>
                                  <a:pt x="3197580" y="213423"/>
                                </a:lnTo>
                                <a:lnTo>
                                  <a:pt x="3193732" y="203047"/>
                                </a:lnTo>
                                <a:lnTo>
                                  <a:pt x="3191078" y="199224"/>
                                </a:lnTo>
                                <a:lnTo>
                                  <a:pt x="3190773" y="198780"/>
                                </a:lnTo>
                                <a:lnTo>
                                  <a:pt x="3181007" y="190588"/>
                                </a:lnTo>
                                <a:lnTo>
                                  <a:pt x="3174504" y="188760"/>
                                </a:lnTo>
                                <a:lnTo>
                                  <a:pt x="3173755" y="188760"/>
                                </a:lnTo>
                                <a:lnTo>
                                  <a:pt x="3139884" y="211848"/>
                                </a:lnTo>
                                <a:lnTo>
                                  <a:pt x="3137738" y="222034"/>
                                </a:lnTo>
                                <a:lnTo>
                                  <a:pt x="3139630" y="232549"/>
                                </a:lnTo>
                                <a:lnTo>
                                  <a:pt x="3145574" y="243344"/>
                                </a:lnTo>
                                <a:lnTo>
                                  <a:pt x="3154680" y="237388"/>
                                </a:lnTo>
                                <a:lnTo>
                                  <a:pt x="3150158" y="232918"/>
                                </a:lnTo>
                                <a:lnTo>
                                  <a:pt x="3147834" y="227901"/>
                                </a:lnTo>
                                <a:lnTo>
                                  <a:pt x="3147707" y="222313"/>
                                </a:lnTo>
                                <a:lnTo>
                                  <a:pt x="3147580" y="216738"/>
                                </a:lnTo>
                                <a:lnTo>
                                  <a:pt x="3149142" y="212153"/>
                                </a:lnTo>
                                <a:lnTo>
                                  <a:pt x="3149257" y="211848"/>
                                </a:lnTo>
                                <a:lnTo>
                                  <a:pt x="3156166" y="203619"/>
                                </a:lnTo>
                                <a:lnTo>
                                  <a:pt x="3160458" y="201129"/>
                                </a:lnTo>
                                <a:lnTo>
                                  <a:pt x="3170821" y="199224"/>
                                </a:lnTo>
                                <a:lnTo>
                                  <a:pt x="3175508" y="200507"/>
                                </a:lnTo>
                                <a:lnTo>
                                  <a:pt x="3189440" y="248018"/>
                                </a:lnTo>
                                <a:lnTo>
                                  <a:pt x="3189211" y="257733"/>
                                </a:lnTo>
                                <a:lnTo>
                                  <a:pt x="3188208" y="279120"/>
                                </a:lnTo>
                                <a:lnTo>
                                  <a:pt x="3195332" y="285102"/>
                                </a:lnTo>
                                <a:lnTo>
                                  <a:pt x="3209442" y="268287"/>
                                </a:lnTo>
                                <a:lnTo>
                                  <a:pt x="3236125" y="236499"/>
                                </a:lnTo>
                                <a:close/>
                              </a:path>
                              <a:path w="5572125" h="285115">
                                <a:moveTo>
                                  <a:pt x="3274466" y="181546"/>
                                </a:moveTo>
                                <a:lnTo>
                                  <a:pt x="3272980" y="173913"/>
                                </a:lnTo>
                                <a:lnTo>
                                  <a:pt x="3269970" y="166293"/>
                                </a:lnTo>
                                <a:lnTo>
                                  <a:pt x="3266567" y="160489"/>
                                </a:lnTo>
                                <a:lnTo>
                                  <a:pt x="3266567" y="184607"/>
                                </a:lnTo>
                                <a:lnTo>
                                  <a:pt x="3265703" y="190347"/>
                                </a:lnTo>
                                <a:lnTo>
                                  <a:pt x="3256013" y="201891"/>
                                </a:lnTo>
                                <a:lnTo>
                                  <a:pt x="3255848" y="201891"/>
                                </a:lnTo>
                                <a:lnTo>
                                  <a:pt x="3249803" y="203898"/>
                                </a:lnTo>
                                <a:lnTo>
                                  <a:pt x="3211144" y="183565"/>
                                </a:lnTo>
                                <a:lnTo>
                                  <a:pt x="3196933" y="160172"/>
                                </a:lnTo>
                                <a:lnTo>
                                  <a:pt x="3197783" y="154330"/>
                                </a:lnTo>
                                <a:lnTo>
                                  <a:pt x="3197872" y="153720"/>
                                </a:lnTo>
                                <a:lnTo>
                                  <a:pt x="3207626" y="142087"/>
                                </a:lnTo>
                                <a:lnTo>
                                  <a:pt x="3214192" y="140106"/>
                                </a:lnTo>
                                <a:lnTo>
                                  <a:pt x="3222333" y="142087"/>
                                </a:lnTo>
                                <a:lnTo>
                                  <a:pt x="3257524" y="166141"/>
                                </a:lnTo>
                                <a:lnTo>
                                  <a:pt x="3266567" y="184607"/>
                                </a:lnTo>
                                <a:lnTo>
                                  <a:pt x="3266567" y="160489"/>
                                </a:lnTo>
                                <a:lnTo>
                                  <a:pt x="3239376" y="136829"/>
                                </a:lnTo>
                                <a:lnTo>
                                  <a:pt x="3239528" y="136829"/>
                                </a:lnTo>
                                <a:lnTo>
                                  <a:pt x="3231223" y="133616"/>
                                </a:lnTo>
                                <a:lnTo>
                                  <a:pt x="3223183" y="131826"/>
                                </a:lnTo>
                                <a:lnTo>
                                  <a:pt x="3215360" y="131597"/>
                                </a:lnTo>
                                <a:lnTo>
                                  <a:pt x="3208248" y="133261"/>
                                </a:lnTo>
                                <a:lnTo>
                                  <a:pt x="3189249" y="159156"/>
                                </a:lnTo>
                                <a:lnTo>
                                  <a:pt x="3189122" y="161010"/>
                                </a:lnTo>
                                <a:lnTo>
                                  <a:pt x="3210090" y="197904"/>
                                </a:lnTo>
                                <a:lnTo>
                                  <a:pt x="3241446" y="212153"/>
                                </a:lnTo>
                                <a:lnTo>
                                  <a:pt x="3248888" y="212153"/>
                                </a:lnTo>
                                <a:lnTo>
                                  <a:pt x="3274352" y="183565"/>
                                </a:lnTo>
                                <a:lnTo>
                                  <a:pt x="3274466" y="181546"/>
                                </a:lnTo>
                                <a:close/>
                              </a:path>
                              <a:path w="5572125" h="285115">
                                <a:moveTo>
                                  <a:pt x="3327654" y="110464"/>
                                </a:moveTo>
                                <a:lnTo>
                                  <a:pt x="3324796" y="104101"/>
                                </a:lnTo>
                                <a:lnTo>
                                  <a:pt x="3324428" y="103797"/>
                                </a:lnTo>
                                <a:lnTo>
                                  <a:pt x="3320859" y="100799"/>
                                </a:lnTo>
                                <a:lnTo>
                                  <a:pt x="3314293" y="95288"/>
                                </a:lnTo>
                                <a:lnTo>
                                  <a:pt x="3309074" y="93586"/>
                                </a:lnTo>
                                <a:lnTo>
                                  <a:pt x="3297809" y="94780"/>
                                </a:lnTo>
                                <a:lnTo>
                                  <a:pt x="3292843" y="96989"/>
                                </a:lnTo>
                                <a:lnTo>
                                  <a:pt x="3288563" y="100799"/>
                                </a:lnTo>
                                <a:lnTo>
                                  <a:pt x="3291078" y="96304"/>
                                </a:lnTo>
                                <a:lnTo>
                                  <a:pt x="3291929" y="91605"/>
                                </a:lnTo>
                                <a:lnTo>
                                  <a:pt x="3290290" y="81800"/>
                                </a:lnTo>
                                <a:lnTo>
                                  <a:pt x="3288957" y="79489"/>
                                </a:lnTo>
                                <a:lnTo>
                                  <a:pt x="3287941" y="77711"/>
                                </a:lnTo>
                                <a:lnTo>
                                  <a:pt x="3279038" y="70243"/>
                                </a:lnTo>
                                <a:lnTo>
                                  <a:pt x="3273018" y="68707"/>
                                </a:lnTo>
                                <a:lnTo>
                                  <a:pt x="3258515" y="71018"/>
                                </a:lnTo>
                                <a:lnTo>
                                  <a:pt x="3258870" y="71018"/>
                                </a:lnTo>
                                <a:lnTo>
                                  <a:pt x="3252673" y="74853"/>
                                </a:lnTo>
                                <a:lnTo>
                                  <a:pt x="3247072" y="81546"/>
                                </a:lnTo>
                                <a:lnTo>
                                  <a:pt x="3241141" y="90601"/>
                                </a:lnTo>
                                <a:lnTo>
                                  <a:pt x="3238373" y="99898"/>
                                </a:lnTo>
                                <a:lnTo>
                                  <a:pt x="3238411" y="100799"/>
                                </a:lnTo>
                                <a:lnTo>
                                  <a:pt x="3238525" y="103797"/>
                                </a:lnTo>
                                <a:lnTo>
                                  <a:pt x="3238639" y="106603"/>
                                </a:lnTo>
                                <a:lnTo>
                                  <a:pt x="3238741" y="109448"/>
                                </a:lnTo>
                                <a:lnTo>
                                  <a:pt x="3242272" y="119240"/>
                                </a:lnTo>
                                <a:lnTo>
                                  <a:pt x="3250971" y="113360"/>
                                </a:lnTo>
                                <a:lnTo>
                                  <a:pt x="3248291" y="106603"/>
                                </a:lnTo>
                                <a:lnTo>
                                  <a:pt x="3247834" y="100799"/>
                                </a:lnTo>
                                <a:lnTo>
                                  <a:pt x="3247834" y="99898"/>
                                </a:lnTo>
                                <a:lnTo>
                                  <a:pt x="3249396" y="93941"/>
                                </a:lnTo>
                                <a:lnTo>
                                  <a:pt x="3253168" y="88023"/>
                                </a:lnTo>
                                <a:lnTo>
                                  <a:pt x="3256648" y="83883"/>
                                </a:lnTo>
                                <a:lnTo>
                                  <a:pt x="3260623" y="81343"/>
                                </a:lnTo>
                                <a:lnTo>
                                  <a:pt x="3269551" y="79489"/>
                                </a:lnTo>
                                <a:lnTo>
                                  <a:pt x="3273628" y="80581"/>
                                </a:lnTo>
                                <a:lnTo>
                                  <a:pt x="3280689" y="86499"/>
                                </a:lnTo>
                                <a:lnTo>
                                  <a:pt x="3282505" y="90119"/>
                                </a:lnTo>
                                <a:lnTo>
                                  <a:pt x="3282734" y="93586"/>
                                </a:lnTo>
                                <a:lnTo>
                                  <a:pt x="3282810" y="94780"/>
                                </a:lnTo>
                                <a:lnTo>
                                  <a:pt x="3282912" y="96304"/>
                                </a:lnTo>
                                <a:lnTo>
                                  <a:pt x="3282975" y="97282"/>
                                </a:lnTo>
                                <a:lnTo>
                                  <a:pt x="3283089" y="98983"/>
                                </a:lnTo>
                                <a:lnTo>
                                  <a:pt x="3280943" y="103797"/>
                                </a:lnTo>
                                <a:lnTo>
                                  <a:pt x="3280791" y="104101"/>
                                </a:lnTo>
                                <a:lnTo>
                                  <a:pt x="3269462" y="117602"/>
                                </a:lnTo>
                                <a:lnTo>
                                  <a:pt x="3276231" y="123278"/>
                                </a:lnTo>
                                <a:lnTo>
                                  <a:pt x="3287687" y="109639"/>
                                </a:lnTo>
                                <a:lnTo>
                                  <a:pt x="3292703" y="106146"/>
                                </a:lnTo>
                                <a:lnTo>
                                  <a:pt x="3303016" y="103797"/>
                                </a:lnTo>
                                <a:lnTo>
                                  <a:pt x="3307562" y="104863"/>
                                </a:lnTo>
                                <a:lnTo>
                                  <a:pt x="3315170" y="111252"/>
                                </a:lnTo>
                                <a:lnTo>
                                  <a:pt x="3317189" y="115227"/>
                                </a:lnTo>
                                <a:lnTo>
                                  <a:pt x="3317786" y="123278"/>
                                </a:lnTo>
                                <a:lnTo>
                                  <a:pt x="3317875" y="124345"/>
                                </a:lnTo>
                                <a:lnTo>
                                  <a:pt x="3317925" y="125031"/>
                                </a:lnTo>
                                <a:lnTo>
                                  <a:pt x="3315614" y="130327"/>
                                </a:lnTo>
                                <a:lnTo>
                                  <a:pt x="3315525" y="130556"/>
                                </a:lnTo>
                                <a:lnTo>
                                  <a:pt x="3290506" y="146202"/>
                                </a:lnTo>
                                <a:lnTo>
                                  <a:pt x="3283039" y="144119"/>
                                </a:lnTo>
                                <a:lnTo>
                                  <a:pt x="3279000" y="154330"/>
                                </a:lnTo>
                                <a:lnTo>
                                  <a:pt x="3285502" y="156819"/>
                                </a:lnTo>
                                <a:lnTo>
                                  <a:pt x="3292195" y="157060"/>
                                </a:lnTo>
                                <a:lnTo>
                                  <a:pt x="3305949" y="153047"/>
                                </a:lnTo>
                                <a:lnTo>
                                  <a:pt x="3327565" y="119240"/>
                                </a:lnTo>
                                <a:lnTo>
                                  <a:pt x="3327654" y="110464"/>
                                </a:lnTo>
                                <a:close/>
                              </a:path>
                              <a:path w="5572125" h="285115">
                                <a:moveTo>
                                  <a:pt x="3377615" y="50927"/>
                                </a:moveTo>
                                <a:lnTo>
                                  <a:pt x="3374758" y="44564"/>
                                </a:lnTo>
                                <a:lnTo>
                                  <a:pt x="3374390" y="44259"/>
                                </a:lnTo>
                                <a:lnTo>
                                  <a:pt x="3370808" y="41262"/>
                                </a:lnTo>
                                <a:lnTo>
                                  <a:pt x="3364242" y="35750"/>
                                </a:lnTo>
                                <a:lnTo>
                                  <a:pt x="3359035" y="34036"/>
                                </a:lnTo>
                                <a:lnTo>
                                  <a:pt x="3347770" y="35242"/>
                                </a:lnTo>
                                <a:lnTo>
                                  <a:pt x="3342805" y="37452"/>
                                </a:lnTo>
                                <a:lnTo>
                                  <a:pt x="3338525" y="41262"/>
                                </a:lnTo>
                                <a:lnTo>
                                  <a:pt x="3341039" y="36766"/>
                                </a:lnTo>
                                <a:lnTo>
                                  <a:pt x="3341890" y="32067"/>
                                </a:lnTo>
                                <a:lnTo>
                                  <a:pt x="3340252" y="22263"/>
                                </a:lnTo>
                                <a:lnTo>
                                  <a:pt x="3338919" y="19951"/>
                                </a:lnTo>
                                <a:lnTo>
                                  <a:pt x="3337903" y="18173"/>
                                </a:lnTo>
                                <a:lnTo>
                                  <a:pt x="3329000" y="10706"/>
                                </a:lnTo>
                                <a:lnTo>
                                  <a:pt x="3322980" y="9156"/>
                                </a:lnTo>
                                <a:lnTo>
                                  <a:pt x="3308959" y="11404"/>
                                </a:lnTo>
                                <a:lnTo>
                                  <a:pt x="3302635" y="15316"/>
                                </a:lnTo>
                                <a:lnTo>
                                  <a:pt x="3297021" y="21996"/>
                                </a:lnTo>
                                <a:lnTo>
                                  <a:pt x="3291103" y="31051"/>
                                </a:lnTo>
                                <a:lnTo>
                                  <a:pt x="3288334" y="40360"/>
                                </a:lnTo>
                                <a:lnTo>
                                  <a:pt x="3288373" y="41262"/>
                                </a:lnTo>
                                <a:lnTo>
                                  <a:pt x="3288487" y="44259"/>
                                </a:lnTo>
                                <a:lnTo>
                                  <a:pt x="3288601" y="47066"/>
                                </a:lnTo>
                                <a:lnTo>
                                  <a:pt x="3288703" y="49911"/>
                                </a:lnTo>
                                <a:lnTo>
                                  <a:pt x="3292233" y="59702"/>
                                </a:lnTo>
                                <a:lnTo>
                                  <a:pt x="3300920" y="53822"/>
                                </a:lnTo>
                                <a:lnTo>
                                  <a:pt x="3298253" y="47066"/>
                                </a:lnTo>
                                <a:lnTo>
                                  <a:pt x="3297783" y="41262"/>
                                </a:lnTo>
                                <a:lnTo>
                                  <a:pt x="3319513" y="19951"/>
                                </a:lnTo>
                                <a:lnTo>
                                  <a:pt x="3323590" y="21043"/>
                                </a:lnTo>
                                <a:lnTo>
                                  <a:pt x="3330651" y="26962"/>
                                </a:lnTo>
                                <a:lnTo>
                                  <a:pt x="3332467" y="30581"/>
                                </a:lnTo>
                                <a:lnTo>
                                  <a:pt x="3333051" y="39446"/>
                                </a:lnTo>
                                <a:lnTo>
                                  <a:pt x="3330905" y="44259"/>
                                </a:lnTo>
                                <a:lnTo>
                                  <a:pt x="3330740" y="44564"/>
                                </a:lnTo>
                                <a:lnTo>
                                  <a:pt x="3319424" y="58064"/>
                                </a:lnTo>
                                <a:lnTo>
                                  <a:pt x="3326193" y="63741"/>
                                </a:lnTo>
                                <a:lnTo>
                                  <a:pt x="3337649" y="50101"/>
                                </a:lnTo>
                                <a:lnTo>
                                  <a:pt x="3342665" y="46609"/>
                                </a:lnTo>
                                <a:lnTo>
                                  <a:pt x="3352977" y="44259"/>
                                </a:lnTo>
                                <a:lnTo>
                                  <a:pt x="3357524" y="45326"/>
                                </a:lnTo>
                                <a:lnTo>
                                  <a:pt x="3365131" y="51701"/>
                                </a:lnTo>
                                <a:lnTo>
                                  <a:pt x="3367138" y="55689"/>
                                </a:lnTo>
                                <a:lnTo>
                                  <a:pt x="3367748" y="63741"/>
                                </a:lnTo>
                                <a:lnTo>
                                  <a:pt x="3367836" y="64808"/>
                                </a:lnTo>
                                <a:lnTo>
                                  <a:pt x="3367887" y="65481"/>
                                </a:lnTo>
                                <a:lnTo>
                                  <a:pt x="3365576" y="70789"/>
                                </a:lnTo>
                                <a:lnTo>
                                  <a:pt x="3365487" y="71018"/>
                                </a:lnTo>
                                <a:lnTo>
                                  <a:pt x="3360331" y="77165"/>
                                </a:lnTo>
                                <a:lnTo>
                                  <a:pt x="3354146" y="82956"/>
                                </a:lnTo>
                                <a:lnTo>
                                  <a:pt x="3347529" y="86118"/>
                                </a:lnTo>
                                <a:lnTo>
                                  <a:pt x="3340481" y="86664"/>
                                </a:lnTo>
                                <a:lnTo>
                                  <a:pt x="3332988" y="84582"/>
                                </a:lnTo>
                                <a:lnTo>
                                  <a:pt x="3328962" y="94780"/>
                                </a:lnTo>
                                <a:lnTo>
                                  <a:pt x="3335464" y="97282"/>
                                </a:lnTo>
                                <a:lnTo>
                                  <a:pt x="3342157" y="97523"/>
                                </a:lnTo>
                                <a:lnTo>
                                  <a:pt x="3355644" y="93586"/>
                                </a:lnTo>
                                <a:lnTo>
                                  <a:pt x="3355797" y="93586"/>
                                </a:lnTo>
                                <a:lnTo>
                                  <a:pt x="3377527" y="59702"/>
                                </a:lnTo>
                                <a:lnTo>
                                  <a:pt x="3377615" y="50927"/>
                                </a:lnTo>
                                <a:close/>
                              </a:path>
                              <a:path w="5572125" h="285115">
                                <a:moveTo>
                                  <a:pt x="3549891" y="236499"/>
                                </a:moveTo>
                                <a:lnTo>
                                  <a:pt x="3542766" y="230517"/>
                                </a:lnTo>
                                <a:lnTo>
                                  <a:pt x="3511067" y="268287"/>
                                </a:lnTo>
                                <a:lnTo>
                                  <a:pt x="3511880" y="257911"/>
                                </a:lnTo>
                                <a:lnTo>
                                  <a:pt x="3512439" y="248018"/>
                                </a:lnTo>
                                <a:lnTo>
                                  <a:pt x="3512426" y="221043"/>
                                </a:lnTo>
                                <a:lnTo>
                                  <a:pt x="3511359" y="213423"/>
                                </a:lnTo>
                                <a:lnTo>
                                  <a:pt x="3488271" y="188760"/>
                                </a:lnTo>
                                <a:lnTo>
                                  <a:pt x="3487534" y="188760"/>
                                </a:lnTo>
                                <a:lnTo>
                                  <a:pt x="3453650" y="211848"/>
                                </a:lnTo>
                                <a:lnTo>
                                  <a:pt x="3451517" y="222034"/>
                                </a:lnTo>
                                <a:lnTo>
                                  <a:pt x="3453409" y="232549"/>
                                </a:lnTo>
                                <a:lnTo>
                                  <a:pt x="3459340" y="243344"/>
                                </a:lnTo>
                                <a:lnTo>
                                  <a:pt x="3468446" y="237388"/>
                                </a:lnTo>
                                <a:lnTo>
                                  <a:pt x="3463925" y="232918"/>
                                </a:lnTo>
                                <a:lnTo>
                                  <a:pt x="3461601" y="227901"/>
                                </a:lnTo>
                                <a:lnTo>
                                  <a:pt x="3461474" y="222313"/>
                                </a:lnTo>
                                <a:lnTo>
                                  <a:pt x="3461347" y="216738"/>
                                </a:lnTo>
                                <a:lnTo>
                                  <a:pt x="3462921" y="212153"/>
                                </a:lnTo>
                                <a:lnTo>
                                  <a:pt x="3463023" y="211848"/>
                                </a:lnTo>
                                <a:lnTo>
                                  <a:pt x="3469932" y="203619"/>
                                </a:lnTo>
                                <a:lnTo>
                                  <a:pt x="3474224" y="201129"/>
                                </a:lnTo>
                                <a:lnTo>
                                  <a:pt x="3484588" y="199224"/>
                                </a:lnTo>
                                <a:lnTo>
                                  <a:pt x="3489274" y="200507"/>
                                </a:lnTo>
                                <a:lnTo>
                                  <a:pt x="3503206" y="230517"/>
                                </a:lnTo>
                                <a:lnTo>
                                  <a:pt x="3503206" y="248018"/>
                                </a:lnTo>
                                <a:lnTo>
                                  <a:pt x="3502977" y="257733"/>
                                </a:lnTo>
                                <a:lnTo>
                                  <a:pt x="3501974" y="279120"/>
                                </a:lnTo>
                                <a:lnTo>
                                  <a:pt x="3509099" y="285102"/>
                                </a:lnTo>
                                <a:lnTo>
                                  <a:pt x="3523221" y="268287"/>
                                </a:lnTo>
                                <a:lnTo>
                                  <a:pt x="3549891" y="236499"/>
                                </a:lnTo>
                                <a:close/>
                              </a:path>
                              <a:path w="5572125" h="285115">
                                <a:moveTo>
                                  <a:pt x="3588245" y="181546"/>
                                </a:moveTo>
                                <a:lnTo>
                                  <a:pt x="3586746" y="173913"/>
                                </a:lnTo>
                                <a:lnTo>
                                  <a:pt x="3583736" y="166293"/>
                                </a:lnTo>
                                <a:lnTo>
                                  <a:pt x="3580346" y="160502"/>
                                </a:lnTo>
                                <a:lnTo>
                                  <a:pt x="3580346" y="184607"/>
                                </a:lnTo>
                                <a:lnTo>
                                  <a:pt x="3579469" y="190347"/>
                                </a:lnTo>
                                <a:lnTo>
                                  <a:pt x="3569779" y="201891"/>
                                </a:lnTo>
                                <a:lnTo>
                                  <a:pt x="3569614" y="201891"/>
                                </a:lnTo>
                                <a:lnTo>
                                  <a:pt x="3563569" y="203898"/>
                                </a:lnTo>
                                <a:lnTo>
                                  <a:pt x="3524910" y="183565"/>
                                </a:lnTo>
                                <a:lnTo>
                                  <a:pt x="3510699" y="160172"/>
                                </a:lnTo>
                                <a:lnTo>
                                  <a:pt x="3511550" y="154330"/>
                                </a:lnTo>
                                <a:lnTo>
                                  <a:pt x="3511639" y="153720"/>
                                </a:lnTo>
                                <a:lnTo>
                                  <a:pt x="3521392" y="142087"/>
                                </a:lnTo>
                                <a:lnTo>
                                  <a:pt x="3527958" y="140106"/>
                                </a:lnTo>
                                <a:lnTo>
                                  <a:pt x="3536099" y="142087"/>
                                </a:lnTo>
                                <a:lnTo>
                                  <a:pt x="3571303" y="166141"/>
                                </a:lnTo>
                                <a:lnTo>
                                  <a:pt x="3580346" y="184607"/>
                                </a:lnTo>
                                <a:lnTo>
                                  <a:pt x="3580346" y="160502"/>
                                </a:lnTo>
                                <a:lnTo>
                                  <a:pt x="3553155" y="136829"/>
                                </a:lnTo>
                                <a:lnTo>
                                  <a:pt x="3553307" y="136829"/>
                                </a:lnTo>
                                <a:lnTo>
                                  <a:pt x="3544989" y="133616"/>
                                </a:lnTo>
                                <a:lnTo>
                                  <a:pt x="3536950" y="131826"/>
                                </a:lnTo>
                                <a:lnTo>
                                  <a:pt x="3529139" y="131597"/>
                                </a:lnTo>
                                <a:lnTo>
                                  <a:pt x="3522014" y="133261"/>
                                </a:lnTo>
                                <a:lnTo>
                                  <a:pt x="3503028" y="159156"/>
                                </a:lnTo>
                                <a:lnTo>
                                  <a:pt x="3502901" y="161010"/>
                                </a:lnTo>
                                <a:lnTo>
                                  <a:pt x="3523869" y="197904"/>
                                </a:lnTo>
                                <a:lnTo>
                                  <a:pt x="3555212" y="212153"/>
                                </a:lnTo>
                                <a:lnTo>
                                  <a:pt x="3562667" y="212153"/>
                                </a:lnTo>
                                <a:lnTo>
                                  <a:pt x="3569843" y="210350"/>
                                </a:lnTo>
                                <a:lnTo>
                                  <a:pt x="3575989" y="206946"/>
                                </a:lnTo>
                                <a:lnTo>
                                  <a:pt x="3579203" y="203898"/>
                                </a:lnTo>
                                <a:lnTo>
                                  <a:pt x="3581323" y="201891"/>
                                </a:lnTo>
                                <a:lnTo>
                                  <a:pt x="3585540" y="195529"/>
                                </a:lnTo>
                                <a:lnTo>
                                  <a:pt x="3587775" y="188950"/>
                                </a:lnTo>
                                <a:lnTo>
                                  <a:pt x="3587839" y="188760"/>
                                </a:lnTo>
                                <a:lnTo>
                                  <a:pt x="3588067" y="184607"/>
                                </a:lnTo>
                                <a:lnTo>
                                  <a:pt x="3588131" y="183565"/>
                                </a:lnTo>
                                <a:lnTo>
                                  <a:pt x="3588245" y="181546"/>
                                </a:lnTo>
                                <a:close/>
                              </a:path>
                              <a:path w="5572125" h="285115">
                                <a:moveTo>
                                  <a:pt x="3641420" y="110464"/>
                                </a:moveTo>
                                <a:lnTo>
                                  <a:pt x="3638562" y="104101"/>
                                </a:lnTo>
                                <a:lnTo>
                                  <a:pt x="3638207" y="103797"/>
                                </a:lnTo>
                                <a:lnTo>
                                  <a:pt x="3634625" y="100799"/>
                                </a:lnTo>
                                <a:lnTo>
                                  <a:pt x="3628059" y="95288"/>
                                </a:lnTo>
                                <a:lnTo>
                                  <a:pt x="3622840" y="93586"/>
                                </a:lnTo>
                                <a:lnTo>
                                  <a:pt x="3611575" y="94780"/>
                                </a:lnTo>
                                <a:lnTo>
                                  <a:pt x="3606609" y="96989"/>
                                </a:lnTo>
                                <a:lnTo>
                                  <a:pt x="3602329" y="100799"/>
                                </a:lnTo>
                                <a:lnTo>
                                  <a:pt x="3604844" y="96304"/>
                                </a:lnTo>
                                <a:lnTo>
                                  <a:pt x="3586784" y="68707"/>
                                </a:lnTo>
                                <a:lnTo>
                                  <a:pt x="3572764" y="70942"/>
                                </a:lnTo>
                                <a:lnTo>
                                  <a:pt x="3566439" y="74853"/>
                                </a:lnTo>
                                <a:lnTo>
                                  <a:pt x="3560838" y="81546"/>
                                </a:lnTo>
                                <a:lnTo>
                                  <a:pt x="3554920" y="90601"/>
                                </a:lnTo>
                                <a:lnTo>
                                  <a:pt x="3552152" y="99898"/>
                                </a:lnTo>
                                <a:lnTo>
                                  <a:pt x="3552177" y="100799"/>
                                </a:lnTo>
                                <a:lnTo>
                                  <a:pt x="3552304" y="103797"/>
                                </a:lnTo>
                                <a:lnTo>
                                  <a:pt x="3552406" y="106603"/>
                                </a:lnTo>
                                <a:lnTo>
                                  <a:pt x="3552520" y="109448"/>
                                </a:lnTo>
                                <a:lnTo>
                                  <a:pt x="3556038" y="119240"/>
                                </a:lnTo>
                                <a:lnTo>
                                  <a:pt x="3564737" y="113360"/>
                                </a:lnTo>
                                <a:lnTo>
                                  <a:pt x="3562070" y="106603"/>
                                </a:lnTo>
                                <a:lnTo>
                                  <a:pt x="3561600" y="100799"/>
                                </a:lnTo>
                                <a:lnTo>
                                  <a:pt x="3583317" y="79489"/>
                                </a:lnTo>
                                <a:lnTo>
                                  <a:pt x="3587394" y="80581"/>
                                </a:lnTo>
                                <a:lnTo>
                                  <a:pt x="3594455" y="86499"/>
                                </a:lnTo>
                                <a:lnTo>
                                  <a:pt x="3596271" y="90119"/>
                                </a:lnTo>
                                <a:lnTo>
                                  <a:pt x="3596856" y="98983"/>
                                </a:lnTo>
                                <a:lnTo>
                                  <a:pt x="3594722" y="103797"/>
                                </a:lnTo>
                                <a:lnTo>
                                  <a:pt x="3594570" y="104101"/>
                                </a:lnTo>
                                <a:lnTo>
                                  <a:pt x="3583228" y="117602"/>
                                </a:lnTo>
                                <a:lnTo>
                                  <a:pt x="3589998" y="123278"/>
                                </a:lnTo>
                                <a:lnTo>
                                  <a:pt x="3601453" y="109639"/>
                                </a:lnTo>
                                <a:lnTo>
                                  <a:pt x="3606469" y="106146"/>
                                </a:lnTo>
                                <a:lnTo>
                                  <a:pt x="3616782" y="103797"/>
                                </a:lnTo>
                                <a:lnTo>
                                  <a:pt x="3621328" y="104863"/>
                                </a:lnTo>
                                <a:lnTo>
                                  <a:pt x="3628936" y="111252"/>
                                </a:lnTo>
                                <a:lnTo>
                                  <a:pt x="3630955" y="115227"/>
                                </a:lnTo>
                                <a:lnTo>
                                  <a:pt x="3631565" y="123278"/>
                                </a:lnTo>
                                <a:lnTo>
                                  <a:pt x="3631641" y="124345"/>
                                </a:lnTo>
                                <a:lnTo>
                                  <a:pt x="3631692" y="125031"/>
                                </a:lnTo>
                                <a:lnTo>
                                  <a:pt x="3604285" y="146202"/>
                                </a:lnTo>
                                <a:lnTo>
                                  <a:pt x="3596805" y="144119"/>
                                </a:lnTo>
                                <a:lnTo>
                                  <a:pt x="3592766" y="154330"/>
                                </a:lnTo>
                                <a:lnTo>
                                  <a:pt x="3599269" y="156819"/>
                                </a:lnTo>
                                <a:lnTo>
                                  <a:pt x="3605961" y="157060"/>
                                </a:lnTo>
                                <a:lnTo>
                                  <a:pt x="3619716" y="153047"/>
                                </a:lnTo>
                                <a:lnTo>
                                  <a:pt x="3638753" y="130556"/>
                                </a:lnTo>
                                <a:lnTo>
                                  <a:pt x="3638880" y="130327"/>
                                </a:lnTo>
                                <a:lnTo>
                                  <a:pt x="3640785" y="124345"/>
                                </a:lnTo>
                                <a:lnTo>
                                  <a:pt x="3641331" y="119240"/>
                                </a:lnTo>
                                <a:lnTo>
                                  <a:pt x="3641420" y="110464"/>
                                </a:lnTo>
                                <a:close/>
                              </a:path>
                              <a:path w="5572125" h="285115">
                                <a:moveTo>
                                  <a:pt x="3693515" y="65341"/>
                                </a:moveTo>
                                <a:lnTo>
                                  <a:pt x="3687013" y="59880"/>
                                </a:lnTo>
                                <a:lnTo>
                                  <a:pt x="3677208" y="51650"/>
                                </a:lnTo>
                                <a:lnTo>
                                  <a:pt x="3681971" y="45974"/>
                                </a:lnTo>
                                <a:lnTo>
                                  <a:pt x="3686505" y="40563"/>
                                </a:lnTo>
                                <a:lnTo>
                                  <a:pt x="3679736" y="34886"/>
                                </a:lnTo>
                                <a:lnTo>
                                  <a:pt x="3670439" y="45974"/>
                                </a:lnTo>
                                <a:lnTo>
                                  <a:pt x="3663531" y="40182"/>
                                </a:lnTo>
                                <a:lnTo>
                                  <a:pt x="3663531" y="54203"/>
                                </a:lnTo>
                                <a:lnTo>
                                  <a:pt x="3642563" y="79184"/>
                                </a:lnTo>
                                <a:lnTo>
                                  <a:pt x="3626256" y="27228"/>
                                </a:lnTo>
                                <a:lnTo>
                                  <a:pt x="3625151" y="24193"/>
                                </a:lnTo>
                                <a:lnTo>
                                  <a:pt x="3623729" y="20548"/>
                                </a:lnTo>
                                <a:lnTo>
                                  <a:pt x="3626345" y="22910"/>
                                </a:lnTo>
                                <a:lnTo>
                                  <a:pt x="3628821" y="25082"/>
                                </a:lnTo>
                                <a:lnTo>
                                  <a:pt x="3663531" y="54203"/>
                                </a:lnTo>
                                <a:lnTo>
                                  <a:pt x="3663531" y="40182"/>
                                </a:lnTo>
                                <a:lnTo>
                                  <a:pt x="3640137" y="20548"/>
                                </a:lnTo>
                                <a:lnTo>
                                  <a:pt x="3623627" y="6705"/>
                                </a:lnTo>
                                <a:lnTo>
                                  <a:pt x="3614686" y="17360"/>
                                </a:lnTo>
                                <a:lnTo>
                                  <a:pt x="3636073" y="88950"/>
                                </a:lnTo>
                                <a:lnTo>
                                  <a:pt x="3641852" y="93789"/>
                                </a:lnTo>
                                <a:lnTo>
                                  <a:pt x="3654107" y="79184"/>
                                </a:lnTo>
                                <a:lnTo>
                                  <a:pt x="3670300" y="59880"/>
                                </a:lnTo>
                                <a:lnTo>
                                  <a:pt x="3686606" y="73558"/>
                                </a:lnTo>
                                <a:lnTo>
                                  <a:pt x="3693515" y="65341"/>
                                </a:lnTo>
                                <a:close/>
                              </a:path>
                              <a:path w="5572125" h="285115">
                                <a:moveTo>
                                  <a:pt x="3863670" y="236499"/>
                                </a:moveTo>
                                <a:lnTo>
                                  <a:pt x="3856545" y="230517"/>
                                </a:lnTo>
                                <a:lnTo>
                                  <a:pt x="3824846" y="268287"/>
                                </a:lnTo>
                                <a:lnTo>
                                  <a:pt x="3825659" y="257911"/>
                                </a:lnTo>
                                <a:lnTo>
                                  <a:pt x="3826205" y="248018"/>
                                </a:lnTo>
                                <a:lnTo>
                                  <a:pt x="3826205" y="221043"/>
                                </a:lnTo>
                                <a:lnTo>
                                  <a:pt x="3825125" y="213423"/>
                                </a:lnTo>
                                <a:lnTo>
                                  <a:pt x="3821277" y="203047"/>
                                </a:lnTo>
                                <a:lnTo>
                                  <a:pt x="3818623" y="199224"/>
                                </a:lnTo>
                                <a:lnTo>
                                  <a:pt x="3818318" y="198780"/>
                                </a:lnTo>
                                <a:lnTo>
                                  <a:pt x="3808552" y="190588"/>
                                </a:lnTo>
                                <a:lnTo>
                                  <a:pt x="3802049" y="188760"/>
                                </a:lnTo>
                                <a:lnTo>
                                  <a:pt x="3801300" y="188760"/>
                                </a:lnTo>
                                <a:lnTo>
                                  <a:pt x="3767429" y="211848"/>
                                </a:lnTo>
                                <a:lnTo>
                                  <a:pt x="3765296" y="222034"/>
                                </a:lnTo>
                                <a:lnTo>
                                  <a:pt x="3767188" y="232549"/>
                                </a:lnTo>
                                <a:lnTo>
                                  <a:pt x="3773119" y="243344"/>
                                </a:lnTo>
                                <a:lnTo>
                                  <a:pt x="3782225" y="237388"/>
                                </a:lnTo>
                                <a:lnTo>
                                  <a:pt x="3777704" y="232918"/>
                                </a:lnTo>
                                <a:lnTo>
                                  <a:pt x="3775379" y="227901"/>
                                </a:lnTo>
                                <a:lnTo>
                                  <a:pt x="3775252" y="222313"/>
                                </a:lnTo>
                                <a:lnTo>
                                  <a:pt x="3775125" y="216738"/>
                                </a:lnTo>
                                <a:lnTo>
                                  <a:pt x="3776700" y="212153"/>
                                </a:lnTo>
                                <a:lnTo>
                                  <a:pt x="3776802" y="211848"/>
                                </a:lnTo>
                                <a:lnTo>
                                  <a:pt x="3783711" y="203619"/>
                                </a:lnTo>
                                <a:lnTo>
                                  <a:pt x="3788003" y="201129"/>
                                </a:lnTo>
                                <a:lnTo>
                                  <a:pt x="3798366" y="199224"/>
                                </a:lnTo>
                                <a:lnTo>
                                  <a:pt x="3803053" y="200507"/>
                                </a:lnTo>
                                <a:lnTo>
                                  <a:pt x="3816985" y="248018"/>
                                </a:lnTo>
                                <a:lnTo>
                                  <a:pt x="3816756" y="257733"/>
                                </a:lnTo>
                                <a:lnTo>
                                  <a:pt x="3815753" y="279120"/>
                                </a:lnTo>
                                <a:lnTo>
                                  <a:pt x="3822877" y="285102"/>
                                </a:lnTo>
                                <a:lnTo>
                                  <a:pt x="3836987" y="268287"/>
                                </a:lnTo>
                                <a:lnTo>
                                  <a:pt x="3863670" y="236499"/>
                                </a:lnTo>
                                <a:close/>
                              </a:path>
                              <a:path w="5572125" h="285115">
                                <a:moveTo>
                                  <a:pt x="3902011" y="181546"/>
                                </a:moveTo>
                                <a:lnTo>
                                  <a:pt x="3900525" y="173913"/>
                                </a:lnTo>
                                <a:lnTo>
                                  <a:pt x="3897515" y="166293"/>
                                </a:lnTo>
                                <a:lnTo>
                                  <a:pt x="3894112" y="160489"/>
                                </a:lnTo>
                                <a:lnTo>
                                  <a:pt x="3894112" y="184607"/>
                                </a:lnTo>
                                <a:lnTo>
                                  <a:pt x="3893248" y="190347"/>
                                </a:lnTo>
                                <a:lnTo>
                                  <a:pt x="3883558" y="201891"/>
                                </a:lnTo>
                                <a:lnTo>
                                  <a:pt x="3883393" y="201891"/>
                                </a:lnTo>
                                <a:lnTo>
                                  <a:pt x="3877348" y="203898"/>
                                </a:lnTo>
                                <a:lnTo>
                                  <a:pt x="3838689" y="183565"/>
                                </a:lnTo>
                                <a:lnTo>
                                  <a:pt x="3824478" y="160172"/>
                                </a:lnTo>
                                <a:lnTo>
                                  <a:pt x="3825329" y="154330"/>
                                </a:lnTo>
                                <a:lnTo>
                                  <a:pt x="3825417" y="153720"/>
                                </a:lnTo>
                                <a:lnTo>
                                  <a:pt x="3835171" y="142087"/>
                                </a:lnTo>
                                <a:lnTo>
                                  <a:pt x="3841737" y="140106"/>
                                </a:lnTo>
                                <a:lnTo>
                                  <a:pt x="3849878" y="142087"/>
                                </a:lnTo>
                                <a:lnTo>
                                  <a:pt x="3885082" y="166141"/>
                                </a:lnTo>
                                <a:lnTo>
                                  <a:pt x="3894112" y="184607"/>
                                </a:lnTo>
                                <a:lnTo>
                                  <a:pt x="3894112" y="160489"/>
                                </a:lnTo>
                                <a:lnTo>
                                  <a:pt x="3866921" y="136829"/>
                                </a:lnTo>
                                <a:lnTo>
                                  <a:pt x="3867086" y="136829"/>
                                </a:lnTo>
                                <a:lnTo>
                                  <a:pt x="3858768" y="133616"/>
                                </a:lnTo>
                                <a:lnTo>
                                  <a:pt x="3850729" y="131826"/>
                                </a:lnTo>
                                <a:lnTo>
                                  <a:pt x="3842918" y="131597"/>
                                </a:lnTo>
                                <a:lnTo>
                                  <a:pt x="3835793" y="133261"/>
                                </a:lnTo>
                                <a:lnTo>
                                  <a:pt x="3816578" y="162458"/>
                                </a:lnTo>
                                <a:lnTo>
                                  <a:pt x="3817963" y="169938"/>
                                </a:lnTo>
                                <a:lnTo>
                                  <a:pt x="3844582" y="203047"/>
                                </a:lnTo>
                                <a:lnTo>
                                  <a:pt x="3868991" y="212153"/>
                                </a:lnTo>
                                <a:lnTo>
                                  <a:pt x="3876433" y="212153"/>
                                </a:lnTo>
                                <a:lnTo>
                                  <a:pt x="3883622" y="210350"/>
                                </a:lnTo>
                                <a:lnTo>
                                  <a:pt x="3889768" y="206946"/>
                                </a:lnTo>
                                <a:lnTo>
                                  <a:pt x="3892981" y="203898"/>
                                </a:lnTo>
                                <a:lnTo>
                                  <a:pt x="3895102" y="201891"/>
                                </a:lnTo>
                                <a:lnTo>
                                  <a:pt x="3899319" y="195529"/>
                                </a:lnTo>
                                <a:lnTo>
                                  <a:pt x="3901541" y="188950"/>
                                </a:lnTo>
                                <a:lnTo>
                                  <a:pt x="3901617" y="188760"/>
                                </a:lnTo>
                                <a:lnTo>
                                  <a:pt x="3901846" y="184607"/>
                                </a:lnTo>
                                <a:lnTo>
                                  <a:pt x="3901897" y="183565"/>
                                </a:lnTo>
                                <a:lnTo>
                                  <a:pt x="3902011" y="181546"/>
                                </a:lnTo>
                                <a:close/>
                              </a:path>
                              <a:path w="5572125" h="285115">
                                <a:moveTo>
                                  <a:pt x="3955199" y="110464"/>
                                </a:moveTo>
                                <a:lnTo>
                                  <a:pt x="3952341" y="104101"/>
                                </a:lnTo>
                                <a:lnTo>
                                  <a:pt x="3951973" y="103797"/>
                                </a:lnTo>
                                <a:lnTo>
                                  <a:pt x="3948404" y="100799"/>
                                </a:lnTo>
                                <a:lnTo>
                                  <a:pt x="3941838" y="95288"/>
                                </a:lnTo>
                                <a:lnTo>
                                  <a:pt x="3936619" y="93586"/>
                                </a:lnTo>
                                <a:lnTo>
                                  <a:pt x="3925354" y="94780"/>
                                </a:lnTo>
                                <a:lnTo>
                                  <a:pt x="3920388" y="96989"/>
                                </a:lnTo>
                                <a:lnTo>
                                  <a:pt x="3916108" y="100799"/>
                                </a:lnTo>
                                <a:lnTo>
                                  <a:pt x="3918559" y="96405"/>
                                </a:lnTo>
                                <a:lnTo>
                                  <a:pt x="3918801" y="95288"/>
                                </a:lnTo>
                                <a:lnTo>
                                  <a:pt x="3919474" y="91605"/>
                                </a:lnTo>
                                <a:lnTo>
                                  <a:pt x="3917835" y="81800"/>
                                </a:lnTo>
                                <a:lnTo>
                                  <a:pt x="3916502" y="79489"/>
                                </a:lnTo>
                                <a:lnTo>
                                  <a:pt x="3915486" y="77711"/>
                                </a:lnTo>
                                <a:lnTo>
                                  <a:pt x="3906583" y="70243"/>
                                </a:lnTo>
                                <a:lnTo>
                                  <a:pt x="3900563" y="68707"/>
                                </a:lnTo>
                                <a:lnTo>
                                  <a:pt x="3886543" y="70942"/>
                                </a:lnTo>
                                <a:lnTo>
                                  <a:pt x="3880218" y="74853"/>
                                </a:lnTo>
                                <a:lnTo>
                                  <a:pt x="3874617" y="81546"/>
                                </a:lnTo>
                                <a:lnTo>
                                  <a:pt x="3868699" y="90601"/>
                                </a:lnTo>
                                <a:lnTo>
                                  <a:pt x="3865918" y="99898"/>
                                </a:lnTo>
                                <a:lnTo>
                                  <a:pt x="3865956" y="100799"/>
                                </a:lnTo>
                                <a:lnTo>
                                  <a:pt x="3866070" y="103797"/>
                                </a:lnTo>
                                <a:lnTo>
                                  <a:pt x="3866184" y="106603"/>
                                </a:lnTo>
                                <a:lnTo>
                                  <a:pt x="3866299" y="109448"/>
                                </a:lnTo>
                                <a:lnTo>
                                  <a:pt x="3869817" y="119240"/>
                                </a:lnTo>
                                <a:lnTo>
                                  <a:pt x="3878516" y="113360"/>
                                </a:lnTo>
                                <a:lnTo>
                                  <a:pt x="3875849" y="106603"/>
                                </a:lnTo>
                                <a:lnTo>
                                  <a:pt x="3875379" y="100799"/>
                                </a:lnTo>
                                <a:lnTo>
                                  <a:pt x="3875379" y="99898"/>
                                </a:lnTo>
                                <a:lnTo>
                                  <a:pt x="3876941" y="93941"/>
                                </a:lnTo>
                                <a:lnTo>
                                  <a:pt x="3880713" y="88023"/>
                                </a:lnTo>
                                <a:lnTo>
                                  <a:pt x="3884193" y="83883"/>
                                </a:lnTo>
                                <a:lnTo>
                                  <a:pt x="3888168" y="81343"/>
                                </a:lnTo>
                                <a:lnTo>
                                  <a:pt x="3897096" y="79489"/>
                                </a:lnTo>
                                <a:lnTo>
                                  <a:pt x="3901173" y="80581"/>
                                </a:lnTo>
                                <a:lnTo>
                                  <a:pt x="3908234" y="86499"/>
                                </a:lnTo>
                                <a:lnTo>
                                  <a:pt x="3910050" y="90119"/>
                                </a:lnTo>
                                <a:lnTo>
                                  <a:pt x="3910634" y="98983"/>
                                </a:lnTo>
                                <a:lnTo>
                                  <a:pt x="3908488" y="103797"/>
                                </a:lnTo>
                                <a:lnTo>
                                  <a:pt x="3908336" y="104101"/>
                                </a:lnTo>
                                <a:lnTo>
                                  <a:pt x="3897007" y="117602"/>
                                </a:lnTo>
                                <a:lnTo>
                                  <a:pt x="3903776" y="123278"/>
                                </a:lnTo>
                                <a:lnTo>
                                  <a:pt x="3915232" y="109639"/>
                                </a:lnTo>
                                <a:lnTo>
                                  <a:pt x="3920248" y="106146"/>
                                </a:lnTo>
                                <a:lnTo>
                                  <a:pt x="3930561" y="103797"/>
                                </a:lnTo>
                                <a:lnTo>
                                  <a:pt x="3935107" y="104863"/>
                                </a:lnTo>
                                <a:lnTo>
                                  <a:pt x="3942715" y="111252"/>
                                </a:lnTo>
                                <a:lnTo>
                                  <a:pt x="3944734" y="115227"/>
                                </a:lnTo>
                                <a:lnTo>
                                  <a:pt x="3945344" y="123278"/>
                                </a:lnTo>
                                <a:lnTo>
                                  <a:pt x="3945420" y="124345"/>
                                </a:lnTo>
                                <a:lnTo>
                                  <a:pt x="3945471" y="125031"/>
                                </a:lnTo>
                                <a:lnTo>
                                  <a:pt x="3918064" y="146202"/>
                                </a:lnTo>
                                <a:lnTo>
                                  <a:pt x="3910584" y="144119"/>
                                </a:lnTo>
                                <a:lnTo>
                                  <a:pt x="3906545" y="154330"/>
                                </a:lnTo>
                                <a:lnTo>
                                  <a:pt x="3913047" y="156819"/>
                                </a:lnTo>
                                <a:lnTo>
                                  <a:pt x="3919740" y="157060"/>
                                </a:lnTo>
                                <a:lnTo>
                                  <a:pt x="3933494" y="153047"/>
                                </a:lnTo>
                                <a:lnTo>
                                  <a:pt x="3955110" y="119240"/>
                                </a:lnTo>
                                <a:lnTo>
                                  <a:pt x="3955199" y="110464"/>
                                </a:lnTo>
                                <a:close/>
                              </a:path>
                              <a:path w="5572125" h="285115">
                                <a:moveTo>
                                  <a:pt x="4003548" y="58991"/>
                                </a:moveTo>
                                <a:lnTo>
                                  <a:pt x="4003421" y="54457"/>
                                </a:lnTo>
                                <a:lnTo>
                                  <a:pt x="4003306" y="50152"/>
                                </a:lnTo>
                                <a:lnTo>
                                  <a:pt x="3999725" y="42887"/>
                                </a:lnTo>
                                <a:lnTo>
                                  <a:pt x="3997248" y="40754"/>
                                </a:lnTo>
                                <a:lnTo>
                                  <a:pt x="3995039" y="38900"/>
                                </a:lnTo>
                                <a:lnTo>
                                  <a:pt x="3985717" y="31076"/>
                                </a:lnTo>
                                <a:lnTo>
                                  <a:pt x="3978071" y="28638"/>
                                </a:lnTo>
                                <a:lnTo>
                                  <a:pt x="3961333" y="30492"/>
                                </a:lnTo>
                                <a:lnTo>
                                  <a:pt x="3954449" y="34163"/>
                                </a:lnTo>
                                <a:lnTo>
                                  <a:pt x="3943959" y="46672"/>
                                </a:lnTo>
                                <a:lnTo>
                                  <a:pt x="3942296" y="52476"/>
                                </a:lnTo>
                                <a:lnTo>
                                  <a:pt x="3941775" y="54457"/>
                                </a:lnTo>
                                <a:lnTo>
                                  <a:pt x="3942486" y="63614"/>
                                </a:lnTo>
                                <a:lnTo>
                                  <a:pt x="3921518" y="43548"/>
                                </a:lnTo>
                                <a:lnTo>
                                  <a:pt x="3922001" y="42887"/>
                                </a:lnTo>
                                <a:lnTo>
                                  <a:pt x="3949725" y="9855"/>
                                </a:lnTo>
                                <a:lnTo>
                                  <a:pt x="3942943" y="2959"/>
                                </a:lnTo>
                                <a:lnTo>
                                  <a:pt x="3908882" y="43548"/>
                                </a:lnTo>
                                <a:lnTo>
                                  <a:pt x="3944061" y="76822"/>
                                </a:lnTo>
                                <a:lnTo>
                                  <a:pt x="3951198" y="71259"/>
                                </a:lnTo>
                                <a:lnTo>
                                  <a:pt x="3949954" y="64439"/>
                                </a:lnTo>
                                <a:lnTo>
                                  <a:pt x="3949992" y="63614"/>
                                </a:lnTo>
                                <a:lnTo>
                                  <a:pt x="3975011" y="38900"/>
                                </a:lnTo>
                                <a:lnTo>
                                  <a:pt x="3980446" y="40754"/>
                                </a:lnTo>
                                <a:lnTo>
                                  <a:pt x="3990721" y="49390"/>
                                </a:lnTo>
                                <a:lnTo>
                                  <a:pt x="3993502" y="54457"/>
                                </a:lnTo>
                                <a:lnTo>
                                  <a:pt x="3994327" y="63614"/>
                                </a:lnTo>
                                <a:lnTo>
                                  <a:pt x="3994404" y="64439"/>
                                </a:lnTo>
                                <a:lnTo>
                                  <a:pt x="3994493" y="65468"/>
                                </a:lnTo>
                                <a:lnTo>
                                  <a:pt x="3994569" y="66306"/>
                                </a:lnTo>
                                <a:lnTo>
                                  <a:pt x="3992664" y="71666"/>
                                </a:lnTo>
                                <a:lnTo>
                                  <a:pt x="3969308" y="86042"/>
                                </a:lnTo>
                                <a:lnTo>
                                  <a:pt x="3961777" y="84416"/>
                                </a:lnTo>
                                <a:lnTo>
                                  <a:pt x="3958259" y="93586"/>
                                </a:lnTo>
                                <a:lnTo>
                                  <a:pt x="3958183" y="93802"/>
                                </a:lnTo>
                                <a:lnTo>
                                  <a:pt x="3964140" y="96405"/>
                                </a:lnTo>
                                <a:lnTo>
                                  <a:pt x="3970515" y="96735"/>
                                </a:lnTo>
                                <a:lnTo>
                                  <a:pt x="3984053" y="92824"/>
                                </a:lnTo>
                                <a:lnTo>
                                  <a:pt x="3989844" y="88976"/>
                                </a:lnTo>
                                <a:lnTo>
                                  <a:pt x="3992295" y="86042"/>
                                </a:lnTo>
                                <a:lnTo>
                                  <a:pt x="3994670" y="83223"/>
                                </a:lnTo>
                                <a:lnTo>
                                  <a:pt x="3998595" y="77711"/>
                                </a:lnTo>
                                <a:lnTo>
                                  <a:pt x="3998747" y="77457"/>
                                </a:lnTo>
                                <a:lnTo>
                                  <a:pt x="4001503" y="71666"/>
                                </a:lnTo>
                                <a:lnTo>
                                  <a:pt x="4003116" y="65468"/>
                                </a:lnTo>
                                <a:lnTo>
                                  <a:pt x="4003548" y="58991"/>
                                </a:lnTo>
                                <a:close/>
                              </a:path>
                              <a:path w="5572125" h="285115">
                                <a:moveTo>
                                  <a:pt x="4177449" y="236499"/>
                                </a:moveTo>
                                <a:lnTo>
                                  <a:pt x="4170324" y="230517"/>
                                </a:lnTo>
                                <a:lnTo>
                                  <a:pt x="4138625" y="268287"/>
                                </a:lnTo>
                                <a:lnTo>
                                  <a:pt x="4139438" y="257911"/>
                                </a:lnTo>
                                <a:lnTo>
                                  <a:pt x="4139984" y="248018"/>
                                </a:lnTo>
                                <a:lnTo>
                                  <a:pt x="4139984" y="221043"/>
                                </a:lnTo>
                                <a:lnTo>
                                  <a:pt x="4138904" y="213423"/>
                                </a:lnTo>
                                <a:lnTo>
                                  <a:pt x="4135056" y="203047"/>
                                </a:lnTo>
                                <a:lnTo>
                                  <a:pt x="4132402" y="199224"/>
                                </a:lnTo>
                                <a:lnTo>
                                  <a:pt x="4132097" y="198780"/>
                                </a:lnTo>
                                <a:lnTo>
                                  <a:pt x="4122331" y="190588"/>
                                </a:lnTo>
                                <a:lnTo>
                                  <a:pt x="4115828" y="188760"/>
                                </a:lnTo>
                                <a:lnTo>
                                  <a:pt x="4115079" y="188760"/>
                                </a:lnTo>
                                <a:lnTo>
                                  <a:pt x="4081208" y="211848"/>
                                </a:lnTo>
                                <a:lnTo>
                                  <a:pt x="4079062" y="222034"/>
                                </a:lnTo>
                                <a:lnTo>
                                  <a:pt x="4080954" y="232549"/>
                                </a:lnTo>
                                <a:lnTo>
                                  <a:pt x="4086898" y="243344"/>
                                </a:lnTo>
                                <a:lnTo>
                                  <a:pt x="4096004" y="237388"/>
                                </a:lnTo>
                                <a:lnTo>
                                  <a:pt x="4091482" y="232918"/>
                                </a:lnTo>
                                <a:lnTo>
                                  <a:pt x="4089158" y="227901"/>
                                </a:lnTo>
                                <a:lnTo>
                                  <a:pt x="4089031" y="222313"/>
                                </a:lnTo>
                                <a:lnTo>
                                  <a:pt x="4088904" y="216738"/>
                                </a:lnTo>
                                <a:lnTo>
                                  <a:pt x="4090466" y="212153"/>
                                </a:lnTo>
                                <a:lnTo>
                                  <a:pt x="4090581" y="211848"/>
                                </a:lnTo>
                                <a:lnTo>
                                  <a:pt x="4097490" y="203619"/>
                                </a:lnTo>
                                <a:lnTo>
                                  <a:pt x="4101782" y="201129"/>
                                </a:lnTo>
                                <a:lnTo>
                                  <a:pt x="4112145" y="199224"/>
                                </a:lnTo>
                                <a:lnTo>
                                  <a:pt x="4116832" y="200507"/>
                                </a:lnTo>
                                <a:lnTo>
                                  <a:pt x="4130764" y="248018"/>
                                </a:lnTo>
                                <a:lnTo>
                                  <a:pt x="4130522" y="257733"/>
                                </a:lnTo>
                                <a:lnTo>
                                  <a:pt x="4129532" y="279120"/>
                                </a:lnTo>
                                <a:lnTo>
                                  <a:pt x="4136656" y="285102"/>
                                </a:lnTo>
                                <a:lnTo>
                                  <a:pt x="4150766" y="268287"/>
                                </a:lnTo>
                                <a:lnTo>
                                  <a:pt x="4177449" y="236499"/>
                                </a:lnTo>
                                <a:close/>
                              </a:path>
                              <a:path w="5572125" h="285115">
                                <a:moveTo>
                                  <a:pt x="4215790" y="181546"/>
                                </a:moveTo>
                                <a:lnTo>
                                  <a:pt x="4214304" y="173913"/>
                                </a:lnTo>
                                <a:lnTo>
                                  <a:pt x="4211282" y="166293"/>
                                </a:lnTo>
                                <a:lnTo>
                                  <a:pt x="4207891" y="160489"/>
                                </a:lnTo>
                                <a:lnTo>
                                  <a:pt x="4207891" y="184607"/>
                                </a:lnTo>
                                <a:lnTo>
                                  <a:pt x="4207027" y="190347"/>
                                </a:lnTo>
                                <a:lnTo>
                                  <a:pt x="4197324" y="201891"/>
                                </a:lnTo>
                                <a:lnTo>
                                  <a:pt x="4197159" y="201891"/>
                                </a:lnTo>
                                <a:lnTo>
                                  <a:pt x="4191127" y="203898"/>
                                </a:lnTo>
                                <a:lnTo>
                                  <a:pt x="4152468" y="183565"/>
                                </a:lnTo>
                                <a:lnTo>
                                  <a:pt x="4138257" y="160172"/>
                                </a:lnTo>
                                <a:lnTo>
                                  <a:pt x="4139107" y="154330"/>
                                </a:lnTo>
                                <a:lnTo>
                                  <a:pt x="4139196" y="153720"/>
                                </a:lnTo>
                                <a:lnTo>
                                  <a:pt x="4148950" y="142087"/>
                                </a:lnTo>
                                <a:lnTo>
                                  <a:pt x="4155516" y="140106"/>
                                </a:lnTo>
                                <a:lnTo>
                                  <a:pt x="4163657" y="142087"/>
                                </a:lnTo>
                                <a:lnTo>
                                  <a:pt x="4198848" y="166141"/>
                                </a:lnTo>
                                <a:lnTo>
                                  <a:pt x="4207891" y="184607"/>
                                </a:lnTo>
                                <a:lnTo>
                                  <a:pt x="4207891" y="160489"/>
                                </a:lnTo>
                                <a:lnTo>
                                  <a:pt x="4180700" y="136829"/>
                                </a:lnTo>
                                <a:lnTo>
                                  <a:pt x="4180852" y="136829"/>
                                </a:lnTo>
                                <a:lnTo>
                                  <a:pt x="4172534" y="133616"/>
                                </a:lnTo>
                                <a:lnTo>
                                  <a:pt x="4164507" y="131826"/>
                                </a:lnTo>
                                <a:lnTo>
                                  <a:pt x="4156684" y="131597"/>
                                </a:lnTo>
                                <a:lnTo>
                                  <a:pt x="4149560" y="133261"/>
                                </a:lnTo>
                                <a:lnTo>
                                  <a:pt x="4130573" y="159156"/>
                                </a:lnTo>
                                <a:lnTo>
                                  <a:pt x="4130446" y="161010"/>
                                </a:lnTo>
                                <a:lnTo>
                                  <a:pt x="4151414" y="197904"/>
                                </a:lnTo>
                                <a:lnTo>
                                  <a:pt x="4182770" y="212153"/>
                                </a:lnTo>
                                <a:lnTo>
                                  <a:pt x="4190212" y="212153"/>
                                </a:lnTo>
                                <a:lnTo>
                                  <a:pt x="4215612" y="184607"/>
                                </a:lnTo>
                                <a:lnTo>
                                  <a:pt x="4215676" y="183565"/>
                                </a:lnTo>
                                <a:lnTo>
                                  <a:pt x="4215790" y="181546"/>
                                </a:lnTo>
                                <a:close/>
                              </a:path>
                              <a:path w="5572125" h="285115">
                                <a:moveTo>
                                  <a:pt x="4268978" y="110464"/>
                                </a:moveTo>
                                <a:lnTo>
                                  <a:pt x="4266120" y="104101"/>
                                </a:lnTo>
                                <a:lnTo>
                                  <a:pt x="4265752" y="103797"/>
                                </a:lnTo>
                                <a:lnTo>
                                  <a:pt x="4262183" y="100799"/>
                                </a:lnTo>
                                <a:lnTo>
                                  <a:pt x="4255617" y="95288"/>
                                </a:lnTo>
                                <a:lnTo>
                                  <a:pt x="4250398" y="93586"/>
                                </a:lnTo>
                                <a:lnTo>
                                  <a:pt x="4239133" y="94780"/>
                                </a:lnTo>
                                <a:lnTo>
                                  <a:pt x="4234167" y="96989"/>
                                </a:lnTo>
                                <a:lnTo>
                                  <a:pt x="4229887" y="100799"/>
                                </a:lnTo>
                                <a:lnTo>
                                  <a:pt x="4232402" y="96304"/>
                                </a:lnTo>
                                <a:lnTo>
                                  <a:pt x="4233227" y="91706"/>
                                </a:lnTo>
                                <a:lnTo>
                                  <a:pt x="4233176" y="91160"/>
                                </a:lnTo>
                                <a:lnTo>
                                  <a:pt x="4231627" y="81902"/>
                                </a:lnTo>
                                <a:lnTo>
                                  <a:pt x="4231462" y="81546"/>
                                </a:lnTo>
                                <a:lnTo>
                                  <a:pt x="4230281" y="79489"/>
                                </a:lnTo>
                                <a:lnTo>
                                  <a:pt x="4229265" y="77711"/>
                                </a:lnTo>
                                <a:lnTo>
                                  <a:pt x="4220362" y="70243"/>
                                </a:lnTo>
                                <a:lnTo>
                                  <a:pt x="4214342" y="68707"/>
                                </a:lnTo>
                                <a:lnTo>
                                  <a:pt x="4200321" y="70942"/>
                                </a:lnTo>
                                <a:lnTo>
                                  <a:pt x="4179697" y="99898"/>
                                </a:lnTo>
                                <a:lnTo>
                                  <a:pt x="4179735" y="100799"/>
                                </a:lnTo>
                                <a:lnTo>
                                  <a:pt x="4179849" y="103797"/>
                                </a:lnTo>
                                <a:lnTo>
                                  <a:pt x="4179951" y="106603"/>
                                </a:lnTo>
                                <a:lnTo>
                                  <a:pt x="4180065" y="109448"/>
                                </a:lnTo>
                                <a:lnTo>
                                  <a:pt x="4183596" y="119240"/>
                                </a:lnTo>
                                <a:lnTo>
                                  <a:pt x="4192295" y="113360"/>
                                </a:lnTo>
                                <a:lnTo>
                                  <a:pt x="4189615" y="106603"/>
                                </a:lnTo>
                                <a:lnTo>
                                  <a:pt x="4189145" y="100799"/>
                                </a:lnTo>
                                <a:lnTo>
                                  <a:pt x="4210875" y="79489"/>
                                </a:lnTo>
                                <a:lnTo>
                                  <a:pt x="4214952" y="80581"/>
                                </a:lnTo>
                                <a:lnTo>
                                  <a:pt x="4222013" y="86499"/>
                                </a:lnTo>
                                <a:lnTo>
                                  <a:pt x="4223829" y="90119"/>
                                </a:lnTo>
                                <a:lnTo>
                                  <a:pt x="4224413" y="98983"/>
                                </a:lnTo>
                                <a:lnTo>
                                  <a:pt x="4222267" y="103797"/>
                                </a:lnTo>
                                <a:lnTo>
                                  <a:pt x="4222115" y="104101"/>
                                </a:lnTo>
                                <a:lnTo>
                                  <a:pt x="4210786" y="117602"/>
                                </a:lnTo>
                                <a:lnTo>
                                  <a:pt x="4217555" y="123278"/>
                                </a:lnTo>
                                <a:lnTo>
                                  <a:pt x="4229011" y="109639"/>
                                </a:lnTo>
                                <a:lnTo>
                                  <a:pt x="4234027" y="106146"/>
                                </a:lnTo>
                                <a:lnTo>
                                  <a:pt x="4244340" y="103797"/>
                                </a:lnTo>
                                <a:lnTo>
                                  <a:pt x="4248886" y="104863"/>
                                </a:lnTo>
                                <a:lnTo>
                                  <a:pt x="4256494" y="111252"/>
                                </a:lnTo>
                                <a:lnTo>
                                  <a:pt x="4258513" y="115227"/>
                                </a:lnTo>
                                <a:lnTo>
                                  <a:pt x="4259110" y="123278"/>
                                </a:lnTo>
                                <a:lnTo>
                                  <a:pt x="4259186" y="124345"/>
                                </a:lnTo>
                                <a:lnTo>
                                  <a:pt x="4259250" y="125031"/>
                                </a:lnTo>
                                <a:lnTo>
                                  <a:pt x="4256938" y="130327"/>
                                </a:lnTo>
                                <a:lnTo>
                                  <a:pt x="4256849" y="130556"/>
                                </a:lnTo>
                                <a:lnTo>
                                  <a:pt x="4251985" y="136359"/>
                                </a:lnTo>
                                <a:lnTo>
                                  <a:pt x="4251553" y="136829"/>
                                </a:lnTo>
                                <a:lnTo>
                                  <a:pt x="4245508" y="142494"/>
                                </a:lnTo>
                                <a:lnTo>
                                  <a:pt x="4238891" y="145656"/>
                                </a:lnTo>
                                <a:lnTo>
                                  <a:pt x="4231830" y="146202"/>
                                </a:lnTo>
                                <a:lnTo>
                                  <a:pt x="4224363" y="144119"/>
                                </a:lnTo>
                                <a:lnTo>
                                  <a:pt x="4220324" y="154330"/>
                                </a:lnTo>
                                <a:lnTo>
                                  <a:pt x="4226826" y="156819"/>
                                </a:lnTo>
                                <a:lnTo>
                                  <a:pt x="4233519" y="157060"/>
                                </a:lnTo>
                                <a:lnTo>
                                  <a:pt x="4247273" y="153047"/>
                                </a:lnTo>
                                <a:lnTo>
                                  <a:pt x="4253408" y="148831"/>
                                </a:lnTo>
                                <a:lnTo>
                                  <a:pt x="4255503" y="146316"/>
                                </a:lnTo>
                                <a:lnTo>
                                  <a:pt x="4258716" y="142494"/>
                                </a:lnTo>
                                <a:lnTo>
                                  <a:pt x="4263237" y="136359"/>
                                </a:lnTo>
                                <a:lnTo>
                                  <a:pt x="4266298" y="130556"/>
                                </a:lnTo>
                                <a:lnTo>
                                  <a:pt x="4266425" y="130327"/>
                                </a:lnTo>
                                <a:lnTo>
                                  <a:pt x="4268330" y="124345"/>
                                </a:lnTo>
                                <a:lnTo>
                                  <a:pt x="4268876" y="119240"/>
                                </a:lnTo>
                                <a:lnTo>
                                  <a:pt x="4268978" y="110464"/>
                                </a:lnTo>
                                <a:close/>
                              </a:path>
                              <a:path w="5572125" h="285115">
                                <a:moveTo>
                                  <a:pt x="4319651" y="65125"/>
                                </a:moveTo>
                                <a:lnTo>
                                  <a:pt x="4318063" y="49123"/>
                                </a:lnTo>
                                <a:lnTo>
                                  <a:pt x="4317974" y="48158"/>
                                </a:lnTo>
                                <a:lnTo>
                                  <a:pt x="4314355" y="41262"/>
                                </a:lnTo>
                                <a:lnTo>
                                  <a:pt x="4311459" y="38811"/>
                                </a:lnTo>
                                <a:lnTo>
                                  <a:pt x="4309897" y="37503"/>
                                </a:lnTo>
                                <a:lnTo>
                                  <a:pt x="4309897" y="64312"/>
                                </a:lnTo>
                                <a:lnTo>
                                  <a:pt x="4308183" y="69596"/>
                                </a:lnTo>
                                <a:lnTo>
                                  <a:pt x="4300042" y="79286"/>
                                </a:lnTo>
                                <a:lnTo>
                                  <a:pt x="4295102" y="81902"/>
                                </a:lnTo>
                                <a:lnTo>
                                  <a:pt x="4283507" y="82664"/>
                                </a:lnTo>
                                <a:lnTo>
                                  <a:pt x="4278554" y="81127"/>
                                </a:lnTo>
                                <a:lnTo>
                                  <a:pt x="4269981" y="73926"/>
                                </a:lnTo>
                                <a:lnTo>
                                  <a:pt x="4268787" y="71513"/>
                                </a:lnTo>
                                <a:lnTo>
                                  <a:pt x="4267543" y="68948"/>
                                </a:lnTo>
                                <a:lnTo>
                                  <a:pt x="4266908" y="59702"/>
                                </a:lnTo>
                                <a:lnTo>
                                  <a:pt x="4266819" y="58432"/>
                                </a:lnTo>
                                <a:lnTo>
                                  <a:pt x="4266717" y="56908"/>
                                </a:lnTo>
                                <a:lnTo>
                                  <a:pt x="4266692" y="56489"/>
                                </a:lnTo>
                                <a:lnTo>
                                  <a:pt x="4268406" y="51066"/>
                                </a:lnTo>
                                <a:lnTo>
                                  <a:pt x="4276039" y="41973"/>
                                </a:lnTo>
                                <a:lnTo>
                                  <a:pt x="4280776" y="39547"/>
                                </a:lnTo>
                                <a:lnTo>
                                  <a:pt x="4292181" y="38811"/>
                                </a:lnTo>
                                <a:lnTo>
                                  <a:pt x="4297248" y="40474"/>
                                </a:lnTo>
                                <a:lnTo>
                                  <a:pt x="4306163" y="47955"/>
                                </a:lnTo>
                                <a:lnTo>
                                  <a:pt x="4308703" y="52730"/>
                                </a:lnTo>
                                <a:lnTo>
                                  <a:pt x="4309897" y="64312"/>
                                </a:lnTo>
                                <a:lnTo>
                                  <a:pt x="4309897" y="37503"/>
                                </a:lnTo>
                                <a:lnTo>
                                  <a:pt x="4301718" y="30632"/>
                                </a:lnTo>
                                <a:lnTo>
                                  <a:pt x="4294594" y="28321"/>
                                </a:lnTo>
                                <a:lnTo>
                                  <a:pt x="4278515" y="29476"/>
                                </a:lnTo>
                                <a:lnTo>
                                  <a:pt x="4271823" y="32943"/>
                                </a:lnTo>
                                <a:lnTo>
                                  <a:pt x="4262983" y="43472"/>
                                </a:lnTo>
                                <a:lnTo>
                                  <a:pt x="4260989" y="47955"/>
                                </a:lnTo>
                                <a:lnTo>
                                  <a:pt x="4260901" y="48158"/>
                                </a:lnTo>
                                <a:lnTo>
                                  <a:pt x="4260799" y="48387"/>
                                </a:lnTo>
                                <a:lnTo>
                                  <a:pt x="4259059" y="59702"/>
                                </a:lnTo>
                                <a:lnTo>
                                  <a:pt x="4260050" y="65125"/>
                                </a:lnTo>
                                <a:lnTo>
                                  <a:pt x="4260126" y="65519"/>
                                </a:lnTo>
                                <a:lnTo>
                                  <a:pt x="4263047" y="71335"/>
                                </a:lnTo>
                                <a:lnTo>
                                  <a:pt x="4263136" y="71513"/>
                                </a:lnTo>
                                <a:lnTo>
                                  <a:pt x="4250372" y="58432"/>
                                </a:lnTo>
                                <a:lnTo>
                                  <a:pt x="4243565" y="46329"/>
                                </a:lnTo>
                                <a:lnTo>
                                  <a:pt x="4242714" y="35204"/>
                                </a:lnTo>
                                <a:lnTo>
                                  <a:pt x="4247820" y="25082"/>
                                </a:lnTo>
                                <a:lnTo>
                                  <a:pt x="4252519" y="20789"/>
                                </a:lnTo>
                                <a:lnTo>
                                  <a:pt x="4257853" y="18415"/>
                                </a:lnTo>
                                <a:lnTo>
                                  <a:pt x="4263796" y="17945"/>
                                </a:lnTo>
                                <a:lnTo>
                                  <a:pt x="4270375" y="19380"/>
                                </a:lnTo>
                                <a:lnTo>
                                  <a:pt x="4271035" y="17945"/>
                                </a:lnTo>
                                <a:lnTo>
                                  <a:pt x="4274756" y="9893"/>
                                </a:lnTo>
                                <a:lnTo>
                                  <a:pt x="4265104" y="7708"/>
                                </a:lnTo>
                                <a:lnTo>
                                  <a:pt x="4256252" y="8483"/>
                                </a:lnTo>
                                <a:lnTo>
                                  <a:pt x="4232821" y="38811"/>
                                </a:lnTo>
                                <a:lnTo>
                                  <a:pt x="4232770" y="39547"/>
                                </a:lnTo>
                                <a:lnTo>
                                  <a:pt x="4232694" y="40474"/>
                                </a:lnTo>
                                <a:lnTo>
                                  <a:pt x="4254754" y="77990"/>
                                </a:lnTo>
                                <a:lnTo>
                                  <a:pt x="4285716" y="91706"/>
                                </a:lnTo>
                                <a:lnTo>
                                  <a:pt x="4292993" y="91160"/>
                                </a:lnTo>
                                <a:lnTo>
                                  <a:pt x="4299661" y="89039"/>
                                </a:lnTo>
                                <a:lnTo>
                                  <a:pt x="4305693" y="85344"/>
                                </a:lnTo>
                                <a:lnTo>
                                  <a:pt x="4308437" y="82664"/>
                                </a:lnTo>
                                <a:lnTo>
                                  <a:pt x="4311104" y="80060"/>
                                </a:lnTo>
                                <a:lnTo>
                                  <a:pt x="4317085" y="72936"/>
                                </a:lnTo>
                                <a:lnTo>
                                  <a:pt x="4319651" y="65125"/>
                                </a:lnTo>
                                <a:close/>
                              </a:path>
                              <a:path w="5572125" h="285115">
                                <a:moveTo>
                                  <a:pt x="4491215" y="236499"/>
                                </a:moveTo>
                                <a:lnTo>
                                  <a:pt x="4484090" y="230517"/>
                                </a:lnTo>
                                <a:lnTo>
                                  <a:pt x="4452391" y="268287"/>
                                </a:lnTo>
                                <a:lnTo>
                                  <a:pt x="4453204" y="257911"/>
                                </a:lnTo>
                                <a:lnTo>
                                  <a:pt x="4453763" y="248018"/>
                                </a:lnTo>
                                <a:lnTo>
                                  <a:pt x="4453750" y="221043"/>
                                </a:lnTo>
                                <a:lnTo>
                                  <a:pt x="4452671" y="213423"/>
                                </a:lnTo>
                                <a:lnTo>
                                  <a:pt x="4448822" y="203047"/>
                                </a:lnTo>
                                <a:lnTo>
                                  <a:pt x="4446168" y="199224"/>
                                </a:lnTo>
                                <a:lnTo>
                                  <a:pt x="4445863" y="198780"/>
                                </a:lnTo>
                                <a:lnTo>
                                  <a:pt x="4436097" y="190588"/>
                                </a:lnTo>
                                <a:lnTo>
                                  <a:pt x="4429595" y="188760"/>
                                </a:lnTo>
                                <a:lnTo>
                                  <a:pt x="4428858" y="188760"/>
                                </a:lnTo>
                                <a:lnTo>
                                  <a:pt x="4394974" y="211848"/>
                                </a:lnTo>
                                <a:lnTo>
                                  <a:pt x="4392841" y="222034"/>
                                </a:lnTo>
                                <a:lnTo>
                                  <a:pt x="4394733" y="232549"/>
                                </a:lnTo>
                                <a:lnTo>
                                  <a:pt x="4400664" y="243344"/>
                                </a:lnTo>
                                <a:lnTo>
                                  <a:pt x="4409770" y="237388"/>
                                </a:lnTo>
                                <a:lnTo>
                                  <a:pt x="4405249" y="232918"/>
                                </a:lnTo>
                                <a:lnTo>
                                  <a:pt x="4402925" y="227901"/>
                                </a:lnTo>
                                <a:lnTo>
                                  <a:pt x="4402798" y="222313"/>
                                </a:lnTo>
                                <a:lnTo>
                                  <a:pt x="4402671" y="216738"/>
                                </a:lnTo>
                                <a:lnTo>
                                  <a:pt x="4404245" y="212153"/>
                                </a:lnTo>
                                <a:lnTo>
                                  <a:pt x="4404347" y="211848"/>
                                </a:lnTo>
                                <a:lnTo>
                                  <a:pt x="4411256" y="203619"/>
                                </a:lnTo>
                                <a:lnTo>
                                  <a:pt x="4415548" y="201129"/>
                                </a:lnTo>
                                <a:lnTo>
                                  <a:pt x="4425912" y="199224"/>
                                </a:lnTo>
                                <a:lnTo>
                                  <a:pt x="4430598" y="200507"/>
                                </a:lnTo>
                                <a:lnTo>
                                  <a:pt x="4444530" y="230517"/>
                                </a:lnTo>
                                <a:lnTo>
                                  <a:pt x="4444530" y="248018"/>
                                </a:lnTo>
                                <a:lnTo>
                                  <a:pt x="4444301" y="257733"/>
                                </a:lnTo>
                                <a:lnTo>
                                  <a:pt x="4443298" y="279120"/>
                                </a:lnTo>
                                <a:lnTo>
                                  <a:pt x="4450423" y="285102"/>
                                </a:lnTo>
                                <a:lnTo>
                                  <a:pt x="4464532" y="268287"/>
                                </a:lnTo>
                                <a:lnTo>
                                  <a:pt x="4491215" y="236499"/>
                                </a:lnTo>
                                <a:close/>
                              </a:path>
                              <a:path w="5572125" h="285115">
                                <a:moveTo>
                                  <a:pt x="4529569" y="181546"/>
                                </a:moveTo>
                                <a:lnTo>
                                  <a:pt x="4528070" y="173913"/>
                                </a:lnTo>
                                <a:lnTo>
                                  <a:pt x="4525061" y="166293"/>
                                </a:lnTo>
                                <a:lnTo>
                                  <a:pt x="4521670" y="160502"/>
                                </a:lnTo>
                                <a:lnTo>
                                  <a:pt x="4521670" y="184607"/>
                                </a:lnTo>
                                <a:lnTo>
                                  <a:pt x="4520793" y="190347"/>
                                </a:lnTo>
                                <a:lnTo>
                                  <a:pt x="4511103" y="201891"/>
                                </a:lnTo>
                                <a:lnTo>
                                  <a:pt x="4510938" y="201891"/>
                                </a:lnTo>
                                <a:lnTo>
                                  <a:pt x="4504893" y="203898"/>
                                </a:lnTo>
                                <a:lnTo>
                                  <a:pt x="4466234" y="183565"/>
                                </a:lnTo>
                                <a:lnTo>
                                  <a:pt x="4452023" y="160172"/>
                                </a:lnTo>
                                <a:lnTo>
                                  <a:pt x="4452874" y="154330"/>
                                </a:lnTo>
                                <a:lnTo>
                                  <a:pt x="4452963" y="153720"/>
                                </a:lnTo>
                                <a:lnTo>
                                  <a:pt x="4462716" y="142087"/>
                                </a:lnTo>
                                <a:lnTo>
                                  <a:pt x="4469282" y="140106"/>
                                </a:lnTo>
                                <a:lnTo>
                                  <a:pt x="4477423" y="142087"/>
                                </a:lnTo>
                                <a:lnTo>
                                  <a:pt x="4512627" y="166141"/>
                                </a:lnTo>
                                <a:lnTo>
                                  <a:pt x="4521670" y="184607"/>
                                </a:lnTo>
                                <a:lnTo>
                                  <a:pt x="4521670" y="160502"/>
                                </a:lnTo>
                                <a:lnTo>
                                  <a:pt x="4494479" y="136829"/>
                                </a:lnTo>
                                <a:lnTo>
                                  <a:pt x="4494631" y="136829"/>
                                </a:lnTo>
                                <a:lnTo>
                                  <a:pt x="4486313" y="133616"/>
                                </a:lnTo>
                                <a:lnTo>
                                  <a:pt x="4478274" y="131826"/>
                                </a:lnTo>
                                <a:lnTo>
                                  <a:pt x="4470463" y="131597"/>
                                </a:lnTo>
                                <a:lnTo>
                                  <a:pt x="4463339" y="133261"/>
                                </a:lnTo>
                                <a:lnTo>
                                  <a:pt x="4444225" y="161010"/>
                                </a:lnTo>
                                <a:lnTo>
                                  <a:pt x="4444123" y="162458"/>
                                </a:lnTo>
                                <a:lnTo>
                                  <a:pt x="4465193" y="197904"/>
                                </a:lnTo>
                                <a:lnTo>
                                  <a:pt x="4496536" y="212153"/>
                                </a:lnTo>
                                <a:lnTo>
                                  <a:pt x="4503991" y="212153"/>
                                </a:lnTo>
                                <a:lnTo>
                                  <a:pt x="4511167" y="210350"/>
                                </a:lnTo>
                                <a:lnTo>
                                  <a:pt x="4517314" y="206946"/>
                                </a:lnTo>
                                <a:lnTo>
                                  <a:pt x="4520527" y="203898"/>
                                </a:lnTo>
                                <a:lnTo>
                                  <a:pt x="4522648" y="201891"/>
                                </a:lnTo>
                                <a:lnTo>
                                  <a:pt x="4526864" y="195529"/>
                                </a:lnTo>
                                <a:lnTo>
                                  <a:pt x="4529099" y="188950"/>
                                </a:lnTo>
                                <a:lnTo>
                                  <a:pt x="4529163" y="188760"/>
                                </a:lnTo>
                                <a:lnTo>
                                  <a:pt x="4529391" y="184607"/>
                                </a:lnTo>
                                <a:lnTo>
                                  <a:pt x="4529455" y="183565"/>
                                </a:lnTo>
                                <a:lnTo>
                                  <a:pt x="4529569" y="181546"/>
                                </a:lnTo>
                                <a:close/>
                              </a:path>
                              <a:path w="5572125" h="285115">
                                <a:moveTo>
                                  <a:pt x="4582744" y="110464"/>
                                </a:moveTo>
                                <a:lnTo>
                                  <a:pt x="4579886" y="104101"/>
                                </a:lnTo>
                                <a:lnTo>
                                  <a:pt x="4579531" y="103797"/>
                                </a:lnTo>
                                <a:lnTo>
                                  <a:pt x="4575949" y="100799"/>
                                </a:lnTo>
                                <a:lnTo>
                                  <a:pt x="4569384" y="95288"/>
                                </a:lnTo>
                                <a:lnTo>
                                  <a:pt x="4564164" y="93586"/>
                                </a:lnTo>
                                <a:lnTo>
                                  <a:pt x="4552899" y="94780"/>
                                </a:lnTo>
                                <a:lnTo>
                                  <a:pt x="4547933" y="96989"/>
                                </a:lnTo>
                                <a:lnTo>
                                  <a:pt x="4543653" y="100799"/>
                                </a:lnTo>
                                <a:lnTo>
                                  <a:pt x="4546168" y="96304"/>
                                </a:lnTo>
                                <a:lnTo>
                                  <a:pt x="4528109" y="68707"/>
                                </a:lnTo>
                                <a:lnTo>
                                  <a:pt x="4514088" y="70942"/>
                                </a:lnTo>
                                <a:lnTo>
                                  <a:pt x="4507763" y="74853"/>
                                </a:lnTo>
                                <a:lnTo>
                                  <a:pt x="4502162" y="81546"/>
                                </a:lnTo>
                                <a:lnTo>
                                  <a:pt x="4496232" y="90614"/>
                                </a:lnTo>
                                <a:lnTo>
                                  <a:pt x="4493463" y="99898"/>
                                </a:lnTo>
                                <a:lnTo>
                                  <a:pt x="4493501" y="100799"/>
                                </a:lnTo>
                                <a:lnTo>
                                  <a:pt x="4493615" y="103797"/>
                                </a:lnTo>
                                <a:lnTo>
                                  <a:pt x="4493730" y="106603"/>
                                </a:lnTo>
                                <a:lnTo>
                                  <a:pt x="4493844" y="109448"/>
                                </a:lnTo>
                                <a:lnTo>
                                  <a:pt x="4497362" y="119240"/>
                                </a:lnTo>
                                <a:lnTo>
                                  <a:pt x="4506061" y="113360"/>
                                </a:lnTo>
                                <a:lnTo>
                                  <a:pt x="4503394" y="106603"/>
                                </a:lnTo>
                                <a:lnTo>
                                  <a:pt x="4502924" y="100799"/>
                                </a:lnTo>
                                <a:lnTo>
                                  <a:pt x="4524641" y="79489"/>
                                </a:lnTo>
                                <a:lnTo>
                                  <a:pt x="4528718" y="80581"/>
                                </a:lnTo>
                                <a:lnTo>
                                  <a:pt x="4535779" y="86499"/>
                                </a:lnTo>
                                <a:lnTo>
                                  <a:pt x="4537595" y="90119"/>
                                </a:lnTo>
                                <a:lnTo>
                                  <a:pt x="4538180" y="98983"/>
                                </a:lnTo>
                                <a:lnTo>
                                  <a:pt x="4536046" y="103797"/>
                                </a:lnTo>
                                <a:lnTo>
                                  <a:pt x="4535894" y="104101"/>
                                </a:lnTo>
                                <a:lnTo>
                                  <a:pt x="4524553" y="117602"/>
                                </a:lnTo>
                                <a:lnTo>
                                  <a:pt x="4531322" y="123278"/>
                                </a:lnTo>
                                <a:lnTo>
                                  <a:pt x="4542777" y="109639"/>
                                </a:lnTo>
                                <a:lnTo>
                                  <a:pt x="4547794" y="106146"/>
                                </a:lnTo>
                                <a:lnTo>
                                  <a:pt x="4558106" y="103797"/>
                                </a:lnTo>
                                <a:lnTo>
                                  <a:pt x="4562653" y="104863"/>
                                </a:lnTo>
                                <a:lnTo>
                                  <a:pt x="4570260" y="111252"/>
                                </a:lnTo>
                                <a:lnTo>
                                  <a:pt x="4572279" y="115227"/>
                                </a:lnTo>
                                <a:lnTo>
                                  <a:pt x="4572889" y="123278"/>
                                </a:lnTo>
                                <a:lnTo>
                                  <a:pt x="4572965" y="124345"/>
                                </a:lnTo>
                                <a:lnTo>
                                  <a:pt x="4573016" y="125031"/>
                                </a:lnTo>
                                <a:lnTo>
                                  <a:pt x="4545609" y="146202"/>
                                </a:lnTo>
                                <a:lnTo>
                                  <a:pt x="4538129" y="144119"/>
                                </a:lnTo>
                                <a:lnTo>
                                  <a:pt x="4534090" y="154330"/>
                                </a:lnTo>
                                <a:lnTo>
                                  <a:pt x="4540593" y="156819"/>
                                </a:lnTo>
                                <a:lnTo>
                                  <a:pt x="4547286" y="157060"/>
                                </a:lnTo>
                                <a:lnTo>
                                  <a:pt x="4561040" y="153047"/>
                                </a:lnTo>
                                <a:lnTo>
                                  <a:pt x="4582655" y="119240"/>
                                </a:lnTo>
                                <a:lnTo>
                                  <a:pt x="4582744" y="110464"/>
                                </a:lnTo>
                                <a:close/>
                              </a:path>
                              <a:path w="5572125" h="285115">
                                <a:moveTo>
                                  <a:pt x="4621009" y="81800"/>
                                </a:moveTo>
                                <a:lnTo>
                                  <a:pt x="4620730" y="81546"/>
                                </a:lnTo>
                                <a:lnTo>
                                  <a:pt x="4618621" y="79857"/>
                                </a:lnTo>
                                <a:lnTo>
                                  <a:pt x="4611675" y="73380"/>
                                </a:lnTo>
                                <a:lnTo>
                                  <a:pt x="4588395" y="38315"/>
                                </a:lnTo>
                                <a:lnTo>
                                  <a:pt x="4580496" y="15240"/>
                                </a:lnTo>
                                <a:lnTo>
                                  <a:pt x="4578083" y="4292"/>
                                </a:lnTo>
                                <a:lnTo>
                                  <a:pt x="4572965" y="0"/>
                                </a:lnTo>
                                <a:lnTo>
                                  <a:pt x="4535005" y="45250"/>
                                </a:lnTo>
                                <a:lnTo>
                                  <a:pt x="4541812" y="52412"/>
                                </a:lnTo>
                                <a:lnTo>
                                  <a:pt x="4573003" y="15240"/>
                                </a:lnTo>
                                <a:lnTo>
                                  <a:pt x="4574806" y="25095"/>
                                </a:lnTo>
                                <a:lnTo>
                                  <a:pt x="4591659" y="65455"/>
                                </a:lnTo>
                                <a:lnTo>
                                  <a:pt x="4613618" y="90614"/>
                                </a:lnTo>
                                <a:lnTo>
                                  <a:pt x="4621009" y="81800"/>
                                </a:lnTo>
                                <a:close/>
                              </a:path>
                              <a:path w="5572125" h="285115">
                                <a:moveTo>
                                  <a:pt x="4804994" y="236499"/>
                                </a:moveTo>
                                <a:lnTo>
                                  <a:pt x="4797869" y="230517"/>
                                </a:lnTo>
                                <a:lnTo>
                                  <a:pt x="4766170" y="268287"/>
                                </a:lnTo>
                                <a:lnTo>
                                  <a:pt x="4766983" y="257911"/>
                                </a:lnTo>
                                <a:lnTo>
                                  <a:pt x="4767529" y="248018"/>
                                </a:lnTo>
                                <a:lnTo>
                                  <a:pt x="4767529" y="221043"/>
                                </a:lnTo>
                                <a:lnTo>
                                  <a:pt x="4766449" y="213423"/>
                                </a:lnTo>
                                <a:lnTo>
                                  <a:pt x="4762601" y="203047"/>
                                </a:lnTo>
                                <a:lnTo>
                                  <a:pt x="4759947" y="199224"/>
                                </a:lnTo>
                                <a:lnTo>
                                  <a:pt x="4759642" y="198780"/>
                                </a:lnTo>
                                <a:lnTo>
                                  <a:pt x="4749876" y="190588"/>
                                </a:lnTo>
                                <a:lnTo>
                                  <a:pt x="4743374" y="188760"/>
                                </a:lnTo>
                                <a:lnTo>
                                  <a:pt x="4742624" y="188760"/>
                                </a:lnTo>
                                <a:lnTo>
                                  <a:pt x="4708753" y="211848"/>
                                </a:lnTo>
                                <a:lnTo>
                                  <a:pt x="4706607" y="222034"/>
                                </a:lnTo>
                                <a:lnTo>
                                  <a:pt x="4708512" y="232549"/>
                                </a:lnTo>
                                <a:lnTo>
                                  <a:pt x="4714443" y="243344"/>
                                </a:lnTo>
                                <a:lnTo>
                                  <a:pt x="4723549" y="237388"/>
                                </a:lnTo>
                                <a:lnTo>
                                  <a:pt x="4719028" y="232918"/>
                                </a:lnTo>
                                <a:lnTo>
                                  <a:pt x="4716704" y="227901"/>
                                </a:lnTo>
                                <a:lnTo>
                                  <a:pt x="4716577" y="222313"/>
                                </a:lnTo>
                                <a:lnTo>
                                  <a:pt x="4716450" y="216738"/>
                                </a:lnTo>
                                <a:lnTo>
                                  <a:pt x="4718024" y="212153"/>
                                </a:lnTo>
                                <a:lnTo>
                                  <a:pt x="4718126" y="211848"/>
                                </a:lnTo>
                                <a:lnTo>
                                  <a:pt x="4725035" y="203619"/>
                                </a:lnTo>
                                <a:lnTo>
                                  <a:pt x="4729327" y="201129"/>
                                </a:lnTo>
                                <a:lnTo>
                                  <a:pt x="4739691" y="199224"/>
                                </a:lnTo>
                                <a:lnTo>
                                  <a:pt x="4744377" y="200507"/>
                                </a:lnTo>
                                <a:lnTo>
                                  <a:pt x="4758309" y="248018"/>
                                </a:lnTo>
                                <a:lnTo>
                                  <a:pt x="4758080" y="257733"/>
                                </a:lnTo>
                                <a:lnTo>
                                  <a:pt x="4757077" y="279120"/>
                                </a:lnTo>
                                <a:lnTo>
                                  <a:pt x="4764202" y="285102"/>
                                </a:lnTo>
                                <a:lnTo>
                                  <a:pt x="4778311" y="268287"/>
                                </a:lnTo>
                                <a:lnTo>
                                  <a:pt x="4804994" y="236499"/>
                                </a:lnTo>
                                <a:close/>
                              </a:path>
                              <a:path w="5572125" h="285115">
                                <a:moveTo>
                                  <a:pt x="4843335" y="181546"/>
                                </a:moveTo>
                                <a:lnTo>
                                  <a:pt x="4841849" y="173913"/>
                                </a:lnTo>
                                <a:lnTo>
                                  <a:pt x="4838839" y="166293"/>
                                </a:lnTo>
                                <a:lnTo>
                                  <a:pt x="4835436" y="160489"/>
                                </a:lnTo>
                                <a:lnTo>
                                  <a:pt x="4835436" y="184607"/>
                                </a:lnTo>
                                <a:lnTo>
                                  <a:pt x="4834572" y="190347"/>
                                </a:lnTo>
                                <a:lnTo>
                                  <a:pt x="4824882" y="201891"/>
                                </a:lnTo>
                                <a:lnTo>
                                  <a:pt x="4824717" y="201891"/>
                                </a:lnTo>
                                <a:lnTo>
                                  <a:pt x="4818672" y="203898"/>
                                </a:lnTo>
                                <a:lnTo>
                                  <a:pt x="4780013" y="183565"/>
                                </a:lnTo>
                                <a:lnTo>
                                  <a:pt x="4765802" y="160172"/>
                                </a:lnTo>
                                <a:lnTo>
                                  <a:pt x="4766653" y="154330"/>
                                </a:lnTo>
                                <a:lnTo>
                                  <a:pt x="4766742" y="153720"/>
                                </a:lnTo>
                                <a:lnTo>
                                  <a:pt x="4776495" y="142087"/>
                                </a:lnTo>
                                <a:lnTo>
                                  <a:pt x="4783061" y="140106"/>
                                </a:lnTo>
                                <a:lnTo>
                                  <a:pt x="4791202" y="142087"/>
                                </a:lnTo>
                                <a:lnTo>
                                  <a:pt x="4826393" y="166141"/>
                                </a:lnTo>
                                <a:lnTo>
                                  <a:pt x="4835436" y="184607"/>
                                </a:lnTo>
                                <a:lnTo>
                                  <a:pt x="4835436" y="160489"/>
                                </a:lnTo>
                                <a:lnTo>
                                  <a:pt x="4808245" y="136829"/>
                                </a:lnTo>
                                <a:lnTo>
                                  <a:pt x="4808410" y="136829"/>
                                </a:lnTo>
                                <a:lnTo>
                                  <a:pt x="4800092" y="133616"/>
                                </a:lnTo>
                                <a:lnTo>
                                  <a:pt x="4792053" y="131826"/>
                                </a:lnTo>
                                <a:lnTo>
                                  <a:pt x="4784229" y="131597"/>
                                </a:lnTo>
                                <a:lnTo>
                                  <a:pt x="4777117" y="133261"/>
                                </a:lnTo>
                                <a:lnTo>
                                  <a:pt x="4758118" y="159156"/>
                                </a:lnTo>
                                <a:lnTo>
                                  <a:pt x="4757991" y="161010"/>
                                </a:lnTo>
                                <a:lnTo>
                                  <a:pt x="4778959" y="197904"/>
                                </a:lnTo>
                                <a:lnTo>
                                  <a:pt x="4810315" y="212153"/>
                                </a:lnTo>
                                <a:lnTo>
                                  <a:pt x="4817757" y="212153"/>
                                </a:lnTo>
                                <a:lnTo>
                                  <a:pt x="4824946" y="210350"/>
                                </a:lnTo>
                                <a:lnTo>
                                  <a:pt x="4831092" y="206946"/>
                                </a:lnTo>
                                <a:lnTo>
                                  <a:pt x="4834306" y="203898"/>
                                </a:lnTo>
                                <a:lnTo>
                                  <a:pt x="4836426" y="201891"/>
                                </a:lnTo>
                                <a:lnTo>
                                  <a:pt x="4843221" y="183565"/>
                                </a:lnTo>
                                <a:lnTo>
                                  <a:pt x="4843335" y="181546"/>
                                </a:lnTo>
                                <a:close/>
                              </a:path>
                              <a:path w="5572125" h="285115">
                                <a:moveTo>
                                  <a:pt x="4896523" y="110464"/>
                                </a:moveTo>
                                <a:lnTo>
                                  <a:pt x="4893665" y="104101"/>
                                </a:lnTo>
                                <a:lnTo>
                                  <a:pt x="4893297" y="103797"/>
                                </a:lnTo>
                                <a:lnTo>
                                  <a:pt x="4889728" y="100799"/>
                                </a:lnTo>
                                <a:lnTo>
                                  <a:pt x="4883162" y="95288"/>
                                </a:lnTo>
                                <a:lnTo>
                                  <a:pt x="4877943" y="93586"/>
                                </a:lnTo>
                                <a:lnTo>
                                  <a:pt x="4866678" y="94780"/>
                                </a:lnTo>
                                <a:lnTo>
                                  <a:pt x="4861712" y="96989"/>
                                </a:lnTo>
                                <a:lnTo>
                                  <a:pt x="4857432" y="100799"/>
                                </a:lnTo>
                                <a:lnTo>
                                  <a:pt x="4859871" y="96431"/>
                                </a:lnTo>
                                <a:lnTo>
                                  <a:pt x="4860125" y="95288"/>
                                </a:lnTo>
                                <a:lnTo>
                                  <a:pt x="4860709" y="92075"/>
                                </a:lnTo>
                                <a:lnTo>
                                  <a:pt x="4860760" y="91427"/>
                                </a:lnTo>
                                <a:lnTo>
                                  <a:pt x="4859159" y="81800"/>
                                </a:lnTo>
                                <a:lnTo>
                                  <a:pt x="4857826" y="79489"/>
                                </a:lnTo>
                                <a:lnTo>
                                  <a:pt x="4856810" y="77711"/>
                                </a:lnTo>
                                <a:lnTo>
                                  <a:pt x="4848047" y="70358"/>
                                </a:lnTo>
                                <a:lnTo>
                                  <a:pt x="4848352" y="70358"/>
                                </a:lnTo>
                                <a:lnTo>
                                  <a:pt x="4841887" y="68707"/>
                                </a:lnTo>
                                <a:lnTo>
                                  <a:pt x="4810010" y="90601"/>
                                </a:lnTo>
                                <a:lnTo>
                                  <a:pt x="4807242" y="99898"/>
                                </a:lnTo>
                                <a:lnTo>
                                  <a:pt x="4807280" y="100799"/>
                                </a:lnTo>
                                <a:lnTo>
                                  <a:pt x="4807394" y="103797"/>
                                </a:lnTo>
                                <a:lnTo>
                                  <a:pt x="4807509" y="106603"/>
                                </a:lnTo>
                                <a:lnTo>
                                  <a:pt x="4807610" y="109448"/>
                                </a:lnTo>
                                <a:lnTo>
                                  <a:pt x="4811141" y="119240"/>
                                </a:lnTo>
                                <a:lnTo>
                                  <a:pt x="4819840" y="113360"/>
                                </a:lnTo>
                                <a:lnTo>
                                  <a:pt x="4817173" y="106603"/>
                                </a:lnTo>
                                <a:lnTo>
                                  <a:pt x="4816703" y="100799"/>
                                </a:lnTo>
                                <a:lnTo>
                                  <a:pt x="4816703" y="99898"/>
                                </a:lnTo>
                                <a:lnTo>
                                  <a:pt x="4818265" y="93941"/>
                                </a:lnTo>
                                <a:lnTo>
                                  <a:pt x="4822037" y="88023"/>
                                </a:lnTo>
                                <a:lnTo>
                                  <a:pt x="4825454" y="83959"/>
                                </a:lnTo>
                                <a:lnTo>
                                  <a:pt x="4829492" y="81343"/>
                                </a:lnTo>
                                <a:lnTo>
                                  <a:pt x="4838420" y="79489"/>
                                </a:lnTo>
                                <a:lnTo>
                                  <a:pt x="4842497" y="80581"/>
                                </a:lnTo>
                                <a:lnTo>
                                  <a:pt x="4849558" y="86499"/>
                                </a:lnTo>
                                <a:lnTo>
                                  <a:pt x="4851374" y="90119"/>
                                </a:lnTo>
                                <a:lnTo>
                                  <a:pt x="4851400" y="90601"/>
                                </a:lnTo>
                                <a:lnTo>
                                  <a:pt x="4851501" y="92075"/>
                                </a:lnTo>
                                <a:lnTo>
                                  <a:pt x="4851603" y="93586"/>
                                </a:lnTo>
                                <a:lnTo>
                                  <a:pt x="4851666" y="94538"/>
                                </a:lnTo>
                                <a:lnTo>
                                  <a:pt x="4851793" y="96431"/>
                                </a:lnTo>
                                <a:lnTo>
                                  <a:pt x="4851882" y="97853"/>
                                </a:lnTo>
                                <a:lnTo>
                                  <a:pt x="4851959" y="98983"/>
                                </a:lnTo>
                                <a:lnTo>
                                  <a:pt x="4849812" y="103797"/>
                                </a:lnTo>
                                <a:lnTo>
                                  <a:pt x="4849660" y="104101"/>
                                </a:lnTo>
                                <a:lnTo>
                                  <a:pt x="4838331" y="117602"/>
                                </a:lnTo>
                                <a:lnTo>
                                  <a:pt x="4845101" y="123278"/>
                                </a:lnTo>
                                <a:lnTo>
                                  <a:pt x="4856556" y="109639"/>
                                </a:lnTo>
                                <a:lnTo>
                                  <a:pt x="4861572" y="106146"/>
                                </a:lnTo>
                                <a:lnTo>
                                  <a:pt x="4871885" y="103797"/>
                                </a:lnTo>
                                <a:lnTo>
                                  <a:pt x="4876431" y="104863"/>
                                </a:lnTo>
                                <a:lnTo>
                                  <a:pt x="4884039" y="111252"/>
                                </a:lnTo>
                                <a:lnTo>
                                  <a:pt x="4886058" y="115227"/>
                                </a:lnTo>
                                <a:lnTo>
                                  <a:pt x="4886655" y="123278"/>
                                </a:lnTo>
                                <a:lnTo>
                                  <a:pt x="4886744" y="124345"/>
                                </a:lnTo>
                                <a:lnTo>
                                  <a:pt x="4859375" y="146202"/>
                                </a:lnTo>
                                <a:lnTo>
                                  <a:pt x="4851908" y="144119"/>
                                </a:lnTo>
                                <a:lnTo>
                                  <a:pt x="4847869" y="154330"/>
                                </a:lnTo>
                                <a:lnTo>
                                  <a:pt x="4854372" y="156819"/>
                                </a:lnTo>
                                <a:lnTo>
                                  <a:pt x="4861064" y="157060"/>
                                </a:lnTo>
                                <a:lnTo>
                                  <a:pt x="4874819" y="153047"/>
                                </a:lnTo>
                                <a:lnTo>
                                  <a:pt x="4896434" y="119240"/>
                                </a:lnTo>
                                <a:lnTo>
                                  <a:pt x="4896523" y="110464"/>
                                </a:lnTo>
                                <a:close/>
                              </a:path>
                              <a:path w="5572125" h="285115">
                                <a:moveTo>
                                  <a:pt x="4948237" y="49860"/>
                                </a:moveTo>
                                <a:lnTo>
                                  <a:pt x="4946408" y="45554"/>
                                </a:lnTo>
                                <a:lnTo>
                                  <a:pt x="4945596" y="43649"/>
                                </a:lnTo>
                                <a:lnTo>
                                  <a:pt x="4940554" y="39420"/>
                                </a:lnTo>
                                <a:lnTo>
                                  <a:pt x="4939004" y="38125"/>
                                </a:lnTo>
                                <a:lnTo>
                                  <a:pt x="4939004" y="55105"/>
                                </a:lnTo>
                                <a:lnTo>
                                  <a:pt x="4938293" y="63474"/>
                                </a:lnTo>
                                <a:lnTo>
                                  <a:pt x="4911255" y="87909"/>
                                </a:lnTo>
                                <a:lnTo>
                                  <a:pt x="4907026" y="87007"/>
                                </a:lnTo>
                                <a:lnTo>
                                  <a:pt x="4906391" y="86499"/>
                                </a:lnTo>
                                <a:lnTo>
                                  <a:pt x="4903368" y="83959"/>
                                </a:lnTo>
                                <a:lnTo>
                                  <a:pt x="4899469" y="78841"/>
                                </a:lnTo>
                                <a:lnTo>
                                  <a:pt x="4898174" y="72212"/>
                                </a:lnTo>
                                <a:lnTo>
                                  <a:pt x="4899304" y="65227"/>
                                </a:lnTo>
                                <a:lnTo>
                                  <a:pt x="4899380" y="64719"/>
                                </a:lnTo>
                                <a:lnTo>
                                  <a:pt x="4899482" y="64071"/>
                                </a:lnTo>
                                <a:lnTo>
                                  <a:pt x="4900815" y="60794"/>
                                </a:lnTo>
                                <a:lnTo>
                                  <a:pt x="4903406" y="54419"/>
                                </a:lnTo>
                                <a:lnTo>
                                  <a:pt x="4903838" y="54152"/>
                                </a:lnTo>
                                <a:lnTo>
                                  <a:pt x="4913033" y="48552"/>
                                </a:lnTo>
                                <a:lnTo>
                                  <a:pt x="4921339" y="45554"/>
                                </a:lnTo>
                                <a:lnTo>
                                  <a:pt x="4928565" y="45554"/>
                                </a:lnTo>
                                <a:lnTo>
                                  <a:pt x="4933988" y="48183"/>
                                </a:lnTo>
                                <a:lnTo>
                                  <a:pt x="4937468" y="51117"/>
                                </a:lnTo>
                                <a:lnTo>
                                  <a:pt x="4939004" y="55105"/>
                                </a:lnTo>
                                <a:lnTo>
                                  <a:pt x="4939004" y="38125"/>
                                </a:lnTo>
                                <a:lnTo>
                                  <a:pt x="4937010" y="36449"/>
                                </a:lnTo>
                                <a:lnTo>
                                  <a:pt x="4933162" y="34772"/>
                                </a:lnTo>
                                <a:lnTo>
                                  <a:pt x="4923942" y="33248"/>
                                </a:lnTo>
                                <a:lnTo>
                                  <a:pt x="4916970" y="35052"/>
                                </a:lnTo>
                                <a:lnTo>
                                  <a:pt x="4907648" y="39420"/>
                                </a:lnTo>
                                <a:lnTo>
                                  <a:pt x="4909782" y="31305"/>
                                </a:lnTo>
                                <a:lnTo>
                                  <a:pt x="4909756" y="24206"/>
                                </a:lnTo>
                                <a:lnTo>
                                  <a:pt x="4907572" y="18122"/>
                                </a:lnTo>
                                <a:lnTo>
                                  <a:pt x="4906226" y="16560"/>
                                </a:lnTo>
                                <a:lnTo>
                                  <a:pt x="4903216" y="13055"/>
                                </a:lnTo>
                                <a:lnTo>
                                  <a:pt x="4901260" y="11417"/>
                                </a:lnTo>
                                <a:lnTo>
                                  <a:pt x="4901260" y="34264"/>
                                </a:lnTo>
                                <a:lnTo>
                                  <a:pt x="4899736" y="39420"/>
                                </a:lnTo>
                                <a:lnTo>
                                  <a:pt x="4878349" y="54152"/>
                                </a:lnTo>
                                <a:lnTo>
                                  <a:pt x="4874260" y="53390"/>
                                </a:lnTo>
                                <a:lnTo>
                                  <a:pt x="4867808" y="47967"/>
                                </a:lnTo>
                                <a:lnTo>
                                  <a:pt x="4866411" y="44399"/>
                                </a:lnTo>
                                <a:lnTo>
                                  <a:pt x="4867186" y="36449"/>
                                </a:lnTo>
                                <a:lnTo>
                                  <a:pt x="4867262" y="35598"/>
                                </a:lnTo>
                                <a:lnTo>
                                  <a:pt x="4867503" y="35052"/>
                                </a:lnTo>
                                <a:lnTo>
                                  <a:pt x="4869269" y="31305"/>
                                </a:lnTo>
                                <a:lnTo>
                                  <a:pt x="4869345" y="31140"/>
                                </a:lnTo>
                                <a:lnTo>
                                  <a:pt x="4876927" y="22110"/>
                                </a:lnTo>
                                <a:lnTo>
                                  <a:pt x="4880953" y="19151"/>
                                </a:lnTo>
                                <a:lnTo>
                                  <a:pt x="4889347" y="16560"/>
                                </a:lnTo>
                                <a:lnTo>
                                  <a:pt x="4893195" y="17386"/>
                                </a:lnTo>
                                <a:lnTo>
                                  <a:pt x="4899711" y="22847"/>
                                </a:lnTo>
                                <a:lnTo>
                                  <a:pt x="4901222" y="26149"/>
                                </a:lnTo>
                                <a:lnTo>
                                  <a:pt x="4901260" y="34264"/>
                                </a:lnTo>
                                <a:lnTo>
                                  <a:pt x="4901260" y="11417"/>
                                </a:lnTo>
                                <a:lnTo>
                                  <a:pt x="4897996" y="8674"/>
                                </a:lnTo>
                                <a:lnTo>
                                  <a:pt x="4892040" y="7213"/>
                                </a:lnTo>
                                <a:lnTo>
                                  <a:pt x="4878629" y="10096"/>
                                </a:lnTo>
                                <a:lnTo>
                                  <a:pt x="4872329" y="14325"/>
                                </a:lnTo>
                                <a:lnTo>
                                  <a:pt x="4860468" y="28473"/>
                                </a:lnTo>
                                <a:lnTo>
                                  <a:pt x="4857343" y="35598"/>
                                </a:lnTo>
                                <a:lnTo>
                                  <a:pt x="4857051" y="43649"/>
                                </a:lnTo>
                                <a:lnTo>
                                  <a:pt x="4856924" y="46850"/>
                                </a:lnTo>
                                <a:lnTo>
                                  <a:pt x="4876736" y="64719"/>
                                </a:lnTo>
                                <a:lnTo>
                                  <a:pt x="4883937" y="63842"/>
                                </a:lnTo>
                                <a:lnTo>
                                  <a:pt x="4891862" y="60794"/>
                                </a:lnTo>
                                <a:lnTo>
                                  <a:pt x="4889449" y="70358"/>
                                </a:lnTo>
                                <a:lnTo>
                                  <a:pt x="4889322" y="70942"/>
                                </a:lnTo>
                                <a:lnTo>
                                  <a:pt x="4889208" y="79489"/>
                                </a:lnTo>
                                <a:lnTo>
                                  <a:pt x="4891075" y="85432"/>
                                </a:lnTo>
                                <a:lnTo>
                                  <a:pt x="4891430" y="86499"/>
                                </a:lnTo>
                                <a:lnTo>
                                  <a:pt x="4896015" y="92075"/>
                                </a:lnTo>
                                <a:lnTo>
                                  <a:pt x="4901209" y="96431"/>
                                </a:lnTo>
                                <a:lnTo>
                                  <a:pt x="4907661" y="97853"/>
                                </a:lnTo>
                                <a:lnTo>
                                  <a:pt x="4914836" y="96431"/>
                                </a:lnTo>
                                <a:lnTo>
                                  <a:pt x="4915027" y="96431"/>
                                </a:lnTo>
                                <a:lnTo>
                                  <a:pt x="4921072" y="94538"/>
                                </a:lnTo>
                                <a:lnTo>
                                  <a:pt x="4926698" y="91427"/>
                                </a:lnTo>
                                <a:lnTo>
                                  <a:pt x="4930953" y="88023"/>
                                </a:lnTo>
                                <a:lnTo>
                                  <a:pt x="4932223" y="87007"/>
                                </a:lnTo>
                                <a:lnTo>
                                  <a:pt x="4947120" y="63842"/>
                                </a:lnTo>
                                <a:lnTo>
                                  <a:pt x="4947247" y="63474"/>
                                </a:lnTo>
                                <a:lnTo>
                                  <a:pt x="4948021" y="57619"/>
                                </a:lnTo>
                                <a:lnTo>
                                  <a:pt x="4948136" y="53390"/>
                                </a:lnTo>
                                <a:lnTo>
                                  <a:pt x="4948237" y="49860"/>
                                </a:lnTo>
                                <a:close/>
                              </a:path>
                              <a:path w="5572125" h="285115">
                                <a:moveTo>
                                  <a:pt x="5118760" y="236499"/>
                                </a:moveTo>
                                <a:lnTo>
                                  <a:pt x="5111635" y="230517"/>
                                </a:lnTo>
                                <a:lnTo>
                                  <a:pt x="5079936" y="268287"/>
                                </a:lnTo>
                                <a:lnTo>
                                  <a:pt x="5080749" y="257911"/>
                                </a:lnTo>
                                <a:lnTo>
                                  <a:pt x="5081308" y="248018"/>
                                </a:lnTo>
                                <a:lnTo>
                                  <a:pt x="5081295" y="221043"/>
                                </a:lnTo>
                                <a:lnTo>
                                  <a:pt x="5080228" y="213423"/>
                                </a:lnTo>
                                <a:lnTo>
                                  <a:pt x="5057140" y="188760"/>
                                </a:lnTo>
                                <a:lnTo>
                                  <a:pt x="5056403" y="188760"/>
                                </a:lnTo>
                                <a:lnTo>
                                  <a:pt x="5022532" y="211848"/>
                                </a:lnTo>
                                <a:lnTo>
                                  <a:pt x="5020386" y="222034"/>
                                </a:lnTo>
                                <a:lnTo>
                                  <a:pt x="5022278" y="232549"/>
                                </a:lnTo>
                                <a:lnTo>
                                  <a:pt x="5028209" y="243344"/>
                                </a:lnTo>
                                <a:lnTo>
                                  <a:pt x="5037315" y="237388"/>
                                </a:lnTo>
                                <a:lnTo>
                                  <a:pt x="5032794" y="232918"/>
                                </a:lnTo>
                                <a:lnTo>
                                  <a:pt x="5030470" y="227901"/>
                                </a:lnTo>
                                <a:lnTo>
                                  <a:pt x="5030343" y="222313"/>
                                </a:lnTo>
                                <a:lnTo>
                                  <a:pt x="5030216" y="216738"/>
                                </a:lnTo>
                                <a:lnTo>
                                  <a:pt x="5031791" y="212153"/>
                                </a:lnTo>
                                <a:lnTo>
                                  <a:pt x="5031892" y="211848"/>
                                </a:lnTo>
                                <a:lnTo>
                                  <a:pt x="5038801" y="203619"/>
                                </a:lnTo>
                                <a:lnTo>
                                  <a:pt x="5043094" y="201129"/>
                                </a:lnTo>
                                <a:lnTo>
                                  <a:pt x="5053457" y="199224"/>
                                </a:lnTo>
                                <a:lnTo>
                                  <a:pt x="5058143" y="200507"/>
                                </a:lnTo>
                                <a:lnTo>
                                  <a:pt x="5072075" y="230517"/>
                                </a:lnTo>
                                <a:lnTo>
                                  <a:pt x="5072075" y="248018"/>
                                </a:lnTo>
                                <a:lnTo>
                                  <a:pt x="5071846" y="257733"/>
                                </a:lnTo>
                                <a:lnTo>
                                  <a:pt x="5070843" y="279120"/>
                                </a:lnTo>
                                <a:lnTo>
                                  <a:pt x="5077968" y="285102"/>
                                </a:lnTo>
                                <a:lnTo>
                                  <a:pt x="5092090" y="268287"/>
                                </a:lnTo>
                                <a:lnTo>
                                  <a:pt x="5118760" y="236499"/>
                                </a:lnTo>
                                <a:close/>
                              </a:path>
                              <a:path w="5572125" h="285115">
                                <a:moveTo>
                                  <a:pt x="5157114" y="181546"/>
                                </a:moveTo>
                                <a:lnTo>
                                  <a:pt x="5155616" y="173913"/>
                                </a:lnTo>
                                <a:lnTo>
                                  <a:pt x="5152606" y="166293"/>
                                </a:lnTo>
                                <a:lnTo>
                                  <a:pt x="5149215" y="160502"/>
                                </a:lnTo>
                                <a:lnTo>
                                  <a:pt x="5149215" y="184607"/>
                                </a:lnTo>
                                <a:lnTo>
                                  <a:pt x="5148338" y="190347"/>
                                </a:lnTo>
                                <a:lnTo>
                                  <a:pt x="5138648" y="201891"/>
                                </a:lnTo>
                                <a:lnTo>
                                  <a:pt x="5138483" y="201891"/>
                                </a:lnTo>
                                <a:lnTo>
                                  <a:pt x="5132438" y="203898"/>
                                </a:lnTo>
                                <a:lnTo>
                                  <a:pt x="5093792" y="183565"/>
                                </a:lnTo>
                                <a:lnTo>
                                  <a:pt x="5079568" y="160172"/>
                                </a:lnTo>
                                <a:lnTo>
                                  <a:pt x="5080419" y="154330"/>
                                </a:lnTo>
                                <a:lnTo>
                                  <a:pt x="5080508" y="153720"/>
                                </a:lnTo>
                                <a:lnTo>
                                  <a:pt x="5090274" y="142087"/>
                                </a:lnTo>
                                <a:lnTo>
                                  <a:pt x="5096827" y="140106"/>
                                </a:lnTo>
                                <a:lnTo>
                                  <a:pt x="5104968" y="142087"/>
                                </a:lnTo>
                                <a:lnTo>
                                  <a:pt x="5140172" y="166141"/>
                                </a:lnTo>
                                <a:lnTo>
                                  <a:pt x="5149215" y="184607"/>
                                </a:lnTo>
                                <a:lnTo>
                                  <a:pt x="5149215" y="160502"/>
                                </a:lnTo>
                                <a:lnTo>
                                  <a:pt x="5122024" y="136829"/>
                                </a:lnTo>
                                <a:lnTo>
                                  <a:pt x="5122176" y="136829"/>
                                </a:lnTo>
                                <a:lnTo>
                                  <a:pt x="5113858" y="133616"/>
                                </a:lnTo>
                                <a:lnTo>
                                  <a:pt x="5105819" y="131826"/>
                                </a:lnTo>
                                <a:lnTo>
                                  <a:pt x="5098008" y="131597"/>
                                </a:lnTo>
                                <a:lnTo>
                                  <a:pt x="5090884" y="133261"/>
                                </a:lnTo>
                                <a:lnTo>
                                  <a:pt x="5071897" y="159156"/>
                                </a:lnTo>
                                <a:lnTo>
                                  <a:pt x="5071770" y="161010"/>
                                </a:lnTo>
                                <a:lnTo>
                                  <a:pt x="5092738" y="197904"/>
                                </a:lnTo>
                                <a:lnTo>
                                  <a:pt x="5124081" y="212153"/>
                                </a:lnTo>
                                <a:lnTo>
                                  <a:pt x="5131536" y="212153"/>
                                </a:lnTo>
                                <a:lnTo>
                                  <a:pt x="5138712" y="210350"/>
                                </a:lnTo>
                                <a:lnTo>
                                  <a:pt x="5144859" y="206946"/>
                                </a:lnTo>
                                <a:lnTo>
                                  <a:pt x="5148072" y="203898"/>
                                </a:lnTo>
                                <a:lnTo>
                                  <a:pt x="5150193" y="201891"/>
                                </a:lnTo>
                                <a:lnTo>
                                  <a:pt x="5154409" y="195529"/>
                                </a:lnTo>
                                <a:lnTo>
                                  <a:pt x="5156644" y="188950"/>
                                </a:lnTo>
                                <a:lnTo>
                                  <a:pt x="5156708" y="188760"/>
                                </a:lnTo>
                                <a:lnTo>
                                  <a:pt x="5156936" y="184607"/>
                                </a:lnTo>
                                <a:lnTo>
                                  <a:pt x="5157000" y="183565"/>
                                </a:lnTo>
                                <a:lnTo>
                                  <a:pt x="5157114" y="181546"/>
                                </a:lnTo>
                                <a:close/>
                              </a:path>
                              <a:path w="5572125" h="285115">
                                <a:moveTo>
                                  <a:pt x="5210289" y="110464"/>
                                </a:moveTo>
                                <a:lnTo>
                                  <a:pt x="5191709" y="93586"/>
                                </a:lnTo>
                                <a:lnTo>
                                  <a:pt x="5180444" y="94780"/>
                                </a:lnTo>
                                <a:lnTo>
                                  <a:pt x="5175478" y="96989"/>
                                </a:lnTo>
                                <a:lnTo>
                                  <a:pt x="5171198" y="100799"/>
                                </a:lnTo>
                                <a:lnTo>
                                  <a:pt x="5173713" y="96304"/>
                                </a:lnTo>
                                <a:lnTo>
                                  <a:pt x="5155654" y="68707"/>
                                </a:lnTo>
                                <a:lnTo>
                                  <a:pt x="5141633" y="70942"/>
                                </a:lnTo>
                                <a:lnTo>
                                  <a:pt x="5135308" y="74853"/>
                                </a:lnTo>
                                <a:lnTo>
                                  <a:pt x="5129708" y="81546"/>
                                </a:lnTo>
                                <a:lnTo>
                                  <a:pt x="5123789" y="90601"/>
                                </a:lnTo>
                                <a:lnTo>
                                  <a:pt x="5121021" y="99898"/>
                                </a:lnTo>
                                <a:lnTo>
                                  <a:pt x="5121046" y="100799"/>
                                </a:lnTo>
                                <a:lnTo>
                                  <a:pt x="5121173" y="103797"/>
                                </a:lnTo>
                                <a:lnTo>
                                  <a:pt x="5121275" y="106603"/>
                                </a:lnTo>
                                <a:lnTo>
                                  <a:pt x="5121389" y="109448"/>
                                </a:lnTo>
                                <a:lnTo>
                                  <a:pt x="5124907" y="119240"/>
                                </a:lnTo>
                                <a:lnTo>
                                  <a:pt x="5133606" y="113360"/>
                                </a:lnTo>
                                <a:lnTo>
                                  <a:pt x="5130939" y="106603"/>
                                </a:lnTo>
                                <a:lnTo>
                                  <a:pt x="5130470" y="100799"/>
                                </a:lnTo>
                                <a:lnTo>
                                  <a:pt x="5130482" y="99898"/>
                                </a:lnTo>
                                <a:lnTo>
                                  <a:pt x="5131689" y="95288"/>
                                </a:lnTo>
                                <a:lnTo>
                                  <a:pt x="5131752" y="95046"/>
                                </a:lnTo>
                                <a:lnTo>
                                  <a:pt x="5131816" y="94780"/>
                                </a:lnTo>
                                <a:lnTo>
                                  <a:pt x="5131943" y="94322"/>
                                </a:lnTo>
                                <a:lnTo>
                                  <a:pt x="5132044" y="93941"/>
                                </a:lnTo>
                                <a:lnTo>
                                  <a:pt x="5135804" y="88023"/>
                                </a:lnTo>
                                <a:lnTo>
                                  <a:pt x="5139283" y="83883"/>
                                </a:lnTo>
                                <a:lnTo>
                                  <a:pt x="5143258" y="81343"/>
                                </a:lnTo>
                                <a:lnTo>
                                  <a:pt x="5152187" y="79489"/>
                                </a:lnTo>
                                <a:lnTo>
                                  <a:pt x="5156263" y="80581"/>
                                </a:lnTo>
                                <a:lnTo>
                                  <a:pt x="5163324" y="86499"/>
                                </a:lnTo>
                                <a:lnTo>
                                  <a:pt x="5165141" y="90119"/>
                                </a:lnTo>
                                <a:lnTo>
                                  <a:pt x="5165725" y="98983"/>
                                </a:lnTo>
                                <a:lnTo>
                                  <a:pt x="5163591" y="103797"/>
                                </a:lnTo>
                                <a:lnTo>
                                  <a:pt x="5163439" y="104101"/>
                                </a:lnTo>
                                <a:lnTo>
                                  <a:pt x="5152098" y="117602"/>
                                </a:lnTo>
                                <a:lnTo>
                                  <a:pt x="5158867" y="123278"/>
                                </a:lnTo>
                                <a:lnTo>
                                  <a:pt x="5170322" y="109639"/>
                                </a:lnTo>
                                <a:lnTo>
                                  <a:pt x="5175339" y="106146"/>
                                </a:lnTo>
                                <a:lnTo>
                                  <a:pt x="5185651" y="103797"/>
                                </a:lnTo>
                                <a:lnTo>
                                  <a:pt x="5190198" y="104863"/>
                                </a:lnTo>
                                <a:lnTo>
                                  <a:pt x="5197805" y="111252"/>
                                </a:lnTo>
                                <a:lnTo>
                                  <a:pt x="5199824" y="115227"/>
                                </a:lnTo>
                                <a:lnTo>
                                  <a:pt x="5200434" y="123278"/>
                                </a:lnTo>
                                <a:lnTo>
                                  <a:pt x="5200510" y="124345"/>
                                </a:lnTo>
                                <a:lnTo>
                                  <a:pt x="5200561" y="125031"/>
                                </a:lnTo>
                                <a:lnTo>
                                  <a:pt x="5173154" y="146202"/>
                                </a:lnTo>
                                <a:lnTo>
                                  <a:pt x="5165674" y="144119"/>
                                </a:lnTo>
                                <a:lnTo>
                                  <a:pt x="5161635" y="154330"/>
                                </a:lnTo>
                                <a:lnTo>
                                  <a:pt x="5168138" y="156819"/>
                                </a:lnTo>
                                <a:lnTo>
                                  <a:pt x="5174831" y="157060"/>
                                </a:lnTo>
                                <a:lnTo>
                                  <a:pt x="5188585" y="153047"/>
                                </a:lnTo>
                                <a:lnTo>
                                  <a:pt x="5194719" y="148831"/>
                                </a:lnTo>
                                <a:lnTo>
                                  <a:pt x="5196827" y="146316"/>
                                </a:lnTo>
                                <a:lnTo>
                                  <a:pt x="5200040" y="142494"/>
                                </a:lnTo>
                                <a:lnTo>
                                  <a:pt x="5204561" y="136359"/>
                                </a:lnTo>
                                <a:lnTo>
                                  <a:pt x="5207622" y="130556"/>
                                </a:lnTo>
                                <a:lnTo>
                                  <a:pt x="5207749" y="130327"/>
                                </a:lnTo>
                                <a:lnTo>
                                  <a:pt x="5209654" y="124345"/>
                                </a:lnTo>
                                <a:lnTo>
                                  <a:pt x="5210200" y="119240"/>
                                </a:lnTo>
                                <a:lnTo>
                                  <a:pt x="5210289" y="110464"/>
                                </a:lnTo>
                                <a:close/>
                              </a:path>
                              <a:path w="5572125" h="285115">
                                <a:moveTo>
                                  <a:pt x="5256631" y="63284"/>
                                </a:moveTo>
                                <a:lnTo>
                                  <a:pt x="5234610" y="25539"/>
                                </a:lnTo>
                                <a:lnTo>
                                  <a:pt x="5223434" y="17830"/>
                                </a:lnTo>
                                <a:lnTo>
                                  <a:pt x="5223434" y="46355"/>
                                </a:lnTo>
                                <a:lnTo>
                                  <a:pt x="5221871" y="51396"/>
                                </a:lnTo>
                                <a:lnTo>
                                  <a:pt x="5221770" y="51689"/>
                                </a:lnTo>
                                <a:lnTo>
                                  <a:pt x="5214226" y="60680"/>
                                </a:lnTo>
                                <a:lnTo>
                                  <a:pt x="5209578" y="63284"/>
                                </a:lnTo>
                                <a:lnTo>
                                  <a:pt x="5209400" y="63284"/>
                                </a:lnTo>
                                <a:lnTo>
                                  <a:pt x="5198542" y="64922"/>
                                </a:lnTo>
                                <a:lnTo>
                                  <a:pt x="5179847" y="40005"/>
                                </a:lnTo>
                                <a:lnTo>
                                  <a:pt x="5179784" y="39535"/>
                                </a:lnTo>
                                <a:lnTo>
                                  <a:pt x="5181473" y="34429"/>
                                </a:lnTo>
                                <a:lnTo>
                                  <a:pt x="5181524" y="34251"/>
                                </a:lnTo>
                                <a:lnTo>
                                  <a:pt x="5189880" y="24282"/>
                                </a:lnTo>
                                <a:lnTo>
                                  <a:pt x="5194770" y="21590"/>
                                </a:lnTo>
                                <a:lnTo>
                                  <a:pt x="5206009" y="20701"/>
                                </a:lnTo>
                                <a:lnTo>
                                  <a:pt x="5210975" y="22288"/>
                                </a:lnTo>
                                <a:lnTo>
                                  <a:pt x="5223434" y="46355"/>
                                </a:lnTo>
                                <a:lnTo>
                                  <a:pt x="5223434" y="17830"/>
                                </a:lnTo>
                                <a:lnTo>
                                  <a:pt x="5219014" y="15367"/>
                                </a:lnTo>
                                <a:lnTo>
                                  <a:pt x="5211407" y="12649"/>
                                </a:lnTo>
                                <a:lnTo>
                                  <a:pt x="5203914" y="11493"/>
                                </a:lnTo>
                                <a:lnTo>
                                  <a:pt x="5196764" y="11988"/>
                                </a:lnTo>
                                <a:lnTo>
                                  <a:pt x="5169840" y="38392"/>
                                </a:lnTo>
                                <a:lnTo>
                                  <a:pt x="5171478" y="55206"/>
                                </a:lnTo>
                                <a:lnTo>
                                  <a:pt x="5175135" y="62141"/>
                                </a:lnTo>
                                <a:lnTo>
                                  <a:pt x="5188026" y="72961"/>
                                </a:lnTo>
                                <a:lnTo>
                                  <a:pt x="5195201" y="75298"/>
                                </a:lnTo>
                                <a:lnTo>
                                  <a:pt x="5211115" y="73952"/>
                                </a:lnTo>
                                <a:lnTo>
                                  <a:pt x="5229936" y="41821"/>
                                </a:lnTo>
                                <a:lnTo>
                                  <a:pt x="5227713" y="33502"/>
                                </a:lnTo>
                                <a:lnTo>
                                  <a:pt x="5234127" y="39535"/>
                                </a:lnTo>
                                <a:lnTo>
                                  <a:pt x="5248478" y="65227"/>
                                </a:lnTo>
                                <a:lnTo>
                                  <a:pt x="5247106" y="72440"/>
                                </a:lnTo>
                                <a:lnTo>
                                  <a:pt x="5235994" y="85674"/>
                                </a:lnTo>
                                <a:lnTo>
                                  <a:pt x="5228818" y="87807"/>
                                </a:lnTo>
                                <a:lnTo>
                                  <a:pt x="5220106" y="85344"/>
                                </a:lnTo>
                                <a:lnTo>
                                  <a:pt x="5216855" y="94322"/>
                                </a:lnTo>
                                <a:lnTo>
                                  <a:pt x="5225732" y="96062"/>
                                </a:lnTo>
                                <a:lnTo>
                                  <a:pt x="5233949" y="95046"/>
                                </a:lnTo>
                                <a:lnTo>
                                  <a:pt x="5241506" y="91313"/>
                                </a:lnTo>
                                <a:lnTo>
                                  <a:pt x="5256415" y="65227"/>
                                </a:lnTo>
                                <a:lnTo>
                                  <a:pt x="5256542" y="64084"/>
                                </a:lnTo>
                                <a:lnTo>
                                  <a:pt x="5256631" y="63284"/>
                                </a:lnTo>
                                <a:close/>
                              </a:path>
                              <a:path w="5572125" h="285115">
                                <a:moveTo>
                                  <a:pt x="5432539" y="236499"/>
                                </a:moveTo>
                                <a:lnTo>
                                  <a:pt x="5425414" y="230517"/>
                                </a:lnTo>
                                <a:lnTo>
                                  <a:pt x="5393715" y="268287"/>
                                </a:lnTo>
                                <a:lnTo>
                                  <a:pt x="5394528" y="257911"/>
                                </a:lnTo>
                                <a:lnTo>
                                  <a:pt x="5395087" y="248018"/>
                                </a:lnTo>
                                <a:lnTo>
                                  <a:pt x="5395074" y="221043"/>
                                </a:lnTo>
                                <a:lnTo>
                                  <a:pt x="5393995" y="213423"/>
                                </a:lnTo>
                                <a:lnTo>
                                  <a:pt x="5390146" y="203047"/>
                                </a:lnTo>
                                <a:lnTo>
                                  <a:pt x="5387492" y="199224"/>
                                </a:lnTo>
                                <a:lnTo>
                                  <a:pt x="5387187" y="198780"/>
                                </a:lnTo>
                                <a:lnTo>
                                  <a:pt x="5377421" y="190588"/>
                                </a:lnTo>
                                <a:lnTo>
                                  <a:pt x="5370919" y="188760"/>
                                </a:lnTo>
                                <a:lnTo>
                                  <a:pt x="5370169" y="188760"/>
                                </a:lnTo>
                                <a:lnTo>
                                  <a:pt x="5336298" y="211848"/>
                                </a:lnTo>
                                <a:lnTo>
                                  <a:pt x="5334165" y="222034"/>
                                </a:lnTo>
                                <a:lnTo>
                                  <a:pt x="5336057" y="232549"/>
                                </a:lnTo>
                                <a:lnTo>
                                  <a:pt x="5341988" y="243344"/>
                                </a:lnTo>
                                <a:lnTo>
                                  <a:pt x="5351094" y="237388"/>
                                </a:lnTo>
                                <a:lnTo>
                                  <a:pt x="5346573" y="232918"/>
                                </a:lnTo>
                                <a:lnTo>
                                  <a:pt x="5344249" y="227901"/>
                                </a:lnTo>
                                <a:lnTo>
                                  <a:pt x="5344122" y="222313"/>
                                </a:lnTo>
                                <a:lnTo>
                                  <a:pt x="5343995" y="216738"/>
                                </a:lnTo>
                                <a:lnTo>
                                  <a:pt x="5345569" y="212153"/>
                                </a:lnTo>
                                <a:lnTo>
                                  <a:pt x="5345671" y="211848"/>
                                </a:lnTo>
                                <a:lnTo>
                                  <a:pt x="5352580" y="203619"/>
                                </a:lnTo>
                                <a:lnTo>
                                  <a:pt x="5356872" y="201129"/>
                                </a:lnTo>
                                <a:lnTo>
                                  <a:pt x="5367236" y="199224"/>
                                </a:lnTo>
                                <a:lnTo>
                                  <a:pt x="5371922" y="200507"/>
                                </a:lnTo>
                                <a:lnTo>
                                  <a:pt x="5385854" y="248018"/>
                                </a:lnTo>
                                <a:lnTo>
                                  <a:pt x="5385625" y="257733"/>
                                </a:lnTo>
                                <a:lnTo>
                                  <a:pt x="5384622" y="279120"/>
                                </a:lnTo>
                                <a:lnTo>
                                  <a:pt x="5391747" y="285102"/>
                                </a:lnTo>
                                <a:lnTo>
                                  <a:pt x="5405856" y="268287"/>
                                </a:lnTo>
                                <a:lnTo>
                                  <a:pt x="5432539" y="236499"/>
                                </a:lnTo>
                                <a:close/>
                              </a:path>
                              <a:path w="5572125" h="285115">
                                <a:moveTo>
                                  <a:pt x="5470880" y="181546"/>
                                </a:moveTo>
                                <a:lnTo>
                                  <a:pt x="5469394" y="173913"/>
                                </a:lnTo>
                                <a:lnTo>
                                  <a:pt x="5466385" y="166293"/>
                                </a:lnTo>
                                <a:lnTo>
                                  <a:pt x="5462981" y="160489"/>
                                </a:lnTo>
                                <a:lnTo>
                                  <a:pt x="5462981" y="184607"/>
                                </a:lnTo>
                                <a:lnTo>
                                  <a:pt x="5462117" y="190347"/>
                                </a:lnTo>
                                <a:lnTo>
                                  <a:pt x="5452427" y="201891"/>
                                </a:lnTo>
                                <a:lnTo>
                                  <a:pt x="5452262" y="201891"/>
                                </a:lnTo>
                                <a:lnTo>
                                  <a:pt x="5446217" y="203898"/>
                                </a:lnTo>
                                <a:lnTo>
                                  <a:pt x="5407558" y="183565"/>
                                </a:lnTo>
                                <a:lnTo>
                                  <a:pt x="5393347" y="160172"/>
                                </a:lnTo>
                                <a:lnTo>
                                  <a:pt x="5394287" y="153720"/>
                                </a:lnTo>
                                <a:lnTo>
                                  <a:pt x="5404040" y="142087"/>
                                </a:lnTo>
                                <a:lnTo>
                                  <a:pt x="5410606" y="140106"/>
                                </a:lnTo>
                                <a:lnTo>
                                  <a:pt x="5418747" y="142087"/>
                                </a:lnTo>
                                <a:lnTo>
                                  <a:pt x="5453951" y="166141"/>
                                </a:lnTo>
                                <a:lnTo>
                                  <a:pt x="5462981" y="184607"/>
                                </a:lnTo>
                                <a:lnTo>
                                  <a:pt x="5462981" y="160489"/>
                                </a:lnTo>
                                <a:lnTo>
                                  <a:pt x="5441658" y="140106"/>
                                </a:lnTo>
                                <a:lnTo>
                                  <a:pt x="5435447" y="136639"/>
                                </a:lnTo>
                                <a:lnTo>
                                  <a:pt x="5427637" y="133616"/>
                                </a:lnTo>
                                <a:lnTo>
                                  <a:pt x="5419598" y="131826"/>
                                </a:lnTo>
                                <a:lnTo>
                                  <a:pt x="5411787" y="131597"/>
                                </a:lnTo>
                                <a:lnTo>
                                  <a:pt x="5404663" y="133261"/>
                                </a:lnTo>
                                <a:lnTo>
                                  <a:pt x="5398236" y="136829"/>
                                </a:lnTo>
                                <a:lnTo>
                                  <a:pt x="5392496" y="142303"/>
                                </a:lnTo>
                                <a:lnTo>
                                  <a:pt x="5388381" y="148488"/>
                                </a:lnTo>
                                <a:lnTo>
                                  <a:pt x="5388280" y="148640"/>
                                </a:lnTo>
                                <a:lnTo>
                                  <a:pt x="5385930" y="155359"/>
                                </a:lnTo>
                                <a:lnTo>
                                  <a:pt x="5385663" y="159156"/>
                                </a:lnTo>
                                <a:lnTo>
                                  <a:pt x="5385536" y="161010"/>
                                </a:lnTo>
                                <a:lnTo>
                                  <a:pt x="5385447" y="162458"/>
                                </a:lnTo>
                                <a:lnTo>
                                  <a:pt x="5386832" y="169938"/>
                                </a:lnTo>
                                <a:lnTo>
                                  <a:pt x="5413451" y="203047"/>
                                </a:lnTo>
                                <a:lnTo>
                                  <a:pt x="5437860" y="212153"/>
                                </a:lnTo>
                                <a:lnTo>
                                  <a:pt x="5445315" y="212153"/>
                                </a:lnTo>
                                <a:lnTo>
                                  <a:pt x="5452491" y="210350"/>
                                </a:lnTo>
                                <a:lnTo>
                                  <a:pt x="5458638" y="206946"/>
                                </a:lnTo>
                                <a:lnTo>
                                  <a:pt x="5461851" y="203898"/>
                                </a:lnTo>
                                <a:lnTo>
                                  <a:pt x="5463972" y="201891"/>
                                </a:lnTo>
                                <a:lnTo>
                                  <a:pt x="5468188" y="195529"/>
                                </a:lnTo>
                                <a:lnTo>
                                  <a:pt x="5470410" y="188950"/>
                                </a:lnTo>
                                <a:lnTo>
                                  <a:pt x="5470487" y="188760"/>
                                </a:lnTo>
                                <a:lnTo>
                                  <a:pt x="5470715" y="184607"/>
                                </a:lnTo>
                                <a:lnTo>
                                  <a:pt x="5470779" y="183565"/>
                                </a:lnTo>
                                <a:lnTo>
                                  <a:pt x="5470880" y="181546"/>
                                </a:lnTo>
                                <a:close/>
                              </a:path>
                              <a:path w="5572125" h="285115">
                                <a:moveTo>
                                  <a:pt x="5526202" y="124879"/>
                                </a:moveTo>
                                <a:lnTo>
                                  <a:pt x="5519686" y="119418"/>
                                </a:lnTo>
                                <a:lnTo>
                                  <a:pt x="5509895" y="111201"/>
                                </a:lnTo>
                                <a:lnTo>
                                  <a:pt x="5514670" y="105511"/>
                                </a:lnTo>
                                <a:lnTo>
                                  <a:pt x="5519191" y="100114"/>
                                </a:lnTo>
                                <a:lnTo>
                                  <a:pt x="5512422" y="94424"/>
                                </a:lnTo>
                                <a:lnTo>
                                  <a:pt x="5503126" y="105511"/>
                                </a:lnTo>
                                <a:lnTo>
                                  <a:pt x="5496217" y="99720"/>
                                </a:lnTo>
                                <a:lnTo>
                                  <a:pt x="5496217" y="113741"/>
                                </a:lnTo>
                                <a:lnTo>
                                  <a:pt x="5475262" y="138722"/>
                                </a:lnTo>
                                <a:lnTo>
                                  <a:pt x="5458942" y="86766"/>
                                </a:lnTo>
                                <a:lnTo>
                                  <a:pt x="5457850" y="83743"/>
                                </a:lnTo>
                                <a:lnTo>
                                  <a:pt x="5456415" y="80086"/>
                                </a:lnTo>
                                <a:lnTo>
                                  <a:pt x="5459031" y="82448"/>
                                </a:lnTo>
                                <a:lnTo>
                                  <a:pt x="5461520" y="84620"/>
                                </a:lnTo>
                                <a:lnTo>
                                  <a:pt x="5496217" y="113741"/>
                                </a:lnTo>
                                <a:lnTo>
                                  <a:pt x="5496217" y="99720"/>
                                </a:lnTo>
                                <a:lnTo>
                                  <a:pt x="5472811" y="80086"/>
                                </a:lnTo>
                                <a:lnTo>
                                  <a:pt x="5456313" y="66243"/>
                                </a:lnTo>
                                <a:lnTo>
                                  <a:pt x="5447373" y="76898"/>
                                </a:lnTo>
                                <a:lnTo>
                                  <a:pt x="5468772" y="148488"/>
                                </a:lnTo>
                                <a:lnTo>
                                  <a:pt x="5474538" y="153327"/>
                                </a:lnTo>
                                <a:lnTo>
                                  <a:pt x="5486793" y="138722"/>
                                </a:lnTo>
                                <a:lnTo>
                                  <a:pt x="5502986" y="119418"/>
                                </a:lnTo>
                                <a:lnTo>
                                  <a:pt x="5519293" y="133096"/>
                                </a:lnTo>
                                <a:lnTo>
                                  <a:pt x="5526202" y="124879"/>
                                </a:lnTo>
                                <a:close/>
                              </a:path>
                              <a:path w="5572125" h="285115">
                                <a:moveTo>
                                  <a:pt x="5571782" y="61302"/>
                                </a:moveTo>
                                <a:lnTo>
                                  <a:pt x="5570296" y="53657"/>
                                </a:lnTo>
                                <a:lnTo>
                                  <a:pt x="5567273" y="46050"/>
                                </a:lnTo>
                                <a:lnTo>
                                  <a:pt x="5563882" y="40246"/>
                                </a:lnTo>
                                <a:lnTo>
                                  <a:pt x="5563882" y="64350"/>
                                </a:lnTo>
                                <a:lnTo>
                                  <a:pt x="5563019" y="70091"/>
                                </a:lnTo>
                                <a:lnTo>
                                  <a:pt x="5554319" y="80467"/>
                                </a:lnTo>
                                <a:lnTo>
                                  <a:pt x="5553278" y="81610"/>
                                </a:lnTo>
                                <a:lnTo>
                                  <a:pt x="5547106" y="83667"/>
                                </a:lnTo>
                                <a:lnTo>
                                  <a:pt x="5539346" y="82156"/>
                                </a:lnTo>
                                <a:lnTo>
                                  <a:pt x="5503634" y="57924"/>
                                </a:lnTo>
                                <a:lnTo>
                                  <a:pt x="5494236" y="39928"/>
                                </a:lnTo>
                                <a:lnTo>
                                  <a:pt x="5495188" y="33464"/>
                                </a:lnTo>
                                <a:lnTo>
                                  <a:pt x="5504942" y="21844"/>
                                </a:lnTo>
                                <a:lnTo>
                                  <a:pt x="5511508" y="19862"/>
                                </a:lnTo>
                                <a:lnTo>
                                  <a:pt x="5519648" y="21844"/>
                                </a:lnTo>
                                <a:lnTo>
                                  <a:pt x="5554853" y="45897"/>
                                </a:lnTo>
                                <a:lnTo>
                                  <a:pt x="5563882" y="64350"/>
                                </a:lnTo>
                                <a:lnTo>
                                  <a:pt x="5563882" y="40246"/>
                                </a:lnTo>
                                <a:lnTo>
                                  <a:pt x="5528538" y="13373"/>
                                </a:lnTo>
                                <a:lnTo>
                                  <a:pt x="5512689" y="11341"/>
                                </a:lnTo>
                                <a:lnTo>
                                  <a:pt x="5505564" y="13004"/>
                                </a:lnTo>
                                <a:lnTo>
                                  <a:pt x="5486349" y="42214"/>
                                </a:lnTo>
                                <a:lnTo>
                                  <a:pt x="5487733" y="49695"/>
                                </a:lnTo>
                                <a:lnTo>
                                  <a:pt x="5515013" y="83286"/>
                                </a:lnTo>
                                <a:lnTo>
                                  <a:pt x="5538762" y="91909"/>
                                </a:lnTo>
                                <a:lnTo>
                                  <a:pt x="5546204" y="91909"/>
                                </a:lnTo>
                                <a:lnTo>
                                  <a:pt x="5571604" y="64350"/>
                                </a:lnTo>
                                <a:lnTo>
                                  <a:pt x="5571668" y="63309"/>
                                </a:lnTo>
                                <a:lnTo>
                                  <a:pt x="5571782" y="61302"/>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90" cstate="print"/>
                          <a:stretch>
                            <a:fillRect/>
                          </a:stretch>
                        </pic:blipFill>
                        <pic:spPr>
                          <a:xfrm>
                            <a:off x="1541070" y="3537140"/>
                            <a:ext cx="243839" cy="73532"/>
                          </a:xfrm>
                          <a:prstGeom prst="rect">
                            <a:avLst/>
                          </a:prstGeom>
                        </pic:spPr>
                      </pic:pic>
                      <pic:pic xmlns:pic="http://schemas.openxmlformats.org/drawingml/2006/picture">
                        <pic:nvPicPr>
                          <pic:cNvPr id="343" name="Image 343"/>
                          <pic:cNvPicPr/>
                        </pic:nvPicPr>
                        <pic:blipFill>
                          <a:blip r:embed="rId91" cstate="print"/>
                          <a:stretch>
                            <a:fillRect/>
                          </a:stretch>
                        </pic:blipFill>
                        <pic:spPr>
                          <a:xfrm>
                            <a:off x="2483267" y="3537140"/>
                            <a:ext cx="243839" cy="73532"/>
                          </a:xfrm>
                          <a:prstGeom prst="rect">
                            <a:avLst/>
                          </a:prstGeom>
                        </pic:spPr>
                      </pic:pic>
                      <pic:pic xmlns:pic="http://schemas.openxmlformats.org/drawingml/2006/picture">
                        <pic:nvPicPr>
                          <pic:cNvPr id="344" name="Image 344"/>
                          <pic:cNvPicPr/>
                        </pic:nvPicPr>
                        <pic:blipFill>
                          <a:blip r:embed="rId92" cstate="print"/>
                          <a:stretch>
                            <a:fillRect/>
                          </a:stretch>
                        </pic:blipFill>
                        <pic:spPr>
                          <a:xfrm>
                            <a:off x="3395810" y="3537140"/>
                            <a:ext cx="243839" cy="73532"/>
                          </a:xfrm>
                          <a:prstGeom prst="rect">
                            <a:avLst/>
                          </a:prstGeom>
                        </pic:spPr>
                      </pic:pic>
                      <pic:pic xmlns:pic="http://schemas.openxmlformats.org/drawingml/2006/picture">
                        <pic:nvPicPr>
                          <pic:cNvPr id="345" name="Image 345"/>
                          <pic:cNvPicPr/>
                        </pic:nvPicPr>
                        <pic:blipFill>
                          <a:blip r:embed="rId93" cstate="print"/>
                          <a:stretch>
                            <a:fillRect/>
                          </a:stretch>
                        </pic:blipFill>
                        <pic:spPr>
                          <a:xfrm>
                            <a:off x="4308355" y="3537140"/>
                            <a:ext cx="243839" cy="73532"/>
                          </a:xfrm>
                          <a:prstGeom prst="rect">
                            <a:avLst/>
                          </a:prstGeom>
                        </pic:spPr>
                      </pic:pic>
                      <wps:wsp>
                        <wps:cNvPr id="346" name="Graphic 346"/>
                        <wps:cNvSpPr/>
                        <wps:spPr>
                          <a:xfrm>
                            <a:off x="4762" y="4762"/>
                            <a:ext cx="6299200" cy="3759200"/>
                          </a:xfrm>
                          <a:custGeom>
                            <a:avLst/>
                            <a:gdLst/>
                            <a:ahLst/>
                            <a:cxnLst/>
                            <a:rect l="l" t="t" r="r" b="b"/>
                            <a:pathLst>
                              <a:path w="6299200" h="3759200">
                                <a:moveTo>
                                  <a:pt x="0" y="0"/>
                                </a:moveTo>
                                <a:lnTo>
                                  <a:pt x="6299200" y="0"/>
                                </a:lnTo>
                                <a:lnTo>
                                  <a:pt x="6299200" y="3759200"/>
                                </a:lnTo>
                                <a:lnTo>
                                  <a:pt x="0" y="3759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47" name="Textbox 347"/>
                        <wps:cNvSpPr txBox="1"/>
                        <wps:spPr>
                          <a:xfrm>
                            <a:off x="87257" y="63726"/>
                            <a:ext cx="325120" cy="152400"/>
                          </a:xfrm>
                          <a:prstGeom prst="rect">
                            <a:avLst/>
                          </a:prstGeom>
                        </wps:spPr>
                        <wps:txbx>
                          <w:txbxContent>
                            <w:p w14:paraId="1C34F1AD" w14:textId="77777777" w:rsidR="004C558F" w:rsidRDefault="00461887">
                              <w:pPr>
                                <w:spacing w:before="1"/>
                                <w:rPr>
                                  <w:sz w:val="21"/>
                                </w:rPr>
                              </w:pPr>
                              <w:r>
                                <w:rPr>
                                  <w:color w:val="585858"/>
                                  <w:spacing w:val="-4"/>
                                  <w:sz w:val="21"/>
                                </w:rPr>
                                <w:t>1000</w:t>
                              </w:r>
                            </w:p>
                          </w:txbxContent>
                        </wps:txbx>
                        <wps:bodyPr wrap="square" lIns="0" tIns="0" rIns="0" bIns="0" rtlCol="0">
                          <a:noAutofit/>
                        </wps:bodyPr>
                      </wps:wsp>
                      <wps:wsp>
                        <wps:cNvPr id="348" name="Textbox 348"/>
                        <wps:cNvSpPr txBox="1"/>
                        <wps:spPr>
                          <a:xfrm>
                            <a:off x="165444" y="626996"/>
                            <a:ext cx="248920" cy="152400"/>
                          </a:xfrm>
                          <a:prstGeom prst="rect">
                            <a:avLst/>
                          </a:prstGeom>
                        </wps:spPr>
                        <wps:txbx>
                          <w:txbxContent>
                            <w:p w14:paraId="1C34F1AE" w14:textId="77777777" w:rsidR="004C558F" w:rsidRDefault="00461887">
                              <w:pPr>
                                <w:spacing w:before="1"/>
                                <w:rPr>
                                  <w:sz w:val="21"/>
                                </w:rPr>
                              </w:pPr>
                              <w:r>
                                <w:rPr>
                                  <w:color w:val="585858"/>
                                  <w:spacing w:val="-5"/>
                                  <w:sz w:val="21"/>
                                </w:rPr>
                                <w:t>800</w:t>
                              </w:r>
                            </w:p>
                          </w:txbxContent>
                        </wps:txbx>
                        <wps:bodyPr wrap="square" lIns="0" tIns="0" rIns="0" bIns="0" rtlCol="0">
                          <a:noAutofit/>
                        </wps:bodyPr>
                      </wps:wsp>
                      <wps:wsp>
                        <wps:cNvPr id="349" name="Textbox 349"/>
                        <wps:cNvSpPr txBox="1"/>
                        <wps:spPr>
                          <a:xfrm>
                            <a:off x="165444" y="1190267"/>
                            <a:ext cx="248920" cy="152400"/>
                          </a:xfrm>
                          <a:prstGeom prst="rect">
                            <a:avLst/>
                          </a:prstGeom>
                        </wps:spPr>
                        <wps:txbx>
                          <w:txbxContent>
                            <w:p w14:paraId="1C34F1AF" w14:textId="77777777" w:rsidR="004C558F" w:rsidRDefault="00461887">
                              <w:pPr>
                                <w:spacing w:before="1"/>
                                <w:rPr>
                                  <w:sz w:val="21"/>
                                </w:rPr>
                              </w:pPr>
                              <w:r>
                                <w:rPr>
                                  <w:color w:val="585858"/>
                                  <w:spacing w:val="-5"/>
                                  <w:sz w:val="21"/>
                                </w:rPr>
                                <w:t>600</w:t>
                              </w:r>
                            </w:p>
                          </w:txbxContent>
                        </wps:txbx>
                        <wps:bodyPr wrap="square" lIns="0" tIns="0" rIns="0" bIns="0" rtlCol="0">
                          <a:noAutofit/>
                        </wps:bodyPr>
                      </wps:wsp>
                      <wps:wsp>
                        <wps:cNvPr id="350" name="Textbox 350"/>
                        <wps:cNvSpPr txBox="1"/>
                        <wps:spPr>
                          <a:xfrm>
                            <a:off x="165444" y="1753537"/>
                            <a:ext cx="248920" cy="152400"/>
                          </a:xfrm>
                          <a:prstGeom prst="rect">
                            <a:avLst/>
                          </a:prstGeom>
                        </wps:spPr>
                        <wps:txbx>
                          <w:txbxContent>
                            <w:p w14:paraId="1C34F1B0" w14:textId="77777777" w:rsidR="004C558F" w:rsidRDefault="00461887">
                              <w:pPr>
                                <w:spacing w:before="1"/>
                                <w:rPr>
                                  <w:sz w:val="21"/>
                                </w:rPr>
                              </w:pPr>
                              <w:r>
                                <w:rPr>
                                  <w:color w:val="585858"/>
                                  <w:spacing w:val="-5"/>
                                  <w:sz w:val="21"/>
                                </w:rPr>
                                <w:t>400</w:t>
                              </w:r>
                            </w:p>
                          </w:txbxContent>
                        </wps:txbx>
                        <wps:bodyPr wrap="square" lIns="0" tIns="0" rIns="0" bIns="0" rtlCol="0">
                          <a:noAutofit/>
                        </wps:bodyPr>
                      </wps:wsp>
                      <wps:wsp>
                        <wps:cNvPr id="351" name="Textbox 351"/>
                        <wps:cNvSpPr txBox="1"/>
                        <wps:spPr>
                          <a:xfrm>
                            <a:off x="165444" y="2316807"/>
                            <a:ext cx="248920" cy="152400"/>
                          </a:xfrm>
                          <a:prstGeom prst="rect">
                            <a:avLst/>
                          </a:prstGeom>
                        </wps:spPr>
                        <wps:txbx>
                          <w:txbxContent>
                            <w:p w14:paraId="1C34F1B1" w14:textId="77777777" w:rsidR="004C558F" w:rsidRDefault="00461887">
                              <w:pPr>
                                <w:spacing w:before="1"/>
                                <w:rPr>
                                  <w:sz w:val="21"/>
                                </w:rPr>
                              </w:pPr>
                              <w:r>
                                <w:rPr>
                                  <w:color w:val="585858"/>
                                  <w:spacing w:val="-5"/>
                                  <w:sz w:val="21"/>
                                </w:rPr>
                                <w:t>200</w:t>
                              </w:r>
                            </w:p>
                          </w:txbxContent>
                        </wps:txbx>
                        <wps:bodyPr wrap="square" lIns="0" tIns="0" rIns="0" bIns="0" rtlCol="0">
                          <a:noAutofit/>
                        </wps:bodyPr>
                      </wps:wsp>
                      <wps:wsp>
                        <wps:cNvPr id="352" name="Textbox 352"/>
                        <wps:cNvSpPr txBox="1"/>
                        <wps:spPr>
                          <a:xfrm>
                            <a:off x="321819" y="2880078"/>
                            <a:ext cx="91440" cy="152400"/>
                          </a:xfrm>
                          <a:prstGeom prst="rect">
                            <a:avLst/>
                          </a:prstGeom>
                        </wps:spPr>
                        <wps:txbx>
                          <w:txbxContent>
                            <w:p w14:paraId="1C34F1B2" w14:textId="77777777" w:rsidR="004C558F" w:rsidRDefault="00461887">
                              <w:pPr>
                                <w:spacing w:before="1"/>
                                <w:rPr>
                                  <w:sz w:val="21"/>
                                </w:rPr>
                              </w:pPr>
                              <w:r>
                                <w:rPr>
                                  <w:color w:val="585858"/>
                                  <w:spacing w:val="-10"/>
                                  <w:sz w:val="21"/>
                                </w:rPr>
                                <w:t>0</w:t>
                              </w:r>
                            </w:p>
                          </w:txbxContent>
                        </wps:txbx>
                        <wps:bodyPr wrap="square" lIns="0" tIns="0" rIns="0" bIns="0" rtlCol="0">
                          <a:noAutofit/>
                        </wps:bodyPr>
                      </wps:wsp>
                      <wps:wsp>
                        <wps:cNvPr id="353" name="Textbox 353"/>
                        <wps:cNvSpPr txBox="1"/>
                        <wps:spPr>
                          <a:xfrm>
                            <a:off x="1810626" y="3493770"/>
                            <a:ext cx="530860" cy="152400"/>
                          </a:xfrm>
                          <a:prstGeom prst="rect">
                            <a:avLst/>
                          </a:prstGeom>
                        </wps:spPr>
                        <wps:txbx>
                          <w:txbxContent>
                            <w:p w14:paraId="1C34F1B3" w14:textId="77777777" w:rsidR="004C558F" w:rsidRDefault="00461887">
                              <w:pPr>
                                <w:spacing w:before="1"/>
                                <w:rPr>
                                  <w:sz w:val="21"/>
                                </w:rPr>
                              </w:pPr>
                              <w:r>
                                <w:rPr>
                                  <w:color w:val="585858"/>
                                  <w:sz w:val="21"/>
                                </w:rPr>
                                <w:t>under</w:t>
                              </w:r>
                              <w:r>
                                <w:rPr>
                                  <w:color w:val="585858"/>
                                  <w:spacing w:val="-5"/>
                                  <w:sz w:val="21"/>
                                </w:rPr>
                                <w:t xml:space="preserve"> 20</w:t>
                              </w:r>
                            </w:p>
                          </w:txbxContent>
                        </wps:txbx>
                        <wps:bodyPr wrap="square" lIns="0" tIns="0" rIns="0" bIns="0" rtlCol="0">
                          <a:noAutofit/>
                        </wps:bodyPr>
                      </wps:wsp>
                      <wps:wsp>
                        <wps:cNvPr id="354" name="Textbox 354"/>
                        <wps:cNvSpPr txBox="1"/>
                        <wps:spPr>
                          <a:xfrm>
                            <a:off x="2752824" y="3493770"/>
                            <a:ext cx="502284" cy="152400"/>
                          </a:xfrm>
                          <a:prstGeom prst="rect">
                            <a:avLst/>
                          </a:prstGeom>
                        </wps:spPr>
                        <wps:txbx>
                          <w:txbxContent>
                            <w:p w14:paraId="1C34F1B4" w14:textId="77777777" w:rsidR="004C558F" w:rsidRDefault="00461887">
                              <w:pPr>
                                <w:spacing w:before="1"/>
                                <w:rPr>
                                  <w:sz w:val="21"/>
                                </w:rPr>
                              </w:pPr>
                              <w:r>
                                <w:rPr>
                                  <w:color w:val="585858"/>
                                  <w:sz w:val="21"/>
                                </w:rPr>
                                <w:t>20</w:t>
                              </w:r>
                              <w:r>
                                <w:rPr>
                                  <w:color w:val="585858"/>
                                  <w:spacing w:val="-4"/>
                                  <w:sz w:val="21"/>
                                </w:rPr>
                                <w:t xml:space="preserve"> </w:t>
                              </w:r>
                              <w:r>
                                <w:rPr>
                                  <w:color w:val="585858"/>
                                  <w:sz w:val="21"/>
                                </w:rPr>
                                <w:t xml:space="preserve">to </w:t>
                              </w:r>
                              <w:r>
                                <w:rPr>
                                  <w:color w:val="585858"/>
                                  <w:spacing w:val="-5"/>
                                  <w:sz w:val="21"/>
                                </w:rPr>
                                <w:t>39</w:t>
                              </w:r>
                            </w:p>
                          </w:txbxContent>
                        </wps:txbx>
                        <wps:bodyPr wrap="square" lIns="0" tIns="0" rIns="0" bIns="0" rtlCol="0">
                          <a:noAutofit/>
                        </wps:bodyPr>
                      </wps:wsp>
                      <wps:wsp>
                        <wps:cNvPr id="355" name="Textbox 355"/>
                        <wps:cNvSpPr txBox="1"/>
                        <wps:spPr>
                          <a:xfrm>
                            <a:off x="3665368" y="3493770"/>
                            <a:ext cx="502284" cy="152400"/>
                          </a:xfrm>
                          <a:prstGeom prst="rect">
                            <a:avLst/>
                          </a:prstGeom>
                        </wps:spPr>
                        <wps:txbx>
                          <w:txbxContent>
                            <w:p w14:paraId="1C34F1B5" w14:textId="77777777" w:rsidR="004C558F" w:rsidRDefault="00461887">
                              <w:pPr>
                                <w:spacing w:before="1"/>
                                <w:rPr>
                                  <w:sz w:val="21"/>
                                </w:rPr>
                              </w:pPr>
                              <w:r>
                                <w:rPr>
                                  <w:color w:val="585858"/>
                                  <w:sz w:val="21"/>
                                </w:rPr>
                                <w:t>40</w:t>
                              </w:r>
                              <w:r>
                                <w:rPr>
                                  <w:color w:val="585858"/>
                                  <w:spacing w:val="-4"/>
                                  <w:sz w:val="21"/>
                                </w:rPr>
                                <w:t xml:space="preserve"> </w:t>
                              </w:r>
                              <w:r>
                                <w:rPr>
                                  <w:color w:val="585858"/>
                                  <w:sz w:val="21"/>
                                </w:rPr>
                                <w:t xml:space="preserve">to </w:t>
                              </w:r>
                              <w:r>
                                <w:rPr>
                                  <w:color w:val="585858"/>
                                  <w:spacing w:val="-5"/>
                                  <w:sz w:val="21"/>
                                </w:rPr>
                                <w:t>64</w:t>
                              </w:r>
                            </w:p>
                          </w:txbxContent>
                        </wps:txbx>
                        <wps:bodyPr wrap="square" lIns="0" tIns="0" rIns="0" bIns="0" rtlCol="0">
                          <a:noAutofit/>
                        </wps:bodyPr>
                      </wps:wsp>
                      <wps:wsp>
                        <wps:cNvPr id="356" name="Textbox 356"/>
                        <wps:cNvSpPr txBox="1"/>
                        <wps:spPr>
                          <a:xfrm>
                            <a:off x="4577912" y="3493770"/>
                            <a:ext cx="248920" cy="152400"/>
                          </a:xfrm>
                          <a:prstGeom prst="rect">
                            <a:avLst/>
                          </a:prstGeom>
                        </wps:spPr>
                        <wps:txbx>
                          <w:txbxContent>
                            <w:p w14:paraId="1C34F1B6" w14:textId="77777777" w:rsidR="004C558F" w:rsidRDefault="00461887">
                              <w:pPr>
                                <w:spacing w:before="1"/>
                                <w:rPr>
                                  <w:sz w:val="21"/>
                                </w:rPr>
                              </w:pPr>
                              <w:r>
                                <w:rPr>
                                  <w:color w:val="585858"/>
                                  <w:spacing w:val="-5"/>
                                  <w:sz w:val="21"/>
                                </w:rPr>
                                <w:t>65+</w:t>
                              </w:r>
                            </w:p>
                          </w:txbxContent>
                        </wps:txbx>
                        <wps:bodyPr wrap="square" lIns="0" tIns="0" rIns="0" bIns="0" rtlCol="0">
                          <a:noAutofit/>
                        </wps:bodyPr>
                      </wps:wsp>
                    </wpg:wgp>
                  </a:graphicData>
                </a:graphic>
              </wp:inline>
            </w:drawing>
          </mc:Choice>
          <mc:Fallback>
            <w:pict>
              <v:group w14:anchorId="1C34F12C" id="Group 262" o:spid="_x0000_s1201" alt="Line graph of Estimated Inpatient Oncology Bed Utilization Using 2019 Utilization and Population Projections by Age and Gender Cohort (2023 – 2040)" style="width:496.75pt;height:296.75pt;mso-position-horizontal-relative:char;mso-position-vertical-relative:line" coordsize="63087,3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">
                <v:shape id="Graphic 263" o:spid="_x0000_s1202" style="position:absolute;left:5163;top:1444;width:56483;height:22530;visibility:visible;mso-wrap-style:square;v-text-anchor:top" coordsize="5648325,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" path="m,2252916r5647931,em,1690560r5647931,em,1126680r5647931,em,562800r5647931,em,l5647931,e" filled="f" strokecolor="#ececec">
                  <v:path arrowok="t"/>
                </v:shape>
                <v:shape id="Graphic 264" o:spid="_x0000_s1203" style="position:absolute;left:5163;top:29611;width:56483;height:13;visibility:visible;mso-wrap-style:square;v-text-anchor:top" coordsize="5648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" path="m,l5647931,e" filled="f" strokecolor="#d9d9d9">
                  <v:path arrowok="t"/>
                </v:shape>
                <v:shape id="Graphic 265" o:spid="_x0000_s1204" style="position:absolute;left:6732;top:28600;width:53346;height:152;visibility:visible;mso-wrap-style:square;v-text-anchor:top" coordsize="53346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" path="m,l313766,8280,627710,9804r313944,l1255598,9804r313944,1524l1881962,11328r313944,l2509850,11328r313944,1524l3137738,12852r313944,l3765626,12852r313944,1524l4393514,14376r312420,l5019878,14376r314274,546e" filled="f" strokecolor="#084875" strokeweight="2.25pt">
                  <v:path arrowok="t"/>
                </v:shape>
                <v:shape id="Image 266" o:spid="_x0000_s1205" type="#_x0000_t75" style="position:absolute;left:6355;top:28239;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">
                  <v:imagedata r:id="rId94" o:title=""/>
                </v:shape>
                <v:shape id="Image 267" o:spid="_x0000_s1206" type="#_x0000_t75" style="position:absolute;left:9494;top:2831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">
                  <v:imagedata r:id="rId95" o:title=""/>
                </v:shape>
                <v:shape id="Image 268" o:spid="_x0000_s1207" type="#_x0000_t75" style="position:absolute;left:12633;top:2833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">
                  <v:imagedata r:id="rId94" o:title=""/>
                </v:shape>
                <v:shape id="Image 269" o:spid="_x0000_s1208" type="#_x0000_t75" style="position:absolute;left:15773;top:2833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">
                  <v:imagedata r:id="rId94" o:title=""/>
                </v:shape>
                <v:shape id="Image 270" o:spid="_x0000_s1209" type="#_x0000_t75" style="position:absolute;left:18912;top:2833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">
                  <v:imagedata r:id="rId94" o:title=""/>
                </v:shape>
                <v:shape id="Image 271" o:spid="_x0000_s1210" type="#_x0000_t75" style="position:absolute;left:22052;top:2834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">
                  <v:imagedata r:id="rId96" o:title=""/>
                </v:shape>
                <v:shape id="Image 272" o:spid="_x0000_s1211" type="#_x0000_t75" style="position:absolute;left:25176;top:2834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">
                  <v:imagedata r:id="rId96" o:title=""/>
                </v:shape>
                <v:shape id="Image 273" o:spid="_x0000_s1212" type="#_x0000_t75" style="position:absolute;left:28315;top:2834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">
                  <v:imagedata r:id="rId96" o:title=""/>
                </v:shape>
                <v:shape id="Image 274" o:spid="_x0000_s1213" type="#_x0000_t75" style="position:absolute;left:31455;top:2834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">
                  <v:imagedata r:id="rId95" o:title=""/>
                </v:shape>
                <v:shape id="Image 275" o:spid="_x0000_s1214" type="#_x0000_t75" style="position:absolute;left:34594;top:2836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">
                  <v:imagedata r:id="rId95" o:title=""/>
                </v:shape>
                <v:shape id="Image 276" o:spid="_x0000_s1215" type="#_x0000_t75" style="position:absolute;left:37734;top:2836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">
                  <v:imagedata r:id="rId95" o:title=""/>
                </v:shape>
                <v:shape id="Image 277" o:spid="_x0000_s1216" type="#_x0000_t75" style="position:absolute;left:40873;top:2836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">
                  <v:imagedata r:id="rId95" o:title=""/>
                </v:shape>
                <v:shape id="Image 278" o:spid="_x0000_s1217" type="#_x0000_t75" style="position:absolute;left:44013;top:2836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">
                  <v:imagedata r:id="rId95" o:title=""/>
                </v:shape>
                <v:shape id="Image 279" o:spid="_x0000_s1218" type="#_x0000_t75" style="position:absolute;left:47152;top:2837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">
                  <v:imagedata r:id="rId94" o:title=""/>
                </v:shape>
                <v:shape id="Image 280" o:spid="_x0000_s1219" type="#_x0000_t75" style="position:absolute;left:50292;top:2837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">
                  <v:imagedata r:id="rId97" o:title=""/>
                </v:shape>
                <v:shape id="Image 281" o:spid="_x0000_s1220" type="#_x0000_t75" style="position:absolute;left:53416;top:2837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">
                  <v:imagedata r:id="rId97" o:title=""/>
                </v:shape>
                <v:shape id="Image 282" o:spid="_x0000_s1221" type="#_x0000_t75" style="position:absolute;left:56555;top:2837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">
                  <v:imagedata r:id="rId97" o:title=""/>
                </v:shape>
                <v:shape id="Image 283" o:spid="_x0000_s1222" type="#_x0000_t75" style="position:absolute;left:59695;top:2837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">
                  <v:imagedata r:id="rId94" o:title=""/>
                </v:shape>
                <v:shape id="Graphic 284" o:spid="_x0000_s1223" style="position:absolute;left:6732;top:28340;width:53346;height:204;visibility:visible;mso-wrap-style:square;v-text-anchor:top" coordsize="53346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" path="m,20002l313766,673,627710,,941654,673r313944,l1569542,673r312420,1524l2195906,2197r313944,1524l2823794,3721r313944,1524l3451682,5245r313944,1524l4079570,6769r313944,1524l4705934,8293r313944,l5334152,9817e" filled="f" strokecolor="#f1682a" strokeweight="2.25pt">
                  <v:path arrowok="t"/>
                </v:shape>
                <v:shape id="Image 285" o:spid="_x0000_s1224" type="#_x0000_t75" style="position:absolute;left:6355;top:2817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">
                  <v:imagedata r:id="rId98" o:title=""/>
                </v:shape>
                <v:shape id="Image 286" o:spid="_x0000_s1225" type="#_x0000_t75" style="position:absolute;left:9494;top:2798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">
                  <v:imagedata r:id="rId99" o:title=""/>
                </v:shape>
                <v:shape id="Image 287" o:spid="_x0000_s1226" type="#_x0000_t75" style="position:absolute;left:12633;top:27980;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">
                  <v:imagedata r:id="rId99" o:title=""/>
                </v:shape>
                <v:shape id="Image 288" o:spid="_x0000_s1227" type="#_x0000_t75" style="position:absolute;left:15773;top:2798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">
                  <v:imagedata r:id="rId99" o:title=""/>
                </v:shape>
                <v:shape id="Image 289" o:spid="_x0000_s1228" type="#_x0000_t75" style="position:absolute;left:18912;top:27980;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">
                  <v:imagedata r:id="rId99" o:title=""/>
                </v:shape>
                <v:shape id="Image 290" o:spid="_x0000_s1229" type="#_x0000_t75" style="position:absolute;left:22052;top:2798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">
                  <v:imagedata r:id="rId100" o:title=""/>
                </v:shape>
                <v:shape id="Image 291" o:spid="_x0000_s1230" type="#_x0000_t75" style="position:absolute;left:25176;top:2799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">
                  <v:imagedata r:id="rId101" o:title=""/>
                </v:shape>
                <v:shape id="Image 292" o:spid="_x0000_s1231" type="#_x0000_t75" style="position:absolute;left:28315;top:2799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">
                  <v:imagedata r:id="rId101" o:title=""/>
                </v:shape>
                <v:shape id="Image 293" o:spid="_x0000_s1232" type="#_x0000_t75" style="position:absolute;left:31455;top:2801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">
                  <v:imagedata r:id="rId99" o:title=""/>
                </v:shape>
                <v:shape id="Image 294" o:spid="_x0000_s1233" type="#_x0000_t75" style="position:absolute;left:34594;top:2801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">
                  <v:imagedata r:id="rId99" o:title=""/>
                </v:shape>
                <v:shape id="Image 295" o:spid="_x0000_s1234" type="#_x0000_t75" style="position:absolute;left:37734;top:2802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">
                  <v:imagedata r:id="rId99" o:title=""/>
                </v:shape>
                <v:shape id="Image 296" o:spid="_x0000_s1235" type="#_x0000_t75" style="position:absolute;left:40873;top:2802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">
                  <v:imagedata r:id="rId99" o:title=""/>
                </v:shape>
                <v:shape id="Image 297" o:spid="_x0000_s1236" type="#_x0000_t75" style="position:absolute;left:44013;top:280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">
                  <v:imagedata r:id="rId98" o:title=""/>
                </v:shape>
                <v:shape id="Image 298" o:spid="_x0000_s1237" type="#_x0000_t75" style="position:absolute;left:47152;top:280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">
                  <v:imagedata r:id="rId98" o:title=""/>
                </v:shape>
                <v:shape id="Image 299" o:spid="_x0000_s1238" type="#_x0000_t75" style="position:absolute;left:50292;top:2805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">
                  <v:imagedata r:id="rId100" o:title=""/>
                </v:shape>
                <v:shape id="Image 300" o:spid="_x0000_s1239" type="#_x0000_t75" style="position:absolute;left:53416;top:2805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">
                  <v:imagedata r:id="rId100" o:title=""/>
                </v:shape>
                <v:shape id="Image 301" o:spid="_x0000_s1240" type="#_x0000_t75" style="position:absolute;left:56555;top:2805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">
                  <v:imagedata r:id="rId100" o:title=""/>
                </v:shape>
                <v:shape id="Image 302" o:spid="_x0000_s1241" type="#_x0000_t75" style="position:absolute;left:59695;top:2807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">
                  <v:imagedata r:id="rId99" o:title=""/>
                </v:shape>
                <v:shape id="Graphic 303" o:spid="_x0000_s1242" style="position:absolute;left:6732;top:20502;width:53346;height:679;visibility:visible;mso-wrap-style:square;v-text-anchor:top" coordsize="533463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" path="m,13398l313766,,627710,5778r313944,9144l1255598,24066r313944,9144l1881962,42354r313944,9144l2509850,54546r313944,3048l3137738,60642r313944,4572l3765626,67881r313944,-5715l4393514,57594r312420,-4572l5019878,46926r314274,-4572e" filled="f" strokecolor="#f9a720" strokeweight="2.25pt">
                  <v:path arrowok="t"/>
                </v:shape>
                <v:shape id="Image 304" o:spid="_x0000_s1243" type="#_x0000_t75" style="position:absolute;left:6355;top:2026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">
                  <v:imagedata r:id="rId102" o:title=""/>
                </v:shape>
                <v:shape id="Image 305" o:spid="_x0000_s1244" type="#_x0000_t75" style="position:absolute;left:9494;top:2013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">
                  <v:imagedata r:id="rId102" o:title=""/>
                </v:shape>
                <v:shape id="Image 306" o:spid="_x0000_s1245" type="#_x0000_t75" style="position:absolute;left:12633;top:2019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">
                  <v:imagedata r:id="rId102" o:title=""/>
                </v:shape>
                <v:shape id="Image 307" o:spid="_x0000_s1246" type="#_x0000_t75" style="position:absolute;left:15773;top:2028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">
                  <v:imagedata r:id="rId102" o:title=""/>
                </v:shape>
                <v:shape id="Image 308" o:spid="_x0000_s1247" type="#_x0000_t75" style="position:absolute;left:18912;top:2037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">
                  <v:imagedata r:id="rId102" o:title=""/>
                </v:shape>
                <v:shape id="Image 309" o:spid="_x0000_s1248" type="#_x0000_t75" style="position:absolute;left:22052;top:2046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">
                  <v:imagedata r:id="rId103" o:title=""/>
                </v:shape>
                <v:shape id="Image 310" o:spid="_x0000_s1249" type="#_x0000_t75" style="position:absolute;left:25176;top:2055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">
                  <v:imagedata r:id="rId103" o:title=""/>
                </v:shape>
                <v:shape id="Image 311" o:spid="_x0000_s1250" type="#_x0000_t75" style="position:absolute;left:28315;top:20650;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">
                  <v:imagedata r:id="rId103" o:title=""/>
                </v:shape>
                <v:shape id="Image 312" o:spid="_x0000_s1251" type="#_x0000_t75" style="position:absolute;left:31455;top:2068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">
                  <v:imagedata r:id="rId104" o:title=""/>
                </v:shape>
                <v:shape id="Image 313" o:spid="_x0000_s1252" type="#_x0000_t75" style="position:absolute;left:34594;top:2071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">
                  <v:imagedata r:id="rId102" o:title=""/>
                </v:shape>
                <v:shape id="Image 314" o:spid="_x0000_s1253" type="#_x0000_t75" style="position:absolute;left:37734;top:207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">
                  <v:imagedata r:id="rId104" o:title=""/>
                </v:shape>
                <v:shape id="Image 315" o:spid="_x0000_s1254" type="#_x0000_t75" style="position:absolute;left:40873;top:2078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">
                  <v:imagedata r:id="rId104" o:title=""/>
                </v:shape>
                <v:shape id="Image 316" o:spid="_x0000_s1255" type="#_x0000_t75" style="position:absolute;left:44013;top:20817;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">
                  <v:imagedata r:id="rId104" o:title=""/>
                </v:shape>
                <v:shape id="Image 317" o:spid="_x0000_s1256" type="#_x0000_t75" style="position:absolute;left:47152;top:2075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">
                  <v:imagedata r:id="rId102" o:title=""/>
                </v:shape>
                <v:shape id="Image 318" o:spid="_x0000_s1257" type="#_x0000_t75" style="position:absolute;left:50292;top:2071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">
                  <v:imagedata r:id="rId103" o:title=""/>
                </v:shape>
                <v:shape id="Image 319" o:spid="_x0000_s1258" type="#_x0000_t75" style="position:absolute;left:53416;top:2066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">
                  <v:imagedata r:id="rId103" o:title=""/>
                </v:shape>
                <v:shape id="Image 320" o:spid="_x0000_s1259" type="#_x0000_t75" style="position:absolute;left:56555;top:2060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">
                  <v:imagedata r:id="rId103" o:title=""/>
                </v:shape>
                <v:shape id="Image 321" o:spid="_x0000_s1260" type="#_x0000_t75" style="position:absolute;left:59695;top:2055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">
                  <v:imagedata r:id="rId102" o:title=""/>
                </v:shape>
                <v:shape id="Graphic 322" o:spid="_x0000_s1261" style="position:absolute;left:6732;top:4523;width:53346;height:5194;visibility:visible;mso-wrap-style:square;v-text-anchor:top" coordsize="533463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" path="m,519391l313766,506399,627710,422579,941654,370763r313944,-50292l1569542,270179r312420,-50292l2195906,169595r313944,-28956l2823794,111683,3137738,82727,3451682,53771,3765626,24815r313944,-4572l4393514,15671,4705934,9575,5019878,5003,5334152,e" filled="f" strokecolor="#339fc7" strokeweight="2.25pt">
                  <v:path arrowok="t"/>
                </v:shape>
                <v:shape id="Image 323" o:spid="_x0000_s1262" type="#_x0000_t75" style="position:absolute;left:6355;top:935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">
                  <v:imagedata r:id="rId105" o:title=""/>
                </v:shape>
                <v:shape id="Image 324" o:spid="_x0000_s1263" type="#_x0000_t75" style="position:absolute;left:9494;top:922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">
                  <v:imagedata r:id="rId106" o:title=""/>
                </v:shape>
                <v:shape id="Image 325" o:spid="_x0000_s1264" type="#_x0000_t75" style="position:absolute;left:12633;top:838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">
                  <v:imagedata r:id="rId106" o:title=""/>
                </v:shape>
                <v:shape id="Image 326" o:spid="_x0000_s1265" type="#_x0000_t75" style="position:absolute;left:15773;top:786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">
                  <v:imagedata r:id="rId105" o:title=""/>
                </v:shape>
                <v:shape id="Image 327" o:spid="_x0000_s1266" type="#_x0000_t75" style="position:absolute;left:18912;top:7360;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">
                  <v:imagedata r:id="rId105" o:title=""/>
                </v:shape>
                <v:shape id="Image 328" o:spid="_x0000_s1267" type="#_x0000_t75" style="position:absolute;left:22052;top:685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">
                  <v:imagedata r:id="rId107" o:title=""/>
                </v:shape>
                <v:shape id="Image 329" o:spid="_x0000_s1268" type="#_x0000_t75" style="position:absolute;left:25176;top:635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">
                  <v:imagedata r:id="rId108" o:title=""/>
                </v:shape>
                <v:shape id="Image 330" o:spid="_x0000_s1269" type="#_x0000_t75" style="position:absolute;left:28315;top:585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">
                  <v:imagedata r:id="rId107" o:title=""/>
                </v:shape>
                <v:shape id="Image 331" o:spid="_x0000_s1270" type="#_x0000_t75" style="position:absolute;left:31455;top:556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">
                  <v:imagedata r:id="rId106" o:title=""/>
                </v:shape>
                <v:shape id="Image 332" o:spid="_x0000_s1271" type="#_x0000_t75" style="position:absolute;left:34594;top:527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">
                  <v:imagedata r:id="rId106" o:title=""/>
                </v:shape>
                <v:shape id="Image 333" o:spid="_x0000_s1272" type="#_x0000_t75" style="position:absolute;left:37734;top:498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">
                  <v:imagedata r:id="rId106" o:title=""/>
                </v:shape>
                <v:shape id="Image 334" o:spid="_x0000_s1273" type="#_x0000_t75" style="position:absolute;left:40873;top:4693;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">
                  <v:imagedata r:id="rId105" o:title=""/>
                </v:shape>
                <v:shape id="Image 335" o:spid="_x0000_s1274" type="#_x0000_t75" style="position:absolute;left:44013;top:440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">
                  <v:imagedata r:id="rId105" o:title=""/>
                </v:shape>
                <v:shape id="Image 336" o:spid="_x0000_s1275" type="#_x0000_t75" style="position:absolute;left:47152;top:435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">
                  <v:imagedata r:id="rId105" o:title=""/>
                </v:shape>
                <v:shape id="Image 337" o:spid="_x0000_s1276" type="#_x0000_t75" style="position:absolute;left:50292;top:431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">
                  <v:imagedata r:id="rId108" o:title=""/>
                </v:shape>
                <v:shape id="Image 338" o:spid="_x0000_s1277" type="#_x0000_t75" style="position:absolute;left:53416;top:4251;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">
                  <v:imagedata r:id="rId108" o:title=""/>
                </v:shape>
                <v:shape id="Image 339" o:spid="_x0000_s1278" type="#_x0000_t75" style="position:absolute;left:56555;top:420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">
                  <v:imagedata r:id="rId108" o:title=""/>
                </v:shape>
                <v:shape id="Image 340" o:spid="_x0000_s1279" type="#_x0000_t75" style="position:absolute;left:59695;top:416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">
                  <v:imagedata r:id="rId105" o:title=""/>
                </v:shape>
                <v:shape id="Graphic 341" o:spid="_x0000_s1280" style="position:absolute;left:4545;top:30700;width:55722;height:2852;visibility:visible;mso-wrap-style:square;v-text-anchor:top" coordsize="557212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" path="m98386,236499r-7124,-5982l59563,268287r812,-10376l60921,248018r,-26975l59842,213423,55994,203047r-2654,-3823l53035,198780r-9767,-8192l36766,188760r-749,l2146,211848,,222034r1892,10515l7835,243344r9106,-5956l12420,232918r-2324,-5017l9969,222313r-127,-5575l11404,212153r114,-305l18427,203619r4293,-2490l33083,199224r4686,1283l51701,248018r-241,9715l50469,279120r7125,5982l71704,268287,98386,236499xem136728,181546r-1486,-7633l132219,166293r-3391,-5804l128828,184607r-863,5740l118275,201891r-165,l112064,203898,73406,183565,59194,160172r940,-6452l69888,142087r6566,-1981l84594,142087r35192,24054l128828,184607r,-24118l93484,133616,77622,131597r-7125,1664l51511,159156r-127,1854l72351,197904r31357,14249l111150,212153r25463,-28588l136728,181546xem199288,116243r-7125,-5969l160464,148043r813,-10388l161823,127774r140,-4673l161963,107645r-140,-5855l161810,100787,154241,78981r-305,-445l144170,70345r-6756,-1905l121983,70535r-6820,4052l109245,81635r-6198,9970l100901,101790r1892,10516l108737,123101r9093,-5957l113322,112674r-2324,-5029l110858,101790r-127,-5309l112420,91605r6909,-8230l123621,80873r10364,-1892l138671,80264r8661,7264l150304,93167r1461,7620l152463,107645r-102,29845l151371,158877r7125,5981l172605,148043r26683,-31800xem239877,50927r-2857,-6363l236651,44259r-3581,-2997l226504,35750r-5207,-1714l210032,35242r-4966,2210l200787,41262r2514,-4496l204152,32067r-1638,-9804l201180,19951r-1016,-1778l191262,10706,185242,9156r-14021,2248l164896,15316r-5613,6680l153365,31051r-2769,9309l150634,41262r115,2997l150850,47066r114,2845l154495,59702r8687,-5880l160515,47066r-470,-5804l181775,19951r4076,1092l192913,26962r1816,3619l195313,39446r-2146,4813l193001,44564,181686,58064r6769,5677l199910,50101r5017,-3492l215239,44259r4547,1067l227393,51701r2007,3988l230009,63741r89,1067l230149,65481r-2108,4864l227952,70535r-114,254l202742,86664r-7493,-2082l191223,94780r6503,2502l204419,97523r13754,-4013l237197,71018r127,-229l239229,64808r547,-5106l239877,50927xem412153,236499r-7125,-5982l373329,268287r813,-10376l374700,248018r-12,-26975l373608,213423r-3848,-10376l367106,199224r-305,-444l357035,190588r-6503,-1828l349796,188760r-33884,23088l313778,222034r1893,10515l321602,243344r9106,-5956l326186,232918r-2324,-5017l323735,222313r-127,-5575l325183,212153r102,-305l332193,203619r4293,-2490l346849,199224r4687,1283l365467,230517r,17501l365239,257733r-1003,21387l371360,285102r14110,-16815l412153,236499xem450507,181546r-1499,-7633l445998,166293r-3391,-5791l442607,184607r-876,5740l432041,201891r-165,l425831,203898,387172,183565,372960,160172r940,-6452l383654,142087r6566,-1981l398360,142087r35205,24054l442607,184607r,-24105l407250,133616r-15849,-2019l384276,133261r-18974,25616l365277,159156r-114,1854l365061,162458r1384,7480l393065,203047r24409,9106l424929,212153r7175,-1803l438251,206946r3213,-3048l443585,201891r4217,-6362l450037,188950r63,-190l450329,184607r63,-1042l450507,181546xem513054,116243r-7125,-5969l474230,148043r813,-10388l475602,127774r127,-4673l475742,107645r-127,-5855l468007,78981r-305,-445l457936,70345r-6756,-1905l435749,70535r-6820,4052l423011,81635r-6197,9970l414680,101790r1892,10516l422503,123101r9093,-5957l427088,112674r-2324,-5029l424624,101790r-127,-5309l426186,91605r6909,-8230l437388,80873r10363,-1892l452437,80264r8661,7264l464070,93167r1473,7620l466242,107645r-102,29845l465137,158877r7125,5981l486371,148043r26683,-31800xem555777,65341r-6502,-5461l539470,51650r4763,-5676l548767,40563r-6770,-5677l532701,45974r-6909,-5792l525792,54203,504825,79184,488518,27228r-1105,-3035l485990,20548r2617,2362l491083,25082r34709,29121l525792,40182,502399,20548,485889,6705r-8941,10655l498335,88950r5778,4839l516369,79184,532561,59880r16307,13678l555777,65341xem725932,236499r-7125,-5982l687108,268287r812,-10376l688479,248018r-12,-26975l687387,213423r-3848,-10376l680885,199224r-305,-444l670814,190588r-6503,-1828l663562,188760r-33871,23088l627545,222034r1905,10515l635381,243344r9105,-5956l639965,232918r-2324,-5017l637514,222313r-127,-5575l638962,212153r102,-305l645972,203619r4293,-2490l660628,199224r4686,1283l679246,248018r-228,9715l678014,279120r7125,5982l699249,268287r26683,-31788xem764273,181546r-1486,-7633l759777,166293r-3404,-5804l756373,184607r-863,5740l745820,201891r-165,l739609,203898,700951,183565,686739,160172r940,-6452l697433,142087r6566,-1981l712139,142087r35192,24054l756373,184607r,-24118l721029,133616r-15862,-2019l698055,133261r-18974,25616l679056,159156r-127,1854l678827,162458r1397,7480l706843,203047r24410,9106l738695,212153r7188,-1803l752030,206946r3213,-3048l757364,201891r6795,-18326l764273,181546xem826833,116243r-7125,-5969l788009,148043r813,-10388l789368,127774r140,-4673l789520,107645r-127,-5855l789368,100787r-991,-6985l788289,93167,784428,82791r-2642,-3810l781481,78536r-9766,-8191l764959,68440r-15431,2095l742708,74587r-5918,7048l730592,91605r-2146,10185l730351,112306r5931,10795l745375,117144r-4508,-4470l738543,107645r-140,-5855l738276,96481r1689,-4876l746874,83375r4292,-2502l761530,78981r4686,1283l774877,87528r2972,5639l779322,100787r699,6858l779919,137490r-1003,21387l786041,164858r14109,-16815l826833,116243xem865809,58991r-127,-4534l865568,50152r-3581,-7265l859510,40754r-2210,-1854l847979,31076r-7646,-2438l823595,30492r-6884,3671l806221,46672r-1664,5804l804024,54457r724,9157l783780,43548r483,-661l811987,9855,805205,2959,771144,43548r35179,33274l813460,71259r-1245,-6820l812253,63614,837272,38900r5436,1854l852982,49390r2782,5067l856589,63614r76,825l856754,65468r76,838l854925,71666,831570,86042r-7531,-1626l820445,93802r6134,2679l827874,96481r4903,254l846315,92824r5791,-3848l854557,86042r2375,-2819l860945,77584r2820,-5918l865378,65468r431,-6477xem1039698,236499r-7125,-5982l1000874,268287r825,-10376l1002245,248018r-12,-26975l1001166,213423,978077,188760r-736,l943470,211848r-2146,10186l943216,232549r5931,10795l958253,237388r-4522,-4470l951407,227901r-127,-5588l951153,216738r1575,-4585l952830,211848r6909,-8229l964031,201129r10363,-1905l979081,200507r13932,30010l993013,248018r-229,9715l991781,279120r7124,5982l1013028,268287r26670,-31788xem1078052,181546r-1499,-7633l1073543,166293r-3391,-5791l1070152,184607r-876,5740l1059586,201891r-165,l1053376,203898r-38646,-20333l1000506,160172r939,-6452l1011212,142087r6553,-1981l1025906,142087r35204,24054l1070152,184607r,-24105l1034796,133616r-15850,-2019l1011821,133261r-18986,25895l992708,161010r20967,36894l1045019,212153r7455,l1059649,210350r6147,-3404l1069009,203898r2121,-2007l1075347,195529r2235,-6579l1077645,188760r229,-4153l1077937,183565r115,-2019xem1140599,116243r-7124,-5969l1101775,148043r813,-10388l1103147,127774r127,-4673l1103299,107645r-139,-5855l1078725,68440r-15431,2095l1042225,101790r1892,10516l1050048,123101r9093,-5957l1054633,112674r-2324,-5029l1052169,101790r-127,-5309l1053706,91706r406,-546l1060640,83375r4293,-2502l1075296,78981r4686,1283l1088644,87528r2971,5639l1093089,100787r698,6858l1093685,137490r-1003,21387l1099807,164858r14110,-16815l1140599,116243xem1181900,65125r-9741,-27622l1172159,64312r-1727,5284l1162291,79286r-4940,2616l1145755,82664r-4953,-1537l1132230,73926r-1181,-2413l1129792,68948r-623,-9246l1129080,58432r-101,-1524l1154430,38811r5067,1663l1168412,47955r2540,4775l1172159,64312r,-26809l1163967,30632r-7124,-2311l1140764,29476r-6680,3467l1125232,43472r-1981,4483l1123149,48158r-101,229l1121308,59702r1003,5423l1122375,65519r2921,5816l1125385,71513,1112634,58432r-6807,-12103l1104976,35204r5092,-10122l1114780,20789r5334,-2374l1126058,17945r6566,1435l1133297,17945r3708,-8052l1127366,7708r-8852,775l1095082,38811r-50,736l1094955,40474r22048,37516l1147965,91706r7290,-546l1161923,89039r6032,-3695l1170559,82791r2794,-2731l1179334,72936r2566,-7811xem1353477,236499r-7125,-5982l1314653,268287r813,-10376l1316024,248018r-12,-26975l1314932,213423r-3848,-10376l1308430,199224r-305,-444l1298359,190588r-6503,-1828l1291107,188760r-33871,23088l1255102,222034r1893,10515l1262926,243344r9106,-5956l1267510,232918r-2324,-5017l1265059,222313r-127,-5575l1266507,212153r102,-305l1273517,203619r4293,-2490l1288173,199224r4687,1283l1306791,230517r,17501l1306563,257733r-1003,21387l1312684,285102r14110,-16815l1353477,236499xem1391818,181546r-1486,-7633l1387322,166293r-3403,-5804l1383919,184607r-864,5740l1373365,201891r-165,l1367155,203898r-38659,-20333l1314284,160172r940,-6452l1324978,142087r6566,-1981l1339684,142087r35205,24054l1383919,184607r,-24118l1348574,133616r-15849,-2019l1325600,133261r-18974,25616l1306601,159156r-114,1854l1306385,162458r1384,7480l1334389,203047r24409,9106l1366253,212153r7175,-1803l1379575,206946r3213,-3048l1384909,201891r4217,-6362l1391348,188950r76,-190l1391653,184607r63,-1042l1391818,181546xem1454378,116243r-7125,-5969l1415554,148043r813,-10388l1416926,127774r127,-4673l1417066,107645r-127,-5855l1416913,100787r-1079,-7620l1412049,83007r-76,-216l1409331,78981r-305,-445l1399260,70345r-41122,21260l1356004,101790r1892,10516l1363827,123101r9093,-5957l1368412,112674r-2324,-5029l1365948,101790r-127,-5309l1367510,91605r6909,-8230l1378712,80873r10363,-1892l1393761,80264r8661,7264l1405394,93167r1473,7620l1407566,107645r-102,29845l1406461,158877r7125,5981l1427695,148043r26683,-31800xem1483283,81788l1455686,48361,1442758,15240,1440345,4292,1435227,r-37961,45250l1404073,52412r31192,-37172l1437068,25095r16840,40360l1475879,90614r7404,-8826xem1667256,236499r-7125,-5982l1628432,268287r812,-10376l1629803,248018r-12,-26975l1628711,213423r-3848,-10376l1622209,199224r-305,-444l1612138,190588r-6503,-1828l1604886,188760r-33871,23088l1568869,222034r1892,10515l1576705,243344r9105,-5956l1581289,232918r-2324,-5017l1578838,222313r-127,-5575l1580273,212153r115,-305l1587296,203619r4293,-2490l1601952,199224r4686,1283l1620570,248018r-228,9715l1619338,279120r7125,5982l1640573,268287r26683,-31788xem1705597,181546r-1486,-7633l1701101,166293r-3404,-5804l1697697,184607r-863,5740l1687144,201891r-165,l1680933,203898r-38658,-20333l1628063,160172r940,-6452l1638757,142087r6566,-1981l1653463,142087r35192,24054l1697697,184607r,-24118l1662353,133616r-15862,-2019l1639379,133261r-18999,25895l1620253,161010r20968,36894l1672577,212153r7442,l1705483,183565r114,-2019xem1768157,116243r-7125,-5969l1729333,148043r813,-10388l1730692,127774r140,-4673l1730844,107645r-139,-5855l1730692,100787r-1079,-7620l1725752,82791r-2642,-3810l1722805,78536r-9753,-8178l1706283,68440r-15431,2095l1669770,101790r1892,10516l1677606,123101r9093,-5957l1682191,112674r-2324,-5029l1679727,101790r-127,-5309l1681289,91605r6909,-8230l1692490,80873r10364,-1892l1707540,80264r8661,7264l1719173,93167r1461,7620l1721345,107645r-102,29845l1720240,158877r7125,5981l1741474,148043r26683,-31800xem1810499,49860r-1842,-4306l1807857,43649r-5042,-4229l1801266,38125r,16980l1800555,63474r-27026,24422l1769287,87007r-8852,-14795l1761566,65227r76,-508l1761744,64071r1333,-3277l1765668,54419r432,-267l1775294,48552r8306,-2998l1790827,45554r5422,2629l1799729,51117r1537,3988l1801266,38125r-1994,-1676l1795424,34772r-9220,-1524l1779231,35052r-9321,4368l1772043,31305r-25,-7099l1769833,18122r-1346,-1562l1765477,13055r-1955,-1638l1763522,34264r-1524,5156l1740611,54152r-4090,-762l1730070,47967r-1397,-3568l1729447,36449r77,-851l1729765,35052r1765,-3747l1731606,31140r7582,-9030l1743214,19151r8395,-2591l1755457,17386r6515,5461l1763483,26149r39,8115l1763522,11417r-3264,-2743l1754301,7213r-13411,2883l1734604,14325r-11875,14148l1719605,35598r-292,8051l1719186,46850r19812,17869l1746199,63842r7925,-3048l1751698,70358r-114,469l1751520,74587r-89,4788l1753666,86461r4610,5614l1763522,96481r177,l1769922,97853r6922,-1372l1777123,96481r6211,-1943l1788960,91427r4407,-3531l1794484,87007r14897,-23165l1809508,63474r775,-5855l1810397,53390r102,-3530xem1981022,236499r-7125,-5982l1942198,268287r813,-10376l1943569,248018r-12,-26975l1942490,213423r-23089,-24663l1918665,188760r-33884,23088l1882648,222034r1892,10515l1890471,243344r9106,-5956l1895055,232918r-2324,-5017l1892604,222313r-127,-5575l1894052,212153r102,-305l1901063,203619r4292,-2490l1915718,199224r4687,1283l1934337,230517r,17501l1934108,257733r-1003,21387l1940229,285102r14123,-16815l1981022,236499xem2019376,181546r-1499,-7633l2014867,166293r-3391,-5791l2011476,184607r-876,5740l2000910,201891r-165,l1994700,203898r-38659,-20333l1941830,160172r939,-6452l1952523,142087r6566,-1981l1967230,142087r35204,24054l2011476,184607r,-24105l1976120,133616r-15850,-2019l1953145,133261r-18986,25895l1934032,161010r20967,36894l1986343,212153r7455,l2000973,210350r6147,-3404l2010333,203898r2121,-2007l2016671,195529r2235,-6579l2018969,188760r229,-4153l2019261,183565r115,-2019xem2081923,116243r-7124,-5969l2043099,148043r813,-10388l2044471,127774r127,-4673l2044611,107645r-140,-5855l2027034,70535r457,l2020049,68440r-15431,2095l1997798,74587r-5918,7048l1985860,91313r-177,292l1983549,101790r1892,10516l1991372,123101r9093,-5957l1995957,112674r-2324,-5029l1993493,101790r-127,-5309l1995055,91605r6909,-8230l2006257,80873r10363,-1892l2021306,80264r8662,7264l2032939,93167r1474,7620l2035111,107645r-102,29845l2034006,158877r7125,5981l2055241,148043r26682,-31800xem2118893,63284l2096871,25539r-11176,-7709l2085695,46355r-1575,5041l2084031,51689r-7543,8991l2071839,63284r-190,l2060803,64922,2042109,40005r-64,-470l2043734,34429r51,-178l2052142,24282r4889,-2692l2068271,20701r4965,1587l2085695,46355r,-28525l2081276,15367r-7620,-2718l2066175,11493r-7163,495l2032101,38392r1638,16814l2037397,62141r12891,10820l2057463,75298r15913,-1346l2092198,41821r-2223,-8319l2096389,39535r14351,25692l2109368,72440r-11113,13234l2091080,87807r-8712,-2463l2079117,94322r8877,1740l2096211,95046r7556,-3733l2118677,65227r127,-1143l2118893,63284xem2294801,236499r-7125,-5982l2255977,268287r813,-10376l2257336,248018r,-26975l2256256,213423r-3848,-10376l2249754,199224r-305,-444l2239683,190588r-6503,-1828l2232431,188760r-33871,23088l2196427,222034r1892,10515l2204250,243344r9106,-5956l2208834,232918r-2324,-5017l2206383,222313r-127,-5575l2207831,212153r102,-305l2214842,203619r4292,-2490l2229497,199224r4687,1283l2248116,248018r-229,9715l2246884,279120r7124,5982l2268118,268287r26683,-31788xem2333142,181546r-1486,-7633l2328646,166293r-3403,-5804l2325243,184607r-864,5740l2314689,201891r-165,l2308479,203898r-38659,-20333l2255609,160172r850,-5842l2256548,153720r9754,-11633l2272868,140106r8141,1981l2316213,166141r9030,18466l2325243,160489r-27191,-23660l2298217,136829r-8318,-3213l2281859,131826r-7810,-229l2266924,133261r-19215,29197l2249093,169938r26620,33109l2300122,212153r7442,l2314752,210350r6147,-3404l2324112,203898r2121,-2007l2330450,195529r2222,-6579l2332748,188760r229,-4153l2333028,183565r114,-2019xem2386330,110464r-2858,-6363l2383104,103797r-3569,-2998l2372969,95288r-5219,-1702l2356485,94780r-4966,2209l2347239,100799r2515,-4495l2350554,91909r51,-304l2349030,82156r-64,-356l2347633,79489r-1016,-1778l2337714,70243r-6020,-1536l2317673,70942r-20624,28956l2297087,100799r114,2998l2297315,106603r115,2845l2300948,119240r8699,-5880l2306980,106603r-470,-5804l2306510,99898r1562,-5957l2311844,88023r3480,-4140l2319299,81343r8928,-1854l2332304,80581r7061,5918l2341181,90119r584,8864l2339619,103797r-152,304l2328138,117602r6769,5676l2346363,109639r5016,-3493l2361692,103797r4546,1066l2373846,111252r2019,3975l2376474,123278r77,1067l2376601,125031r-27406,21171l2341715,144119r-4039,10211l2344178,156819r6693,241l2364625,153047r21616,-33807l2386330,110464xem2434044,61302r-1486,-7645l2429535,46050r-3391,-5804l2426144,64350r-863,5741l2415844,81343r-304,267l2409380,83654r-7772,-1498l2396083,80581r-152,l2362111,52527r-5614,-12599l2357450,33464r9753,-11620l2373769,19862r8141,1982l2417114,45897r9030,18453l2426144,40246,2390800,13373r-15850,-2032l2367826,13004r-19215,29210l2349995,49695r27280,33591l2401024,91909r7442,l2415603,90119r6185,-3417l2424988,83654r2159,-2044l2431338,75272r2236,-6565l2433637,68503r229,-4153l2433929,63309r115,-2007xem2608580,236499r-7125,-5982l2569756,268287r813,-10376l2571115,248018r,-26975l2570035,213423r-3848,-10376l2563533,199224r-305,-444l2553462,190588r-6503,-1828l2546210,188760r-33871,23088l2510193,222034r1892,10515l2518029,243344r9106,-5956l2522613,232918r-2324,-5017l2520162,222313r-127,-5575l2521597,212153r115,-305l2528620,203619r4293,-2490l2543276,199224r4687,1283l2561894,248018r-241,9715l2560663,279120r7124,5982l2581897,268287r26683,-31788xem2646921,181546r-1486,-7633l2642412,166293r-3390,-5804l2639022,184607r-864,5740l2628455,201891r-165,l2622258,203898r-38659,-20333l2569387,160172r851,-5842l2570327,153720r9754,-11633l2586647,140106r8140,1981l2629979,166141r9043,18466l2639022,160489r-27191,-23660l2611983,136829r-8318,-3213l2595638,131826r-7823,-229l2580690,133261r-18986,25895l2561577,161010r20968,36894l2613901,212153r7442,l2646743,184607r64,-1042l2646921,181546xem2700109,110464r-2858,-6363l2696883,103797r-3569,-2998l2686748,95288r-5220,-1702l2670264,94780r-4966,2209l2661018,100799r2515,-4495l2664383,91605r-1638,-9805l2661412,79489r-1016,-1778l2651493,70243r-6020,-1536l2631452,70942r-6324,3911l2619527,81546r-5931,9055l2610828,99898r38,901l2610980,103797r102,2806l2611196,109448r3530,9792l2623426,113360r-2680,-6757l2620314,101206r21692,-21717l2646083,80581r7061,5918l2654960,90119r584,8864l2653398,103797r-152,304l2641917,117602r6769,5676l2660142,109639r5016,-3493l2675471,103797r4546,1066l2687624,111252r2020,3975l2690241,123278r76,1067l2690380,125031r-2311,5296l2687980,130556r-4864,5803l2682684,136829r-6045,5665l2670022,145656r-7061,546l2655493,144119r-4038,10211l2657957,156819r6693,241l2678404,153047r6134,-4216l2686634,146316r3213,-3822l2694368,136359r3061,-5803l2697556,130327r1905,-5982l2700007,119240r102,-8776xem2762389,53200r-6375,-5347l2739898,67068,2696807,30924,2676385,13779r-5182,6160l2672461,27978r304,8521l2672092,45491r-1638,9474l2679090,62204r1130,-7239l2680741,47853r13,-8585l2680119,30924r52870,44361l2715730,95859r6375,5347l2750743,67068r11646,-13868xem2922346,236499r-7125,-5982l2883522,268287r813,-10376l2884894,248018r-13,-26975l2883801,213423r-3848,-10376l2877299,199224r-305,-444l2867228,190588r-6503,-1828l2859976,188760r-33871,23088l2823972,222034r1892,10515l2831795,243344r9106,-5956l2836380,232918r-2325,-5017l2833928,222313r-127,-5575l2835376,212153r102,-305l2842387,203619r4292,-2490l2857042,199224r4687,1283l2875661,230517r,17501l2875432,257733r-1003,21387l2881553,285102r14110,-16815l2922346,236499xem2960687,181546r-1486,-7633l2956191,166293r-3403,-5804l2952788,184607r-864,5740l2942234,201891r-165,l2936024,203898r-38659,-20333l2883154,160172r851,-5842l2884093,153720r9754,-11633l2900413,140106r8141,1981l2943758,166141r9030,18466l2952788,160489r-27178,-23660l2925762,136829r-8318,-3213l2909405,131826r-7811,-229l2894469,133261r-19113,27749l2875254,162458r21070,35446l2927667,212153r7455,l2942298,210350r6146,-3404l2951657,203898r2121,-2007l2957995,195529r2222,-6579l2960293,188760r229,-4153l2960586,183565r101,-2019xem3013875,110464r-2858,-6363l3010662,103797r-3582,-2998l3000514,95288r-5219,-1702l2984030,94780r-4966,2209l2974784,100799r2515,-4495l2959239,68707r-14020,2235l2938894,74853r-5601,6693l2927375,90601r-2781,9297l2924632,100799r114,2998l2924860,106603r115,2845l2928493,119240r8699,-5880l2934525,106603r-470,-5804l2955772,79489r4077,1092l2966910,86499r1816,3620l2969310,98983r-2146,4814l2967024,104101r-11341,13501l2962452,123278r11456,-13639l2978924,106146r10313,-2349l2993783,104863r7608,6389l3003410,115227r610,8051l3004096,124345r51,686l2976740,146202r-7480,-2083l2965221,154330r6502,2489l2978416,157060r13754,-4013l3013786,119240r89,-8776xem3073209,56705r-7125,-5969l3034385,88506r521,-6706l3035008,80581r88,-1092l3035211,77952r393,-7010l3035731,68707r153,-5144l3035897,48107r-127,-5575l3035731,41249r-1079,-7620l3030804,23253r-2642,-3810l3027857,18999r-9766,-8192l3011335,8902r-15431,2096l2989084,15049r-5918,7049l2976969,32067r-2134,10185l2976727,52755r5931,10808l2991751,57607r-4508,-4471l2984919,48107r-127,-5575l2984766,41249r-114,-4305l2986341,32067r6909,-8230l2997543,21336r10363,-1893l3012592,20713r8661,7277l3024225,33629r1473,7620l3026397,48107r-102,29604l3026219,79489r-76,1854l3026016,83883r-114,2616l3025825,88023r-101,2096l3025660,91605r-101,1981l3025508,94780r-102,2209l3025292,99339r7125,5982l3046526,88506r26683,-31801xem3236125,236499r-7125,-5982l3197301,268287r813,-10376l3198660,248018r,-26975l3197580,213423r-3848,-10376l3191078,199224r-305,-444l3181007,190588r-6503,-1828l3173755,188760r-33871,23088l3137738,222034r1892,10515l3145574,243344r9106,-5956l3150158,232918r-2324,-5017l3147707,222313r-127,-5575l3149142,212153r115,-305l3156166,203619r4292,-2490l3170821,199224r4687,1283l3189440,248018r-229,9715l3188208,279120r7124,5982l3209442,268287r26683,-31788xem3274466,181546r-1486,-7633l3269970,166293r-3403,-5804l3266567,184607r-864,5740l3256013,201891r-165,l3249803,203898r-38659,-20333l3196933,160172r850,-5842l3197872,153720r9754,-11633l3214192,140106r8141,1981l3257524,166141r9043,18466l3266567,160489r-27191,-23660l3239528,136829r-8305,-3213l3223183,131826r-7823,-229l3208248,133261r-18999,25895l3189122,161010r20968,36894l3241446,212153r7442,l3274352,183565r114,-2019xem3327654,110464r-2858,-6363l3324428,103797r-3569,-2998l3314293,95288r-5219,-1702l3297809,94780r-4966,2209l3288563,100799r2515,-4495l3291929,91605r-1639,-9805l3288957,79489r-1016,-1778l3279038,70243r-6020,-1536l3258515,71018r355,l3252673,74853r-5601,6693l3241141,90601r-2768,9297l3238411,100799r114,2998l3238639,106603r102,2845l3242272,119240r8699,-5880l3248291,106603r-457,-5804l3247834,99898r1562,-5957l3253168,88023r3480,-4140l3260623,81343r8928,-1854l3273628,80581r7061,5918l3282505,90119r229,3467l3282810,94780r102,1524l3282975,97282r114,1701l3280943,103797r-152,304l3269462,117602r6769,5676l3287687,109639r5016,-3493l3303016,103797r4546,1066l3315170,111252r2019,3975l3317786,123278r89,1067l3317925,125031r-2311,5296l3315525,130556r-25019,15646l3283039,144119r-4039,10211l3285502,156819r6693,241l3305949,153047r21616,-33807l3327654,110464xem3377615,50927r-2857,-6363l3374390,44259r-3582,-2997l3364242,35750r-5207,-1714l3347770,35242r-4965,2210l3338525,41262r2514,-4496l3341890,32067r-1638,-9804l3338919,19951r-1016,-1778l3329000,10706r-6020,-1550l3308959,11404r-6324,3912l3297021,21996r-5918,9055l3288334,40360r39,902l3288487,44259r114,2807l3288703,49911r3530,9791l3300920,53822r-2667,-6756l3297783,41262r21730,-21311l3323590,21043r7061,5919l3332467,30581r584,8865l3330905,44259r-165,305l3319424,58064r6769,5677l3337649,50101r5016,-3492l3352977,44259r4547,1067l3365131,51701r2007,3988l3367748,63741r88,1067l3367887,65481r-2311,5308l3365487,71018r-5156,6147l3354146,82956r-6617,3162l3340481,86664r-7493,-2082l3328962,94780r6502,2502l3342157,97523r13487,-3937l3355797,93586r21730,-33884l3377615,50927xem3549891,236499r-7125,-5982l3511067,268287r813,-10376l3512439,248018r-13,-26975l3511359,213423r-23088,-24663l3487534,188760r-33884,23088l3451517,222034r1892,10515l3459340,243344r9106,-5956l3463925,232918r-2324,-5017l3461474,222313r-127,-5575l3462921,212153r102,-305l3469932,203619r4292,-2490l3484588,199224r4686,1283l3503206,230517r,17501l3502977,257733r-1003,21387l3509099,285102r14122,-16815l3549891,236499xem3588245,181546r-1499,-7633l3583736,166293r-3390,-5791l3580346,184607r-877,5740l3569779,201891r-165,l3563569,203898r-38659,-20333l3510699,160172r851,-5842l3511639,153720r9753,-11633l3527958,140106r8141,1981l3571303,166141r9043,18466l3580346,160502r-27191,-23673l3553307,136829r-8318,-3213l3536950,131826r-7811,-229l3522014,133261r-18986,25895l3502901,161010r20968,36894l3555212,212153r7455,l3569843,210350r6146,-3404l3579203,203898r2120,-2007l3585540,195529r2235,-6579l3587839,188760r228,-4153l3588131,183565r114,-2019xem3641420,110464r-2858,-6363l3638207,103797r-3582,-2998l3628059,95288r-5219,-1702l3611575,94780r-4966,2209l3602329,100799r2515,-4495l3586784,68707r-14020,2235l3566439,74853r-5601,6693l3554920,90601r-2768,9297l3552177,100799r127,2998l3552406,106603r114,2845l3556038,119240r8699,-5880l3562070,106603r-470,-5804l3583317,79489r4077,1092l3594455,86499r1816,3620l3596856,98983r-2134,4814l3594570,104101r-11342,13501l3589998,123278r11455,-13639l3606469,106146r10313,-2349l3621328,104863r7608,6389l3630955,115227r610,8051l3631641,124345r51,686l3604285,146202r-7480,-2083l3592766,154330r6503,2489l3605961,157060r13755,-4013l3638753,130556r127,-229l3640785,124345r546,-5105l3641420,110464xem3693515,65341r-6502,-5461l3677208,51650r4763,-5676l3686505,40563r-6769,-5677l3670439,45974r-6908,-5792l3663531,54203r-20968,24981l3626256,27228r-1105,-3035l3623729,20548r2616,2362l3628821,25082r34710,29121l3663531,40182,3640137,20548,3623627,6705r-8941,10655l3636073,88950r5779,4839l3654107,79184r16193,-19304l3686606,73558r6909,-8217xem3863670,236499r-7125,-5982l3824846,268287r813,-10376l3826205,248018r,-26975l3825125,213423r-3848,-10376l3818623,199224r-305,-444l3808552,190588r-6503,-1828l3801300,188760r-33871,23088l3765296,222034r1892,10515l3773119,243344r9106,-5956l3777704,232918r-2325,-5017l3775252,222313r-127,-5575l3776700,212153r102,-305l3783711,203619r4292,-2490l3798366,199224r4687,1283l3816985,248018r-229,9715l3815753,279120r7124,5982l3836987,268287r26683,-31788xem3902011,181546r-1486,-7633l3897515,166293r-3403,-5804l3894112,184607r-864,5740l3883558,201891r-165,l3877348,203898r-38659,-20333l3824478,160172r851,-5842l3825417,153720r9754,-11633l3841737,140106r8141,1981l3885082,166141r9030,18466l3894112,160489r-27191,-23660l3867086,136829r-8318,-3213l3850729,131826r-7811,-229l3835793,133261r-19215,29197l3817963,169938r26619,33109l3868991,212153r7442,l3883622,210350r6146,-3404l3892981,203898r2121,-2007l3899319,195529r2222,-6579l3901617,188760r229,-4153l3901897,183565r114,-2019xem3955199,110464r-2858,-6363l3951973,103797r-3569,-2998l3941838,95288r-5219,-1702l3925354,94780r-4966,2209l3916108,100799r2451,-4394l3918801,95288r673,-3683l3917835,81800r-1333,-2311l3915486,77711r-8903,-7468l3900563,68707r-14020,2235l3880218,74853r-5601,6693l3868699,90601r-2781,9297l3865956,100799r114,2998l3866184,106603r115,2845l3869817,119240r8699,-5880l3875849,106603r-470,-5804l3875379,99898r1562,-5957l3880713,88023r3480,-4140l3888168,81343r8928,-1854l3901173,80581r7061,5918l3910050,90119r584,8864l3908488,103797r-152,304l3897007,117602r6769,5676l3915232,109639r5016,-3493l3930561,103797r4546,1066l3942715,111252r2019,3975l3945344,123278r76,1067l3945471,125031r-27407,21171l3910584,144119r-4039,10211l3913047,156819r6693,241l3933494,153047r21616,-33807l3955199,110464xem4003548,58991r-127,-4534l4003306,50152r-3581,-7265l3997248,40754r-2209,-1854l3985717,31076r-7646,-2438l3961333,30492r-6884,3671l3943959,46672r-1663,5804l3941775,54457r711,9157l3921518,43548r483,-661l3949725,9855r-6782,-6896l3908882,43548r35179,33274l3951198,71259r-1244,-6820l3949992,63614r25019,-24714l3980446,40754r10275,8636l3993502,54457r825,9157l3994404,64439r89,1029l3994569,66306r-1905,5360l3969308,86042r-7531,-1626l3958259,93586r-76,216l3964140,96405r6375,330l3984053,92824r5791,-3848l3992295,86042r2375,-2819l3998595,77711r152,-254l4001503,71666r1613,-6198l4003548,58991xem4177449,236499r-7125,-5982l4138625,268287r813,-10376l4139984,248018r,-26975l4138904,213423r-3848,-10376l4132402,199224r-305,-444l4122331,190588r-6503,-1828l4115079,188760r-33871,23088l4079062,222034r1892,10515l4086898,243344r9106,-5956l4091482,232918r-2324,-5017l4089031,222313r-127,-5575l4090466,212153r115,-305l4097490,203619r4292,-2490l4112145,199224r4687,1283l4130764,248018r-242,9715l4129532,279120r7124,5982l4150766,268287r26683,-31788xem4215790,181546r-1486,-7633l4211282,166293r-3391,-5804l4207891,184607r-864,5740l4197324,201891r-165,l4191127,203898r-38659,-20333l4138257,160172r850,-5842l4139196,153720r9754,-11633l4155516,140106r8141,1981l4198848,166141r9043,18466l4207891,160489r-27191,-23660l4180852,136829r-8318,-3213l4164507,131826r-7823,-229l4149560,133261r-18987,25895l4130446,161010r20968,36894l4182770,212153r7442,l4215612,184607r64,-1042l4215790,181546xem4268978,110464r-2858,-6363l4265752,103797r-3569,-2998l4255617,95288r-5219,-1702l4239133,94780r-4966,2209l4229887,100799r2515,-4495l4233227,91706r-51,-546l4231627,81902r-165,-356l4230281,79489r-1016,-1778l4220362,70243r-6020,-1536l4200321,70942r-20624,28956l4179735,100799r114,2998l4179951,106603r114,2845l4183596,119240r8699,-5880l4189615,106603r-470,-5804l4210875,79489r4077,1092l4222013,86499r1816,3620l4224413,98983r-2146,4814l4222115,104101r-11329,13501l4217555,123278r11456,-13639l4234027,106146r10313,-2349l4248886,104863r7608,6389l4258513,115227r597,8051l4259186,124345r64,686l4256938,130327r-89,229l4251985,136359r-432,470l4245508,142494r-6617,3162l4231830,146202r-7467,-2083l4220324,154330r6502,2489l4233519,157060r13754,-4013l4253408,148831r2095,-2515l4258716,142494r4521,-6135l4266298,130556r127,-229l4268330,124345r546,-5105l4268978,110464xem4319651,65125r-1588,-16002l4317974,48158r-3619,-6896l4311459,38811r-1562,-1308l4309897,64312r-1714,5284l4300042,79286r-4940,2616l4283507,82664r-4953,-1537l4269981,73926r-1194,-2413l4267543,68948r-635,-9246l4266819,58432r-102,-1524l4266692,56489r1714,-5423l4276039,41973r4737,-2426l4292181,38811r5067,1663l4306163,47955r2540,4775l4309897,64312r,-26809l4301718,30632r-7124,-2311l4278515,29476r-6692,3467l4262983,43472r-1994,4483l4260901,48158r-102,229l4259059,59702r991,5423l4260126,65519r2921,5816l4263136,71513,4250372,58432r-6807,-12103l4242714,35204r5106,-10122l4252519,20789r5334,-2374l4263796,17945r6579,1435l4271035,17945r3721,-8052l4265104,7708r-8852,775l4232821,38811r-51,736l4232694,40474r22060,37516l4285716,91706r7277,-546l4299661,89039r6032,-3695l4308437,82664r2667,-2604l4317085,72936r2566,-7811xem4491215,236499r-7125,-5982l4452391,268287r813,-10376l4453763,248018r-13,-26975l4452671,213423r-3849,-10376l4446168,199224r-305,-444l4436097,190588r-6502,-1828l4428858,188760r-33884,23088l4392841,222034r1892,10515l4400664,243344r9106,-5956l4405249,232918r-2324,-5017l4402798,222313r-127,-5575l4404245,212153r102,-305l4411256,203619r4292,-2490l4425912,199224r4686,1283l4444530,230517r,17501l4444301,257733r-1003,21387l4450423,285102r14109,-16815l4491215,236499xem4529569,181546r-1499,-7633l4525061,166293r-3391,-5791l4521670,184607r-877,5740l4511103,201891r-165,l4504893,203898r-38659,-20333l4452023,160172r851,-5842l4452963,153720r9753,-11633l4469282,140106r8141,1981l4512627,166141r9043,18466l4521670,160502r-27191,-23673l4494631,136829r-8318,-3213l4478274,131826r-7811,-229l4463339,133261r-19114,27749l4444123,162458r21070,35446l4496536,212153r7455,l4511167,210350r6147,-3404l4520527,203898r2121,-2007l4526864,195529r2235,-6579l4529163,188760r228,-4153l4529455,183565r114,-2019xem4582744,110464r-2858,-6363l4579531,103797r-3582,-2998l4569384,95288r-5220,-1702l4552899,94780r-4966,2209l4543653,100799r2515,-4495l4528109,68707r-14021,2235l4507763,74853r-5601,6693l4496232,90614r-2769,9284l4493501,100799r114,2998l4493730,106603r114,2845l4497362,119240r8699,-5880l4503394,106603r-470,-5804l4524641,79489r4077,1092l4535779,86499r1816,3620l4538180,98983r-2134,4814l4535894,104101r-11341,13501l4531322,123278r11455,-13639l4547794,106146r10312,-2349l4562653,104863r7607,6389l4572279,115227r610,8051l4572965,124345r51,686l4545609,146202r-7480,-2083l4534090,154330r6503,2489l4547286,157060r13754,-4013l4582655,119240r89,-8776xem4621009,81800r-279,-254l4618621,79857r-6946,-6477l4588395,38315r-7899,-23075l4578083,4292,4572965,r-37960,45250l4541812,52412r31191,-37172l4574806,25095r16853,40360l4613618,90614r7391,-8814xem4804994,236499r-7125,-5982l4766170,268287r813,-10376l4767529,248018r,-26975l4766449,213423r-3848,-10376l4759947,199224r-305,-444l4749876,190588r-6502,-1828l4742624,188760r-33871,23088l4706607,222034r1905,10515l4714443,243344r9106,-5956l4719028,232918r-2324,-5017l4716577,222313r-127,-5575l4718024,212153r102,-305l4725035,203619r4292,-2490l4739691,199224r4686,1283l4758309,248018r-229,9715l4757077,279120r7125,5982l4778311,268287r26683,-31788xem4843335,181546r-1486,-7633l4838839,166293r-3403,-5804l4835436,184607r-864,5740l4824882,201891r-165,l4818672,203898r-38659,-20333l4765802,160172r851,-5842l4766742,153720r9753,-11633l4783061,140106r8141,1981l4826393,166141r9043,18466l4835436,160489r-27191,-23660l4808410,136829r-8318,-3213l4792053,131826r-7824,-229l4777117,133261r-18999,25895l4757991,161010r20968,36894l4810315,212153r7442,l4824946,210350r6146,-3404l4834306,203898r2120,-2007l4843221,183565r114,-2019xem4896523,110464r-2858,-6363l4893297,103797r-3569,-2998l4883162,95288r-5219,-1702l4866678,94780r-4966,2209l4857432,100799r2439,-4368l4860125,95288r584,-3213l4860760,91427r-1601,-9627l4857826,79489r-1016,-1778l4848047,70358r305,l4841887,68707r-31877,21894l4807242,99898r38,901l4807394,103797r115,2806l4807610,109448r3531,9792l4819840,113360r-2667,-6757l4816703,100799r,-901l4818265,93941r3772,-5918l4825454,83959r4038,-2616l4838420,79489r4077,1092l4849558,86499r1816,3620l4851400,90601r101,1474l4851603,93586r63,952l4851793,96431r89,1422l4851959,98983r-2147,4814l4849660,104101r-11329,13501l4845101,123278r11455,-13639l4861572,106146r10313,-2349l4876431,104863r7608,6389l4886058,115227r597,8051l4886744,124345r-27369,21857l4851908,144119r-4039,10211l4854372,156819r6692,241l4874819,153047r21615,-33807l4896523,110464xem4948237,49860r-1829,-4306l4945596,43649r-5042,-4229l4939004,38125r,16980l4938293,63474r-27038,24435l4907026,87007r-635,-508l4903368,83959r-3899,-5118l4898174,72212r1130,-6985l4899380,64719r102,-648l4900815,60794r2591,-6375l4903838,54152r9195,-5600l4921339,45554r7226,l4933988,48183r3480,2934l4939004,55105r,-16980l4937010,36449r-3848,-1677l4923942,33248r-6972,1804l4907648,39420r2134,-8115l4909756,24206r-2184,-6084l4906226,16560r-3010,-3505l4901260,11417r,22847l4899736,39420r-21387,14732l4874260,53390r-6452,-5423l4866411,44399r775,-7950l4867262,35598r241,-546l4869269,31305r76,-165l4876927,22110r4026,-2959l4889347,16560r3848,826l4899711,22847r1511,3302l4901260,34264r,-22847l4897996,8674r-5956,-1461l4878629,10096r-6300,4229l4860468,28473r-3125,7125l4857051,43649r-127,3201l4876736,64719r7201,-877l4891862,60794r-2413,9564l4889322,70942r-114,8547l4891075,85432r355,1067l4896015,92075r5194,4356l4907661,97853r7175,-1422l4915027,96431r6045,-1893l4926698,91427r4255,-3404l4932223,87007r14897,-23165l4947247,63474r774,-5855l4948136,53390r101,-3530xem5118760,236499r-7125,-5982l5079936,268287r813,-10376l5081308,248018r-13,-26975l5080228,213423r-23088,-24663l5056403,188760r-33871,23088l5020386,222034r1892,10515l5028209,243344r9106,-5956l5032794,232918r-2324,-5017l5030343,222313r-127,-5575l5031791,212153r101,-305l5038801,203619r4293,-2490l5053457,199224r4686,1283l5072075,230517r,17501l5071846,257733r-1003,21387l5077968,285102r14122,-16815l5118760,236499xem5157114,181546r-1498,-7633l5152606,166293r-3391,-5791l5149215,184607r-877,5740l5138648,201891r-165,l5132438,203898r-38646,-20333l5079568,160172r851,-5842l5080508,153720r9766,-11633l5096827,140106r8141,1981l5140172,166141r9043,18466l5149215,160502r-27191,-23673l5122176,136829r-8318,-3213l5105819,131826r-7811,-229l5090884,133261r-18987,25895l5071770,161010r20968,36894l5124081,212153r7455,l5138712,210350r6147,-3404l5148072,203898r2121,-2007l5154409,195529r2235,-6579l5156708,188760r228,-4153l5157000,183565r114,-2019xem5210289,110464l5191709,93586r-11265,1194l5175478,96989r-4280,3810l5173713,96304,5155654,68707r-14021,2235l5135308,74853r-5600,6693l5123789,90601r-2768,9297l5121046,100799r127,2998l5121275,106603r114,2845l5124907,119240r8699,-5880l5130939,106603r-469,-5804l5130482,99898r1207,-4610l5131752,95046r64,-266l5131943,94322r101,-381l5135804,88023r3479,-4140l5143258,81343r8929,-1854l5156263,80581r7061,5918l5165141,90119r584,8864l5163591,103797r-152,304l5152098,117602r6769,5676l5170322,109639r5017,-3493l5185651,103797r4547,1066l5197805,111252r2019,3975l5200434,123278r76,1067l5200561,125031r-27407,21171l5165674,144119r-4039,10211l5168138,156819r6693,241l5188585,153047r6134,-4216l5196827,146316r3213,-3822l5204561,136359r3061,-5803l5207749,130327r1905,-5982l5210200,119240r89,-8776xem5256631,63284l5234610,25539r-11176,-7709l5223434,46355r-1563,5041l5221770,51689r-7544,8991l5209578,63284r-178,l5198542,64922,5179847,40005r-63,-470l5181473,34429r51,-178l5189880,24282r4890,-2692l5206009,20701r4966,1587l5223434,46355r,-28525l5219014,15367r-7607,-2718l5203914,11493r-7150,495l5169840,38392r1638,16814l5175135,62141r12891,10820l5195201,75298r15914,-1346l5229936,41821r-2223,-8319l5234127,39535r14351,25692l5247106,72440r-11112,13234l5228818,87807r-8712,-2463l5216855,94322r8877,1740l5233949,95046r7557,-3733l5256415,65227r127,-1143l5256631,63284xem5432539,236499r-7125,-5982l5393715,268287r813,-10376l5395087,248018r-13,-26975l5393995,213423r-3849,-10376l5387492,199224r-305,-444l5377421,190588r-6502,-1828l5370169,188760r-33871,23088l5334165,222034r1892,10515l5341988,243344r9106,-5956l5346573,232918r-2324,-5017l5344122,222313r-127,-5575l5345569,212153r102,-305l5352580,203619r4292,-2490l5367236,199224r4686,1283l5385854,248018r-229,9715l5384622,279120r7125,5982l5405856,268287r26683,-31788xem5470880,181546r-1486,-7633l5466385,166293r-3404,-5804l5462981,184607r-864,5740l5452427,201891r-165,l5446217,203898r-38659,-20333l5393347,160172r940,-6452l5404040,142087r6566,-1981l5418747,142087r35204,24054l5462981,184607r,-24118l5441658,140106r-6211,-3467l5427637,133616r-8039,-1790l5411787,131597r-7124,1664l5398236,136829r-5740,5474l5388381,148488r-101,152l5385930,155359r-267,3797l5385536,161010r-89,1448l5386832,169938r26619,33109l5437860,212153r7455,l5452491,210350r6147,-3404l5461851,203898r2121,-2007l5468188,195529r2222,-6579l5470487,188760r228,-4153l5470779,183565r101,-2019xem5526202,124879r-6516,-5461l5509895,111201r4775,-5690l5519191,100114r-6769,-5690l5503126,105511r-6909,-5791l5496217,113741r-20955,24981l5458942,86766r-1092,-3023l5456415,80086r2616,2362l5461520,84620r34697,29121l5496217,99720,5472811,80086,5456313,66243r-8940,10655l5468772,148488r5766,4839l5486793,138722r16193,-19304l5519293,133096r6909,-8217xem5571782,61302r-1486,-7645l5567273,46050r-3391,-5804l5563882,64350r-863,5741l5554319,80467r-1041,1143l5547106,83667r-7760,-1511l5503634,57924r-9398,-17996l5495188,33464r9754,-11620l5511508,19862r8140,1982l5554853,45897r9029,18453l5563882,40246,5528538,13373r-15849,-2032l5505564,13004r-19215,29210l5487733,49695r27280,33591l5538762,91909r7442,l5571604,64350r64,-1041l5571782,61302xe" fillcolor="#585858" stroked="f">
                  <v:path arrowok="t"/>
                </v:shape>
                <v:shape id="Image 342" o:spid="_x0000_s1281" type="#_x0000_t75" style="position:absolute;left:15410;top:35371;width:243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">
                  <v:imagedata r:id="rId109" o:title=""/>
                </v:shape>
                <v:shape id="Image 343" o:spid="_x0000_s1282" type="#_x0000_t75" style="position:absolute;left:24832;top:35371;width:243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">
                  <v:imagedata r:id="rId110" o:title=""/>
                </v:shape>
                <v:shape id="Image 344" o:spid="_x0000_s1283" type="#_x0000_t75" style="position:absolute;left:33958;top:35371;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">
                  <v:imagedata r:id="rId111" o:title=""/>
                </v:shape>
                <v:shape id="Image 345" o:spid="_x0000_s1284" type="#_x0000_t75" style="position:absolute;left:43083;top:35371;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">
                  <v:imagedata r:id="rId112" o:title=""/>
                </v:shape>
                <v:shape id="Graphic 346" o:spid="_x0000_s1285" style="position:absolute;left:47;top:47;width:62992;height:37592;visibility:visible;mso-wrap-style:square;v-text-anchor:top" coordsize="6299200,37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" path="m,l6299200,r,3759200l,3759200,,xe" filled="f" strokecolor="#d9d9d9">
                  <v:path arrowok="t"/>
                </v:shape>
                <v:shape id="Textbox 347" o:spid="_x0000_s1286" type="#_x0000_t202" style="position:absolute;left:872;top:637;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C34F1AD" w14:textId="77777777" w:rsidR="004C558F" w:rsidRDefault="00461887">
                        <w:pPr>
                          <w:spacing w:before="1"/>
                          <w:rPr>
                            <w:sz w:val="21"/>
                          </w:rPr>
                        </w:pPr>
                        <w:r>
                          <w:rPr>
                            <w:color w:val="585858"/>
                            <w:spacing w:val="-4"/>
                            <w:sz w:val="21"/>
                          </w:rPr>
                          <w:t>1000</w:t>
                        </w:r>
                      </w:p>
                    </w:txbxContent>
                  </v:textbox>
                </v:shape>
                <v:shape id="Textbox 348" o:spid="_x0000_s1287" type="#_x0000_t202" style="position:absolute;left:1654;top:6269;width:24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1C34F1AE" w14:textId="77777777" w:rsidR="004C558F" w:rsidRDefault="00461887">
                        <w:pPr>
                          <w:spacing w:before="1"/>
                          <w:rPr>
                            <w:sz w:val="21"/>
                          </w:rPr>
                        </w:pPr>
                        <w:r>
                          <w:rPr>
                            <w:color w:val="585858"/>
                            <w:spacing w:val="-5"/>
                            <w:sz w:val="21"/>
                          </w:rPr>
                          <w:t>800</w:t>
                        </w:r>
                      </w:p>
                    </w:txbxContent>
                  </v:textbox>
                </v:shape>
                <v:shape id="Textbox 349" o:spid="_x0000_s1288" type="#_x0000_t202" style="position:absolute;left:1654;top:11902;width:24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C34F1AF" w14:textId="77777777" w:rsidR="004C558F" w:rsidRDefault="00461887">
                        <w:pPr>
                          <w:spacing w:before="1"/>
                          <w:rPr>
                            <w:sz w:val="21"/>
                          </w:rPr>
                        </w:pPr>
                        <w:r>
                          <w:rPr>
                            <w:color w:val="585858"/>
                            <w:spacing w:val="-5"/>
                            <w:sz w:val="21"/>
                          </w:rPr>
                          <w:t>600</w:t>
                        </w:r>
                      </w:p>
                    </w:txbxContent>
                  </v:textbox>
                </v:shape>
                <v:shape id="Textbox 350" o:spid="_x0000_s1289" type="#_x0000_t202" style="position:absolute;left:1654;top:17535;width:24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C34F1B0" w14:textId="77777777" w:rsidR="004C558F" w:rsidRDefault="00461887">
                        <w:pPr>
                          <w:spacing w:before="1"/>
                          <w:rPr>
                            <w:sz w:val="21"/>
                          </w:rPr>
                        </w:pPr>
                        <w:r>
                          <w:rPr>
                            <w:color w:val="585858"/>
                            <w:spacing w:val="-5"/>
                            <w:sz w:val="21"/>
                          </w:rPr>
                          <w:t>400</w:t>
                        </w:r>
                      </w:p>
                    </w:txbxContent>
                  </v:textbox>
                </v:shape>
                <v:shape id="Textbox 351" o:spid="_x0000_s1290" type="#_x0000_t202" style="position:absolute;left:1654;top:23168;width:24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C34F1B1" w14:textId="77777777" w:rsidR="004C558F" w:rsidRDefault="00461887">
                        <w:pPr>
                          <w:spacing w:before="1"/>
                          <w:rPr>
                            <w:sz w:val="21"/>
                          </w:rPr>
                        </w:pPr>
                        <w:r>
                          <w:rPr>
                            <w:color w:val="585858"/>
                            <w:spacing w:val="-5"/>
                            <w:sz w:val="21"/>
                          </w:rPr>
                          <w:t>200</w:t>
                        </w:r>
                      </w:p>
                    </w:txbxContent>
                  </v:textbox>
                </v:shape>
                <v:shape id="Textbox 352" o:spid="_x0000_s1291" type="#_x0000_t202" style="position:absolute;left:3218;top:28800;width:9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C34F1B2" w14:textId="77777777" w:rsidR="004C558F" w:rsidRDefault="00461887">
                        <w:pPr>
                          <w:spacing w:before="1"/>
                          <w:rPr>
                            <w:sz w:val="21"/>
                          </w:rPr>
                        </w:pPr>
                        <w:r>
                          <w:rPr>
                            <w:color w:val="585858"/>
                            <w:spacing w:val="-10"/>
                            <w:sz w:val="21"/>
                          </w:rPr>
                          <w:t>0</w:t>
                        </w:r>
                      </w:p>
                    </w:txbxContent>
                  </v:textbox>
                </v:shape>
                <v:shape id="Textbox 353" o:spid="_x0000_s1292" type="#_x0000_t202" style="position:absolute;left:18106;top:34937;width:53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C34F1B3" w14:textId="77777777" w:rsidR="004C558F" w:rsidRDefault="00461887">
                        <w:pPr>
                          <w:spacing w:before="1"/>
                          <w:rPr>
                            <w:sz w:val="21"/>
                          </w:rPr>
                        </w:pPr>
                        <w:r>
                          <w:rPr>
                            <w:color w:val="585858"/>
                            <w:sz w:val="21"/>
                          </w:rPr>
                          <w:t>under</w:t>
                        </w:r>
                        <w:r>
                          <w:rPr>
                            <w:color w:val="585858"/>
                            <w:spacing w:val="-5"/>
                            <w:sz w:val="21"/>
                          </w:rPr>
                          <w:t xml:space="preserve"> 20</w:t>
                        </w:r>
                      </w:p>
                    </w:txbxContent>
                  </v:textbox>
                </v:shape>
                <v:shape id="Textbox 354" o:spid="_x0000_s1293" type="#_x0000_t202" style="position:absolute;left:27528;top:34937;width:5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C34F1B4" w14:textId="77777777" w:rsidR="004C558F" w:rsidRDefault="00461887">
                        <w:pPr>
                          <w:spacing w:before="1"/>
                          <w:rPr>
                            <w:sz w:val="21"/>
                          </w:rPr>
                        </w:pPr>
                        <w:r>
                          <w:rPr>
                            <w:color w:val="585858"/>
                            <w:sz w:val="21"/>
                          </w:rPr>
                          <w:t>20</w:t>
                        </w:r>
                        <w:r>
                          <w:rPr>
                            <w:color w:val="585858"/>
                            <w:spacing w:val="-4"/>
                            <w:sz w:val="21"/>
                          </w:rPr>
                          <w:t xml:space="preserve"> </w:t>
                        </w:r>
                        <w:r>
                          <w:rPr>
                            <w:color w:val="585858"/>
                            <w:sz w:val="21"/>
                          </w:rPr>
                          <w:t xml:space="preserve">to </w:t>
                        </w:r>
                        <w:r>
                          <w:rPr>
                            <w:color w:val="585858"/>
                            <w:spacing w:val="-5"/>
                            <w:sz w:val="21"/>
                          </w:rPr>
                          <w:t>39</w:t>
                        </w:r>
                      </w:p>
                    </w:txbxContent>
                  </v:textbox>
                </v:shape>
                <v:shape id="Textbox 355" o:spid="_x0000_s1294" type="#_x0000_t202" style="position:absolute;left:36653;top:34937;width:5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C34F1B5" w14:textId="77777777" w:rsidR="004C558F" w:rsidRDefault="00461887">
                        <w:pPr>
                          <w:spacing w:before="1"/>
                          <w:rPr>
                            <w:sz w:val="21"/>
                          </w:rPr>
                        </w:pPr>
                        <w:r>
                          <w:rPr>
                            <w:color w:val="585858"/>
                            <w:sz w:val="21"/>
                          </w:rPr>
                          <w:t>40</w:t>
                        </w:r>
                        <w:r>
                          <w:rPr>
                            <w:color w:val="585858"/>
                            <w:spacing w:val="-4"/>
                            <w:sz w:val="21"/>
                          </w:rPr>
                          <w:t xml:space="preserve"> </w:t>
                        </w:r>
                        <w:r>
                          <w:rPr>
                            <w:color w:val="585858"/>
                            <w:sz w:val="21"/>
                          </w:rPr>
                          <w:t xml:space="preserve">to </w:t>
                        </w:r>
                        <w:r>
                          <w:rPr>
                            <w:color w:val="585858"/>
                            <w:spacing w:val="-5"/>
                            <w:sz w:val="21"/>
                          </w:rPr>
                          <w:t>64</w:t>
                        </w:r>
                      </w:p>
                    </w:txbxContent>
                  </v:textbox>
                </v:shape>
                <v:shape id="Textbox 356" o:spid="_x0000_s1295" type="#_x0000_t202" style="position:absolute;left:45779;top:34937;width:24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C34F1B6" w14:textId="77777777" w:rsidR="004C558F" w:rsidRDefault="00461887">
                        <w:pPr>
                          <w:spacing w:before="1"/>
                          <w:rPr>
                            <w:sz w:val="21"/>
                          </w:rPr>
                        </w:pPr>
                        <w:r>
                          <w:rPr>
                            <w:color w:val="585858"/>
                            <w:spacing w:val="-5"/>
                            <w:sz w:val="21"/>
                          </w:rPr>
                          <w:t>65+</w:t>
                        </w:r>
                      </w:p>
                    </w:txbxContent>
                  </v:textbox>
                </v:shape>
                <w10:anchorlock/>
              </v:group>
            </w:pict>
          </mc:Fallback>
        </mc:AlternateContent>
      </w:r>
    </w:p>
    <w:p w14:paraId="1C34EA08" w14:textId="77777777" w:rsidR="004C558F" w:rsidRDefault="00461887">
      <w:pPr>
        <w:spacing w:before="18" w:line="276" w:lineRule="auto"/>
        <w:ind w:left="960" w:right="702"/>
        <w:rPr>
          <w:sz w:val="21"/>
        </w:rPr>
      </w:pPr>
      <w:r>
        <w:rPr>
          <w:sz w:val="21"/>
        </w:rPr>
        <w:t>Source:</w:t>
      </w:r>
      <w:r>
        <w:rPr>
          <w:spacing w:val="-6"/>
          <w:sz w:val="21"/>
        </w:rPr>
        <w:t xml:space="preserve"> </w:t>
      </w:r>
      <w:r>
        <w:rPr>
          <w:sz w:val="21"/>
        </w:rPr>
        <w:t>HPC</w:t>
      </w:r>
      <w:r>
        <w:rPr>
          <w:spacing w:val="-3"/>
          <w:sz w:val="21"/>
        </w:rPr>
        <w:t xml:space="preserve"> </w:t>
      </w:r>
      <w:r>
        <w:rPr>
          <w:sz w:val="21"/>
        </w:rPr>
        <w:t>analysis</w:t>
      </w:r>
      <w:r>
        <w:rPr>
          <w:spacing w:val="-5"/>
          <w:sz w:val="21"/>
        </w:rPr>
        <w:t xml:space="preserve"> </w:t>
      </w:r>
      <w:r>
        <w:rPr>
          <w:sz w:val="21"/>
        </w:rPr>
        <w:t>of</w:t>
      </w:r>
      <w:r>
        <w:rPr>
          <w:spacing w:val="-4"/>
          <w:sz w:val="21"/>
        </w:rPr>
        <w:t xml:space="preserve"> </w:t>
      </w:r>
      <w:r>
        <w:rPr>
          <w:sz w:val="21"/>
        </w:rPr>
        <w:t>CDC</w:t>
      </w:r>
      <w:r>
        <w:rPr>
          <w:spacing w:val="-3"/>
          <w:sz w:val="21"/>
        </w:rPr>
        <w:t xml:space="preserve"> </w:t>
      </w:r>
      <w:r>
        <w:rPr>
          <w:sz w:val="21"/>
        </w:rPr>
        <w:t>WONDER</w:t>
      </w:r>
      <w:r>
        <w:rPr>
          <w:spacing w:val="-3"/>
          <w:sz w:val="21"/>
        </w:rPr>
        <w:t xml:space="preserve"> </w:t>
      </w:r>
      <w:r>
        <w:rPr>
          <w:sz w:val="21"/>
        </w:rPr>
        <w:t>incidence</w:t>
      </w:r>
      <w:r>
        <w:rPr>
          <w:spacing w:val="-5"/>
          <w:sz w:val="21"/>
        </w:rPr>
        <w:t xml:space="preserve"> </w:t>
      </w:r>
      <w:r>
        <w:rPr>
          <w:sz w:val="21"/>
        </w:rPr>
        <w:t>and</w:t>
      </w:r>
      <w:r>
        <w:rPr>
          <w:spacing w:val="-4"/>
          <w:sz w:val="21"/>
        </w:rPr>
        <w:t xml:space="preserve"> </w:t>
      </w:r>
      <w:r>
        <w:rPr>
          <w:sz w:val="21"/>
        </w:rPr>
        <w:t>population</w:t>
      </w:r>
      <w:r>
        <w:rPr>
          <w:spacing w:val="-2"/>
          <w:sz w:val="21"/>
        </w:rPr>
        <w:t xml:space="preserve"> </w:t>
      </w:r>
      <w:r>
        <w:rPr>
          <w:sz w:val="21"/>
        </w:rPr>
        <w:t>data,</w:t>
      </w:r>
      <w:r>
        <w:rPr>
          <w:spacing w:val="-3"/>
          <w:sz w:val="21"/>
        </w:rPr>
        <w:t xml:space="preserve"> </w:t>
      </w:r>
      <w:r>
        <w:rPr>
          <w:sz w:val="21"/>
        </w:rPr>
        <w:t>UMass</w:t>
      </w:r>
      <w:r>
        <w:rPr>
          <w:spacing w:val="-3"/>
          <w:sz w:val="21"/>
        </w:rPr>
        <w:t xml:space="preserve"> </w:t>
      </w:r>
      <w:r>
        <w:rPr>
          <w:sz w:val="21"/>
        </w:rPr>
        <w:t>Donahue</w:t>
      </w:r>
      <w:r>
        <w:rPr>
          <w:spacing w:val="-3"/>
          <w:sz w:val="21"/>
        </w:rPr>
        <w:t xml:space="preserve"> </w:t>
      </w:r>
      <w:r>
        <w:rPr>
          <w:sz w:val="21"/>
        </w:rPr>
        <w:t>Institute population projections, and CHIA Massachusetts Hospital Discharge Database.</w:t>
      </w:r>
    </w:p>
    <w:p w14:paraId="1C34EA09" w14:textId="77777777" w:rsidR="004C558F" w:rsidRDefault="00461887">
      <w:pPr>
        <w:spacing w:line="237" w:lineRule="exact"/>
        <w:ind w:left="960"/>
        <w:rPr>
          <w:sz w:val="21"/>
        </w:rPr>
      </w:pPr>
      <w:r>
        <w:rPr>
          <w:sz w:val="21"/>
        </w:rPr>
        <w:t>Note:</w:t>
      </w:r>
      <w:r>
        <w:rPr>
          <w:spacing w:val="-5"/>
          <w:sz w:val="21"/>
        </w:rPr>
        <w:t xml:space="preserve"> </w:t>
      </w:r>
      <w:r>
        <w:rPr>
          <w:sz w:val="21"/>
        </w:rPr>
        <w:t>2023</w:t>
      </w:r>
      <w:r>
        <w:rPr>
          <w:spacing w:val="-3"/>
          <w:sz w:val="21"/>
        </w:rPr>
        <w:t xml:space="preserve"> </w:t>
      </w:r>
      <w:r>
        <w:rPr>
          <w:sz w:val="21"/>
        </w:rPr>
        <w:t>figures</w:t>
      </w:r>
      <w:r>
        <w:rPr>
          <w:spacing w:val="-6"/>
          <w:sz w:val="21"/>
        </w:rPr>
        <w:t xml:space="preserve"> </w:t>
      </w:r>
      <w:r>
        <w:rPr>
          <w:sz w:val="21"/>
        </w:rPr>
        <w:t>are</w:t>
      </w:r>
      <w:r>
        <w:rPr>
          <w:spacing w:val="-5"/>
          <w:sz w:val="21"/>
        </w:rPr>
        <w:t xml:space="preserve"> </w:t>
      </w:r>
      <w:proofErr w:type="gramStart"/>
      <w:r>
        <w:rPr>
          <w:sz w:val="21"/>
        </w:rPr>
        <w:t>actuals</w:t>
      </w:r>
      <w:proofErr w:type="gramEnd"/>
      <w:r>
        <w:rPr>
          <w:sz w:val="21"/>
        </w:rPr>
        <w:t>.</w:t>
      </w:r>
      <w:r>
        <w:rPr>
          <w:spacing w:val="-5"/>
          <w:sz w:val="21"/>
        </w:rPr>
        <w:t xml:space="preserve"> </w:t>
      </w:r>
      <w:r>
        <w:rPr>
          <w:sz w:val="21"/>
        </w:rPr>
        <w:t>All</w:t>
      </w:r>
      <w:r>
        <w:rPr>
          <w:spacing w:val="-4"/>
          <w:sz w:val="21"/>
        </w:rPr>
        <w:t xml:space="preserve"> </w:t>
      </w:r>
      <w:r>
        <w:rPr>
          <w:sz w:val="21"/>
        </w:rPr>
        <w:t>other</w:t>
      </w:r>
      <w:r>
        <w:rPr>
          <w:spacing w:val="-5"/>
          <w:sz w:val="21"/>
        </w:rPr>
        <w:t xml:space="preserve"> </w:t>
      </w:r>
      <w:r>
        <w:rPr>
          <w:sz w:val="21"/>
        </w:rPr>
        <w:t>figures</w:t>
      </w:r>
      <w:r>
        <w:rPr>
          <w:spacing w:val="-5"/>
          <w:sz w:val="21"/>
        </w:rPr>
        <w:t xml:space="preserve"> </w:t>
      </w:r>
      <w:r>
        <w:rPr>
          <w:sz w:val="21"/>
        </w:rPr>
        <w:t>are</w:t>
      </w:r>
      <w:r>
        <w:rPr>
          <w:spacing w:val="-4"/>
          <w:sz w:val="21"/>
        </w:rPr>
        <w:t xml:space="preserve"> </w:t>
      </w:r>
      <w:r>
        <w:rPr>
          <w:spacing w:val="-2"/>
          <w:sz w:val="21"/>
        </w:rPr>
        <w:t>projections.</w:t>
      </w:r>
    </w:p>
    <w:p w14:paraId="1C34EA0A" w14:textId="77777777" w:rsidR="004C558F" w:rsidRDefault="004C558F">
      <w:pPr>
        <w:pStyle w:val="BodyText"/>
        <w:spacing w:before="83"/>
        <w:rPr>
          <w:sz w:val="21"/>
        </w:rPr>
      </w:pPr>
    </w:p>
    <w:p w14:paraId="1C34EA0B" w14:textId="1978CADE" w:rsidR="004C558F" w:rsidRDefault="00461887">
      <w:pPr>
        <w:pStyle w:val="BodyText"/>
        <w:spacing w:line="276" w:lineRule="auto"/>
        <w:ind w:left="959" w:right="943" w:firstLine="720"/>
      </w:pPr>
      <w:r>
        <w:t>In</w:t>
      </w:r>
      <w:r>
        <w:rPr>
          <w:spacing w:val="-3"/>
        </w:rPr>
        <w:t xml:space="preserve"> </w:t>
      </w:r>
      <w:r>
        <w:t>developing</w:t>
      </w:r>
      <w:r>
        <w:rPr>
          <w:spacing w:val="-4"/>
        </w:rPr>
        <w:t xml:space="preserve"> </w:t>
      </w:r>
      <w:r>
        <w:t>its</w:t>
      </w:r>
      <w:r>
        <w:rPr>
          <w:spacing w:val="-4"/>
        </w:rPr>
        <w:t xml:space="preserve"> </w:t>
      </w:r>
      <w:r>
        <w:t>model,</w:t>
      </w:r>
      <w:r>
        <w:rPr>
          <w:spacing w:val="-3"/>
        </w:rPr>
        <w:t xml:space="preserve"> </w:t>
      </w:r>
      <w:r>
        <w:t>the</w:t>
      </w:r>
      <w:r>
        <w:rPr>
          <w:spacing w:val="-3"/>
        </w:rPr>
        <w:t xml:space="preserve"> </w:t>
      </w:r>
      <w:r>
        <w:t>HPC</w:t>
      </w:r>
      <w:r>
        <w:rPr>
          <w:spacing w:val="-4"/>
        </w:rPr>
        <w:t xml:space="preserve"> </w:t>
      </w:r>
      <w:r>
        <w:t>identified</w:t>
      </w:r>
      <w:r>
        <w:rPr>
          <w:spacing w:val="-2"/>
        </w:rPr>
        <w:t xml:space="preserve"> </w:t>
      </w:r>
      <w:r>
        <w:t>significant</w:t>
      </w:r>
      <w:r>
        <w:rPr>
          <w:spacing w:val="-4"/>
        </w:rPr>
        <w:t xml:space="preserve"> </w:t>
      </w:r>
      <w:r>
        <w:t>variation</w:t>
      </w:r>
      <w:r>
        <w:rPr>
          <w:spacing w:val="-3"/>
        </w:rPr>
        <w:t xml:space="preserve"> </w:t>
      </w:r>
      <w:r>
        <w:t>in</w:t>
      </w:r>
      <w:r>
        <w:rPr>
          <w:spacing w:val="-5"/>
        </w:rPr>
        <w:t xml:space="preserve"> </w:t>
      </w:r>
      <w:r>
        <w:t>outcomes</w:t>
      </w:r>
      <w:r>
        <w:rPr>
          <w:spacing w:val="-3"/>
        </w:rPr>
        <w:t xml:space="preserve"> </w:t>
      </w:r>
      <w:r>
        <w:t>depending</w:t>
      </w:r>
      <w:r>
        <w:rPr>
          <w:spacing w:val="-4"/>
        </w:rPr>
        <w:t xml:space="preserve"> </w:t>
      </w:r>
      <w:r>
        <w:t>on small changes to underlying assumptions. Recent increases in the average length of stay for oncology patients which, as discussed in the next section, were driven in large part by discharge challenges,</w:t>
      </w:r>
      <w:r>
        <w:rPr>
          <w:spacing w:val="-2"/>
        </w:rPr>
        <w:t xml:space="preserve"> </w:t>
      </w:r>
      <w:r>
        <w:t>resulted</w:t>
      </w:r>
      <w:r>
        <w:rPr>
          <w:spacing w:val="-1"/>
        </w:rPr>
        <w:t xml:space="preserve"> </w:t>
      </w:r>
      <w:r>
        <w:t>in</w:t>
      </w:r>
      <w:r>
        <w:rPr>
          <w:spacing w:val="-2"/>
        </w:rPr>
        <w:t xml:space="preserve"> </w:t>
      </w:r>
      <w:r>
        <w:t>substantial</w:t>
      </w:r>
      <w:r>
        <w:rPr>
          <w:spacing w:val="-3"/>
        </w:rPr>
        <w:t xml:space="preserve"> </w:t>
      </w:r>
      <w:r>
        <w:t>variances</w:t>
      </w:r>
      <w:r>
        <w:rPr>
          <w:spacing w:val="-2"/>
        </w:rPr>
        <w:t xml:space="preserve"> </w:t>
      </w:r>
      <w:r>
        <w:t>in</w:t>
      </w:r>
      <w:r>
        <w:rPr>
          <w:spacing w:val="-2"/>
        </w:rPr>
        <w:t xml:space="preserve"> </w:t>
      </w:r>
      <w:r>
        <w:t>the</w:t>
      </w:r>
      <w:r>
        <w:rPr>
          <w:spacing w:val="-4"/>
        </w:rPr>
        <w:t xml:space="preserve"> </w:t>
      </w:r>
      <w:r>
        <w:t>HPC’s</w:t>
      </w:r>
      <w:r>
        <w:rPr>
          <w:spacing w:val="-2"/>
        </w:rPr>
        <w:t xml:space="preserve"> </w:t>
      </w:r>
      <w:r>
        <w:t>utilization</w:t>
      </w:r>
      <w:r>
        <w:rPr>
          <w:spacing w:val="-2"/>
        </w:rPr>
        <w:t xml:space="preserve"> </w:t>
      </w:r>
      <w:r>
        <w:t>projections</w:t>
      </w:r>
      <w:r>
        <w:rPr>
          <w:spacing w:val="-2"/>
        </w:rPr>
        <w:t xml:space="preserve"> </w:t>
      </w:r>
      <w:r>
        <w:t>depending</w:t>
      </w:r>
      <w:r>
        <w:rPr>
          <w:spacing w:val="-5"/>
        </w:rPr>
        <w:t xml:space="preserve"> </w:t>
      </w:r>
      <w:r>
        <w:t>on</w:t>
      </w:r>
      <w:r>
        <w:rPr>
          <w:spacing w:val="-2"/>
        </w:rPr>
        <w:t xml:space="preserve"> </w:t>
      </w:r>
      <w:r>
        <w:t>the base year used for modeling.</w:t>
      </w:r>
      <w:r>
        <w:rPr>
          <w:spacing w:val="-33"/>
        </w:rPr>
        <w:t xml:space="preserve"> </w:t>
      </w:r>
      <w:r w:rsidR="00B40E7C">
        <w:rPr>
          <w:rStyle w:val="FootnoteReference"/>
          <w:spacing w:val="-33"/>
        </w:rPr>
        <w:footnoteReference w:id="193"/>
      </w:r>
      <w:r>
        <w:t xml:space="preserve">Assuming future trends in inpatient utilization per capita will be </w:t>
      </w:r>
      <w:proofErr w:type="gramStart"/>
      <w:r>
        <w:t>similar</w:t>
      </w:r>
      <w:r>
        <w:rPr>
          <w:spacing w:val="-2"/>
        </w:rPr>
        <w:t xml:space="preserve"> </w:t>
      </w:r>
      <w:r>
        <w:t>to</w:t>
      </w:r>
      <w:proofErr w:type="gramEnd"/>
      <w:r>
        <w:rPr>
          <w:spacing w:val="-1"/>
        </w:rPr>
        <w:t xml:space="preserve"> </w:t>
      </w:r>
      <w:r>
        <w:t>those</w:t>
      </w:r>
      <w:r>
        <w:rPr>
          <w:spacing w:val="-1"/>
        </w:rPr>
        <w:t xml:space="preserve"> </w:t>
      </w:r>
      <w:r>
        <w:t>in</w:t>
      </w:r>
      <w:r>
        <w:rPr>
          <w:spacing w:val="-1"/>
        </w:rPr>
        <w:t xml:space="preserve"> </w:t>
      </w:r>
      <w:r>
        <w:t>recent</w:t>
      </w:r>
      <w:r>
        <w:rPr>
          <w:spacing w:val="-2"/>
        </w:rPr>
        <w:t xml:space="preserve"> </w:t>
      </w:r>
      <w:r>
        <w:t>years,</w:t>
      </w:r>
      <w:r>
        <w:rPr>
          <w:spacing w:val="-4"/>
        </w:rPr>
        <w:t xml:space="preserve"> </w:t>
      </w:r>
      <w:r>
        <w:t>as the</w:t>
      </w:r>
      <w:r>
        <w:rPr>
          <w:spacing w:val="-1"/>
        </w:rPr>
        <w:t xml:space="preserve"> </w:t>
      </w:r>
      <w:r>
        <w:t>ICA</w:t>
      </w:r>
      <w:r>
        <w:rPr>
          <w:spacing w:val="-4"/>
        </w:rPr>
        <w:t xml:space="preserve"> </w:t>
      </w:r>
      <w:r>
        <w:t>does,</w:t>
      </w:r>
      <w:r>
        <w:rPr>
          <w:spacing w:val="-1"/>
        </w:rPr>
        <w:t xml:space="preserve"> </w:t>
      </w:r>
      <w:r>
        <w:t>further</w:t>
      </w:r>
      <w:r>
        <w:rPr>
          <w:spacing w:val="-2"/>
        </w:rPr>
        <w:t xml:space="preserve"> </w:t>
      </w:r>
      <w:r>
        <w:t>inflates</w:t>
      </w:r>
      <w:r>
        <w:rPr>
          <w:spacing w:val="-3"/>
        </w:rPr>
        <w:t xml:space="preserve"> </w:t>
      </w:r>
      <w:r>
        <w:t>projections,</w:t>
      </w:r>
      <w:r>
        <w:rPr>
          <w:spacing w:val="-1"/>
        </w:rPr>
        <w:t xml:space="preserve"> </w:t>
      </w:r>
      <w:r>
        <w:t>but</w:t>
      </w:r>
      <w:r>
        <w:rPr>
          <w:spacing w:val="-2"/>
        </w:rPr>
        <w:t xml:space="preserve"> </w:t>
      </w:r>
      <w:r>
        <w:t>this</w:t>
      </w:r>
      <w:r>
        <w:rPr>
          <w:spacing w:val="-1"/>
        </w:rPr>
        <w:t xml:space="preserve"> </w:t>
      </w:r>
      <w:r>
        <w:t xml:space="preserve">methodology is unreliable given the rapid pace of oncology treatment innovations and hospital capacity challenges unique to recent years that were </w:t>
      </w:r>
      <w:proofErr w:type="gramStart"/>
      <w:r>
        <w:t>more driven</w:t>
      </w:r>
      <w:proofErr w:type="gramEnd"/>
      <w:r>
        <w:t xml:space="preserve"> by a deficit in post-acute care capacity than hospital capacity.</w:t>
      </w:r>
      <w:r>
        <w:rPr>
          <w:spacing w:val="-35"/>
        </w:rPr>
        <w:t xml:space="preserve"> </w:t>
      </w:r>
      <w:r w:rsidR="00B40E7C">
        <w:rPr>
          <w:rStyle w:val="FootnoteReference"/>
          <w:spacing w:val="-35"/>
        </w:rPr>
        <w:footnoteReference w:id="194"/>
      </w:r>
      <w:r>
        <w:t>The wide variation in the results of these models in response to small</w:t>
      </w:r>
    </w:p>
    <w:p w14:paraId="1C34EA0D" w14:textId="0B18D6A8" w:rsidR="004C558F" w:rsidRDefault="004C558F" w:rsidP="00B40E7C">
      <w:pPr>
        <w:pStyle w:val="BodyText"/>
        <w:spacing w:before="74"/>
        <w:rPr>
          <w:sz w:val="20"/>
        </w:rPr>
      </w:pPr>
      <w:bookmarkStart w:id="183" w:name="_bookmark223"/>
      <w:bookmarkEnd w:id="183"/>
    </w:p>
    <w:p w14:paraId="1C34EA10" w14:textId="77777777" w:rsidR="004C558F" w:rsidRDefault="00461887">
      <w:pPr>
        <w:pStyle w:val="BodyText"/>
        <w:spacing w:before="80" w:line="276" w:lineRule="auto"/>
        <w:ind w:left="960" w:right="702"/>
      </w:pPr>
      <w:bookmarkStart w:id="184" w:name="_bookmark224"/>
      <w:bookmarkEnd w:id="184"/>
      <w:r>
        <w:t>adjustments</w:t>
      </w:r>
      <w:r>
        <w:rPr>
          <w:spacing w:val="-3"/>
        </w:rPr>
        <w:t xml:space="preserve"> </w:t>
      </w:r>
      <w:r>
        <w:t>in</w:t>
      </w:r>
      <w:r>
        <w:rPr>
          <w:spacing w:val="-3"/>
        </w:rPr>
        <w:t xml:space="preserve"> </w:t>
      </w:r>
      <w:r>
        <w:t>the</w:t>
      </w:r>
      <w:r>
        <w:rPr>
          <w:spacing w:val="-3"/>
        </w:rPr>
        <w:t xml:space="preserve"> </w:t>
      </w:r>
      <w:r>
        <w:t>underlying</w:t>
      </w:r>
      <w:r>
        <w:rPr>
          <w:spacing w:val="-4"/>
        </w:rPr>
        <w:t xml:space="preserve"> </w:t>
      </w:r>
      <w:r>
        <w:t>assumptions</w:t>
      </w:r>
      <w:r>
        <w:rPr>
          <w:spacing w:val="-4"/>
        </w:rPr>
        <w:t xml:space="preserve"> </w:t>
      </w:r>
      <w:proofErr w:type="gramStart"/>
      <w:r>
        <w:t>illustrates</w:t>
      </w:r>
      <w:proofErr w:type="gramEnd"/>
      <w:r>
        <w:rPr>
          <w:spacing w:val="-3"/>
        </w:rPr>
        <w:t xml:space="preserve"> </w:t>
      </w:r>
      <w:r>
        <w:t>the</w:t>
      </w:r>
      <w:r>
        <w:rPr>
          <w:spacing w:val="-3"/>
        </w:rPr>
        <w:t xml:space="preserve"> </w:t>
      </w:r>
      <w:r>
        <w:t>limited</w:t>
      </w:r>
      <w:r>
        <w:rPr>
          <w:spacing w:val="-4"/>
        </w:rPr>
        <w:t xml:space="preserve"> </w:t>
      </w:r>
      <w:r>
        <w:t>reliability</w:t>
      </w:r>
      <w:r>
        <w:rPr>
          <w:spacing w:val="-4"/>
        </w:rPr>
        <w:t xml:space="preserve"> </w:t>
      </w:r>
      <w:r>
        <w:t>of</w:t>
      </w:r>
      <w:r>
        <w:rPr>
          <w:spacing w:val="-4"/>
        </w:rPr>
        <w:t xml:space="preserve"> </w:t>
      </w:r>
      <w:r>
        <w:t>such</w:t>
      </w:r>
      <w:r>
        <w:rPr>
          <w:spacing w:val="-3"/>
        </w:rPr>
        <w:t xml:space="preserve"> </w:t>
      </w:r>
      <w:r>
        <w:t>models</w:t>
      </w:r>
      <w:r>
        <w:rPr>
          <w:spacing w:val="-3"/>
        </w:rPr>
        <w:t xml:space="preserve"> </w:t>
      </w:r>
      <w:r>
        <w:t>for predicting future utilization.</w:t>
      </w:r>
    </w:p>
    <w:p w14:paraId="1C34EA11" w14:textId="77777777" w:rsidR="004C558F" w:rsidRDefault="004C558F">
      <w:pPr>
        <w:pStyle w:val="BodyText"/>
        <w:spacing w:before="117"/>
      </w:pPr>
    </w:p>
    <w:p w14:paraId="1C34EA12" w14:textId="77777777" w:rsidR="004C558F" w:rsidRDefault="00461887">
      <w:pPr>
        <w:pStyle w:val="ListParagraph"/>
        <w:numPr>
          <w:ilvl w:val="3"/>
          <w:numId w:val="16"/>
        </w:numPr>
        <w:tabs>
          <w:tab w:val="left" w:pos="959"/>
        </w:tabs>
        <w:ind w:left="959" w:hanging="359"/>
      </w:pPr>
      <w:bookmarkStart w:id="185" w:name="b._Factors_Influencing_Current_and_Futur"/>
      <w:bookmarkEnd w:id="185"/>
      <w:r>
        <w:rPr>
          <w:color w:val="063656"/>
        </w:rPr>
        <w:t>Factors</w:t>
      </w:r>
      <w:r>
        <w:rPr>
          <w:color w:val="063656"/>
          <w:spacing w:val="-6"/>
        </w:rPr>
        <w:t xml:space="preserve"> </w:t>
      </w:r>
      <w:r>
        <w:rPr>
          <w:color w:val="063656"/>
        </w:rPr>
        <w:t>Influencing</w:t>
      </w:r>
      <w:r>
        <w:rPr>
          <w:color w:val="063656"/>
          <w:spacing w:val="-5"/>
        </w:rPr>
        <w:t xml:space="preserve"> </w:t>
      </w:r>
      <w:r>
        <w:rPr>
          <w:color w:val="063656"/>
        </w:rPr>
        <w:t>Current</w:t>
      </w:r>
      <w:r>
        <w:rPr>
          <w:color w:val="063656"/>
          <w:spacing w:val="-5"/>
        </w:rPr>
        <w:t xml:space="preserve"> </w:t>
      </w:r>
      <w:r>
        <w:rPr>
          <w:color w:val="063656"/>
        </w:rPr>
        <w:t>and</w:t>
      </w:r>
      <w:r>
        <w:rPr>
          <w:color w:val="063656"/>
          <w:spacing w:val="-5"/>
        </w:rPr>
        <w:t xml:space="preserve"> </w:t>
      </w:r>
      <w:r>
        <w:rPr>
          <w:color w:val="063656"/>
        </w:rPr>
        <w:t>Future</w:t>
      </w:r>
      <w:r>
        <w:rPr>
          <w:color w:val="063656"/>
          <w:spacing w:val="-4"/>
        </w:rPr>
        <w:t xml:space="preserve"> </w:t>
      </w:r>
      <w:r>
        <w:rPr>
          <w:color w:val="063656"/>
        </w:rPr>
        <w:t>Oncology</w:t>
      </w:r>
      <w:r>
        <w:rPr>
          <w:color w:val="063656"/>
          <w:spacing w:val="-4"/>
        </w:rPr>
        <w:t xml:space="preserve"> </w:t>
      </w:r>
      <w:r>
        <w:rPr>
          <w:color w:val="063656"/>
          <w:spacing w:val="-2"/>
        </w:rPr>
        <w:t>Utilization</w:t>
      </w:r>
    </w:p>
    <w:p w14:paraId="1C34EA13" w14:textId="77777777" w:rsidR="004C558F" w:rsidRDefault="004C558F">
      <w:pPr>
        <w:pStyle w:val="BodyText"/>
        <w:spacing w:before="77"/>
      </w:pPr>
    </w:p>
    <w:p w14:paraId="1C34EA14" w14:textId="7FD18DEF" w:rsidR="004C558F" w:rsidRDefault="00461887">
      <w:pPr>
        <w:pStyle w:val="BodyText"/>
        <w:spacing w:line="276" w:lineRule="auto"/>
        <w:ind w:left="959" w:right="891" w:firstLine="720"/>
      </w:pPr>
      <w:r>
        <w:t xml:space="preserve">While demographic-based models agree that inpatient oncology utilization in the Commonwealth is likely to increase over time, statistical modeling alone cannot account for </w:t>
      </w:r>
      <w:proofErr w:type="gramStart"/>
      <w:r>
        <w:t>all of</w:t>
      </w:r>
      <w:proofErr w:type="gramEnd"/>
      <w:r>
        <w:t xml:space="preserve"> the factors that will influence future utilization. As discussed in prior HPC work, utilization projections</w:t>
      </w:r>
      <w:r>
        <w:rPr>
          <w:spacing w:val="-2"/>
        </w:rPr>
        <w:t xml:space="preserve"> </w:t>
      </w:r>
      <w:r>
        <w:t>based</w:t>
      </w:r>
      <w:r>
        <w:rPr>
          <w:spacing w:val="-4"/>
        </w:rPr>
        <w:t xml:space="preserve"> </w:t>
      </w:r>
      <w:r>
        <w:t>on</w:t>
      </w:r>
      <w:r>
        <w:rPr>
          <w:spacing w:val="-4"/>
        </w:rPr>
        <w:t xml:space="preserve"> </w:t>
      </w:r>
      <w:r>
        <w:t>demographic</w:t>
      </w:r>
      <w:r>
        <w:rPr>
          <w:spacing w:val="-4"/>
        </w:rPr>
        <w:t xml:space="preserve"> </w:t>
      </w:r>
      <w:r>
        <w:t>change</w:t>
      </w:r>
      <w:r>
        <w:rPr>
          <w:spacing w:val="-4"/>
        </w:rPr>
        <w:t xml:space="preserve"> </w:t>
      </w:r>
      <w:r>
        <w:t>often</w:t>
      </w:r>
      <w:r>
        <w:rPr>
          <w:spacing w:val="-2"/>
        </w:rPr>
        <w:t xml:space="preserve"> </w:t>
      </w:r>
      <w:r>
        <w:t>fail</w:t>
      </w:r>
      <w:r>
        <w:rPr>
          <w:spacing w:val="-5"/>
        </w:rPr>
        <w:t xml:space="preserve"> </w:t>
      </w:r>
      <w:r>
        <w:t>to</w:t>
      </w:r>
      <w:r>
        <w:rPr>
          <w:spacing w:val="-2"/>
        </w:rPr>
        <w:t xml:space="preserve"> </w:t>
      </w:r>
      <w:r>
        <w:t>accurately</w:t>
      </w:r>
      <w:r>
        <w:rPr>
          <w:spacing w:val="-3"/>
        </w:rPr>
        <w:t xml:space="preserve"> </w:t>
      </w:r>
      <w:r>
        <w:t>predict</w:t>
      </w:r>
      <w:r>
        <w:rPr>
          <w:spacing w:val="-5"/>
        </w:rPr>
        <w:t xml:space="preserve"> </w:t>
      </w:r>
      <w:r>
        <w:t>and</w:t>
      </w:r>
      <w:r>
        <w:rPr>
          <w:spacing w:val="-6"/>
        </w:rPr>
        <w:t xml:space="preserve"> </w:t>
      </w:r>
      <w:r>
        <w:t>frequently</w:t>
      </w:r>
      <w:r>
        <w:rPr>
          <w:spacing w:val="-5"/>
        </w:rPr>
        <w:t xml:space="preserve"> </w:t>
      </w:r>
      <w:r>
        <w:t>overstate future utilization, requiring a deeper assessment of potential future changes in care patterns.</w:t>
      </w:r>
      <w:r w:rsidR="004A21DA">
        <w:rPr>
          <w:rStyle w:val="FootnoteReference"/>
        </w:rPr>
        <w:footnoteReference w:id="195"/>
      </w:r>
      <w:r>
        <w:rPr>
          <w:spacing w:val="40"/>
          <w:position w:val="5"/>
          <w:sz w:val="14"/>
        </w:rPr>
        <w:t xml:space="preserve"> </w:t>
      </w:r>
      <w:r>
        <w:t>The HPC</w:t>
      </w:r>
      <w:r>
        <w:rPr>
          <w:spacing w:val="-3"/>
        </w:rPr>
        <w:t xml:space="preserve"> </w:t>
      </w:r>
      <w:r>
        <w:t>assessed the</w:t>
      </w:r>
      <w:r>
        <w:rPr>
          <w:spacing w:val="-2"/>
        </w:rPr>
        <w:t xml:space="preserve"> </w:t>
      </w:r>
      <w:r>
        <w:t>following</w:t>
      </w:r>
      <w:r>
        <w:rPr>
          <w:spacing w:val="-1"/>
        </w:rPr>
        <w:t xml:space="preserve"> </w:t>
      </w:r>
      <w:r>
        <w:t>other</w:t>
      </w:r>
      <w:r>
        <w:rPr>
          <w:spacing w:val="-1"/>
        </w:rPr>
        <w:t xml:space="preserve"> </w:t>
      </w:r>
      <w:r>
        <w:t>factors identified by</w:t>
      </w:r>
      <w:r>
        <w:rPr>
          <w:spacing w:val="-1"/>
        </w:rPr>
        <w:t xml:space="preserve"> </w:t>
      </w:r>
      <w:r>
        <w:t>DFCI and</w:t>
      </w:r>
      <w:r>
        <w:rPr>
          <w:spacing w:val="-2"/>
        </w:rPr>
        <w:t xml:space="preserve"> </w:t>
      </w:r>
      <w:r>
        <w:t>the ICA</w:t>
      </w:r>
      <w:r>
        <w:rPr>
          <w:spacing w:val="-3"/>
        </w:rPr>
        <w:t xml:space="preserve"> </w:t>
      </w:r>
      <w:r>
        <w:t>as</w:t>
      </w:r>
      <w:r>
        <w:rPr>
          <w:spacing w:val="-2"/>
        </w:rPr>
        <w:t xml:space="preserve"> </w:t>
      </w:r>
      <w:r>
        <w:t>potential</w:t>
      </w:r>
      <w:r>
        <w:rPr>
          <w:spacing w:val="-3"/>
        </w:rPr>
        <w:t xml:space="preserve"> </w:t>
      </w:r>
      <w:r>
        <w:t>drivers of current and future inpatient oncology care: incidence trends, novel advanced therapies,</w:t>
      </w:r>
      <w:r>
        <w:rPr>
          <w:spacing w:val="-1"/>
        </w:rPr>
        <w:t xml:space="preserve"> </w:t>
      </w:r>
      <w:r>
        <w:t>and post- acute care challenges.</w:t>
      </w:r>
    </w:p>
    <w:p w14:paraId="1C34EA15" w14:textId="77777777" w:rsidR="004C558F" w:rsidRDefault="004C558F">
      <w:pPr>
        <w:pStyle w:val="BodyText"/>
        <w:spacing w:before="38"/>
      </w:pPr>
    </w:p>
    <w:p w14:paraId="1C34EA16" w14:textId="77777777" w:rsidR="004C558F" w:rsidRDefault="00461887">
      <w:pPr>
        <w:pStyle w:val="ListParagraph"/>
        <w:numPr>
          <w:ilvl w:val="4"/>
          <w:numId w:val="16"/>
        </w:numPr>
        <w:tabs>
          <w:tab w:val="left" w:pos="957"/>
        </w:tabs>
        <w:ind w:left="957" w:hanging="283"/>
        <w:jc w:val="left"/>
      </w:pPr>
      <w:bookmarkStart w:id="186" w:name="i._Incidence_Trends"/>
      <w:bookmarkEnd w:id="186"/>
      <w:r>
        <w:rPr>
          <w:color w:val="042339"/>
        </w:rPr>
        <w:t>Incidence</w:t>
      </w:r>
      <w:r>
        <w:rPr>
          <w:color w:val="042339"/>
          <w:spacing w:val="-5"/>
        </w:rPr>
        <w:t xml:space="preserve"> </w:t>
      </w:r>
      <w:r>
        <w:rPr>
          <w:color w:val="042339"/>
          <w:spacing w:val="-2"/>
        </w:rPr>
        <w:t>Trends</w:t>
      </w:r>
    </w:p>
    <w:p w14:paraId="1C34EA17" w14:textId="77777777" w:rsidR="004C558F" w:rsidRDefault="004C558F">
      <w:pPr>
        <w:pStyle w:val="BodyText"/>
        <w:spacing w:before="75"/>
      </w:pPr>
    </w:p>
    <w:p w14:paraId="1C34EA18" w14:textId="6F521828" w:rsidR="004C558F" w:rsidRDefault="00461887">
      <w:pPr>
        <w:pStyle w:val="BodyText"/>
        <w:spacing w:line="276" w:lineRule="auto"/>
        <w:ind w:left="959" w:right="943" w:firstLine="720"/>
      </w:pPr>
      <w:r>
        <w:t>DFCI</w:t>
      </w:r>
      <w:r>
        <w:rPr>
          <w:spacing w:val="-5"/>
        </w:rPr>
        <w:t xml:space="preserve"> </w:t>
      </w:r>
      <w:r>
        <w:t>cites</w:t>
      </w:r>
      <w:r>
        <w:rPr>
          <w:spacing w:val="-3"/>
        </w:rPr>
        <w:t xml:space="preserve"> </w:t>
      </w:r>
      <w:r>
        <w:t>both</w:t>
      </w:r>
      <w:r>
        <w:rPr>
          <w:spacing w:val="-3"/>
        </w:rPr>
        <w:t xml:space="preserve"> </w:t>
      </w:r>
      <w:r>
        <w:t>changes</w:t>
      </w:r>
      <w:r>
        <w:rPr>
          <w:spacing w:val="-3"/>
        </w:rPr>
        <w:t xml:space="preserve"> </w:t>
      </w:r>
      <w:r>
        <w:t>in</w:t>
      </w:r>
      <w:r>
        <w:rPr>
          <w:spacing w:val="-3"/>
        </w:rPr>
        <w:t xml:space="preserve"> </w:t>
      </w:r>
      <w:r>
        <w:t>cancer</w:t>
      </w:r>
      <w:r>
        <w:rPr>
          <w:spacing w:val="-3"/>
        </w:rPr>
        <w:t xml:space="preserve"> </w:t>
      </w:r>
      <w:r>
        <w:t>incidence</w:t>
      </w:r>
      <w:r>
        <w:rPr>
          <w:spacing w:val="-4"/>
        </w:rPr>
        <w:t xml:space="preserve"> </w:t>
      </w:r>
      <w:r>
        <w:t>nationally</w:t>
      </w:r>
      <w:r>
        <w:rPr>
          <w:spacing w:val="-3"/>
        </w:rPr>
        <w:t xml:space="preserve"> </w:t>
      </w:r>
      <w:r>
        <w:t>among</w:t>
      </w:r>
      <w:r>
        <w:rPr>
          <w:spacing w:val="-3"/>
        </w:rPr>
        <w:t xml:space="preserve"> </w:t>
      </w:r>
      <w:r>
        <w:t>younger</w:t>
      </w:r>
      <w:r>
        <w:rPr>
          <w:spacing w:val="-3"/>
        </w:rPr>
        <w:t xml:space="preserve"> </w:t>
      </w:r>
      <w:r>
        <w:t>populations</w:t>
      </w:r>
      <w:r>
        <w:rPr>
          <w:spacing w:val="-4"/>
        </w:rPr>
        <w:t xml:space="preserve"> </w:t>
      </w:r>
      <w:r>
        <w:t>as</w:t>
      </w:r>
      <w:r>
        <w:rPr>
          <w:spacing w:val="-3"/>
        </w:rPr>
        <w:t xml:space="preserve"> </w:t>
      </w:r>
      <w:r>
        <w:t>well as cancer prevalence rates, driven by improved</w:t>
      </w:r>
      <w:r>
        <w:rPr>
          <w:spacing w:val="-1"/>
        </w:rPr>
        <w:t xml:space="preserve"> </w:t>
      </w:r>
      <w:r>
        <w:t>survival rates</w:t>
      </w:r>
      <w:r>
        <w:rPr>
          <w:spacing w:val="-1"/>
        </w:rPr>
        <w:t xml:space="preserve"> </w:t>
      </w:r>
      <w:r>
        <w:t>and an aging population,</w:t>
      </w:r>
      <w:r>
        <w:rPr>
          <w:spacing w:val="-3"/>
        </w:rPr>
        <w:t xml:space="preserve"> </w:t>
      </w:r>
      <w:r>
        <w:t>as</w:t>
      </w:r>
      <w:r>
        <w:rPr>
          <w:spacing w:val="-1"/>
        </w:rPr>
        <w:t xml:space="preserve"> </w:t>
      </w:r>
      <w:r>
        <w:t>a</w:t>
      </w:r>
      <w:r>
        <w:rPr>
          <w:spacing w:val="-1"/>
        </w:rPr>
        <w:t xml:space="preserve"> </w:t>
      </w:r>
      <w:r>
        <w:t>driver of increased utilization of oncology services in the future.</w:t>
      </w:r>
      <w:r>
        <w:rPr>
          <w:spacing w:val="-33"/>
        </w:rPr>
        <w:t xml:space="preserve"> </w:t>
      </w:r>
      <w:r w:rsidR="00F53EBF">
        <w:rPr>
          <w:rStyle w:val="FootnoteReference"/>
          <w:spacing w:val="-33"/>
        </w:rPr>
        <w:footnoteReference w:id="196"/>
      </w:r>
      <w:r>
        <w:t>However, the relationship between overall cancer incidence or prevalence and inpatient utilization is not necessarily linear, as suggested by the fact that the number of new invasive cancers diagnosed each year in the Commonwealth increased by 4.1% from 2016 to 2019, while the number of oncology discharges increased only</w:t>
      </w:r>
      <w:r>
        <w:rPr>
          <w:spacing w:val="-2"/>
        </w:rPr>
        <w:t xml:space="preserve"> </w:t>
      </w:r>
      <w:r>
        <w:t>3.5%</w:t>
      </w:r>
      <w:r>
        <w:rPr>
          <w:spacing w:val="-2"/>
        </w:rPr>
        <w:t xml:space="preserve"> </w:t>
      </w:r>
      <w:r>
        <w:t>during this period.</w:t>
      </w:r>
      <w:r>
        <w:rPr>
          <w:spacing w:val="-36"/>
        </w:rPr>
        <w:t xml:space="preserve"> </w:t>
      </w:r>
      <w:r w:rsidR="00F53EBF">
        <w:rPr>
          <w:rStyle w:val="FootnoteReference"/>
          <w:spacing w:val="-36"/>
        </w:rPr>
        <w:footnoteReference w:id="197"/>
      </w:r>
      <w:r>
        <w:t>Additionally,</w:t>
      </w:r>
      <w:r>
        <w:rPr>
          <w:spacing w:val="-2"/>
        </w:rPr>
        <w:t xml:space="preserve"> </w:t>
      </w:r>
      <w:r>
        <w:t>the Massachusetts Cancer Registry (MCR), a division</w:t>
      </w:r>
      <w:r>
        <w:rPr>
          <w:spacing w:val="-1"/>
        </w:rPr>
        <w:t xml:space="preserve"> </w:t>
      </w:r>
      <w:r>
        <w:t>of the</w:t>
      </w:r>
      <w:r>
        <w:rPr>
          <w:spacing w:val="-1"/>
        </w:rPr>
        <w:t xml:space="preserve"> </w:t>
      </w:r>
      <w:r>
        <w:t>Massachusetts</w:t>
      </w:r>
      <w:r>
        <w:rPr>
          <w:spacing w:val="-3"/>
        </w:rPr>
        <w:t xml:space="preserve"> </w:t>
      </w:r>
      <w:r>
        <w:t>Department</w:t>
      </w:r>
      <w:r>
        <w:rPr>
          <w:spacing w:val="-4"/>
        </w:rPr>
        <w:t xml:space="preserve"> </w:t>
      </w:r>
      <w:r>
        <w:t>of Public</w:t>
      </w:r>
      <w:r>
        <w:rPr>
          <w:spacing w:val="-1"/>
        </w:rPr>
        <w:t xml:space="preserve"> </w:t>
      </w:r>
      <w:r>
        <w:t>Health</w:t>
      </w:r>
      <w:r>
        <w:rPr>
          <w:spacing w:val="-3"/>
        </w:rPr>
        <w:t xml:space="preserve"> </w:t>
      </w:r>
      <w:r>
        <w:t>that</w:t>
      </w:r>
      <w:r>
        <w:rPr>
          <w:spacing w:val="-4"/>
        </w:rPr>
        <w:t xml:space="preserve"> </w:t>
      </w:r>
      <w:r>
        <w:t>collects</w:t>
      </w:r>
      <w:r>
        <w:rPr>
          <w:spacing w:val="-1"/>
        </w:rPr>
        <w:t xml:space="preserve"> </w:t>
      </w:r>
      <w:r>
        <w:t>information</w:t>
      </w:r>
      <w:r>
        <w:rPr>
          <w:spacing w:val="-3"/>
        </w:rPr>
        <w:t xml:space="preserve"> </w:t>
      </w:r>
      <w:r>
        <w:t>on</w:t>
      </w:r>
      <w:r>
        <w:rPr>
          <w:spacing w:val="-3"/>
        </w:rPr>
        <w:t xml:space="preserve"> </w:t>
      </w:r>
      <w:r>
        <w:t>all</w:t>
      </w:r>
      <w:r>
        <w:rPr>
          <w:spacing w:val="-2"/>
        </w:rPr>
        <w:t xml:space="preserve"> </w:t>
      </w:r>
      <w:r>
        <w:t>newly diagnosed cases of cancer in the state, recently found that, while there was an increase in the</w:t>
      </w:r>
    </w:p>
    <w:p w14:paraId="1C34EA19" w14:textId="373D65C1" w:rsidR="004C558F" w:rsidRDefault="004C558F">
      <w:pPr>
        <w:pStyle w:val="BodyText"/>
        <w:spacing w:before="134"/>
        <w:rPr>
          <w:sz w:val="20"/>
        </w:rPr>
      </w:pPr>
    </w:p>
    <w:p w14:paraId="1C34EA21" w14:textId="77777777" w:rsidR="004C558F" w:rsidRDefault="004C558F">
      <w:pPr>
        <w:rPr>
          <w:sz w:val="20"/>
        </w:rPr>
        <w:sectPr w:rsidR="004C558F">
          <w:pgSz w:w="12240" w:h="15840"/>
          <w:pgMar w:top="1360" w:right="740" w:bottom="720" w:left="480" w:header="0" w:footer="521" w:gutter="0"/>
          <w:cols w:space="720"/>
        </w:sectPr>
      </w:pPr>
      <w:bookmarkStart w:id="187" w:name="_bookmark225"/>
      <w:bookmarkEnd w:id="187"/>
    </w:p>
    <w:p w14:paraId="1C34EA22" w14:textId="6E2825C3" w:rsidR="004C558F" w:rsidRDefault="00461887">
      <w:pPr>
        <w:pStyle w:val="BodyText"/>
        <w:spacing w:before="80" w:line="276" w:lineRule="auto"/>
        <w:ind w:left="960" w:right="891"/>
      </w:pPr>
      <w:r>
        <w:lastRenderedPageBreak/>
        <w:t>total</w:t>
      </w:r>
      <w:r>
        <w:rPr>
          <w:spacing w:val="-3"/>
        </w:rPr>
        <w:t xml:space="preserve"> </w:t>
      </w:r>
      <w:r>
        <w:t>number</w:t>
      </w:r>
      <w:r>
        <w:rPr>
          <w:spacing w:val="-3"/>
        </w:rPr>
        <w:t xml:space="preserve"> </w:t>
      </w:r>
      <w:r>
        <w:t>of</w:t>
      </w:r>
      <w:r>
        <w:rPr>
          <w:spacing w:val="-4"/>
        </w:rPr>
        <w:t xml:space="preserve"> </w:t>
      </w:r>
      <w:r>
        <w:t>cancers</w:t>
      </w:r>
      <w:r>
        <w:rPr>
          <w:spacing w:val="-2"/>
        </w:rPr>
        <w:t xml:space="preserve"> </w:t>
      </w:r>
      <w:r>
        <w:t>in</w:t>
      </w:r>
      <w:r>
        <w:rPr>
          <w:spacing w:val="-4"/>
        </w:rPr>
        <w:t xml:space="preserve"> </w:t>
      </w:r>
      <w:r>
        <w:t>Massachusetts</w:t>
      </w:r>
      <w:r>
        <w:rPr>
          <w:spacing w:val="-2"/>
        </w:rPr>
        <w:t xml:space="preserve"> </w:t>
      </w:r>
      <w:r>
        <w:t>from</w:t>
      </w:r>
      <w:r>
        <w:rPr>
          <w:spacing w:val="-2"/>
        </w:rPr>
        <w:t xml:space="preserve"> </w:t>
      </w:r>
      <w:r>
        <w:t>2000</w:t>
      </w:r>
      <w:r>
        <w:rPr>
          <w:spacing w:val="-2"/>
        </w:rPr>
        <w:t xml:space="preserve"> </w:t>
      </w:r>
      <w:r>
        <w:t>–</w:t>
      </w:r>
      <w:r>
        <w:rPr>
          <w:spacing w:val="-2"/>
        </w:rPr>
        <w:t xml:space="preserve"> </w:t>
      </w:r>
      <w:r>
        <w:t>2019,</w:t>
      </w:r>
      <w:r>
        <w:rPr>
          <w:spacing w:val="-2"/>
        </w:rPr>
        <w:t xml:space="preserve"> </w:t>
      </w:r>
      <w:r>
        <w:t>this</w:t>
      </w:r>
      <w:r>
        <w:rPr>
          <w:spacing w:val="-4"/>
        </w:rPr>
        <w:t xml:space="preserve"> </w:t>
      </w:r>
      <w:r>
        <w:t>trend</w:t>
      </w:r>
      <w:r>
        <w:rPr>
          <w:spacing w:val="-4"/>
        </w:rPr>
        <w:t xml:space="preserve"> </w:t>
      </w:r>
      <w:r>
        <w:t>was</w:t>
      </w:r>
      <w:r>
        <w:rPr>
          <w:spacing w:val="-2"/>
        </w:rPr>
        <w:t xml:space="preserve"> </w:t>
      </w:r>
      <w:r>
        <w:t>“mostly</w:t>
      </w:r>
      <w:r>
        <w:rPr>
          <w:spacing w:val="-5"/>
        </w:rPr>
        <w:t xml:space="preserve"> </w:t>
      </w:r>
      <w:r>
        <w:t>due</w:t>
      </w:r>
      <w:r>
        <w:rPr>
          <w:spacing w:val="-2"/>
        </w:rPr>
        <w:t xml:space="preserve"> </w:t>
      </w:r>
      <w:r>
        <w:t>to</w:t>
      </w:r>
      <w:r>
        <w:rPr>
          <w:spacing w:val="-2"/>
        </w:rPr>
        <w:t xml:space="preserve"> </w:t>
      </w:r>
      <w:r>
        <w:t xml:space="preserve">an aging and growing Massachusetts population” and age-adjusted cancer incidence rates in Massachusetts </w:t>
      </w:r>
      <w:proofErr w:type="gramStart"/>
      <w:r>
        <w:t>actually</w:t>
      </w:r>
      <w:r>
        <w:rPr>
          <w:spacing w:val="-2"/>
        </w:rPr>
        <w:t xml:space="preserve"> </w:t>
      </w:r>
      <w:r>
        <w:t>declined</w:t>
      </w:r>
      <w:proofErr w:type="gramEnd"/>
      <w:r>
        <w:t xml:space="preserve"> slightly from</w:t>
      </w:r>
      <w:r>
        <w:rPr>
          <w:spacing w:val="-1"/>
        </w:rPr>
        <w:t xml:space="preserve"> </w:t>
      </w:r>
      <w:r>
        <w:t>2000</w:t>
      </w:r>
      <w:r>
        <w:rPr>
          <w:spacing w:val="-1"/>
        </w:rPr>
        <w:t xml:space="preserve"> </w:t>
      </w:r>
      <w:r>
        <w:t>– 2020,</w:t>
      </w:r>
      <w:r w:rsidR="00EB2839">
        <w:rPr>
          <w:rStyle w:val="FootnoteReference"/>
        </w:rPr>
        <w:footnoteReference w:id="198"/>
      </w:r>
      <w:r>
        <w:rPr>
          <w:spacing w:val="21"/>
          <w:position w:val="5"/>
          <w:sz w:val="14"/>
        </w:rPr>
        <w:t xml:space="preserve"> </w:t>
      </w:r>
      <w:r>
        <w:t>suggesting that</w:t>
      </w:r>
      <w:r>
        <w:rPr>
          <w:spacing w:val="-2"/>
        </w:rPr>
        <w:t xml:space="preserve"> </w:t>
      </w:r>
      <w:r>
        <w:t>Massachusetts incidence trends may differ somewhat from national trends.</w:t>
      </w:r>
    </w:p>
    <w:p w14:paraId="1C34EA23" w14:textId="77777777" w:rsidR="004C558F" w:rsidRDefault="004C558F">
      <w:pPr>
        <w:pStyle w:val="BodyText"/>
        <w:spacing w:before="38"/>
      </w:pPr>
    </w:p>
    <w:p w14:paraId="1C34EA24" w14:textId="77777777" w:rsidR="004C558F" w:rsidRDefault="00461887">
      <w:pPr>
        <w:pStyle w:val="ListParagraph"/>
        <w:numPr>
          <w:ilvl w:val="4"/>
          <w:numId w:val="16"/>
        </w:numPr>
        <w:tabs>
          <w:tab w:val="left" w:pos="956"/>
        </w:tabs>
        <w:ind w:left="956" w:hanging="333"/>
        <w:jc w:val="left"/>
      </w:pPr>
      <w:bookmarkStart w:id="188" w:name="ii._Novel_Advanced_Therapies"/>
      <w:bookmarkEnd w:id="188"/>
      <w:r>
        <w:rPr>
          <w:color w:val="042339"/>
        </w:rPr>
        <w:t>Novel</w:t>
      </w:r>
      <w:r>
        <w:rPr>
          <w:color w:val="042339"/>
          <w:spacing w:val="-5"/>
        </w:rPr>
        <w:t xml:space="preserve"> </w:t>
      </w:r>
      <w:r>
        <w:rPr>
          <w:color w:val="042339"/>
        </w:rPr>
        <w:t>Advanced</w:t>
      </w:r>
      <w:r>
        <w:rPr>
          <w:color w:val="042339"/>
          <w:spacing w:val="-5"/>
        </w:rPr>
        <w:t xml:space="preserve"> </w:t>
      </w:r>
      <w:r>
        <w:rPr>
          <w:color w:val="042339"/>
          <w:spacing w:val="-2"/>
        </w:rPr>
        <w:t>Therapies</w:t>
      </w:r>
    </w:p>
    <w:p w14:paraId="1C34EA25" w14:textId="77777777" w:rsidR="004C558F" w:rsidRDefault="004C558F">
      <w:pPr>
        <w:pStyle w:val="BodyText"/>
        <w:spacing w:before="74"/>
      </w:pPr>
    </w:p>
    <w:p w14:paraId="1C34EA26" w14:textId="5301EECC" w:rsidR="004C558F" w:rsidRDefault="00461887">
      <w:pPr>
        <w:pStyle w:val="BodyText"/>
        <w:spacing w:line="276" w:lineRule="auto"/>
        <w:ind w:left="959" w:right="966" w:firstLine="720"/>
      </w:pPr>
      <w:r>
        <w:t>DFCI also identified changes in cancer care techniques and technology, especially intensive complex treatments such as CAR-T and bi-specific antibody therapies that often require inpatient care, as likely drivers of future inpatient utilization.</w:t>
      </w:r>
      <w:r w:rsidR="0000040C">
        <w:rPr>
          <w:rStyle w:val="FootnoteReference"/>
        </w:rPr>
        <w:footnoteReference w:id="199"/>
      </w:r>
      <w:r>
        <w:rPr>
          <w:spacing w:val="32"/>
          <w:position w:val="5"/>
          <w:sz w:val="14"/>
        </w:rPr>
        <w:t xml:space="preserve"> </w:t>
      </w:r>
      <w:r>
        <w:t>While these novel treatments</w:t>
      </w:r>
      <w:r>
        <w:rPr>
          <w:spacing w:val="80"/>
        </w:rPr>
        <w:t xml:space="preserve"> </w:t>
      </w:r>
      <w:r>
        <w:t>have required longer lengths of stay for some patients, advancements in care protocols, technology, and pharmaceuticals have also resulted in more oncology care being provided on an outpatient basis over the</w:t>
      </w:r>
      <w:r>
        <w:rPr>
          <w:spacing w:val="-3"/>
        </w:rPr>
        <w:t xml:space="preserve"> </w:t>
      </w:r>
      <w:r>
        <w:t>past two decades than previously possible. DFCI itself has often been at the forefront of these efforts and has provided details on significant successes in reducing inpatient days, or even eliminating admissions entirely, for certain types of advanced CAR-T and transplant therapies.</w:t>
      </w:r>
      <w:r w:rsidR="0000040C">
        <w:rPr>
          <w:rStyle w:val="FootnoteReference"/>
        </w:rPr>
        <w:footnoteReference w:id="200"/>
      </w:r>
      <w:r>
        <w:rPr>
          <w:spacing w:val="32"/>
          <w:position w:val="5"/>
          <w:sz w:val="14"/>
        </w:rPr>
        <w:t xml:space="preserve"> </w:t>
      </w:r>
      <w:r>
        <w:t>Data provided by DFCI indicate that the average length of stay for</w:t>
      </w:r>
      <w:r>
        <w:rPr>
          <w:spacing w:val="40"/>
        </w:rPr>
        <w:t xml:space="preserve"> </w:t>
      </w:r>
      <w:r>
        <w:t>patients is 6 to 11 days lower at DFCI for these advanced treatments than at BIDMC, suggesting that substantial opportunity exists for reducing inpatient utilization further.</w:t>
      </w:r>
      <w:r>
        <w:rPr>
          <w:spacing w:val="-32"/>
        </w:rPr>
        <w:t xml:space="preserve"> </w:t>
      </w:r>
      <w:r w:rsidR="0000040C">
        <w:rPr>
          <w:rStyle w:val="FootnoteReference"/>
          <w:spacing w:val="-32"/>
        </w:rPr>
        <w:footnoteReference w:id="201"/>
      </w:r>
      <w:r>
        <w:t>DFCI has also succeeded in diverting patients from admission using lower-level interventions in its acute care clinic. The introduction of innovative oncology drugs</w:t>
      </w:r>
      <w:r>
        <w:rPr>
          <w:spacing w:val="-32"/>
        </w:rPr>
        <w:t xml:space="preserve"> </w:t>
      </w:r>
      <w:r w:rsidR="00CF17CB">
        <w:rPr>
          <w:rStyle w:val="FootnoteReference"/>
          <w:spacing w:val="-32"/>
        </w:rPr>
        <w:footnoteReference w:id="202"/>
      </w:r>
      <w:r>
        <w:rPr>
          <w:spacing w:val="27"/>
          <w:position w:val="5"/>
          <w:sz w:val="14"/>
        </w:rPr>
        <w:t xml:space="preserve"> </w:t>
      </w:r>
      <w:r>
        <w:t>and advancements such as less invasive treatment options and genetic therapies</w:t>
      </w:r>
      <w:r w:rsidR="00132921">
        <w:rPr>
          <w:rStyle w:val="FootnoteReference"/>
        </w:rPr>
        <w:footnoteReference w:id="203"/>
      </w:r>
      <w:r>
        <w:rPr>
          <w:spacing w:val="32"/>
          <w:position w:val="5"/>
          <w:sz w:val="14"/>
        </w:rPr>
        <w:t xml:space="preserve"> </w:t>
      </w:r>
      <w:r>
        <w:t>also show promise for treating and managing cancer and side effects in outpatient settings.</w:t>
      </w:r>
      <w:r>
        <w:rPr>
          <w:spacing w:val="-33"/>
        </w:rPr>
        <w:t xml:space="preserve"> </w:t>
      </w:r>
      <w:r w:rsidR="00132921">
        <w:rPr>
          <w:rStyle w:val="FootnoteReference"/>
          <w:spacing w:val="-33"/>
        </w:rPr>
        <w:footnoteReference w:id="204"/>
      </w:r>
      <w:r>
        <w:t>While continued care innovation and novel therapies may</w:t>
      </w:r>
      <w:r>
        <w:rPr>
          <w:spacing w:val="-3"/>
        </w:rPr>
        <w:t xml:space="preserve"> </w:t>
      </w:r>
      <w:r>
        <w:t>result</w:t>
      </w:r>
      <w:r>
        <w:rPr>
          <w:spacing w:val="-3"/>
        </w:rPr>
        <w:t xml:space="preserve"> </w:t>
      </w:r>
      <w:r>
        <w:t>in</w:t>
      </w:r>
      <w:r>
        <w:rPr>
          <w:spacing w:val="-2"/>
        </w:rPr>
        <w:t xml:space="preserve"> </w:t>
      </w:r>
      <w:r>
        <w:t>increased</w:t>
      </w:r>
      <w:r>
        <w:rPr>
          <w:spacing w:val="-1"/>
        </w:rPr>
        <w:t xml:space="preserve"> </w:t>
      </w:r>
      <w:r>
        <w:t>inpatient</w:t>
      </w:r>
      <w:r>
        <w:rPr>
          <w:spacing w:val="-3"/>
        </w:rPr>
        <w:t xml:space="preserve"> </w:t>
      </w:r>
      <w:r>
        <w:t>utilization,</w:t>
      </w:r>
      <w:r>
        <w:rPr>
          <w:spacing w:val="-2"/>
        </w:rPr>
        <w:t xml:space="preserve"> </w:t>
      </w:r>
      <w:r>
        <w:t>they</w:t>
      </w:r>
      <w:r>
        <w:rPr>
          <w:spacing w:val="-3"/>
        </w:rPr>
        <w:t xml:space="preserve"> </w:t>
      </w:r>
      <w:r>
        <w:t>may</w:t>
      </w:r>
      <w:r>
        <w:rPr>
          <w:spacing w:val="-3"/>
        </w:rPr>
        <w:t xml:space="preserve"> </w:t>
      </w:r>
      <w:r>
        <w:t>also</w:t>
      </w:r>
      <w:r>
        <w:rPr>
          <w:spacing w:val="-2"/>
        </w:rPr>
        <w:t xml:space="preserve"> </w:t>
      </w:r>
      <w:r>
        <w:t>reduce</w:t>
      </w:r>
      <w:r>
        <w:rPr>
          <w:spacing w:val="-2"/>
        </w:rPr>
        <w:t xml:space="preserve"> </w:t>
      </w:r>
      <w:r>
        <w:t>the</w:t>
      </w:r>
      <w:r>
        <w:rPr>
          <w:spacing w:val="-4"/>
        </w:rPr>
        <w:t xml:space="preserve"> </w:t>
      </w:r>
      <w:r>
        <w:t>need</w:t>
      </w:r>
      <w:r>
        <w:rPr>
          <w:spacing w:val="-1"/>
        </w:rPr>
        <w:t xml:space="preserve"> </w:t>
      </w:r>
      <w:r>
        <w:t>for</w:t>
      </w:r>
      <w:r>
        <w:rPr>
          <w:spacing w:val="-3"/>
        </w:rPr>
        <w:t xml:space="preserve"> </w:t>
      </w:r>
      <w:r>
        <w:t>inpatient</w:t>
      </w:r>
      <w:r>
        <w:rPr>
          <w:spacing w:val="-3"/>
        </w:rPr>
        <w:t xml:space="preserve"> </w:t>
      </w:r>
      <w:r>
        <w:t>utilization</w:t>
      </w:r>
    </w:p>
    <w:p w14:paraId="1C34EA27" w14:textId="77777777" w:rsidR="004C558F" w:rsidRDefault="004C558F">
      <w:pPr>
        <w:pStyle w:val="BodyText"/>
        <w:rPr>
          <w:sz w:val="20"/>
        </w:rPr>
      </w:pPr>
    </w:p>
    <w:p w14:paraId="1C34EA28" w14:textId="3BF27DA7" w:rsidR="004C558F" w:rsidRDefault="004C558F">
      <w:pPr>
        <w:pStyle w:val="BodyText"/>
        <w:spacing w:before="110"/>
        <w:rPr>
          <w:sz w:val="20"/>
        </w:rPr>
      </w:pPr>
    </w:p>
    <w:p w14:paraId="1C34EA30" w14:textId="77777777" w:rsidR="004C558F" w:rsidRDefault="004C558F">
      <w:pPr>
        <w:rPr>
          <w:sz w:val="20"/>
        </w:rPr>
        <w:sectPr w:rsidR="004C558F">
          <w:pgSz w:w="12240" w:h="15840"/>
          <w:pgMar w:top="1360" w:right="740" w:bottom="720" w:left="480" w:header="0" w:footer="521" w:gutter="0"/>
          <w:cols w:space="720"/>
        </w:sectPr>
      </w:pPr>
      <w:bookmarkStart w:id="189" w:name="_bookmark228"/>
      <w:bookmarkStart w:id="190" w:name="_bookmark231"/>
      <w:bookmarkStart w:id="191" w:name="_bookmark234"/>
      <w:bookmarkEnd w:id="189"/>
      <w:bookmarkEnd w:id="190"/>
      <w:bookmarkEnd w:id="191"/>
    </w:p>
    <w:p w14:paraId="1C34EA31" w14:textId="77777777" w:rsidR="004C558F" w:rsidRDefault="00461887">
      <w:pPr>
        <w:pStyle w:val="BodyText"/>
        <w:spacing w:before="80" w:line="276" w:lineRule="auto"/>
        <w:ind w:left="960" w:right="752"/>
      </w:pPr>
      <w:r>
        <w:lastRenderedPageBreak/>
        <w:t>as</w:t>
      </w:r>
      <w:r>
        <w:rPr>
          <w:spacing w:val="-2"/>
        </w:rPr>
        <w:t xml:space="preserve"> </w:t>
      </w:r>
      <w:r>
        <w:t>therapies</w:t>
      </w:r>
      <w:r>
        <w:rPr>
          <w:spacing w:val="-2"/>
        </w:rPr>
        <w:t xml:space="preserve"> </w:t>
      </w:r>
      <w:r>
        <w:t>become</w:t>
      </w:r>
      <w:r>
        <w:rPr>
          <w:spacing w:val="-4"/>
        </w:rPr>
        <w:t xml:space="preserve"> </w:t>
      </w:r>
      <w:r>
        <w:t>safer</w:t>
      </w:r>
      <w:r>
        <w:rPr>
          <w:spacing w:val="-3"/>
        </w:rPr>
        <w:t xml:space="preserve"> </w:t>
      </w:r>
      <w:r>
        <w:t>and</w:t>
      </w:r>
      <w:r>
        <w:rPr>
          <w:spacing w:val="-4"/>
        </w:rPr>
        <w:t xml:space="preserve"> </w:t>
      </w:r>
      <w:r>
        <w:t>more</w:t>
      </w:r>
      <w:r>
        <w:rPr>
          <w:spacing w:val="-2"/>
        </w:rPr>
        <w:t xml:space="preserve"> </w:t>
      </w:r>
      <w:proofErr w:type="gramStart"/>
      <w:r>
        <w:t>routine</w:t>
      </w:r>
      <w:proofErr w:type="gramEnd"/>
      <w:r>
        <w:rPr>
          <w:spacing w:val="-4"/>
        </w:rPr>
        <w:t xml:space="preserve"> </w:t>
      </w:r>
      <w:r>
        <w:t>and</w:t>
      </w:r>
      <w:r>
        <w:rPr>
          <w:spacing w:val="-1"/>
        </w:rPr>
        <w:t xml:space="preserve"> </w:t>
      </w:r>
      <w:r>
        <w:t>providers</w:t>
      </w:r>
      <w:r>
        <w:rPr>
          <w:spacing w:val="-4"/>
        </w:rPr>
        <w:t xml:space="preserve"> </w:t>
      </w:r>
      <w:r>
        <w:t>develop</w:t>
      </w:r>
      <w:r>
        <w:rPr>
          <w:spacing w:val="-3"/>
        </w:rPr>
        <w:t xml:space="preserve"> </w:t>
      </w:r>
      <w:r>
        <w:t>new</w:t>
      </w:r>
      <w:r>
        <w:rPr>
          <w:spacing w:val="-5"/>
        </w:rPr>
        <w:t xml:space="preserve"> </w:t>
      </w:r>
      <w:r>
        <w:t>care</w:t>
      </w:r>
      <w:r>
        <w:rPr>
          <w:spacing w:val="-4"/>
        </w:rPr>
        <w:t xml:space="preserve"> </w:t>
      </w:r>
      <w:r>
        <w:t xml:space="preserve">management </w:t>
      </w:r>
      <w:r>
        <w:rPr>
          <w:spacing w:val="-2"/>
        </w:rPr>
        <w:t>strategies.</w:t>
      </w:r>
    </w:p>
    <w:p w14:paraId="1C34EA32" w14:textId="77777777" w:rsidR="004C558F" w:rsidRDefault="004C558F">
      <w:pPr>
        <w:pStyle w:val="BodyText"/>
        <w:spacing w:before="38"/>
      </w:pPr>
    </w:p>
    <w:p w14:paraId="1C34EA33" w14:textId="77777777" w:rsidR="004C558F" w:rsidRDefault="00461887">
      <w:pPr>
        <w:pStyle w:val="ListParagraph"/>
        <w:numPr>
          <w:ilvl w:val="4"/>
          <w:numId w:val="16"/>
        </w:numPr>
        <w:tabs>
          <w:tab w:val="left" w:pos="956"/>
        </w:tabs>
        <w:ind w:left="956" w:hanging="383"/>
        <w:jc w:val="left"/>
      </w:pPr>
      <w:bookmarkStart w:id="192" w:name="iii._Post-Acute_Care_Discharge_Challenge"/>
      <w:bookmarkEnd w:id="192"/>
      <w:r>
        <w:rPr>
          <w:color w:val="042339"/>
        </w:rPr>
        <w:t>Post-Acute</w:t>
      </w:r>
      <w:r>
        <w:rPr>
          <w:color w:val="042339"/>
          <w:spacing w:val="-6"/>
        </w:rPr>
        <w:t xml:space="preserve"> </w:t>
      </w:r>
      <w:r>
        <w:rPr>
          <w:color w:val="042339"/>
        </w:rPr>
        <w:t>Care</w:t>
      </w:r>
      <w:r>
        <w:rPr>
          <w:color w:val="042339"/>
          <w:spacing w:val="-5"/>
        </w:rPr>
        <w:t xml:space="preserve"> </w:t>
      </w:r>
      <w:r>
        <w:rPr>
          <w:color w:val="042339"/>
        </w:rPr>
        <w:t>Discharge</w:t>
      </w:r>
      <w:r>
        <w:rPr>
          <w:color w:val="042339"/>
          <w:spacing w:val="-7"/>
        </w:rPr>
        <w:t xml:space="preserve"> </w:t>
      </w:r>
      <w:r>
        <w:rPr>
          <w:color w:val="042339"/>
          <w:spacing w:val="-2"/>
        </w:rPr>
        <w:t>Challenges</w:t>
      </w:r>
    </w:p>
    <w:p w14:paraId="1C34EA34" w14:textId="77777777" w:rsidR="004C558F" w:rsidRDefault="004C558F">
      <w:pPr>
        <w:pStyle w:val="BodyText"/>
        <w:spacing w:before="74"/>
      </w:pPr>
    </w:p>
    <w:p w14:paraId="1C34EA35" w14:textId="23DBEB03" w:rsidR="004C558F" w:rsidRDefault="00461887">
      <w:pPr>
        <w:pStyle w:val="BodyText"/>
        <w:spacing w:line="276" w:lineRule="auto"/>
        <w:ind w:left="959" w:right="982" w:firstLine="720"/>
        <w:rPr>
          <w:sz w:val="14"/>
        </w:rPr>
      </w:pPr>
      <w:r>
        <w:t>DFCI noted recent difficulties in discharging patients to post-acute care settings, and generally identified challenges in finding inpatient beds for its patients given the current high occupancy rates across Massachusetts hospitals, claiming that these challenges would be alleviated by additional capacity in its new facility.</w:t>
      </w:r>
      <w:r w:rsidR="009E5883">
        <w:rPr>
          <w:rStyle w:val="FootnoteReference"/>
        </w:rPr>
        <w:footnoteReference w:id="205"/>
      </w:r>
      <w:r>
        <w:rPr>
          <w:spacing w:val="30"/>
          <w:position w:val="5"/>
          <w:sz w:val="14"/>
        </w:rPr>
        <w:t xml:space="preserve"> </w:t>
      </w:r>
      <w:r>
        <w:t>As described in prior HPC work, the</w:t>
      </w:r>
      <w:r>
        <w:rPr>
          <w:spacing w:val="40"/>
        </w:rPr>
        <w:t xml:space="preserve"> </w:t>
      </w:r>
      <w:r>
        <w:t>statewide average length of stay for certain general acute care scheduled hospital stays and admissions</w:t>
      </w:r>
      <w:r>
        <w:rPr>
          <w:spacing w:val="-1"/>
        </w:rPr>
        <w:t xml:space="preserve"> </w:t>
      </w:r>
      <w:r>
        <w:t>from</w:t>
      </w:r>
      <w:r>
        <w:rPr>
          <w:spacing w:val="-2"/>
        </w:rPr>
        <w:t xml:space="preserve"> </w:t>
      </w:r>
      <w:r>
        <w:t>the</w:t>
      </w:r>
      <w:r>
        <w:rPr>
          <w:spacing w:val="-3"/>
        </w:rPr>
        <w:t xml:space="preserve"> </w:t>
      </w:r>
      <w:r>
        <w:t>emergency</w:t>
      </w:r>
      <w:r>
        <w:rPr>
          <w:spacing w:val="-4"/>
        </w:rPr>
        <w:t xml:space="preserve"> </w:t>
      </w:r>
      <w:r>
        <w:t>department</w:t>
      </w:r>
      <w:r>
        <w:rPr>
          <w:spacing w:val="-2"/>
        </w:rPr>
        <w:t xml:space="preserve"> </w:t>
      </w:r>
      <w:r>
        <w:t>increased</w:t>
      </w:r>
      <w:r>
        <w:rPr>
          <w:spacing w:val="-1"/>
        </w:rPr>
        <w:t xml:space="preserve"> </w:t>
      </w:r>
      <w:r>
        <w:t>by</w:t>
      </w:r>
      <w:r>
        <w:rPr>
          <w:spacing w:val="-2"/>
        </w:rPr>
        <w:t xml:space="preserve"> </w:t>
      </w:r>
      <w:r>
        <w:t>nearly</w:t>
      </w:r>
      <w:r>
        <w:rPr>
          <w:spacing w:val="-2"/>
        </w:rPr>
        <w:t xml:space="preserve"> </w:t>
      </w:r>
      <w:r>
        <w:t>a</w:t>
      </w:r>
      <w:r>
        <w:rPr>
          <w:spacing w:val="-3"/>
        </w:rPr>
        <w:t xml:space="preserve"> </w:t>
      </w:r>
      <w:r>
        <w:t>full</w:t>
      </w:r>
      <w:r>
        <w:rPr>
          <w:spacing w:val="-4"/>
        </w:rPr>
        <w:t xml:space="preserve"> </w:t>
      </w:r>
      <w:r>
        <w:t>day</w:t>
      </w:r>
      <w:r>
        <w:rPr>
          <w:spacing w:val="-4"/>
        </w:rPr>
        <w:t xml:space="preserve"> </w:t>
      </w:r>
      <w:r>
        <w:t>from</w:t>
      </w:r>
      <w:r>
        <w:rPr>
          <w:spacing w:val="-1"/>
        </w:rPr>
        <w:t xml:space="preserve"> </w:t>
      </w:r>
      <w:r>
        <w:t>2017</w:t>
      </w:r>
      <w:r>
        <w:rPr>
          <w:spacing w:val="-4"/>
        </w:rPr>
        <w:t xml:space="preserve"> </w:t>
      </w:r>
      <w:r>
        <w:t>-</w:t>
      </w:r>
      <w:r>
        <w:rPr>
          <w:spacing w:val="-1"/>
        </w:rPr>
        <w:t xml:space="preserve"> </w:t>
      </w:r>
      <w:r>
        <w:t>2023.</w:t>
      </w:r>
      <w:r>
        <w:rPr>
          <w:spacing w:val="-2"/>
        </w:rPr>
        <w:t xml:space="preserve"> </w:t>
      </w:r>
      <w:r>
        <w:t>This increase was almost entirely among discharges to skilled nursing facilities (SNFs) and home health care, where average length of stay increased by 1.6 days and 0.9 days, respectively.</w:t>
      </w:r>
      <w:r>
        <w:rPr>
          <w:spacing w:val="-33"/>
        </w:rPr>
        <w:t xml:space="preserve"> </w:t>
      </w:r>
      <w:r w:rsidR="009E5883">
        <w:rPr>
          <w:rStyle w:val="FootnoteReference"/>
          <w:spacing w:val="-33"/>
        </w:rPr>
        <w:footnoteReference w:id="206"/>
      </w:r>
    </w:p>
    <w:p w14:paraId="1C34EA36" w14:textId="77777777" w:rsidR="004C558F" w:rsidRDefault="004C558F">
      <w:pPr>
        <w:pStyle w:val="BodyText"/>
        <w:spacing w:before="36"/>
      </w:pPr>
    </w:p>
    <w:p w14:paraId="1C34EA37" w14:textId="440E0B91" w:rsidR="004C558F" w:rsidRDefault="00461887">
      <w:pPr>
        <w:pStyle w:val="BodyText"/>
        <w:spacing w:line="276" w:lineRule="auto"/>
        <w:ind w:left="959" w:right="986" w:firstLine="720"/>
      </w:pPr>
      <w:r>
        <w:t>The HPC found similar trends for oncology inpatient stays, as shown in Figure III.C.2</w:t>
      </w:r>
      <w:r>
        <w:rPr>
          <w:spacing w:val="40"/>
        </w:rPr>
        <w:t xml:space="preserve"> </w:t>
      </w:r>
      <w:r>
        <w:t>below. For oncology discharges to home health settings, which accounted for 35.7% of Massachusetts hospital oncology bed days and 33.2% of oncology discharges in 2023, the average</w:t>
      </w:r>
      <w:r>
        <w:rPr>
          <w:spacing w:val="-2"/>
        </w:rPr>
        <w:t xml:space="preserve"> </w:t>
      </w:r>
      <w:r>
        <w:t>length</w:t>
      </w:r>
      <w:r>
        <w:rPr>
          <w:spacing w:val="-2"/>
        </w:rPr>
        <w:t xml:space="preserve"> </w:t>
      </w:r>
      <w:r>
        <w:t>of</w:t>
      </w:r>
      <w:r>
        <w:rPr>
          <w:spacing w:val="-1"/>
        </w:rPr>
        <w:t xml:space="preserve"> </w:t>
      </w:r>
      <w:r>
        <w:t>stay</w:t>
      </w:r>
      <w:r>
        <w:rPr>
          <w:spacing w:val="-3"/>
        </w:rPr>
        <w:t xml:space="preserve"> </w:t>
      </w:r>
      <w:r>
        <w:t>increased</w:t>
      </w:r>
      <w:r>
        <w:rPr>
          <w:spacing w:val="-1"/>
        </w:rPr>
        <w:t xml:space="preserve"> </w:t>
      </w:r>
      <w:r>
        <w:t>by</w:t>
      </w:r>
      <w:r>
        <w:rPr>
          <w:spacing w:val="-3"/>
        </w:rPr>
        <w:t xml:space="preserve"> </w:t>
      </w:r>
      <w:r>
        <w:t>1.1</w:t>
      </w:r>
      <w:r>
        <w:rPr>
          <w:spacing w:val="-2"/>
        </w:rPr>
        <w:t xml:space="preserve"> </w:t>
      </w:r>
      <w:r>
        <w:t>day</w:t>
      </w:r>
      <w:r>
        <w:rPr>
          <w:spacing w:val="-3"/>
        </w:rPr>
        <w:t xml:space="preserve"> </w:t>
      </w:r>
      <w:r>
        <w:t>per</w:t>
      </w:r>
      <w:r>
        <w:rPr>
          <w:spacing w:val="-6"/>
        </w:rPr>
        <w:t xml:space="preserve"> </w:t>
      </w:r>
      <w:r>
        <w:t>discharge.</w:t>
      </w:r>
      <w:r>
        <w:rPr>
          <w:spacing w:val="-5"/>
        </w:rPr>
        <w:t xml:space="preserve"> </w:t>
      </w:r>
      <w:r>
        <w:t>For</w:t>
      </w:r>
      <w:r>
        <w:rPr>
          <w:spacing w:val="-3"/>
        </w:rPr>
        <w:t xml:space="preserve"> </w:t>
      </w:r>
      <w:r>
        <w:t>oncology</w:t>
      </w:r>
      <w:r>
        <w:rPr>
          <w:spacing w:val="-3"/>
        </w:rPr>
        <w:t xml:space="preserve"> </w:t>
      </w:r>
      <w:r>
        <w:t>discharges</w:t>
      </w:r>
      <w:r>
        <w:rPr>
          <w:spacing w:val="-2"/>
        </w:rPr>
        <w:t xml:space="preserve"> </w:t>
      </w:r>
      <w:r>
        <w:t>to</w:t>
      </w:r>
      <w:r>
        <w:rPr>
          <w:spacing w:val="-2"/>
        </w:rPr>
        <w:t xml:space="preserve"> </w:t>
      </w:r>
      <w:r>
        <w:t xml:space="preserve">institutional post-acute care settings, </w:t>
      </w:r>
      <w:r w:rsidR="009E5883">
        <w:rPr>
          <w:rStyle w:val="FootnoteReference"/>
        </w:rPr>
        <w:footnoteReference w:id="207"/>
      </w:r>
      <w:r>
        <w:t>which comprised 25.3% of oncology bed days and 14.9% of oncology discharges in 2023, the average length of stay increased by 2.6 days per discharge. Increased lengths of stay for these patients could reflect workforce shortages and other factors, resulting in decreased throughput</w:t>
      </w:r>
      <w:r>
        <w:rPr>
          <w:spacing w:val="-2"/>
        </w:rPr>
        <w:t xml:space="preserve"> </w:t>
      </w:r>
      <w:r>
        <w:t>and increased inpatient</w:t>
      </w:r>
      <w:r>
        <w:rPr>
          <w:spacing w:val="-2"/>
        </w:rPr>
        <w:t xml:space="preserve"> </w:t>
      </w:r>
      <w:r>
        <w:t>utilization</w:t>
      </w:r>
      <w:r>
        <w:rPr>
          <w:spacing w:val="-1"/>
        </w:rPr>
        <w:t xml:space="preserve"> </w:t>
      </w:r>
      <w:r>
        <w:t>not</w:t>
      </w:r>
      <w:r>
        <w:rPr>
          <w:spacing w:val="-2"/>
        </w:rPr>
        <w:t xml:space="preserve"> </w:t>
      </w:r>
      <w:r>
        <w:t>directly</w:t>
      </w:r>
      <w:r>
        <w:rPr>
          <w:spacing w:val="-2"/>
        </w:rPr>
        <w:t xml:space="preserve"> </w:t>
      </w:r>
      <w:r>
        <w:t>related to</w:t>
      </w:r>
      <w:r>
        <w:rPr>
          <w:spacing w:val="-1"/>
        </w:rPr>
        <w:t xml:space="preserve"> </w:t>
      </w:r>
      <w:r>
        <w:t>the</w:t>
      </w:r>
      <w:r>
        <w:rPr>
          <w:spacing w:val="-1"/>
        </w:rPr>
        <w:t xml:space="preserve"> </w:t>
      </w:r>
      <w:r>
        <w:t>need for</w:t>
      </w:r>
      <w:r>
        <w:rPr>
          <w:spacing w:val="-2"/>
        </w:rPr>
        <w:t xml:space="preserve"> </w:t>
      </w:r>
      <w:r>
        <w:t>acute hospital care. These findings suggest challenges with post-acute discharges may be responsible for</w:t>
      </w:r>
      <w:r>
        <w:rPr>
          <w:spacing w:val="-2"/>
        </w:rPr>
        <w:t xml:space="preserve"> </w:t>
      </w:r>
      <w:r>
        <w:t>a</w:t>
      </w:r>
      <w:r>
        <w:rPr>
          <w:spacing w:val="-3"/>
        </w:rPr>
        <w:t xml:space="preserve"> </w:t>
      </w:r>
      <w:r>
        <w:t>substantial</w:t>
      </w:r>
      <w:r>
        <w:rPr>
          <w:spacing w:val="-2"/>
        </w:rPr>
        <w:t xml:space="preserve"> </w:t>
      </w:r>
      <w:r>
        <w:t>part</w:t>
      </w:r>
      <w:r>
        <w:rPr>
          <w:spacing w:val="-2"/>
        </w:rPr>
        <w:t xml:space="preserve"> </w:t>
      </w:r>
      <w:r>
        <w:t>of</w:t>
      </w:r>
      <w:r>
        <w:rPr>
          <w:spacing w:val="-3"/>
        </w:rPr>
        <w:t xml:space="preserve"> </w:t>
      </w:r>
      <w:r>
        <w:t>increased inpatient</w:t>
      </w:r>
      <w:r>
        <w:rPr>
          <w:spacing w:val="-2"/>
        </w:rPr>
        <w:t xml:space="preserve"> </w:t>
      </w:r>
      <w:r>
        <w:t>oncology</w:t>
      </w:r>
      <w:r>
        <w:rPr>
          <w:spacing w:val="-2"/>
        </w:rPr>
        <w:t xml:space="preserve"> </w:t>
      </w:r>
      <w:r>
        <w:t>utilization</w:t>
      </w:r>
      <w:r>
        <w:rPr>
          <w:spacing w:val="-1"/>
        </w:rPr>
        <w:t xml:space="preserve"> </w:t>
      </w:r>
      <w:r>
        <w:t>in</w:t>
      </w:r>
      <w:r>
        <w:rPr>
          <w:spacing w:val="-1"/>
        </w:rPr>
        <w:t xml:space="preserve"> </w:t>
      </w:r>
      <w:r>
        <w:t>recent</w:t>
      </w:r>
      <w:r>
        <w:rPr>
          <w:spacing w:val="-2"/>
        </w:rPr>
        <w:t xml:space="preserve"> </w:t>
      </w:r>
      <w:r>
        <w:t>years,</w:t>
      </w:r>
      <w:r>
        <w:rPr>
          <w:spacing w:val="-1"/>
        </w:rPr>
        <w:t xml:space="preserve"> </w:t>
      </w:r>
      <w:r>
        <w:t>and projections</w:t>
      </w:r>
      <w:r>
        <w:rPr>
          <w:spacing w:val="-1"/>
        </w:rPr>
        <w:t xml:space="preserve"> </w:t>
      </w:r>
      <w:r>
        <w:t xml:space="preserve">of future bed need based on these recent trends will be artificially inflated by </w:t>
      </w:r>
      <w:proofErr w:type="gramStart"/>
      <w:r>
        <w:t>these length</w:t>
      </w:r>
      <w:proofErr w:type="gramEnd"/>
      <w:r>
        <w:t xml:space="preserve"> of stay trends not directly related to the need for acute care. These findings also suggest that investments in addressing post-acute care capacity challenges may be a more efficient option for reducing hospital bed days and improving future accessibility of inpatient care rather than</w:t>
      </w:r>
      <w:r>
        <w:rPr>
          <w:spacing w:val="40"/>
        </w:rPr>
        <w:t xml:space="preserve"> </w:t>
      </w:r>
      <w:r>
        <w:t>building additional inpatient capacity.</w:t>
      </w:r>
    </w:p>
    <w:p w14:paraId="1C34EA38" w14:textId="77777777" w:rsidR="004C558F" w:rsidRDefault="004C558F">
      <w:pPr>
        <w:pStyle w:val="BodyText"/>
        <w:rPr>
          <w:sz w:val="20"/>
        </w:rPr>
      </w:pPr>
    </w:p>
    <w:p w14:paraId="1C34EA39" w14:textId="77777777" w:rsidR="004C558F" w:rsidRDefault="004C558F">
      <w:pPr>
        <w:pStyle w:val="BodyText"/>
        <w:rPr>
          <w:sz w:val="20"/>
        </w:rPr>
      </w:pPr>
    </w:p>
    <w:p w14:paraId="1C34EA3A" w14:textId="77777777" w:rsidR="004C558F" w:rsidRDefault="004C558F">
      <w:pPr>
        <w:pStyle w:val="BodyText"/>
        <w:rPr>
          <w:sz w:val="20"/>
        </w:rPr>
      </w:pPr>
    </w:p>
    <w:p w14:paraId="1C34EA3B" w14:textId="77777777" w:rsidR="004C558F" w:rsidRDefault="004C558F">
      <w:pPr>
        <w:pStyle w:val="BodyText"/>
        <w:rPr>
          <w:sz w:val="20"/>
        </w:rPr>
      </w:pPr>
    </w:p>
    <w:p w14:paraId="1C34EA3C" w14:textId="77777777" w:rsidR="004C558F" w:rsidRDefault="004C558F">
      <w:pPr>
        <w:pStyle w:val="BodyText"/>
        <w:rPr>
          <w:sz w:val="20"/>
        </w:rPr>
      </w:pPr>
    </w:p>
    <w:p w14:paraId="1C34EA3D" w14:textId="77777777" w:rsidR="004C558F" w:rsidRDefault="004C558F">
      <w:pPr>
        <w:pStyle w:val="BodyText"/>
        <w:rPr>
          <w:sz w:val="20"/>
        </w:rPr>
      </w:pPr>
    </w:p>
    <w:p w14:paraId="1C34EA3E" w14:textId="77777777" w:rsidR="004C558F" w:rsidRDefault="004C558F">
      <w:pPr>
        <w:pStyle w:val="BodyText"/>
        <w:rPr>
          <w:sz w:val="20"/>
        </w:rPr>
      </w:pPr>
    </w:p>
    <w:p w14:paraId="1C34EA3F" w14:textId="77777777" w:rsidR="004C558F" w:rsidRDefault="004C558F">
      <w:pPr>
        <w:pStyle w:val="BodyText"/>
        <w:rPr>
          <w:sz w:val="20"/>
        </w:rPr>
      </w:pPr>
    </w:p>
    <w:p w14:paraId="1C34EA40" w14:textId="77777777" w:rsidR="004C558F" w:rsidRDefault="004C558F">
      <w:pPr>
        <w:pStyle w:val="BodyText"/>
        <w:rPr>
          <w:sz w:val="20"/>
        </w:rPr>
      </w:pPr>
    </w:p>
    <w:p w14:paraId="1C34EA41" w14:textId="0F457AC2" w:rsidR="004C558F" w:rsidRDefault="004C558F">
      <w:pPr>
        <w:pStyle w:val="BodyText"/>
        <w:spacing w:before="205"/>
        <w:rPr>
          <w:sz w:val="20"/>
        </w:rPr>
      </w:pPr>
    </w:p>
    <w:p w14:paraId="1C34EA45" w14:textId="77777777" w:rsidR="004C558F" w:rsidRDefault="004C558F">
      <w:pPr>
        <w:rPr>
          <w:sz w:val="20"/>
        </w:rPr>
        <w:sectPr w:rsidR="004C558F">
          <w:pgSz w:w="12240" w:h="15840"/>
          <w:pgMar w:top="1360" w:right="740" w:bottom="720" w:left="480" w:header="0" w:footer="521" w:gutter="0"/>
          <w:cols w:space="720"/>
        </w:sectPr>
      </w:pPr>
      <w:bookmarkStart w:id="193" w:name="_bookmark235"/>
      <w:bookmarkStart w:id="194" w:name="_bookmark237"/>
      <w:bookmarkEnd w:id="193"/>
      <w:bookmarkEnd w:id="194"/>
    </w:p>
    <w:p w14:paraId="1C34EA46" w14:textId="77777777" w:rsidR="004C558F" w:rsidRDefault="00461887">
      <w:pPr>
        <w:pStyle w:val="BodyText"/>
        <w:spacing w:before="80" w:line="276" w:lineRule="auto"/>
        <w:ind w:left="3616" w:right="702" w:hanging="2604"/>
      </w:pPr>
      <w:r>
        <w:lastRenderedPageBreak/>
        <w:t>Figure</w:t>
      </w:r>
      <w:r>
        <w:rPr>
          <w:spacing w:val="-2"/>
        </w:rPr>
        <w:t xml:space="preserve"> </w:t>
      </w:r>
      <w:r>
        <w:t>III.C.2:</w:t>
      </w:r>
      <w:r>
        <w:rPr>
          <w:spacing w:val="-2"/>
        </w:rPr>
        <w:t xml:space="preserve"> </w:t>
      </w:r>
      <w:r>
        <w:t>Average</w:t>
      </w:r>
      <w:r>
        <w:rPr>
          <w:spacing w:val="-2"/>
        </w:rPr>
        <w:t xml:space="preserve"> </w:t>
      </w:r>
      <w:r>
        <w:t>Lengths</w:t>
      </w:r>
      <w:r>
        <w:rPr>
          <w:spacing w:val="-2"/>
        </w:rPr>
        <w:t xml:space="preserve"> </w:t>
      </w:r>
      <w:r>
        <w:t>of</w:t>
      </w:r>
      <w:r>
        <w:rPr>
          <w:spacing w:val="-1"/>
        </w:rPr>
        <w:t xml:space="preserve"> </w:t>
      </w:r>
      <w:r>
        <w:t>Stay</w:t>
      </w:r>
      <w:r>
        <w:rPr>
          <w:spacing w:val="-4"/>
        </w:rPr>
        <w:t xml:space="preserve"> </w:t>
      </w:r>
      <w:r>
        <w:t>for</w:t>
      </w:r>
      <w:r>
        <w:rPr>
          <w:spacing w:val="-3"/>
        </w:rPr>
        <w:t xml:space="preserve"> </w:t>
      </w:r>
      <w:r>
        <w:t>Oncology</w:t>
      </w:r>
      <w:r>
        <w:rPr>
          <w:spacing w:val="-4"/>
        </w:rPr>
        <w:t xml:space="preserve"> </w:t>
      </w:r>
      <w:r>
        <w:t>Discharges</w:t>
      </w:r>
      <w:r>
        <w:rPr>
          <w:spacing w:val="-2"/>
        </w:rPr>
        <w:t xml:space="preserve"> </w:t>
      </w:r>
      <w:r>
        <w:t>by</w:t>
      </w:r>
      <w:r>
        <w:rPr>
          <w:spacing w:val="-3"/>
        </w:rPr>
        <w:t xml:space="preserve"> </w:t>
      </w:r>
      <w:r>
        <w:t>Discharge</w:t>
      </w:r>
      <w:r>
        <w:rPr>
          <w:spacing w:val="-3"/>
        </w:rPr>
        <w:t xml:space="preserve"> </w:t>
      </w:r>
      <w:r>
        <w:t>Destination</w:t>
      </w:r>
      <w:r>
        <w:rPr>
          <w:spacing w:val="-2"/>
        </w:rPr>
        <w:t xml:space="preserve"> </w:t>
      </w:r>
      <w:r>
        <w:t>(2016</w:t>
      </w:r>
      <w:r>
        <w:rPr>
          <w:spacing w:val="-3"/>
        </w:rPr>
        <w:t xml:space="preserve"> </w:t>
      </w:r>
      <w:r>
        <w:t>– 2023, With Percent Change Since 2016)</w:t>
      </w:r>
    </w:p>
    <w:p w14:paraId="1C34EA47" w14:textId="77777777" w:rsidR="004C558F" w:rsidRDefault="00461887">
      <w:pPr>
        <w:pStyle w:val="BodyText"/>
        <w:spacing w:before="28"/>
        <w:rPr>
          <w:sz w:val="20"/>
        </w:rPr>
      </w:pPr>
      <w:r>
        <w:rPr>
          <w:noProof/>
        </w:rPr>
        <mc:AlternateContent>
          <mc:Choice Requires="wpg">
            <w:drawing>
              <wp:anchor distT="0" distB="0" distL="0" distR="0" simplePos="0" relativeHeight="251688960" behindDoc="1" locked="0" layoutInCell="1" allowOverlap="1" wp14:anchorId="1C34F136" wp14:editId="7481BAFE">
                <wp:simplePos x="0" y="0"/>
                <wp:positionH relativeFrom="page">
                  <wp:posOffset>909637</wp:posOffset>
                </wp:positionH>
                <wp:positionV relativeFrom="paragraph">
                  <wp:posOffset>177395</wp:posOffset>
                </wp:positionV>
                <wp:extent cx="5953125" cy="3235325"/>
                <wp:effectExtent l="0" t="0" r="9525" b="22225"/>
                <wp:wrapTopAndBottom/>
                <wp:docPr id="361" name="Group 361" descr="Line graph of Average Lengths of Stay for Oncology Discharges by Discharge Destination (2016 – 2023, With Percent Change Since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235325"/>
                          <a:chOff x="0" y="0"/>
                          <a:chExt cx="5953125" cy="3235325"/>
                        </a:xfrm>
                      </wpg:grpSpPr>
                      <wps:wsp>
                        <wps:cNvPr id="362" name="Graphic 362"/>
                        <wps:cNvSpPr/>
                        <wps:spPr>
                          <a:xfrm>
                            <a:off x="359992" y="144462"/>
                            <a:ext cx="5372735" cy="2057400"/>
                          </a:xfrm>
                          <a:custGeom>
                            <a:avLst/>
                            <a:gdLst/>
                            <a:ahLst/>
                            <a:cxnLst/>
                            <a:rect l="l" t="t" r="r" b="b"/>
                            <a:pathLst>
                              <a:path w="5372735" h="2057400">
                                <a:moveTo>
                                  <a:pt x="0" y="2057044"/>
                                </a:moveTo>
                                <a:lnTo>
                                  <a:pt x="5372468" y="2057044"/>
                                </a:lnTo>
                              </a:path>
                              <a:path w="5372735" h="2057400">
                                <a:moveTo>
                                  <a:pt x="0" y="1645564"/>
                                </a:moveTo>
                                <a:lnTo>
                                  <a:pt x="5372468" y="1645564"/>
                                </a:lnTo>
                              </a:path>
                              <a:path w="5372735" h="2057400">
                                <a:moveTo>
                                  <a:pt x="0" y="1234084"/>
                                </a:moveTo>
                                <a:lnTo>
                                  <a:pt x="5372468" y="1234084"/>
                                </a:lnTo>
                              </a:path>
                              <a:path w="5372735" h="2057400">
                                <a:moveTo>
                                  <a:pt x="0" y="822604"/>
                                </a:moveTo>
                                <a:lnTo>
                                  <a:pt x="5372468" y="822604"/>
                                </a:lnTo>
                              </a:path>
                              <a:path w="5372735" h="2057400">
                                <a:moveTo>
                                  <a:pt x="0" y="411124"/>
                                </a:moveTo>
                                <a:lnTo>
                                  <a:pt x="5372468" y="411124"/>
                                </a:lnTo>
                              </a:path>
                              <a:path w="5372735" h="2057400">
                                <a:moveTo>
                                  <a:pt x="0" y="0"/>
                                </a:moveTo>
                                <a:lnTo>
                                  <a:pt x="5372468" y="0"/>
                                </a:lnTo>
                              </a:path>
                            </a:pathLst>
                          </a:custGeom>
                          <a:ln w="9525">
                            <a:solidFill>
                              <a:srgbClr val="ECECEC"/>
                            </a:solidFill>
                            <a:prstDash val="solid"/>
                          </a:ln>
                        </wps:spPr>
                        <wps:bodyPr wrap="square" lIns="0" tIns="0" rIns="0" bIns="0" rtlCol="0">
                          <a:prstTxWarp prst="textNoShape">
                            <a:avLst/>
                          </a:prstTxWarp>
                          <a:noAutofit/>
                        </wps:bodyPr>
                      </wps:wsp>
                      <wps:wsp>
                        <wps:cNvPr id="363" name="Graphic 363"/>
                        <wps:cNvSpPr/>
                        <wps:spPr>
                          <a:xfrm>
                            <a:off x="359992" y="2613239"/>
                            <a:ext cx="5372735" cy="1270"/>
                          </a:xfrm>
                          <a:custGeom>
                            <a:avLst/>
                            <a:gdLst/>
                            <a:ahLst/>
                            <a:cxnLst/>
                            <a:rect l="l" t="t" r="r" b="b"/>
                            <a:pathLst>
                              <a:path w="5372735">
                                <a:moveTo>
                                  <a:pt x="0" y="0"/>
                                </a:moveTo>
                                <a:lnTo>
                                  <a:pt x="5372468" y="0"/>
                                </a:lnTo>
                              </a:path>
                            </a:pathLst>
                          </a:custGeom>
                          <a:ln w="9525">
                            <a:solidFill>
                              <a:srgbClr val="D9D9D9"/>
                            </a:solidFill>
                            <a:prstDash val="solid"/>
                          </a:ln>
                        </wps:spPr>
                        <wps:bodyPr wrap="square" lIns="0" tIns="0" rIns="0" bIns="0" rtlCol="0">
                          <a:prstTxWarp prst="textNoShape">
                            <a:avLst/>
                          </a:prstTxWarp>
                          <a:noAutofit/>
                        </wps:bodyPr>
                      </wps:wsp>
                      <wps:wsp>
                        <wps:cNvPr id="364" name="Graphic 364"/>
                        <wps:cNvSpPr/>
                        <wps:spPr>
                          <a:xfrm>
                            <a:off x="695772" y="237225"/>
                            <a:ext cx="4700905" cy="536575"/>
                          </a:xfrm>
                          <a:custGeom>
                            <a:avLst/>
                            <a:gdLst/>
                            <a:ahLst/>
                            <a:cxnLst/>
                            <a:rect l="l" t="t" r="r" b="b"/>
                            <a:pathLst>
                              <a:path w="4700905" h="536575">
                                <a:moveTo>
                                  <a:pt x="0" y="536295"/>
                                </a:moveTo>
                                <a:lnTo>
                                  <a:pt x="671449" y="490575"/>
                                </a:lnTo>
                                <a:lnTo>
                                  <a:pt x="1343533" y="469239"/>
                                </a:lnTo>
                                <a:lnTo>
                                  <a:pt x="2014093" y="377799"/>
                                </a:lnTo>
                                <a:lnTo>
                                  <a:pt x="2686177" y="222351"/>
                                </a:lnTo>
                                <a:lnTo>
                                  <a:pt x="3358261" y="86715"/>
                                </a:lnTo>
                                <a:lnTo>
                                  <a:pt x="4028821" y="2895"/>
                                </a:lnTo>
                                <a:lnTo>
                                  <a:pt x="4700905" y="0"/>
                                </a:lnTo>
                              </a:path>
                            </a:pathLst>
                          </a:custGeom>
                          <a:ln w="28575">
                            <a:solidFill>
                              <a:srgbClr val="084875"/>
                            </a:solidFill>
                            <a:prstDash val="solid"/>
                          </a:ln>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75" cstate="print"/>
                          <a:stretch>
                            <a:fillRect/>
                          </a:stretch>
                        </pic:blipFill>
                        <pic:spPr>
                          <a:xfrm>
                            <a:off x="658368" y="736086"/>
                            <a:ext cx="73533" cy="73532"/>
                          </a:xfrm>
                          <a:prstGeom prst="rect">
                            <a:avLst/>
                          </a:prstGeom>
                        </pic:spPr>
                      </pic:pic>
                      <pic:pic xmlns:pic="http://schemas.openxmlformats.org/drawingml/2006/picture">
                        <pic:nvPicPr>
                          <pic:cNvPr id="366" name="Image 366"/>
                          <pic:cNvPicPr/>
                        </pic:nvPicPr>
                        <pic:blipFill>
                          <a:blip r:embed="rId76" cstate="print"/>
                          <a:stretch>
                            <a:fillRect/>
                          </a:stretch>
                        </pic:blipFill>
                        <pic:spPr>
                          <a:xfrm>
                            <a:off x="1330452" y="690366"/>
                            <a:ext cx="73532" cy="73532"/>
                          </a:xfrm>
                          <a:prstGeom prst="rect">
                            <a:avLst/>
                          </a:prstGeom>
                        </pic:spPr>
                      </pic:pic>
                      <pic:pic xmlns:pic="http://schemas.openxmlformats.org/drawingml/2006/picture">
                        <pic:nvPicPr>
                          <pic:cNvPr id="367" name="Image 367"/>
                          <pic:cNvPicPr/>
                        </pic:nvPicPr>
                        <pic:blipFill>
                          <a:blip r:embed="rId75" cstate="print"/>
                          <a:stretch>
                            <a:fillRect/>
                          </a:stretch>
                        </pic:blipFill>
                        <pic:spPr>
                          <a:xfrm>
                            <a:off x="2002535" y="669029"/>
                            <a:ext cx="73532" cy="73532"/>
                          </a:xfrm>
                          <a:prstGeom prst="rect">
                            <a:avLst/>
                          </a:prstGeom>
                        </pic:spPr>
                      </pic:pic>
                      <pic:pic xmlns:pic="http://schemas.openxmlformats.org/drawingml/2006/picture">
                        <pic:nvPicPr>
                          <pic:cNvPr id="368" name="Image 368"/>
                          <pic:cNvPicPr/>
                        </pic:nvPicPr>
                        <pic:blipFill>
                          <a:blip r:embed="rId76" cstate="print"/>
                          <a:stretch>
                            <a:fillRect/>
                          </a:stretch>
                        </pic:blipFill>
                        <pic:spPr>
                          <a:xfrm>
                            <a:off x="2673095" y="577590"/>
                            <a:ext cx="73533" cy="73532"/>
                          </a:xfrm>
                          <a:prstGeom prst="rect">
                            <a:avLst/>
                          </a:prstGeom>
                        </pic:spPr>
                      </pic:pic>
                      <pic:pic xmlns:pic="http://schemas.openxmlformats.org/drawingml/2006/picture">
                        <pic:nvPicPr>
                          <pic:cNvPr id="369" name="Image 369"/>
                          <pic:cNvPicPr/>
                        </pic:nvPicPr>
                        <pic:blipFill>
                          <a:blip r:embed="rId75" cstate="print"/>
                          <a:stretch>
                            <a:fillRect/>
                          </a:stretch>
                        </pic:blipFill>
                        <pic:spPr>
                          <a:xfrm>
                            <a:off x="3345179" y="422142"/>
                            <a:ext cx="73533" cy="73532"/>
                          </a:xfrm>
                          <a:prstGeom prst="rect">
                            <a:avLst/>
                          </a:prstGeom>
                        </pic:spPr>
                      </pic:pic>
                      <pic:pic xmlns:pic="http://schemas.openxmlformats.org/drawingml/2006/picture">
                        <pic:nvPicPr>
                          <pic:cNvPr id="370" name="Image 370"/>
                          <pic:cNvPicPr/>
                        </pic:nvPicPr>
                        <pic:blipFill>
                          <a:blip r:embed="rId77" cstate="print"/>
                          <a:stretch>
                            <a:fillRect/>
                          </a:stretch>
                        </pic:blipFill>
                        <pic:spPr>
                          <a:xfrm>
                            <a:off x="4017264" y="286505"/>
                            <a:ext cx="73533" cy="73532"/>
                          </a:xfrm>
                          <a:prstGeom prst="rect">
                            <a:avLst/>
                          </a:prstGeom>
                        </pic:spPr>
                      </pic:pic>
                      <pic:pic xmlns:pic="http://schemas.openxmlformats.org/drawingml/2006/picture">
                        <pic:nvPicPr>
                          <pic:cNvPr id="371" name="Image 371"/>
                          <pic:cNvPicPr/>
                        </pic:nvPicPr>
                        <pic:blipFill>
                          <a:blip r:embed="rId75" cstate="print"/>
                          <a:stretch>
                            <a:fillRect/>
                          </a:stretch>
                        </pic:blipFill>
                        <pic:spPr>
                          <a:xfrm>
                            <a:off x="4687823" y="202686"/>
                            <a:ext cx="73533" cy="73532"/>
                          </a:xfrm>
                          <a:prstGeom prst="rect">
                            <a:avLst/>
                          </a:prstGeom>
                        </pic:spPr>
                      </pic:pic>
                      <pic:pic xmlns:pic="http://schemas.openxmlformats.org/drawingml/2006/picture">
                        <pic:nvPicPr>
                          <pic:cNvPr id="372" name="Image 372"/>
                          <pic:cNvPicPr/>
                        </pic:nvPicPr>
                        <pic:blipFill>
                          <a:blip r:embed="rId76" cstate="print"/>
                          <a:stretch>
                            <a:fillRect/>
                          </a:stretch>
                        </pic:blipFill>
                        <pic:spPr>
                          <a:xfrm>
                            <a:off x="5359908" y="199638"/>
                            <a:ext cx="73533" cy="73532"/>
                          </a:xfrm>
                          <a:prstGeom prst="rect">
                            <a:avLst/>
                          </a:prstGeom>
                        </pic:spPr>
                      </pic:pic>
                      <wps:wsp>
                        <wps:cNvPr id="373" name="Graphic 373"/>
                        <wps:cNvSpPr/>
                        <wps:spPr>
                          <a:xfrm>
                            <a:off x="695772" y="1092499"/>
                            <a:ext cx="4700905" cy="250190"/>
                          </a:xfrm>
                          <a:custGeom>
                            <a:avLst/>
                            <a:gdLst/>
                            <a:ahLst/>
                            <a:cxnLst/>
                            <a:rect l="l" t="t" r="r" b="b"/>
                            <a:pathLst>
                              <a:path w="4700905" h="250190">
                                <a:moveTo>
                                  <a:pt x="0" y="250151"/>
                                </a:moveTo>
                                <a:lnTo>
                                  <a:pt x="671449" y="229654"/>
                                </a:lnTo>
                                <a:lnTo>
                                  <a:pt x="1343533" y="223558"/>
                                </a:lnTo>
                                <a:lnTo>
                                  <a:pt x="2014093" y="211366"/>
                                </a:lnTo>
                                <a:lnTo>
                                  <a:pt x="2686177" y="97066"/>
                                </a:lnTo>
                                <a:lnTo>
                                  <a:pt x="3358261" y="81826"/>
                                </a:lnTo>
                                <a:lnTo>
                                  <a:pt x="4028821" y="0"/>
                                </a:lnTo>
                                <a:lnTo>
                                  <a:pt x="4700905" y="16294"/>
                                </a:lnTo>
                              </a:path>
                            </a:pathLst>
                          </a:custGeom>
                          <a:ln w="28574">
                            <a:solidFill>
                              <a:srgbClr val="F1682A"/>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80" cstate="print"/>
                          <a:stretch>
                            <a:fillRect/>
                          </a:stretch>
                        </pic:blipFill>
                        <pic:spPr>
                          <a:xfrm>
                            <a:off x="658368" y="1304538"/>
                            <a:ext cx="73533" cy="73532"/>
                          </a:xfrm>
                          <a:prstGeom prst="rect">
                            <a:avLst/>
                          </a:prstGeom>
                        </pic:spPr>
                      </pic:pic>
                      <pic:pic xmlns:pic="http://schemas.openxmlformats.org/drawingml/2006/picture">
                        <pic:nvPicPr>
                          <pic:cNvPr id="375" name="Image 375"/>
                          <pic:cNvPicPr/>
                        </pic:nvPicPr>
                        <pic:blipFill>
                          <a:blip r:embed="rId80" cstate="print"/>
                          <a:stretch>
                            <a:fillRect/>
                          </a:stretch>
                        </pic:blipFill>
                        <pic:spPr>
                          <a:xfrm>
                            <a:off x="1330452" y="1284726"/>
                            <a:ext cx="73532" cy="73532"/>
                          </a:xfrm>
                          <a:prstGeom prst="rect">
                            <a:avLst/>
                          </a:prstGeom>
                        </pic:spPr>
                      </pic:pic>
                      <pic:pic xmlns:pic="http://schemas.openxmlformats.org/drawingml/2006/picture">
                        <pic:nvPicPr>
                          <pic:cNvPr id="376" name="Image 376"/>
                          <pic:cNvPicPr/>
                        </pic:nvPicPr>
                        <pic:blipFill>
                          <a:blip r:embed="rId79" cstate="print"/>
                          <a:stretch>
                            <a:fillRect/>
                          </a:stretch>
                        </pic:blipFill>
                        <pic:spPr>
                          <a:xfrm>
                            <a:off x="2002535" y="1278629"/>
                            <a:ext cx="73532" cy="73532"/>
                          </a:xfrm>
                          <a:prstGeom prst="rect">
                            <a:avLst/>
                          </a:prstGeom>
                        </pic:spPr>
                      </pic:pic>
                      <pic:pic xmlns:pic="http://schemas.openxmlformats.org/drawingml/2006/picture">
                        <pic:nvPicPr>
                          <pic:cNvPr id="377" name="Image 377"/>
                          <pic:cNvPicPr/>
                        </pic:nvPicPr>
                        <pic:blipFill>
                          <a:blip r:embed="rId80" cstate="print"/>
                          <a:stretch>
                            <a:fillRect/>
                          </a:stretch>
                        </pic:blipFill>
                        <pic:spPr>
                          <a:xfrm>
                            <a:off x="2673095" y="1266438"/>
                            <a:ext cx="73533" cy="73532"/>
                          </a:xfrm>
                          <a:prstGeom prst="rect">
                            <a:avLst/>
                          </a:prstGeom>
                        </pic:spPr>
                      </pic:pic>
                      <pic:pic xmlns:pic="http://schemas.openxmlformats.org/drawingml/2006/picture">
                        <pic:nvPicPr>
                          <pic:cNvPr id="378" name="Image 378"/>
                          <pic:cNvPicPr/>
                        </pic:nvPicPr>
                        <pic:blipFill>
                          <a:blip r:embed="rId80" cstate="print"/>
                          <a:stretch>
                            <a:fillRect/>
                          </a:stretch>
                        </pic:blipFill>
                        <pic:spPr>
                          <a:xfrm>
                            <a:off x="3345179" y="1152138"/>
                            <a:ext cx="73533" cy="73532"/>
                          </a:xfrm>
                          <a:prstGeom prst="rect">
                            <a:avLst/>
                          </a:prstGeom>
                        </pic:spPr>
                      </pic:pic>
                      <pic:pic xmlns:pic="http://schemas.openxmlformats.org/drawingml/2006/picture">
                        <pic:nvPicPr>
                          <pic:cNvPr id="379" name="Image 379"/>
                          <pic:cNvPicPr/>
                        </pic:nvPicPr>
                        <pic:blipFill>
                          <a:blip r:embed="rId82" cstate="print"/>
                          <a:stretch>
                            <a:fillRect/>
                          </a:stretch>
                        </pic:blipFill>
                        <pic:spPr>
                          <a:xfrm>
                            <a:off x="4017264" y="1136898"/>
                            <a:ext cx="73533" cy="73532"/>
                          </a:xfrm>
                          <a:prstGeom prst="rect">
                            <a:avLst/>
                          </a:prstGeom>
                        </pic:spPr>
                      </pic:pic>
                      <pic:pic xmlns:pic="http://schemas.openxmlformats.org/drawingml/2006/picture">
                        <pic:nvPicPr>
                          <pic:cNvPr id="380" name="Image 380"/>
                          <pic:cNvPicPr/>
                        </pic:nvPicPr>
                        <pic:blipFill>
                          <a:blip r:embed="rId79" cstate="print"/>
                          <a:stretch>
                            <a:fillRect/>
                          </a:stretch>
                        </pic:blipFill>
                        <pic:spPr>
                          <a:xfrm>
                            <a:off x="4687823" y="1054602"/>
                            <a:ext cx="73533" cy="73532"/>
                          </a:xfrm>
                          <a:prstGeom prst="rect">
                            <a:avLst/>
                          </a:prstGeom>
                        </pic:spPr>
                      </pic:pic>
                      <pic:pic xmlns:pic="http://schemas.openxmlformats.org/drawingml/2006/picture">
                        <pic:nvPicPr>
                          <pic:cNvPr id="381" name="Image 381"/>
                          <pic:cNvPicPr/>
                        </pic:nvPicPr>
                        <pic:blipFill>
                          <a:blip r:embed="rId80" cstate="print"/>
                          <a:stretch>
                            <a:fillRect/>
                          </a:stretch>
                        </pic:blipFill>
                        <pic:spPr>
                          <a:xfrm>
                            <a:off x="5359908" y="1071366"/>
                            <a:ext cx="73533" cy="73532"/>
                          </a:xfrm>
                          <a:prstGeom prst="rect">
                            <a:avLst/>
                          </a:prstGeom>
                        </pic:spPr>
                      </pic:pic>
                      <wps:wsp>
                        <wps:cNvPr id="382" name="Graphic 382"/>
                        <wps:cNvSpPr/>
                        <wps:spPr>
                          <a:xfrm>
                            <a:off x="695772" y="1707032"/>
                            <a:ext cx="4700905" cy="106680"/>
                          </a:xfrm>
                          <a:custGeom>
                            <a:avLst/>
                            <a:gdLst/>
                            <a:ahLst/>
                            <a:cxnLst/>
                            <a:rect l="l" t="t" r="r" b="b"/>
                            <a:pathLst>
                              <a:path w="4700905" h="106680">
                                <a:moveTo>
                                  <a:pt x="0" y="41846"/>
                                </a:moveTo>
                                <a:lnTo>
                                  <a:pt x="671449" y="106298"/>
                                </a:lnTo>
                                <a:lnTo>
                                  <a:pt x="1343533" y="86042"/>
                                </a:lnTo>
                                <a:lnTo>
                                  <a:pt x="2014093" y="79946"/>
                                </a:lnTo>
                                <a:lnTo>
                                  <a:pt x="2686177" y="66230"/>
                                </a:lnTo>
                                <a:lnTo>
                                  <a:pt x="3358261" y="34226"/>
                                </a:lnTo>
                                <a:lnTo>
                                  <a:pt x="4028821" y="11366"/>
                                </a:lnTo>
                                <a:lnTo>
                                  <a:pt x="4700905" y="0"/>
                                </a:lnTo>
                              </a:path>
                            </a:pathLst>
                          </a:custGeom>
                          <a:ln w="28575">
                            <a:solidFill>
                              <a:srgbClr val="F9A720"/>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83" cstate="print"/>
                          <a:stretch>
                            <a:fillRect/>
                          </a:stretch>
                        </pic:blipFill>
                        <pic:spPr>
                          <a:xfrm>
                            <a:off x="658368" y="1711446"/>
                            <a:ext cx="73533" cy="73532"/>
                          </a:xfrm>
                          <a:prstGeom prst="rect">
                            <a:avLst/>
                          </a:prstGeom>
                        </pic:spPr>
                      </pic:pic>
                      <pic:pic xmlns:pic="http://schemas.openxmlformats.org/drawingml/2006/picture">
                        <pic:nvPicPr>
                          <pic:cNvPr id="384" name="Image 384"/>
                          <pic:cNvPicPr/>
                        </pic:nvPicPr>
                        <pic:blipFill>
                          <a:blip r:embed="rId85" cstate="print"/>
                          <a:stretch>
                            <a:fillRect/>
                          </a:stretch>
                        </pic:blipFill>
                        <pic:spPr>
                          <a:xfrm>
                            <a:off x="1330452" y="1775455"/>
                            <a:ext cx="73532" cy="73532"/>
                          </a:xfrm>
                          <a:prstGeom prst="rect">
                            <a:avLst/>
                          </a:prstGeom>
                        </pic:spPr>
                      </pic:pic>
                      <pic:pic xmlns:pic="http://schemas.openxmlformats.org/drawingml/2006/picture">
                        <pic:nvPicPr>
                          <pic:cNvPr id="385" name="Image 385"/>
                          <pic:cNvPicPr/>
                        </pic:nvPicPr>
                        <pic:blipFill>
                          <a:blip r:embed="rId83" cstate="print"/>
                          <a:stretch>
                            <a:fillRect/>
                          </a:stretch>
                        </pic:blipFill>
                        <pic:spPr>
                          <a:xfrm>
                            <a:off x="2002535" y="1755642"/>
                            <a:ext cx="73532" cy="73532"/>
                          </a:xfrm>
                          <a:prstGeom prst="rect">
                            <a:avLst/>
                          </a:prstGeom>
                        </pic:spPr>
                      </pic:pic>
                      <pic:pic xmlns:pic="http://schemas.openxmlformats.org/drawingml/2006/picture">
                        <pic:nvPicPr>
                          <pic:cNvPr id="386" name="Image 386"/>
                          <pic:cNvPicPr/>
                        </pic:nvPicPr>
                        <pic:blipFill>
                          <a:blip r:embed="rId83" cstate="print"/>
                          <a:stretch>
                            <a:fillRect/>
                          </a:stretch>
                        </pic:blipFill>
                        <pic:spPr>
                          <a:xfrm>
                            <a:off x="2673095" y="1749546"/>
                            <a:ext cx="73533" cy="73532"/>
                          </a:xfrm>
                          <a:prstGeom prst="rect">
                            <a:avLst/>
                          </a:prstGeom>
                        </pic:spPr>
                      </pic:pic>
                      <pic:pic xmlns:pic="http://schemas.openxmlformats.org/drawingml/2006/picture">
                        <pic:nvPicPr>
                          <pic:cNvPr id="387" name="Image 387"/>
                          <pic:cNvPicPr/>
                        </pic:nvPicPr>
                        <pic:blipFill>
                          <a:blip r:embed="rId83" cstate="print"/>
                          <a:stretch>
                            <a:fillRect/>
                          </a:stretch>
                        </pic:blipFill>
                        <pic:spPr>
                          <a:xfrm>
                            <a:off x="3345179" y="1735829"/>
                            <a:ext cx="73533" cy="73532"/>
                          </a:xfrm>
                          <a:prstGeom prst="rect">
                            <a:avLst/>
                          </a:prstGeom>
                        </pic:spPr>
                      </pic:pic>
                      <pic:pic xmlns:pic="http://schemas.openxmlformats.org/drawingml/2006/picture">
                        <pic:nvPicPr>
                          <pic:cNvPr id="388" name="Image 388"/>
                          <pic:cNvPicPr/>
                        </pic:nvPicPr>
                        <pic:blipFill>
                          <a:blip r:embed="rId113" cstate="print"/>
                          <a:stretch>
                            <a:fillRect/>
                          </a:stretch>
                        </pic:blipFill>
                        <pic:spPr>
                          <a:xfrm>
                            <a:off x="4017264" y="1703827"/>
                            <a:ext cx="73533" cy="73532"/>
                          </a:xfrm>
                          <a:prstGeom prst="rect">
                            <a:avLst/>
                          </a:prstGeom>
                        </pic:spPr>
                      </pic:pic>
                      <pic:pic xmlns:pic="http://schemas.openxmlformats.org/drawingml/2006/picture">
                        <pic:nvPicPr>
                          <pic:cNvPr id="389" name="Image 389"/>
                          <pic:cNvPicPr/>
                        </pic:nvPicPr>
                        <pic:blipFill>
                          <a:blip r:embed="rId85" cstate="print"/>
                          <a:stretch>
                            <a:fillRect/>
                          </a:stretch>
                        </pic:blipFill>
                        <pic:spPr>
                          <a:xfrm>
                            <a:off x="4687823" y="1680966"/>
                            <a:ext cx="73533" cy="73532"/>
                          </a:xfrm>
                          <a:prstGeom prst="rect">
                            <a:avLst/>
                          </a:prstGeom>
                        </pic:spPr>
                      </pic:pic>
                      <pic:pic xmlns:pic="http://schemas.openxmlformats.org/drawingml/2006/picture">
                        <pic:nvPicPr>
                          <pic:cNvPr id="390" name="Image 390"/>
                          <pic:cNvPicPr/>
                        </pic:nvPicPr>
                        <pic:blipFill>
                          <a:blip r:embed="rId83" cstate="print"/>
                          <a:stretch>
                            <a:fillRect/>
                          </a:stretch>
                        </pic:blipFill>
                        <pic:spPr>
                          <a:xfrm>
                            <a:off x="5359908" y="1670299"/>
                            <a:ext cx="73533" cy="73532"/>
                          </a:xfrm>
                          <a:prstGeom prst="rect">
                            <a:avLst/>
                          </a:prstGeom>
                        </pic:spPr>
                      </pic:pic>
                      <pic:pic xmlns:pic="http://schemas.openxmlformats.org/drawingml/2006/picture">
                        <pic:nvPicPr>
                          <pic:cNvPr id="391" name="Image 391"/>
                          <pic:cNvPicPr/>
                        </pic:nvPicPr>
                        <pic:blipFill>
                          <a:blip r:embed="rId114" cstate="print"/>
                          <a:stretch>
                            <a:fillRect/>
                          </a:stretch>
                        </pic:blipFill>
                        <pic:spPr>
                          <a:xfrm>
                            <a:off x="939255" y="3004464"/>
                            <a:ext cx="243839" cy="73532"/>
                          </a:xfrm>
                          <a:prstGeom prst="rect">
                            <a:avLst/>
                          </a:prstGeom>
                        </pic:spPr>
                      </pic:pic>
                      <pic:pic xmlns:pic="http://schemas.openxmlformats.org/drawingml/2006/picture">
                        <pic:nvPicPr>
                          <pic:cNvPr id="392" name="Image 392"/>
                          <pic:cNvPicPr/>
                        </pic:nvPicPr>
                        <pic:blipFill>
                          <a:blip r:embed="rId115" cstate="print"/>
                          <a:stretch>
                            <a:fillRect/>
                          </a:stretch>
                        </pic:blipFill>
                        <pic:spPr>
                          <a:xfrm>
                            <a:off x="3056793" y="3004464"/>
                            <a:ext cx="243839" cy="73532"/>
                          </a:xfrm>
                          <a:prstGeom prst="rect">
                            <a:avLst/>
                          </a:prstGeom>
                        </pic:spPr>
                      </pic:pic>
                      <pic:pic xmlns:pic="http://schemas.openxmlformats.org/drawingml/2006/picture">
                        <pic:nvPicPr>
                          <pic:cNvPr id="393" name="Image 393"/>
                          <pic:cNvPicPr/>
                        </pic:nvPicPr>
                        <pic:blipFill>
                          <a:blip r:embed="rId116" cstate="print"/>
                          <a:stretch>
                            <a:fillRect/>
                          </a:stretch>
                        </pic:blipFill>
                        <pic:spPr>
                          <a:xfrm>
                            <a:off x="4319238" y="3004464"/>
                            <a:ext cx="243839" cy="73532"/>
                          </a:xfrm>
                          <a:prstGeom prst="rect">
                            <a:avLst/>
                          </a:prstGeom>
                        </pic:spPr>
                      </pic:pic>
                      <wps:wsp>
                        <wps:cNvPr id="394" name="Graphic 394"/>
                        <wps:cNvSpPr/>
                        <wps:spPr>
                          <a:xfrm>
                            <a:off x="4762" y="4762"/>
                            <a:ext cx="5943600" cy="3225800"/>
                          </a:xfrm>
                          <a:custGeom>
                            <a:avLst/>
                            <a:gdLst/>
                            <a:ahLst/>
                            <a:cxnLst/>
                            <a:rect l="l" t="t" r="r" b="b"/>
                            <a:pathLst>
                              <a:path w="5943600" h="3225800">
                                <a:moveTo>
                                  <a:pt x="0" y="0"/>
                                </a:moveTo>
                                <a:lnTo>
                                  <a:pt x="5943600" y="0"/>
                                </a:lnTo>
                                <a:lnTo>
                                  <a:pt x="5943600" y="3225800"/>
                                </a:lnTo>
                                <a:lnTo>
                                  <a:pt x="0" y="32258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95" name="Textbox 395"/>
                        <wps:cNvSpPr txBox="1"/>
                        <wps:spPr>
                          <a:xfrm>
                            <a:off x="87293" y="63453"/>
                            <a:ext cx="169545" cy="152400"/>
                          </a:xfrm>
                          <a:prstGeom prst="rect">
                            <a:avLst/>
                          </a:prstGeom>
                        </wps:spPr>
                        <wps:txbx>
                          <w:txbxContent>
                            <w:p w14:paraId="1C34F1B7" w14:textId="77777777" w:rsidR="004C558F" w:rsidRDefault="00461887">
                              <w:pPr>
                                <w:spacing w:before="1"/>
                                <w:rPr>
                                  <w:sz w:val="21"/>
                                </w:rPr>
                              </w:pPr>
                              <w:r>
                                <w:rPr>
                                  <w:color w:val="585858"/>
                                  <w:spacing w:val="-5"/>
                                  <w:sz w:val="21"/>
                                </w:rPr>
                                <w:t>12</w:t>
                              </w:r>
                            </w:p>
                          </w:txbxContent>
                        </wps:txbx>
                        <wps:bodyPr wrap="square" lIns="0" tIns="0" rIns="0" bIns="0" rtlCol="0">
                          <a:noAutofit/>
                        </wps:bodyPr>
                      </wps:wsp>
                      <wps:wsp>
                        <wps:cNvPr id="396" name="Textbox 396"/>
                        <wps:cNvSpPr txBox="1"/>
                        <wps:spPr>
                          <a:xfrm>
                            <a:off x="5459857" y="124434"/>
                            <a:ext cx="462280" cy="229870"/>
                          </a:xfrm>
                          <a:prstGeom prst="rect">
                            <a:avLst/>
                          </a:prstGeom>
                        </wps:spPr>
                        <wps:txbx>
                          <w:txbxContent>
                            <w:p w14:paraId="1C34F1B8" w14:textId="77777777" w:rsidR="004C558F" w:rsidRDefault="00461887">
                              <w:pPr>
                                <w:spacing w:line="362" w:lineRule="exact"/>
                                <w:rPr>
                                  <w:rFonts w:ascii="Franklin Gothic Medium Cond"/>
                                  <w:sz w:val="32"/>
                                </w:rPr>
                              </w:pPr>
                              <w:r>
                                <w:rPr>
                                  <w:rFonts w:ascii="Franklin Gothic Medium Cond"/>
                                  <w:color w:val="404040"/>
                                  <w:spacing w:val="-4"/>
                                  <w:sz w:val="32"/>
                                </w:rPr>
                                <w:t>+29%</w:t>
                              </w:r>
                            </w:p>
                          </w:txbxContent>
                        </wps:txbx>
                        <wps:bodyPr wrap="square" lIns="0" tIns="0" rIns="0" bIns="0" rtlCol="0">
                          <a:noAutofit/>
                        </wps:bodyPr>
                      </wps:wsp>
                      <wps:wsp>
                        <wps:cNvPr id="397" name="Textbox 397"/>
                        <wps:cNvSpPr txBox="1"/>
                        <wps:spPr>
                          <a:xfrm>
                            <a:off x="87293" y="474909"/>
                            <a:ext cx="169545" cy="152400"/>
                          </a:xfrm>
                          <a:prstGeom prst="rect">
                            <a:avLst/>
                          </a:prstGeom>
                        </wps:spPr>
                        <wps:txbx>
                          <w:txbxContent>
                            <w:p w14:paraId="1C34F1B9" w14:textId="77777777" w:rsidR="004C558F" w:rsidRDefault="00461887">
                              <w:pPr>
                                <w:spacing w:before="1"/>
                                <w:rPr>
                                  <w:sz w:val="21"/>
                                </w:rPr>
                              </w:pPr>
                              <w:r>
                                <w:rPr>
                                  <w:color w:val="585858"/>
                                  <w:spacing w:val="-5"/>
                                  <w:sz w:val="21"/>
                                </w:rPr>
                                <w:t>10</w:t>
                              </w:r>
                            </w:p>
                          </w:txbxContent>
                        </wps:txbx>
                        <wps:bodyPr wrap="square" lIns="0" tIns="0" rIns="0" bIns="0" rtlCol="0">
                          <a:noAutofit/>
                        </wps:bodyPr>
                      </wps:wsp>
                      <wps:wsp>
                        <wps:cNvPr id="398" name="Textbox 398"/>
                        <wps:cNvSpPr txBox="1"/>
                        <wps:spPr>
                          <a:xfrm>
                            <a:off x="165480" y="886364"/>
                            <a:ext cx="91440" cy="152400"/>
                          </a:xfrm>
                          <a:prstGeom prst="rect">
                            <a:avLst/>
                          </a:prstGeom>
                        </wps:spPr>
                        <wps:txbx>
                          <w:txbxContent>
                            <w:p w14:paraId="1C34F1BA" w14:textId="77777777" w:rsidR="004C558F" w:rsidRDefault="00461887">
                              <w:pPr>
                                <w:spacing w:before="1"/>
                                <w:rPr>
                                  <w:sz w:val="21"/>
                                </w:rPr>
                              </w:pPr>
                              <w:r>
                                <w:rPr>
                                  <w:color w:val="585858"/>
                                  <w:spacing w:val="-10"/>
                                  <w:sz w:val="21"/>
                                </w:rPr>
                                <w:t>8</w:t>
                              </w:r>
                            </w:p>
                          </w:txbxContent>
                        </wps:txbx>
                        <wps:bodyPr wrap="square" lIns="0" tIns="0" rIns="0" bIns="0" rtlCol="0">
                          <a:noAutofit/>
                        </wps:bodyPr>
                      </wps:wsp>
                      <wps:wsp>
                        <wps:cNvPr id="399" name="Textbox 399"/>
                        <wps:cNvSpPr txBox="1"/>
                        <wps:spPr>
                          <a:xfrm>
                            <a:off x="5458438" y="979592"/>
                            <a:ext cx="459105" cy="229870"/>
                          </a:xfrm>
                          <a:prstGeom prst="rect">
                            <a:avLst/>
                          </a:prstGeom>
                        </wps:spPr>
                        <wps:txbx>
                          <w:txbxContent>
                            <w:p w14:paraId="1C34F1BB" w14:textId="77777777" w:rsidR="004C558F" w:rsidRDefault="00461887">
                              <w:pPr>
                                <w:spacing w:line="362" w:lineRule="exact"/>
                                <w:rPr>
                                  <w:rFonts w:ascii="Franklin Gothic Medium Cond"/>
                                  <w:sz w:val="32"/>
                                </w:rPr>
                              </w:pPr>
                              <w:r>
                                <w:rPr>
                                  <w:rFonts w:ascii="Franklin Gothic Medium Cond"/>
                                  <w:color w:val="404040"/>
                                  <w:spacing w:val="-4"/>
                                  <w:sz w:val="32"/>
                                </w:rPr>
                                <w:t>+18%</w:t>
                              </w:r>
                            </w:p>
                          </w:txbxContent>
                        </wps:txbx>
                        <wps:bodyPr wrap="square" lIns="0" tIns="0" rIns="0" bIns="0" rtlCol="0">
                          <a:noAutofit/>
                        </wps:bodyPr>
                      </wps:wsp>
                      <wps:wsp>
                        <wps:cNvPr id="400" name="Textbox 400"/>
                        <wps:cNvSpPr txBox="1"/>
                        <wps:spPr>
                          <a:xfrm>
                            <a:off x="165480" y="1297820"/>
                            <a:ext cx="91440" cy="152400"/>
                          </a:xfrm>
                          <a:prstGeom prst="rect">
                            <a:avLst/>
                          </a:prstGeom>
                        </wps:spPr>
                        <wps:txbx>
                          <w:txbxContent>
                            <w:p w14:paraId="1C34F1BC" w14:textId="77777777" w:rsidR="004C558F" w:rsidRDefault="00461887">
                              <w:pPr>
                                <w:spacing w:before="1"/>
                                <w:rPr>
                                  <w:sz w:val="21"/>
                                </w:rPr>
                              </w:pPr>
                              <w:r>
                                <w:rPr>
                                  <w:color w:val="585858"/>
                                  <w:spacing w:val="-10"/>
                                  <w:sz w:val="21"/>
                                </w:rPr>
                                <w:t>6</w:t>
                              </w:r>
                            </w:p>
                          </w:txbxContent>
                        </wps:txbx>
                        <wps:bodyPr wrap="square" lIns="0" tIns="0" rIns="0" bIns="0" rtlCol="0">
                          <a:noAutofit/>
                        </wps:bodyPr>
                      </wps:wsp>
                      <wps:wsp>
                        <wps:cNvPr id="401" name="Textbox 401"/>
                        <wps:cNvSpPr txBox="1"/>
                        <wps:spPr>
                          <a:xfrm>
                            <a:off x="165480" y="1709275"/>
                            <a:ext cx="91440" cy="152400"/>
                          </a:xfrm>
                          <a:prstGeom prst="rect">
                            <a:avLst/>
                          </a:prstGeom>
                        </wps:spPr>
                        <wps:txbx>
                          <w:txbxContent>
                            <w:p w14:paraId="1C34F1BD" w14:textId="77777777" w:rsidR="004C558F" w:rsidRDefault="00461887">
                              <w:pPr>
                                <w:spacing w:before="1"/>
                                <w:rPr>
                                  <w:sz w:val="21"/>
                                </w:rPr>
                              </w:pPr>
                              <w:r>
                                <w:rPr>
                                  <w:color w:val="585858"/>
                                  <w:spacing w:val="-10"/>
                                  <w:sz w:val="21"/>
                                </w:rPr>
                                <w:t>4</w:t>
                              </w:r>
                            </w:p>
                          </w:txbxContent>
                        </wps:txbx>
                        <wps:bodyPr wrap="square" lIns="0" tIns="0" rIns="0" bIns="0" rtlCol="0">
                          <a:noAutofit/>
                        </wps:bodyPr>
                      </wps:wsp>
                      <wps:wsp>
                        <wps:cNvPr id="402" name="Textbox 402"/>
                        <wps:cNvSpPr txBox="1"/>
                        <wps:spPr>
                          <a:xfrm>
                            <a:off x="5474653" y="1576722"/>
                            <a:ext cx="358140" cy="229870"/>
                          </a:xfrm>
                          <a:prstGeom prst="rect">
                            <a:avLst/>
                          </a:prstGeom>
                        </wps:spPr>
                        <wps:txbx>
                          <w:txbxContent>
                            <w:p w14:paraId="1C34F1BE" w14:textId="77777777" w:rsidR="004C558F" w:rsidRDefault="00461887">
                              <w:pPr>
                                <w:spacing w:line="362" w:lineRule="exact"/>
                                <w:rPr>
                                  <w:rFonts w:ascii="Franklin Gothic Medium Cond"/>
                                  <w:sz w:val="32"/>
                                </w:rPr>
                              </w:pPr>
                              <w:r>
                                <w:rPr>
                                  <w:rFonts w:ascii="Franklin Gothic Medium Cond"/>
                                  <w:color w:val="404040"/>
                                  <w:spacing w:val="-5"/>
                                  <w:sz w:val="32"/>
                                </w:rPr>
                                <w:t>+5%</w:t>
                              </w:r>
                            </w:p>
                          </w:txbxContent>
                        </wps:txbx>
                        <wps:bodyPr wrap="square" lIns="0" tIns="0" rIns="0" bIns="0" rtlCol="0">
                          <a:noAutofit/>
                        </wps:bodyPr>
                      </wps:wsp>
                      <wps:wsp>
                        <wps:cNvPr id="403" name="Textbox 403"/>
                        <wps:cNvSpPr txBox="1"/>
                        <wps:spPr>
                          <a:xfrm>
                            <a:off x="165480" y="2120731"/>
                            <a:ext cx="91440" cy="152400"/>
                          </a:xfrm>
                          <a:prstGeom prst="rect">
                            <a:avLst/>
                          </a:prstGeom>
                        </wps:spPr>
                        <wps:txbx>
                          <w:txbxContent>
                            <w:p w14:paraId="1C34F1BF" w14:textId="77777777" w:rsidR="004C558F" w:rsidRDefault="00461887">
                              <w:pPr>
                                <w:spacing w:before="1"/>
                                <w:rPr>
                                  <w:sz w:val="21"/>
                                </w:rPr>
                              </w:pPr>
                              <w:r>
                                <w:rPr>
                                  <w:color w:val="585858"/>
                                  <w:spacing w:val="-10"/>
                                  <w:sz w:val="21"/>
                                </w:rPr>
                                <w:t>2</w:t>
                              </w:r>
                            </w:p>
                          </w:txbxContent>
                        </wps:txbx>
                        <wps:bodyPr wrap="square" lIns="0" tIns="0" rIns="0" bIns="0" rtlCol="0">
                          <a:noAutofit/>
                        </wps:bodyPr>
                      </wps:wsp>
                      <wps:wsp>
                        <wps:cNvPr id="404" name="Textbox 404"/>
                        <wps:cNvSpPr txBox="1"/>
                        <wps:spPr>
                          <a:xfrm>
                            <a:off x="165480" y="2532187"/>
                            <a:ext cx="91440" cy="152400"/>
                          </a:xfrm>
                          <a:prstGeom prst="rect">
                            <a:avLst/>
                          </a:prstGeom>
                        </wps:spPr>
                        <wps:txbx>
                          <w:txbxContent>
                            <w:p w14:paraId="1C34F1C0" w14:textId="77777777" w:rsidR="004C558F" w:rsidRDefault="00461887">
                              <w:pPr>
                                <w:spacing w:before="1"/>
                                <w:rPr>
                                  <w:sz w:val="21"/>
                                </w:rPr>
                              </w:pPr>
                              <w:r>
                                <w:rPr>
                                  <w:color w:val="585858"/>
                                  <w:spacing w:val="-10"/>
                                  <w:sz w:val="21"/>
                                </w:rPr>
                                <w:t>0</w:t>
                              </w:r>
                            </w:p>
                          </w:txbxContent>
                        </wps:txbx>
                        <wps:bodyPr wrap="square" lIns="0" tIns="0" rIns="0" bIns="0" rtlCol="0">
                          <a:noAutofit/>
                        </wps:bodyPr>
                      </wps:wsp>
                      <wps:wsp>
                        <wps:cNvPr id="405" name="Textbox 405"/>
                        <wps:cNvSpPr txBox="1"/>
                        <wps:spPr>
                          <a:xfrm>
                            <a:off x="539385" y="2693792"/>
                            <a:ext cx="325120" cy="152400"/>
                          </a:xfrm>
                          <a:prstGeom prst="rect">
                            <a:avLst/>
                          </a:prstGeom>
                        </wps:spPr>
                        <wps:txbx>
                          <w:txbxContent>
                            <w:p w14:paraId="1C34F1C1" w14:textId="77777777" w:rsidR="004C558F" w:rsidRDefault="00461887">
                              <w:pPr>
                                <w:spacing w:before="1"/>
                                <w:rPr>
                                  <w:sz w:val="21"/>
                                </w:rPr>
                              </w:pPr>
                              <w:r>
                                <w:rPr>
                                  <w:color w:val="585858"/>
                                  <w:spacing w:val="-4"/>
                                  <w:sz w:val="21"/>
                                </w:rPr>
                                <w:t>2016</w:t>
                              </w:r>
                            </w:p>
                          </w:txbxContent>
                        </wps:txbx>
                        <wps:bodyPr wrap="square" lIns="0" tIns="0" rIns="0" bIns="0" rtlCol="0">
                          <a:noAutofit/>
                        </wps:bodyPr>
                      </wps:wsp>
                      <wps:wsp>
                        <wps:cNvPr id="406" name="Textbox 406"/>
                        <wps:cNvSpPr txBox="1"/>
                        <wps:spPr>
                          <a:xfrm>
                            <a:off x="1210884" y="2693792"/>
                            <a:ext cx="325120" cy="152400"/>
                          </a:xfrm>
                          <a:prstGeom prst="rect">
                            <a:avLst/>
                          </a:prstGeom>
                        </wps:spPr>
                        <wps:txbx>
                          <w:txbxContent>
                            <w:p w14:paraId="1C34F1C2" w14:textId="77777777" w:rsidR="004C558F" w:rsidRDefault="00461887">
                              <w:pPr>
                                <w:spacing w:before="1"/>
                                <w:rPr>
                                  <w:sz w:val="21"/>
                                </w:rPr>
                              </w:pPr>
                              <w:r>
                                <w:rPr>
                                  <w:color w:val="585858"/>
                                  <w:spacing w:val="-4"/>
                                  <w:sz w:val="21"/>
                                </w:rPr>
                                <w:t>2017</w:t>
                              </w:r>
                            </w:p>
                          </w:txbxContent>
                        </wps:txbx>
                        <wps:bodyPr wrap="square" lIns="0" tIns="0" rIns="0" bIns="0" rtlCol="0">
                          <a:noAutofit/>
                        </wps:bodyPr>
                      </wps:wsp>
                      <wps:wsp>
                        <wps:cNvPr id="407" name="Textbox 407"/>
                        <wps:cNvSpPr txBox="1"/>
                        <wps:spPr>
                          <a:xfrm>
                            <a:off x="1882382" y="2693792"/>
                            <a:ext cx="325120" cy="152400"/>
                          </a:xfrm>
                          <a:prstGeom prst="rect">
                            <a:avLst/>
                          </a:prstGeom>
                        </wps:spPr>
                        <wps:txbx>
                          <w:txbxContent>
                            <w:p w14:paraId="1C34F1C3" w14:textId="77777777" w:rsidR="004C558F" w:rsidRDefault="00461887">
                              <w:pPr>
                                <w:spacing w:before="1"/>
                                <w:rPr>
                                  <w:sz w:val="21"/>
                                </w:rPr>
                              </w:pPr>
                              <w:r>
                                <w:rPr>
                                  <w:color w:val="585858"/>
                                  <w:spacing w:val="-4"/>
                                  <w:sz w:val="21"/>
                                </w:rPr>
                                <w:t>2018</w:t>
                              </w:r>
                            </w:p>
                          </w:txbxContent>
                        </wps:txbx>
                        <wps:bodyPr wrap="square" lIns="0" tIns="0" rIns="0" bIns="0" rtlCol="0">
                          <a:noAutofit/>
                        </wps:bodyPr>
                      </wps:wsp>
                      <wps:wsp>
                        <wps:cNvPr id="408" name="Textbox 408"/>
                        <wps:cNvSpPr txBox="1"/>
                        <wps:spPr>
                          <a:xfrm>
                            <a:off x="2553881" y="2693792"/>
                            <a:ext cx="325120" cy="152400"/>
                          </a:xfrm>
                          <a:prstGeom prst="rect">
                            <a:avLst/>
                          </a:prstGeom>
                        </wps:spPr>
                        <wps:txbx>
                          <w:txbxContent>
                            <w:p w14:paraId="1C34F1C4" w14:textId="77777777" w:rsidR="004C558F" w:rsidRDefault="00461887">
                              <w:pPr>
                                <w:spacing w:before="1"/>
                                <w:rPr>
                                  <w:sz w:val="21"/>
                                </w:rPr>
                              </w:pPr>
                              <w:r>
                                <w:rPr>
                                  <w:color w:val="585858"/>
                                  <w:spacing w:val="-4"/>
                                  <w:sz w:val="21"/>
                                </w:rPr>
                                <w:t>2019</w:t>
                              </w:r>
                            </w:p>
                          </w:txbxContent>
                        </wps:txbx>
                        <wps:bodyPr wrap="square" lIns="0" tIns="0" rIns="0" bIns="0" rtlCol="0">
                          <a:noAutofit/>
                        </wps:bodyPr>
                      </wps:wsp>
                      <wps:wsp>
                        <wps:cNvPr id="409" name="Textbox 409"/>
                        <wps:cNvSpPr txBox="1"/>
                        <wps:spPr>
                          <a:xfrm>
                            <a:off x="3225380" y="2693792"/>
                            <a:ext cx="325120" cy="152400"/>
                          </a:xfrm>
                          <a:prstGeom prst="rect">
                            <a:avLst/>
                          </a:prstGeom>
                        </wps:spPr>
                        <wps:txbx>
                          <w:txbxContent>
                            <w:p w14:paraId="1C34F1C5" w14:textId="77777777" w:rsidR="004C558F" w:rsidRDefault="00461887">
                              <w:pPr>
                                <w:spacing w:before="1"/>
                                <w:rPr>
                                  <w:sz w:val="21"/>
                                </w:rPr>
                              </w:pPr>
                              <w:r>
                                <w:rPr>
                                  <w:color w:val="585858"/>
                                  <w:spacing w:val="-4"/>
                                  <w:sz w:val="21"/>
                                </w:rPr>
                                <w:t>2020</w:t>
                              </w:r>
                            </w:p>
                          </w:txbxContent>
                        </wps:txbx>
                        <wps:bodyPr wrap="square" lIns="0" tIns="0" rIns="0" bIns="0" rtlCol="0">
                          <a:noAutofit/>
                        </wps:bodyPr>
                      </wps:wsp>
                      <wps:wsp>
                        <wps:cNvPr id="410" name="Textbox 410"/>
                        <wps:cNvSpPr txBox="1"/>
                        <wps:spPr>
                          <a:xfrm>
                            <a:off x="3896879" y="2693792"/>
                            <a:ext cx="325120" cy="152400"/>
                          </a:xfrm>
                          <a:prstGeom prst="rect">
                            <a:avLst/>
                          </a:prstGeom>
                        </wps:spPr>
                        <wps:txbx>
                          <w:txbxContent>
                            <w:p w14:paraId="1C34F1C6" w14:textId="77777777" w:rsidR="004C558F" w:rsidRDefault="00461887">
                              <w:pPr>
                                <w:spacing w:before="1"/>
                                <w:rPr>
                                  <w:sz w:val="21"/>
                                </w:rPr>
                              </w:pPr>
                              <w:r>
                                <w:rPr>
                                  <w:color w:val="585858"/>
                                  <w:spacing w:val="-4"/>
                                  <w:sz w:val="21"/>
                                </w:rPr>
                                <w:t>2021</w:t>
                              </w:r>
                            </w:p>
                          </w:txbxContent>
                        </wps:txbx>
                        <wps:bodyPr wrap="square" lIns="0" tIns="0" rIns="0" bIns="0" rtlCol="0">
                          <a:noAutofit/>
                        </wps:bodyPr>
                      </wps:wsp>
                      <wps:wsp>
                        <wps:cNvPr id="411" name="Textbox 411"/>
                        <wps:cNvSpPr txBox="1"/>
                        <wps:spPr>
                          <a:xfrm>
                            <a:off x="4568378" y="2693792"/>
                            <a:ext cx="996950" cy="419100"/>
                          </a:xfrm>
                          <a:prstGeom prst="rect">
                            <a:avLst/>
                          </a:prstGeom>
                        </wps:spPr>
                        <wps:txbx>
                          <w:txbxContent>
                            <w:p w14:paraId="1C34F1C7" w14:textId="77777777" w:rsidR="004C558F" w:rsidRDefault="00461887">
                              <w:pPr>
                                <w:tabs>
                                  <w:tab w:val="left" w:pos="1057"/>
                                </w:tabs>
                                <w:spacing w:before="1"/>
                                <w:rPr>
                                  <w:sz w:val="21"/>
                                </w:rPr>
                              </w:pPr>
                              <w:r>
                                <w:rPr>
                                  <w:color w:val="585858"/>
                                  <w:spacing w:val="-4"/>
                                  <w:sz w:val="21"/>
                                </w:rPr>
                                <w:t>2022</w:t>
                              </w:r>
                              <w:r>
                                <w:rPr>
                                  <w:color w:val="585858"/>
                                  <w:sz w:val="21"/>
                                </w:rPr>
                                <w:tab/>
                              </w:r>
                              <w:r>
                                <w:rPr>
                                  <w:color w:val="585858"/>
                                  <w:spacing w:val="-4"/>
                                  <w:sz w:val="21"/>
                                </w:rPr>
                                <w:t>2023</w:t>
                              </w:r>
                            </w:p>
                            <w:p w14:paraId="1C34F1C8" w14:textId="77777777" w:rsidR="004C558F" w:rsidRDefault="00461887">
                              <w:pPr>
                                <w:spacing w:before="182"/>
                                <w:ind w:left="32"/>
                                <w:rPr>
                                  <w:sz w:val="21"/>
                                </w:rPr>
                              </w:pPr>
                              <w:r>
                                <w:rPr>
                                  <w:color w:val="585858"/>
                                  <w:spacing w:val="-2"/>
                                  <w:sz w:val="21"/>
                                </w:rPr>
                                <w:t>Routine</w:t>
                              </w:r>
                            </w:p>
                          </w:txbxContent>
                        </wps:txbx>
                        <wps:bodyPr wrap="square" lIns="0" tIns="0" rIns="0" bIns="0" rtlCol="0">
                          <a:noAutofit/>
                        </wps:bodyPr>
                      </wps:wsp>
                      <wps:wsp>
                        <wps:cNvPr id="412" name="Textbox 412"/>
                        <wps:cNvSpPr txBox="1"/>
                        <wps:spPr>
                          <a:xfrm>
                            <a:off x="1208812" y="2960363"/>
                            <a:ext cx="1603375" cy="152400"/>
                          </a:xfrm>
                          <a:prstGeom prst="rect">
                            <a:avLst/>
                          </a:prstGeom>
                        </wps:spPr>
                        <wps:txbx>
                          <w:txbxContent>
                            <w:p w14:paraId="1C34F1C9" w14:textId="77777777" w:rsidR="004C558F" w:rsidRDefault="00461887">
                              <w:pPr>
                                <w:spacing w:before="1"/>
                                <w:rPr>
                                  <w:sz w:val="21"/>
                                </w:rPr>
                              </w:pPr>
                              <w:r>
                                <w:rPr>
                                  <w:color w:val="585858"/>
                                  <w:sz w:val="21"/>
                                </w:rPr>
                                <w:t>Institutional</w:t>
                              </w:r>
                              <w:r>
                                <w:rPr>
                                  <w:color w:val="585858"/>
                                  <w:spacing w:val="-12"/>
                                  <w:sz w:val="21"/>
                                </w:rPr>
                                <w:t xml:space="preserve"> </w:t>
                              </w:r>
                              <w:r>
                                <w:rPr>
                                  <w:color w:val="585858"/>
                                  <w:sz w:val="21"/>
                                </w:rPr>
                                <w:t>Post-Acute</w:t>
                              </w:r>
                              <w:r>
                                <w:rPr>
                                  <w:color w:val="585858"/>
                                  <w:spacing w:val="-12"/>
                                  <w:sz w:val="21"/>
                                </w:rPr>
                                <w:t xml:space="preserve"> </w:t>
                              </w:r>
                              <w:r>
                                <w:rPr>
                                  <w:color w:val="585858"/>
                                  <w:spacing w:val="-4"/>
                                  <w:sz w:val="21"/>
                                </w:rPr>
                                <w:t>Care</w:t>
                              </w:r>
                            </w:p>
                          </w:txbxContent>
                        </wps:txbx>
                        <wps:bodyPr wrap="square" lIns="0" tIns="0" rIns="0" bIns="0" rtlCol="0">
                          <a:noAutofit/>
                        </wps:bodyPr>
                      </wps:wsp>
                      <wps:wsp>
                        <wps:cNvPr id="413" name="Textbox 413"/>
                        <wps:cNvSpPr txBox="1"/>
                        <wps:spPr>
                          <a:xfrm>
                            <a:off x="3326350" y="2960363"/>
                            <a:ext cx="748665" cy="152400"/>
                          </a:xfrm>
                          <a:prstGeom prst="rect">
                            <a:avLst/>
                          </a:prstGeom>
                        </wps:spPr>
                        <wps:txbx>
                          <w:txbxContent>
                            <w:p w14:paraId="1C34F1CA" w14:textId="77777777" w:rsidR="004C558F" w:rsidRDefault="00461887">
                              <w:pPr>
                                <w:spacing w:before="1"/>
                                <w:rPr>
                                  <w:sz w:val="21"/>
                                </w:rPr>
                              </w:pPr>
                              <w:r>
                                <w:rPr>
                                  <w:color w:val="585858"/>
                                  <w:sz w:val="21"/>
                                </w:rPr>
                                <w:t>Home</w:t>
                              </w:r>
                              <w:r>
                                <w:rPr>
                                  <w:color w:val="585858"/>
                                  <w:spacing w:val="-8"/>
                                  <w:sz w:val="21"/>
                                </w:rPr>
                                <w:t xml:space="preserve"> </w:t>
                              </w:r>
                              <w:r>
                                <w:rPr>
                                  <w:color w:val="585858"/>
                                  <w:spacing w:val="-2"/>
                                  <w:sz w:val="21"/>
                                </w:rPr>
                                <w:t>Health</w:t>
                              </w:r>
                            </w:p>
                          </w:txbxContent>
                        </wps:txbx>
                        <wps:bodyPr wrap="square" lIns="0" tIns="0" rIns="0" bIns="0" rtlCol="0">
                          <a:noAutofit/>
                        </wps:bodyPr>
                      </wps:wsp>
                    </wpg:wgp>
                  </a:graphicData>
                </a:graphic>
              </wp:anchor>
            </w:drawing>
          </mc:Choice>
          <mc:Fallback>
            <w:pict>
              <v:group w14:anchorId="1C34F136" id="Group 361" o:spid="_x0000_s1296" alt="Line graph of Average Lengths of Stay for Oncology Discharges by Discharge Destination (2016 – 2023, With Percent Change Since 2016)" style="position:absolute;margin-left:71.6pt;margin-top:13.95pt;width:468.75pt;height:254.75pt;z-index:-251627520;mso-wrap-distance-left:0;mso-wrap-distance-right:0;mso-position-horizontal-relative:page;mso-position-vertical-relative:text" coordsize="59531,3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">
                <v:shape id="Graphic 362" o:spid="_x0000_s1297" style="position:absolute;left:3599;top:1444;width:53728;height:20574;visibility:visible;mso-wrap-style:square;v-text-anchor:top" coordsize="537273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" path="m,2057044r5372468,em,1645564r5372468,em,1234084r5372468,em,822604r5372468,em,411124r5372468,em,l5372468,e" filled="f" strokecolor="#ececec">
                  <v:path arrowok="t"/>
                </v:shape>
                <v:shape id="Graphic 363" o:spid="_x0000_s1298" style="position:absolute;left:3599;top:26132;width:53728;height:13;visibility:visible;mso-wrap-style:square;v-text-anchor:top" coordsize="537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" path="m,l5372468,e" filled="f" strokecolor="#d9d9d9">
                  <v:path arrowok="t"/>
                </v:shape>
                <v:shape id="Graphic 364" o:spid="_x0000_s1299" style="position:absolute;left:6957;top:2372;width:47009;height:5366;visibility:visible;mso-wrap-style:square;v-text-anchor:top" coordsize="470090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" path="m,536295l671449,490575r672084,-21336l2014093,377799,2686177,222351,3358261,86715,4028821,2895,4700905,e" filled="f" strokecolor="#084875" strokeweight="2.25pt">
                  <v:path arrowok="t"/>
                </v:shape>
                <v:shape id="Image 365" o:spid="_x0000_s1300" type="#_x0000_t75" style="position:absolute;left:6583;top:7360;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">
                  <v:imagedata r:id="rId94" o:title=""/>
                </v:shape>
                <v:shape id="Image 366" o:spid="_x0000_s1301" type="#_x0000_t75" style="position:absolute;left:13304;top:690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">
                  <v:imagedata r:id="rId95" o:title=""/>
                </v:shape>
                <v:shape id="Image 367" o:spid="_x0000_s1302" type="#_x0000_t75" style="position:absolute;left:20025;top:669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">
                  <v:imagedata r:id="rId94" o:title=""/>
                </v:shape>
                <v:shape id="Image 368" o:spid="_x0000_s1303" type="#_x0000_t75" style="position:absolute;left:26730;top:577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">
                  <v:imagedata r:id="rId95" o:title=""/>
                </v:shape>
                <v:shape id="Image 369" o:spid="_x0000_s1304" type="#_x0000_t75" style="position:absolute;left:33451;top:422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">
                  <v:imagedata r:id="rId94" o:title=""/>
                </v:shape>
                <v:shape id="Image 370" o:spid="_x0000_s1305" type="#_x0000_t75" style="position:absolute;left:40172;top:286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">
                  <v:imagedata r:id="rId96" o:title=""/>
                </v:shape>
                <v:shape id="Image 371" o:spid="_x0000_s1306" type="#_x0000_t75" style="position:absolute;left:46878;top:202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">
                  <v:imagedata r:id="rId94" o:title=""/>
                </v:shape>
                <v:shape id="Image 372" o:spid="_x0000_s1307" type="#_x0000_t75" style="position:absolute;left:53599;top:199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">
                  <v:imagedata r:id="rId95" o:title=""/>
                </v:shape>
                <v:shape id="Graphic 373" o:spid="_x0000_s1308" style="position:absolute;left:6957;top:10924;width:47009;height:2502;visibility:visible;mso-wrap-style:square;v-text-anchor:top" coordsize="47009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" path="m,250151l671449,229654r672084,-6096l2014093,211366,2686177,97066,3358261,81826,4028821,r672084,16294e" filled="f" strokecolor="#f1682a" strokeweight=".79372mm">
                  <v:path arrowok="t"/>
                </v:shape>
                <v:shape id="Image 374" o:spid="_x0000_s1309" type="#_x0000_t75" style="position:absolute;left:6583;top:1304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">
                  <v:imagedata r:id="rId99" o:title=""/>
                </v:shape>
                <v:shape id="Image 375" o:spid="_x0000_s1310" type="#_x0000_t75" style="position:absolute;left:13304;top:1284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">
                  <v:imagedata r:id="rId99" o:title=""/>
                </v:shape>
                <v:shape id="Image 376" o:spid="_x0000_s1311" type="#_x0000_t75" style="position:absolute;left:20025;top:1278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">
                  <v:imagedata r:id="rId98" o:title=""/>
                </v:shape>
                <v:shape id="Image 377" o:spid="_x0000_s1312" type="#_x0000_t75" style="position:absolute;left:26730;top:1266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">
                  <v:imagedata r:id="rId99" o:title=""/>
                </v:shape>
                <v:shape id="Image 378" o:spid="_x0000_s1313" type="#_x0000_t75" style="position:absolute;left:33451;top:1152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">
                  <v:imagedata r:id="rId99" o:title=""/>
                </v:shape>
                <v:shape id="Image 379" o:spid="_x0000_s1314" type="#_x0000_t75" style="position:absolute;left:40172;top:1136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">
                  <v:imagedata r:id="rId101" o:title=""/>
                </v:shape>
                <v:shape id="Image 380" o:spid="_x0000_s1315" type="#_x0000_t75" style="position:absolute;left:46878;top:1054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">
                  <v:imagedata r:id="rId98" o:title=""/>
                </v:shape>
                <v:shape id="Image 381" o:spid="_x0000_s1316" type="#_x0000_t75" style="position:absolute;left:53599;top:1071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">
                  <v:imagedata r:id="rId99" o:title=""/>
                </v:shape>
                <v:shape id="Graphic 382" o:spid="_x0000_s1317" style="position:absolute;left:6957;top:17070;width:47009;height:1067;visibility:visible;mso-wrap-style:square;v-text-anchor:top" coordsize="470090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" path="m,41846r671449,64452l1343533,86042r670560,-6096l2686177,66230,3358261,34226,4028821,11366,4700905,e" filled="f" strokecolor="#f9a720" strokeweight="2.25pt">
                  <v:path arrowok="t"/>
                </v:shape>
                <v:shape id="Image 383" o:spid="_x0000_s1318" type="#_x0000_t75" style="position:absolute;left:6583;top:1711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">
                  <v:imagedata r:id="rId102" o:title=""/>
                </v:shape>
                <v:shape id="Image 384" o:spid="_x0000_s1319" type="#_x0000_t75" style="position:absolute;left:13304;top:1775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">
                  <v:imagedata r:id="rId104" o:title=""/>
                </v:shape>
                <v:shape id="Image 385" o:spid="_x0000_s1320" type="#_x0000_t75" style="position:absolute;left:20025;top:1755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">
                  <v:imagedata r:id="rId102" o:title=""/>
                </v:shape>
                <v:shape id="Image 386" o:spid="_x0000_s1321" type="#_x0000_t75" style="position:absolute;left:26730;top:1749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">
                  <v:imagedata r:id="rId102" o:title=""/>
                </v:shape>
                <v:shape id="Image 387" o:spid="_x0000_s1322" type="#_x0000_t75" style="position:absolute;left:33451;top:1735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">
                  <v:imagedata r:id="rId102" o:title=""/>
                </v:shape>
                <v:shape id="Image 388" o:spid="_x0000_s1323" type="#_x0000_t75" style="position:absolute;left:40172;top:1703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">
                  <v:imagedata r:id="rId117" o:title=""/>
                </v:shape>
                <v:shape id="Image 389" o:spid="_x0000_s1324" type="#_x0000_t75" style="position:absolute;left:46878;top:1680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">
                  <v:imagedata r:id="rId104" o:title=""/>
                </v:shape>
                <v:shape id="Image 390" o:spid="_x0000_s1325" type="#_x0000_t75" style="position:absolute;left:53599;top:1670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">
                  <v:imagedata r:id="rId102" o:title=""/>
                </v:shape>
                <v:shape id="Image 391" o:spid="_x0000_s1326" type="#_x0000_t75" style="position:absolute;left:9392;top:30044;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">
                  <v:imagedata r:id="rId118" o:title=""/>
                </v:shape>
                <v:shape id="Image 392" o:spid="_x0000_s1327" type="#_x0000_t75" style="position:absolute;left:30567;top:30044;width:243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">
                  <v:imagedata r:id="rId119" o:title=""/>
                </v:shape>
                <v:shape id="Image 393" o:spid="_x0000_s1328" type="#_x0000_t75" style="position:absolute;left:43192;top:30044;width:243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">
                  <v:imagedata r:id="rId120" o:title=""/>
                </v:shape>
                <v:shape id="Graphic 394" o:spid="_x0000_s1329" style="position:absolute;left:47;top:47;width:59436;height:32258;visibility:visible;mso-wrap-style:square;v-text-anchor:top" coordsize="5943600,32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" path="m,l5943600,r,3225800l,3225800,,xe" filled="f" strokecolor="#d9d9d9">
                  <v:path arrowok="t"/>
                </v:shape>
                <v:shape id="Textbox 395" o:spid="_x0000_s1330" type="#_x0000_t202" style="position:absolute;left:872;top:634;width:16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1C34F1B7" w14:textId="77777777" w:rsidR="004C558F" w:rsidRDefault="00461887">
                        <w:pPr>
                          <w:spacing w:before="1"/>
                          <w:rPr>
                            <w:sz w:val="21"/>
                          </w:rPr>
                        </w:pPr>
                        <w:r>
                          <w:rPr>
                            <w:color w:val="585858"/>
                            <w:spacing w:val="-5"/>
                            <w:sz w:val="21"/>
                          </w:rPr>
                          <w:t>12</w:t>
                        </w:r>
                      </w:p>
                    </w:txbxContent>
                  </v:textbox>
                </v:shape>
                <v:shape id="Textbox 396" o:spid="_x0000_s1331" type="#_x0000_t202" style="position:absolute;left:54598;top:1244;width:462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C34F1B8" w14:textId="77777777" w:rsidR="004C558F" w:rsidRDefault="00461887">
                        <w:pPr>
                          <w:spacing w:line="362" w:lineRule="exact"/>
                          <w:rPr>
                            <w:rFonts w:ascii="Franklin Gothic Medium Cond"/>
                            <w:sz w:val="32"/>
                          </w:rPr>
                        </w:pPr>
                        <w:r>
                          <w:rPr>
                            <w:rFonts w:ascii="Franklin Gothic Medium Cond"/>
                            <w:color w:val="404040"/>
                            <w:spacing w:val="-4"/>
                            <w:sz w:val="32"/>
                          </w:rPr>
                          <w:t>+29%</w:t>
                        </w:r>
                      </w:p>
                    </w:txbxContent>
                  </v:textbox>
                </v:shape>
                <v:shape id="Textbox 397" o:spid="_x0000_s1332" type="#_x0000_t202" style="position:absolute;left:872;top:4749;width:16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C34F1B9" w14:textId="77777777" w:rsidR="004C558F" w:rsidRDefault="00461887">
                        <w:pPr>
                          <w:spacing w:before="1"/>
                          <w:rPr>
                            <w:sz w:val="21"/>
                          </w:rPr>
                        </w:pPr>
                        <w:r>
                          <w:rPr>
                            <w:color w:val="585858"/>
                            <w:spacing w:val="-5"/>
                            <w:sz w:val="21"/>
                          </w:rPr>
                          <w:t>10</w:t>
                        </w:r>
                      </w:p>
                    </w:txbxContent>
                  </v:textbox>
                </v:shape>
                <v:shape id="Textbox 398" o:spid="_x0000_s1333" type="#_x0000_t202" style="position:absolute;left:1654;top:8863;width:9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C34F1BA" w14:textId="77777777" w:rsidR="004C558F" w:rsidRDefault="00461887">
                        <w:pPr>
                          <w:spacing w:before="1"/>
                          <w:rPr>
                            <w:sz w:val="21"/>
                          </w:rPr>
                        </w:pPr>
                        <w:r>
                          <w:rPr>
                            <w:color w:val="585858"/>
                            <w:spacing w:val="-10"/>
                            <w:sz w:val="21"/>
                          </w:rPr>
                          <w:t>8</w:t>
                        </w:r>
                      </w:p>
                    </w:txbxContent>
                  </v:textbox>
                </v:shape>
                <v:shape id="Textbox 399" o:spid="_x0000_s1334" type="#_x0000_t202" style="position:absolute;left:54584;top:9795;width:459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C34F1BB" w14:textId="77777777" w:rsidR="004C558F" w:rsidRDefault="00461887">
                        <w:pPr>
                          <w:spacing w:line="362" w:lineRule="exact"/>
                          <w:rPr>
                            <w:rFonts w:ascii="Franklin Gothic Medium Cond"/>
                            <w:sz w:val="32"/>
                          </w:rPr>
                        </w:pPr>
                        <w:r>
                          <w:rPr>
                            <w:rFonts w:ascii="Franklin Gothic Medium Cond"/>
                            <w:color w:val="404040"/>
                            <w:spacing w:val="-4"/>
                            <w:sz w:val="32"/>
                          </w:rPr>
                          <w:t>+18%</w:t>
                        </w:r>
                      </w:p>
                    </w:txbxContent>
                  </v:textbox>
                </v:shape>
                <v:shape id="Textbox 400" o:spid="_x0000_s1335" type="#_x0000_t202" style="position:absolute;left:1654;top:12978;width:9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C34F1BC" w14:textId="77777777" w:rsidR="004C558F" w:rsidRDefault="00461887">
                        <w:pPr>
                          <w:spacing w:before="1"/>
                          <w:rPr>
                            <w:sz w:val="21"/>
                          </w:rPr>
                        </w:pPr>
                        <w:r>
                          <w:rPr>
                            <w:color w:val="585858"/>
                            <w:spacing w:val="-10"/>
                            <w:sz w:val="21"/>
                          </w:rPr>
                          <w:t>6</w:t>
                        </w:r>
                      </w:p>
                    </w:txbxContent>
                  </v:textbox>
                </v:shape>
                <v:shape id="Textbox 401" o:spid="_x0000_s1336" type="#_x0000_t202" style="position:absolute;left:1654;top:17092;width:9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C34F1BD" w14:textId="77777777" w:rsidR="004C558F" w:rsidRDefault="00461887">
                        <w:pPr>
                          <w:spacing w:before="1"/>
                          <w:rPr>
                            <w:sz w:val="21"/>
                          </w:rPr>
                        </w:pPr>
                        <w:r>
                          <w:rPr>
                            <w:color w:val="585858"/>
                            <w:spacing w:val="-10"/>
                            <w:sz w:val="21"/>
                          </w:rPr>
                          <w:t>4</w:t>
                        </w:r>
                      </w:p>
                    </w:txbxContent>
                  </v:textbox>
                </v:shape>
                <v:shape id="Textbox 402" o:spid="_x0000_s1337" type="#_x0000_t202" style="position:absolute;left:54746;top:15767;width:358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C34F1BE" w14:textId="77777777" w:rsidR="004C558F" w:rsidRDefault="00461887">
                        <w:pPr>
                          <w:spacing w:line="362" w:lineRule="exact"/>
                          <w:rPr>
                            <w:rFonts w:ascii="Franklin Gothic Medium Cond"/>
                            <w:sz w:val="32"/>
                          </w:rPr>
                        </w:pPr>
                        <w:r>
                          <w:rPr>
                            <w:rFonts w:ascii="Franklin Gothic Medium Cond"/>
                            <w:color w:val="404040"/>
                            <w:spacing w:val="-5"/>
                            <w:sz w:val="32"/>
                          </w:rPr>
                          <w:t>+5%</w:t>
                        </w:r>
                      </w:p>
                    </w:txbxContent>
                  </v:textbox>
                </v:shape>
                <v:shape id="Textbox 403" o:spid="_x0000_s1338" type="#_x0000_t202" style="position:absolute;left:1654;top:21207;width:9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C34F1BF" w14:textId="77777777" w:rsidR="004C558F" w:rsidRDefault="00461887">
                        <w:pPr>
                          <w:spacing w:before="1"/>
                          <w:rPr>
                            <w:sz w:val="21"/>
                          </w:rPr>
                        </w:pPr>
                        <w:r>
                          <w:rPr>
                            <w:color w:val="585858"/>
                            <w:spacing w:val="-10"/>
                            <w:sz w:val="21"/>
                          </w:rPr>
                          <w:t>2</w:t>
                        </w:r>
                      </w:p>
                    </w:txbxContent>
                  </v:textbox>
                </v:shape>
                <v:shape id="Textbox 404" o:spid="_x0000_s1339" type="#_x0000_t202" style="position:absolute;left:1654;top:25321;width:9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C34F1C0" w14:textId="77777777" w:rsidR="004C558F" w:rsidRDefault="00461887">
                        <w:pPr>
                          <w:spacing w:before="1"/>
                          <w:rPr>
                            <w:sz w:val="21"/>
                          </w:rPr>
                        </w:pPr>
                        <w:r>
                          <w:rPr>
                            <w:color w:val="585858"/>
                            <w:spacing w:val="-10"/>
                            <w:sz w:val="21"/>
                          </w:rPr>
                          <w:t>0</w:t>
                        </w:r>
                      </w:p>
                    </w:txbxContent>
                  </v:textbox>
                </v:shape>
                <v:shape id="Textbox 405" o:spid="_x0000_s1340" type="#_x0000_t202" style="position:absolute;left:5393;top:26937;width:32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1C34F1C1" w14:textId="77777777" w:rsidR="004C558F" w:rsidRDefault="00461887">
                        <w:pPr>
                          <w:spacing w:before="1"/>
                          <w:rPr>
                            <w:sz w:val="21"/>
                          </w:rPr>
                        </w:pPr>
                        <w:r>
                          <w:rPr>
                            <w:color w:val="585858"/>
                            <w:spacing w:val="-4"/>
                            <w:sz w:val="21"/>
                          </w:rPr>
                          <w:t>2016</w:t>
                        </w:r>
                      </w:p>
                    </w:txbxContent>
                  </v:textbox>
                </v:shape>
                <v:shape id="Textbox 406" o:spid="_x0000_s1341" type="#_x0000_t202" style="position:absolute;left:12108;top:26937;width:32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C34F1C2" w14:textId="77777777" w:rsidR="004C558F" w:rsidRDefault="00461887">
                        <w:pPr>
                          <w:spacing w:before="1"/>
                          <w:rPr>
                            <w:sz w:val="21"/>
                          </w:rPr>
                        </w:pPr>
                        <w:r>
                          <w:rPr>
                            <w:color w:val="585858"/>
                            <w:spacing w:val="-4"/>
                            <w:sz w:val="21"/>
                          </w:rPr>
                          <w:t>2017</w:t>
                        </w:r>
                      </w:p>
                    </w:txbxContent>
                  </v:textbox>
                </v:shape>
                <v:shape id="Textbox 407" o:spid="_x0000_s1342" type="#_x0000_t202" style="position:absolute;left:18823;top:26937;width:32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C34F1C3" w14:textId="77777777" w:rsidR="004C558F" w:rsidRDefault="00461887">
                        <w:pPr>
                          <w:spacing w:before="1"/>
                          <w:rPr>
                            <w:sz w:val="21"/>
                          </w:rPr>
                        </w:pPr>
                        <w:r>
                          <w:rPr>
                            <w:color w:val="585858"/>
                            <w:spacing w:val="-4"/>
                            <w:sz w:val="21"/>
                          </w:rPr>
                          <w:t>2018</w:t>
                        </w:r>
                      </w:p>
                    </w:txbxContent>
                  </v:textbox>
                </v:shape>
                <v:shape id="Textbox 408" o:spid="_x0000_s1343" type="#_x0000_t202" style="position:absolute;left:25538;top:26937;width:32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C34F1C4" w14:textId="77777777" w:rsidR="004C558F" w:rsidRDefault="00461887">
                        <w:pPr>
                          <w:spacing w:before="1"/>
                          <w:rPr>
                            <w:sz w:val="21"/>
                          </w:rPr>
                        </w:pPr>
                        <w:r>
                          <w:rPr>
                            <w:color w:val="585858"/>
                            <w:spacing w:val="-4"/>
                            <w:sz w:val="21"/>
                          </w:rPr>
                          <w:t>2019</w:t>
                        </w:r>
                      </w:p>
                    </w:txbxContent>
                  </v:textbox>
                </v:shape>
                <v:shape id="Textbox 409" o:spid="_x0000_s1344" type="#_x0000_t202" style="position:absolute;left:32253;top:26937;width:32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C34F1C5" w14:textId="77777777" w:rsidR="004C558F" w:rsidRDefault="00461887">
                        <w:pPr>
                          <w:spacing w:before="1"/>
                          <w:rPr>
                            <w:sz w:val="21"/>
                          </w:rPr>
                        </w:pPr>
                        <w:r>
                          <w:rPr>
                            <w:color w:val="585858"/>
                            <w:spacing w:val="-4"/>
                            <w:sz w:val="21"/>
                          </w:rPr>
                          <w:t>2020</w:t>
                        </w:r>
                      </w:p>
                    </w:txbxContent>
                  </v:textbox>
                </v:shape>
                <v:shape id="Textbox 410" o:spid="_x0000_s1345" type="#_x0000_t202" style="position:absolute;left:38968;top:26937;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C34F1C6" w14:textId="77777777" w:rsidR="004C558F" w:rsidRDefault="00461887">
                        <w:pPr>
                          <w:spacing w:before="1"/>
                          <w:rPr>
                            <w:sz w:val="21"/>
                          </w:rPr>
                        </w:pPr>
                        <w:r>
                          <w:rPr>
                            <w:color w:val="585858"/>
                            <w:spacing w:val="-4"/>
                            <w:sz w:val="21"/>
                          </w:rPr>
                          <w:t>2021</w:t>
                        </w:r>
                      </w:p>
                    </w:txbxContent>
                  </v:textbox>
                </v:shape>
                <v:shape id="Textbox 411" o:spid="_x0000_s1346" type="#_x0000_t202" style="position:absolute;left:45683;top:26937;width:99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C34F1C7" w14:textId="77777777" w:rsidR="004C558F" w:rsidRDefault="00461887">
                        <w:pPr>
                          <w:tabs>
                            <w:tab w:val="left" w:pos="1057"/>
                          </w:tabs>
                          <w:spacing w:before="1"/>
                          <w:rPr>
                            <w:sz w:val="21"/>
                          </w:rPr>
                        </w:pPr>
                        <w:r>
                          <w:rPr>
                            <w:color w:val="585858"/>
                            <w:spacing w:val="-4"/>
                            <w:sz w:val="21"/>
                          </w:rPr>
                          <w:t>2022</w:t>
                        </w:r>
                        <w:r>
                          <w:rPr>
                            <w:color w:val="585858"/>
                            <w:sz w:val="21"/>
                          </w:rPr>
                          <w:tab/>
                        </w:r>
                        <w:r>
                          <w:rPr>
                            <w:color w:val="585858"/>
                            <w:spacing w:val="-4"/>
                            <w:sz w:val="21"/>
                          </w:rPr>
                          <w:t>2023</w:t>
                        </w:r>
                      </w:p>
                      <w:p w14:paraId="1C34F1C8" w14:textId="77777777" w:rsidR="004C558F" w:rsidRDefault="00461887">
                        <w:pPr>
                          <w:spacing w:before="182"/>
                          <w:ind w:left="32"/>
                          <w:rPr>
                            <w:sz w:val="21"/>
                          </w:rPr>
                        </w:pPr>
                        <w:r>
                          <w:rPr>
                            <w:color w:val="585858"/>
                            <w:spacing w:val="-2"/>
                            <w:sz w:val="21"/>
                          </w:rPr>
                          <w:t>Routine</w:t>
                        </w:r>
                      </w:p>
                    </w:txbxContent>
                  </v:textbox>
                </v:shape>
                <v:shape id="Textbox 412" o:spid="_x0000_s1347" type="#_x0000_t202" style="position:absolute;left:12088;top:29603;width:160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1C34F1C9" w14:textId="77777777" w:rsidR="004C558F" w:rsidRDefault="00461887">
                        <w:pPr>
                          <w:spacing w:before="1"/>
                          <w:rPr>
                            <w:sz w:val="21"/>
                          </w:rPr>
                        </w:pPr>
                        <w:r>
                          <w:rPr>
                            <w:color w:val="585858"/>
                            <w:sz w:val="21"/>
                          </w:rPr>
                          <w:t>Institutional</w:t>
                        </w:r>
                        <w:r>
                          <w:rPr>
                            <w:color w:val="585858"/>
                            <w:spacing w:val="-12"/>
                            <w:sz w:val="21"/>
                          </w:rPr>
                          <w:t xml:space="preserve"> </w:t>
                        </w:r>
                        <w:r>
                          <w:rPr>
                            <w:color w:val="585858"/>
                            <w:sz w:val="21"/>
                          </w:rPr>
                          <w:t>Post-Acute</w:t>
                        </w:r>
                        <w:r>
                          <w:rPr>
                            <w:color w:val="585858"/>
                            <w:spacing w:val="-12"/>
                            <w:sz w:val="21"/>
                          </w:rPr>
                          <w:t xml:space="preserve"> </w:t>
                        </w:r>
                        <w:r>
                          <w:rPr>
                            <w:color w:val="585858"/>
                            <w:spacing w:val="-4"/>
                            <w:sz w:val="21"/>
                          </w:rPr>
                          <w:t>Care</w:t>
                        </w:r>
                      </w:p>
                    </w:txbxContent>
                  </v:textbox>
                </v:shape>
                <v:shape id="Textbox 413" o:spid="_x0000_s1348" type="#_x0000_t202" style="position:absolute;left:33263;top:29603;width:74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C34F1CA" w14:textId="77777777" w:rsidR="004C558F" w:rsidRDefault="00461887">
                        <w:pPr>
                          <w:spacing w:before="1"/>
                          <w:rPr>
                            <w:sz w:val="21"/>
                          </w:rPr>
                        </w:pPr>
                        <w:r>
                          <w:rPr>
                            <w:color w:val="585858"/>
                            <w:sz w:val="21"/>
                          </w:rPr>
                          <w:t>Home</w:t>
                        </w:r>
                        <w:r>
                          <w:rPr>
                            <w:color w:val="585858"/>
                            <w:spacing w:val="-8"/>
                            <w:sz w:val="21"/>
                          </w:rPr>
                          <w:t xml:space="preserve"> </w:t>
                        </w:r>
                        <w:r>
                          <w:rPr>
                            <w:color w:val="585858"/>
                            <w:spacing w:val="-2"/>
                            <w:sz w:val="21"/>
                          </w:rPr>
                          <w:t>Health</w:t>
                        </w:r>
                      </w:p>
                    </w:txbxContent>
                  </v:textbox>
                </v:shape>
                <w10:wrap type="topAndBottom" anchorx="page"/>
              </v:group>
            </w:pict>
          </mc:Fallback>
        </mc:AlternateContent>
      </w:r>
    </w:p>
    <w:p w14:paraId="1C34EA48" w14:textId="77777777" w:rsidR="004C558F" w:rsidRDefault="00461887">
      <w:pPr>
        <w:spacing w:before="51"/>
        <w:ind w:left="960"/>
        <w:rPr>
          <w:sz w:val="16"/>
        </w:rPr>
      </w:pPr>
      <w:r>
        <w:rPr>
          <w:sz w:val="16"/>
        </w:rPr>
        <w:t>Source:</w:t>
      </w:r>
      <w:r>
        <w:rPr>
          <w:spacing w:val="-5"/>
          <w:sz w:val="16"/>
        </w:rPr>
        <w:t xml:space="preserve"> </w:t>
      </w:r>
      <w:r>
        <w:rPr>
          <w:sz w:val="16"/>
        </w:rPr>
        <w:t>HPC</w:t>
      </w:r>
      <w:r>
        <w:rPr>
          <w:spacing w:val="-5"/>
          <w:sz w:val="16"/>
        </w:rPr>
        <w:t xml:space="preserve"> </w:t>
      </w:r>
      <w:r>
        <w:rPr>
          <w:sz w:val="16"/>
        </w:rPr>
        <w:t>analysis</w:t>
      </w:r>
      <w:r>
        <w:rPr>
          <w:spacing w:val="-6"/>
          <w:sz w:val="16"/>
        </w:rPr>
        <w:t xml:space="preserve"> </w:t>
      </w:r>
      <w:r>
        <w:rPr>
          <w:sz w:val="16"/>
        </w:rPr>
        <w:t>of</w:t>
      </w:r>
      <w:r>
        <w:rPr>
          <w:spacing w:val="-6"/>
          <w:sz w:val="16"/>
        </w:rPr>
        <w:t xml:space="preserve"> </w:t>
      </w:r>
      <w:r>
        <w:rPr>
          <w:sz w:val="16"/>
        </w:rPr>
        <w:t>CHIA</w:t>
      </w:r>
      <w:r>
        <w:rPr>
          <w:spacing w:val="-7"/>
          <w:sz w:val="16"/>
        </w:rPr>
        <w:t xml:space="preserve"> </w:t>
      </w:r>
      <w:r>
        <w:rPr>
          <w:sz w:val="16"/>
        </w:rPr>
        <w:t>Massachusetts</w:t>
      </w:r>
      <w:r>
        <w:rPr>
          <w:spacing w:val="-8"/>
          <w:sz w:val="16"/>
        </w:rPr>
        <w:t xml:space="preserve"> </w:t>
      </w:r>
      <w:r>
        <w:rPr>
          <w:sz w:val="16"/>
        </w:rPr>
        <w:t>Hospital</w:t>
      </w:r>
      <w:r>
        <w:rPr>
          <w:spacing w:val="-7"/>
          <w:sz w:val="16"/>
        </w:rPr>
        <w:t xml:space="preserve"> </w:t>
      </w:r>
      <w:r>
        <w:rPr>
          <w:sz w:val="16"/>
        </w:rPr>
        <w:t>Discharge</w:t>
      </w:r>
      <w:r>
        <w:rPr>
          <w:spacing w:val="-4"/>
          <w:sz w:val="16"/>
        </w:rPr>
        <w:t xml:space="preserve"> </w:t>
      </w:r>
      <w:r>
        <w:rPr>
          <w:spacing w:val="-2"/>
          <w:sz w:val="16"/>
        </w:rPr>
        <w:t>Database.</w:t>
      </w:r>
    </w:p>
    <w:p w14:paraId="1C34EA49" w14:textId="77777777" w:rsidR="004C558F" w:rsidRDefault="004C558F">
      <w:pPr>
        <w:pStyle w:val="BodyText"/>
        <w:rPr>
          <w:sz w:val="16"/>
        </w:rPr>
      </w:pPr>
    </w:p>
    <w:p w14:paraId="1C34EA4A" w14:textId="77777777" w:rsidR="004C558F" w:rsidRDefault="004C558F">
      <w:pPr>
        <w:pStyle w:val="BodyText"/>
        <w:spacing w:before="30"/>
        <w:rPr>
          <w:sz w:val="16"/>
        </w:rPr>
      </w:pPr>
    </w:p>
    <w:p w14:paraId="1C34EA4B" w14:textId="77777777" w:rsidR="004C558F" w:rsidRDefault="00461887">
      <w:pPr>
        <w:pStyle w:val="ListParagraph"/>
        <w:numPr>
          <w:ilvl w:val="3"/>
          <w:numId w:val="16"/>
        </w:numPr>
        <w:tabs>
          <w:tab w:val="left" w:pos="959"/>
        </w:tabs>
        <w:ind w:left="959" w:hanging="359"/>
      </w:pPr>
      <w:bookmarkStart w:id="195" w:name="c._Information_on_Inpatient_Oncology_Cap"/>
      <w:bookmarkEnd w:id="195"/>
      <w:r>
        <w:rPr>
          <w:color w:val="063656"/>
        </w:rPr>
        <w:t>Information</w:t>
      </w:r>
      <w:r>
        <w:rPr>
          <w:color w:val="063656"/>
          <w:spacing w:val="-5"/>
        </w:rPr>
        <w:t xml:space="preserve"> </w:t>
      </w:r>
      <w:r>
        <w:rPr>
          <w:color w:val="063656"/>
        </w:rPr>
        <w:t>on</w:t>
      </w:r>
      <w:r>
        <w:rPr>
          <w:color w:val="063656"/>
          <w:spacing w:val="-4"/>
        </w:rPr>
        <w:t xml:space="preserve"> </w:t>
      </w:r>
      <w:r>
        <w:rPr>
          <w:color w:val="063656"/>
        </w:rPr>
        <w:t>Inpatient</w:t>
      </w:r>
      <w:r>
        <w:rPr>
          <w:color w:val="063656"/>
          <w:spacing w:val="-5"/>
        </w:rPr>
        <w:t xml:space="preserve"> </w:t>
      </w:r>
      <w:r>
        <w:rPr>
          <w:color w:val="063656"/>
        </w:rPr>
        <w:t>Oncology</w:t>
      </w:r>
      <w:r>
        <w:rPr>
          <w:color w:val="063656"/>
          <w:spacing w:val="-4"/>
        </w:rPr>
        <w:t xml:space="preserve"> </w:t>
      </w:r>
      <w:r>
        <w:rPr>
          <w:color w:val="063656"/>
          <w:spacing w:val="-2"/>
        </w:rPr>
        <w:t>Capacity</w:t>
      </w:r>
    </w:p>
    <w:p w14:paraId="1C34EA4C" w14:textId="77777777" w:rsidR="004C558F" w:rsidRDefault="004C558F">
      <w:pPr>
        <w:pStyle w:val="BodyText"/>
        <w:spacing w:before="77"/>
      </w:pPr>
    </w:p>
    <w:p w14:paraId="1C34EA4D" w14:textId="56A73D18" w:rsidR="004C558F" w:rsidRDefault="00461887">
      <w:pPr>
        <w:pStyle w:val="BodyText"/>
        <w:spacing w:line="276" w:lineRule="auto"/>
        <w:ind w:left="959" w:right="1009" w:firstLine="720"/>
      </w:pPr>
      <w:r>
        <w:t>To</w:t>
      </w:r>
      <w:r>
        <w:rPr>
          <w:spacing w:val="-1"/>
        </w:rPr>
        <w:t xml:space="preserve"> </w:t>
      </w:r>
      <w:r>
        <w:t>fully</w:t>
      </w:r>
      <w:r>
        <w:rPr>
          <w:spacing w:val="-2"/>
        </w:rPr>
        <w:t xml:space="preserve"> </w:t>
      </w:r>
      <w:r>
        <w:t>assess</w:t>
      </w:r>
      <w:r>
        <w:rPr>
          <w:spacing w:val="-3"/>
        </w:rPr>
        <w:t xml:space="preserve"> </w:t>
      </w:r>
      <w:r>
        <w:t>whether</w:t>
      </w:r>
      <w:r>
        <w:rPr>
          <w:spacing w:val="-2"/>
        </w:rPr>
        <w:t xml:space="preserve"> </w:t>
      </w:r>
      <w:r>
        <w:t>the</w:t>
      </w:r>
      <w:r>
        <w:rPr>
          <w:spacing w:val="-1"/>
        </w:rPr>
        <w:t xml:space="preserve"> </w:t>
      </w:r>
      <w:r>
        <w:t>facility</w:t>
      </w:r>
      <w:r>
        <w:rPr>
          <w:spacing w:val="-2"/>
        </w:rPr>
        <w:t xml:space="preserve"> </w:t>
      </w:r>
      <w:r>
        <w:t>proposed by</w:t>
      </w:r>
      <w:r>
        <w:rPr>
          <w:spacing w:val="-4"/>
        </w:rPr>
        <w:t xml:space="preserve"> </w:t>
      </w:r>
      <w:r>
        <w:t>DFCI</w:t>
      </w:r>
      <w:r>
        <w:rPr>
          <w:spacing w:val="-4"/>
        </w:rPr>
        <w:t xml:space="preserve"> </w:t>
      </w:r>
      <w:r>
        <w:t>is</w:t>
      </w:r>
      <w:r>
        <w:rPr>
          <w:spacing w:val="-1"/>
        </w:rPr>
        <w:t xml:space="preserve"> </w:t>
      </w:r>
      <w:r>
        <w:t>necessary</w:t>
      </w:r>
      <w:r>
        <w:rPr>
          <w:spacing w:val="-2"/>
        </w:rPr>
        <w:t xml:space="preserve"> </w:t>
      </w:r>
      <w:r>
        <w:t>to</w:t>
      </w:r>
      <w:r>
        <w:rPr>
          <w:spacing w:val="-3"/>
        </w:rPr>
        <w:t xml:space="preserve"> </w:t>
      </w:r>
      <w:r>
        <w:t>ensure</w:t>
      </w:r>
      <w:r>
        <w:rPr>
          <w:spacing w:val="-1"/>
        </w:rPr>
        <w:t xml:space="preserve"> </w:t>
      </w:r>
      <w:r>
        <w:t>future</w:t>
      </w:r>
      <w:r>
        <w:rPr>
          <w:spacing w:val="-1"/>
        </w:rPr>
        <w:t xml:space="preserve"> </w:t>
      </w:r>
      <w:r>
        <w:t>access to inpatient oncology services, an assessment of current inpatient oncology hospital capacity would be necessary.</w:t>
      </w:r>
      <w:r>
        <w:rPr>
          <w:spacing w:val="-3"/>
        </w:rPr>
        <w:t xml:space="preserve"> </w:t>
      </w:r>
      <w:r>
        <w:t>Unfortunately,</w:t>
      </w:r>
      <w:r>
        <w:rPr>
          <w:spacing w:val="-3"/>
        </w:rPr>
        <w:t xml:space="preserve"> </w:t>
      </w:r>
      <w:r>
        <w:t xml:space="preserve">data </w:t>
      </w:r>
      <w:proofErr w:type="gramStart"/>
      <w:r>
        <w:t>are</w:t>
      </w:r>
      <w:proofErr w:type="gramEnd"/>
      <w:r>
        <w:rPr>
          <w:spacing w:val="-2"/>
        </w:rPr>
        <w:t xml:space="preserve"> </w:t>
      </w:r>
      <w:r>
        <w:t>not</w:t>
      </w:r>
      <w:r>
        <w:rPr>
          <w:spacing w:val="-1"/>
        </w:rPr>
        <w:t xml:space="preserve"> </w:t>
      </w:r>
      <w:r>
        <w:t>currently</w:t>
      </w:r>
      <w:r>
        <w:rPr>
          <w:spacing w:val="-1"/>
        </w:rPr>
        <w:t xml:space="preserve"> </w:t>
      </w:r>
      <w:r>
        <w:t>available regarding</w:t>
      </w:r>
      <w:r>
        <w:rPr>
          <w:spacing w:val="-1"/>
        </w:rPr>
        <w:t xml:space="preserve"> </w:t>
      </w:r>
      <w:r>
        <w:t>the number</w:t>
      </w:r>
      <w:r>
        <w:rPr>
          <w:spacing w:val="-1"/>
        </w:rPr>
        <w:t xml:space="preserve"> </w:t>
      </w:r>
      <w:r>
        <w:t>of beds in the Commonwealth suitable to care for oncology patients. Oncology beds</w:t>
      </w:r>
      <w:r>
        <w:rPr>
          <w:spacing w:val="-1"/>
        </w:rPr>
        <w:t xml:space="preserve"> </w:t>
      </w:r>
      <w:r>
        <w:t>are</w:t>
      </w:r>
      <w:r>
        <w:rPr>
          <w:spacing w:val="-1"/>
        </w:rPr>
        <w:t xml:space="preserve"> </w:t>
      </w:r>
      <w:r>
        <w:t>not distinguished from other medical/surgical beds in hospital reports to CHIA, and some oncology care can be provided in general acute care wards with appropriate staffing. In addition to the inability to assess existing</w:t>
      </w:r>
      <w:r>
        <w:rPr>
          <w:spacing w:val="-1"/>
        </w:rPr>
        <w:t xml:space="preserve"> </w:t>
      </w:r>
      <w:r>
        <w:t>capacity,</w:t>
      </w:r>
      <w:r>
        <w:rPr>
          <w:spacing w:val="-3"/>
        </w:rPr>
        <w:t xml:space="preserve"> </w:t>
      </w:r>
      <w:r>
        <w:t>other</w:t>
      </w:r>
      <w:r>
        <w:rPr>
          <w:spacing w:val="-1"/>
        </w:rPr>
        <w:t xml:space="preserve"> </w:t>
      </w:r>
      <w:r>
        <w:t>Massachusetts providers</w:t>
      </w:r>
      <w:r>
        <w:rPr>
          <w:spacing w:val="-2"/>
        </w:rPr>
        <w:t xml:space="preserve"> </w:t>
      </w:r>
      <w:r>
        <w:t>are currently</w:t>
      </w:r>
      <w:r>
        <w:rPr>
          <w:spacing w:val="-1"/>
        </w:rPr>
        <w:t xml:space="preserve"> </w:t>
      </w:r>
      <w:r>
        <w:t>constructing</w:t>
      </w:r>
      <w:r>
        <w:rPr>
          <w:spacing w:val="-1"/>
        </w:rPr>
        <w:t xml:space="preserve"> </w:t>
      </w:r>
      <w:r>
        <w:t>oncology</w:t>
      </w:r>
      <w:r>
        <w:rPr>
          <w:spacing w:val="-1"/>
        </w:rPr>
        <w:t xml:space="preserve"> </w:t>
      </w:r>
      <w:r>
        <w:t xml:space="preserve">beds to meet projected utilization growth, including MGH’s current construction of a clinical tower housing 210 beds dedicated </w:t>
      </w:r>
      <w:proofErr w:type="gramStart"/>
      <w:r>
        <w:t>for</w:t>
      </w:r>
      <w:proofErr w:type="gramEnd"/>
      <w:r>
        <w:t xml:space="preserve"> oncology</w:t>
      </w:r>
      <w:r>
        <w:rPr>
          <w:spacing w:val="-1"/>
        </w:rPr>
        <w:t xml:space="preserve"> </w:t>
      </w:r>
      <w:r>
        <w:t>care (an increase of 91</w:t>
      </w:r>
      <w:r>
        <w:rPr>
          <w:spacing w:val="-1"/>
        </w:rPr>
        <w:t xml:space="preserve"> </w:t>
      </w:r>
      <w:r>
        <w:t>oncology-specific beds)</w:t>
      </w:r>
      <w:r>
        <w:rPr>
          <w:spacing w:val="-1"/>
        </w:rPr>
        <w:t xml:space="preserve"> </w:t>
      </w:r>
      <w:r>
        <w:t>and 21 net</w:t>
      </w:r>
      <w:r>
        <w:rPr>
          <w:spacing w:val="-1"/>
        </w:rPr>
        <w:t xml:space="preserve"> </w:t>
      </w:r>
      <w:r>
        <w:t>new</w:t>
      </w:r>
      <w:r>
        <w:rPr>
          <w:spacing w:val="-3"/>
        </w:rPr>
        <w:t xml:space="preserve"> </w:t>
      </w:r>
      <w:r>
        <w:t>oncology</w:t>
      </w:r>
      <w:r>
        <w:rPr>
          <w:spacing w:val="-1"/>
        </w:rPr>
        <w:t xml:space="preserve"> </w:t>
      </w:r>
      <w:r>
        <w:t>infusion</w:t>
      </w:r>
      <w:r>
        <w:rPr>
          <w:spacing w:val="-2"/>
        </w:rPr>
        <w:t xml:space="preserve"> </w:t>
      </w:r>
      <w:r>
        <w:t>bays.</w:t>
      </w:r>
      <w:r w:rsidR="00C0139B">
        <w:rPr>
          <w:rStyle w:val="FootnoteReference"/>
        </w:rPr>
        <w:footnoteReference w:id="208"/>
      </w:r>
      <w:r>
        <w:rPr>
          <w:spacing w:val="20"/>
          <w:position w:val="5"/>
          <w:sz w:val="14"/>
        </w:rPr>
        <w:t xml:space="preserve"> </w:t>
      </w:r>
      <w:r>
        <w:t>The inability</w:t>
      </w:r>
      <w:r>
        <w:rPr>
          <w:spacing w:val="-1"/>
        </w:rPr>
        <w:t xml:space="preserve"> </w:t>
      </w:r>
      <w:r>
        <w:t>to fully</w:t>
      </w:r>
      <w:r>
        <w:rPr>
          <w:spacing w:val="-3"/>
        </w:rPr>
        <w:t xml:space="preserve"> </w:t>
      </w:r>
      <w:r>
        <w:t>assess current</w:t>
      </w:r>
      <w:r>
        <w:rPr>
          <w:spacing w:val="-1"/>
        </w:rPr>
        <w:t xml:space="preserve"> </w:t>
      </w:r>
      <w:r>
        <w:t>inpatient</w:t>
      </w:r>
      <w:r>
        <w:rPr>
          <w:spacing w:val="-1"/>
        </w:rPr>
        <w:t xml:space="preserve"> </w:t>
      </w:r>
      <w:r>
        <w:t>oncology</w:t>
      </w:r>
      <w:r>
        <w:rPr>
          <w:spacing w:val="-3"/>
        </w:rPr>
        <w:t xml:space="preserve"> </w:t>
      </w:r>
      <w:r>
        <w:t>capacity</w:t>
      </w:r>
    </w:p>
    <w:p w14:paraId="1C34EA4E" w14:textId="6958B023" w:rsidR="004C558F" w:rsidRDefault="004C558F">
      <w:pPr>
        <w:pStyle w:val="BodyText"/>
        <w:spacing w:before="92"/>
        <w:rPr>
          <w:sz w:val="20"/>
        </w:rPr>
      </w:pPr>
    </w:p>
    <w:p w14:paraId="1C34EA50" w14:textId="77777777" w:rsidR="004C558F" w:rsidRDefault="004C558F">
      <w:pPr>
        <w:rPr>
          <w:sz w:val="20"/>
        </w:rPr>
        <w:sectPr w:rsidR="004C558F">
          <w:pgSz w:w="12240" w:h="15840"/>
          <w:pgMar w:top="1360" w:right="740" w:bottom="720" w:left="480" w:header="0" w:footer="521" w:gutter="0"/>
          <w:cols w:space="720"/>
        </w:sectPr>
      </w:pPr>
      <w:bookmarkStart w:id="196" w:name="_bookmark238"/>
      <w:bookmarkEnd w:id="196"/>
    </w:p>
    <w:p w14:paraId="1C34EA51" w14:textId="77777777" w:rsidR="004C558F" w:rsidRDefault="00461887">
      <w:pPr>
        <w:pStyle w:val="BodyText"/>
        <w:spacing w:before="80" w:line="276" w:lineRule="auto"/>
        <w:ind w:left="960" w:right="1290"/>
      </w:pPr>
      <w:r>
        <w:lastRenderedPageBreak/>
        <w:t>and</w:t>
      </w:r>
      <w:r>
        <w:rPr>
          <w:spacing w:val="-5"/>
        </w:rPr>
        <w:t xml:space="preserve"> </w:t>
      </w:r>
      <w:r>
        <w:t>the</w:t>
      </w:r>
      <w:r>
        <w:rPr>
          <w:spacing w:val="-3"/>
        </w:rPr>
        <w:t xml:space="preserve"> </w:t>
      </w:r>
      <w:r>
        <w:t>current</w:t>
      </w:r>
      <w:r>
        <w:rPr>
          <w:spacing w:val="-4"/>
        </w:rPr>
        <w:t xml:space="preserve"> </w:t>
      </w:r>
      <w:r>
        <w:t>expansions</w:t>
      </w:r>
      <w:r>
        <w:rPr>
          <w:spacing w:val="-3"/>
        </w:rPr>
        <w:t xml:space="preserve"> </w:t>
      </w:r>
      <w:r>
        <w:t>underway</w:t>
      </w:r>
      <w:r>
        <w:rPr>
          <w:spacing w:val="-4"/>
        </w:rPr>
        <w:t xml:space="preserve"> </w:t>
      </w:r>
      <w:r>
        <w:t>undermine</w:t>
      </w:r>
      <w:r>
        <w:rPr>
          <w:spacing w:val="-3"/>
        </w:rPr>
        <w:t xml:space="preserve"> </w:t>
      </w:r>
      <w:r>
        <w:t>the</w:t>
      </w:r>
      <w:r>
        <w:rPr>
          <w:spacing w:val="-3"/>
        </w:rPr>
        <w:t xml:space="preserve"> </w:t>
      </w:r>
      <w:r>
        <w:t>certainty</w:t>
      </w:r>
      <w:r>
        <w:rPr>
          <w:spacing w:val="-4"/>
        </w:rPr>
        <w:t xml:space="preserve"> </w:t>
      </w:r>
      <w:r>
        <w:t>that</w:t>
      </w:r>
      <w:r>
        <w:rPr>
          <w:spacing w:val="-4"/>
        </w:rPr>
        <w:t xml:space="preserve"> </w:t>
      </w:r>
      <w:r>
        <w:t>the</w:t>
      </w:r>
      <w:r>
        <w:rPr>
          <w:spacing w:val="-5"/>
        </w:rPr>
        <w:t xml:space="preserve"> </w:t>
      </w:r>
      <w:r>
        <w:t>expansion</w:t>
      </w:r>
      <w:r>
        <w:rPr>
          <w:spacing w:val="-3"/>
        </w:rPr>
        <w:t xml:space="preserve"> </w:t>
      </w:r>
      <w:r>
        <w:t>proposed</w:t>
      </w:r>
      <w:r>
        <w:rPr>
          <w:spacing w:val="-2"/>
        </w:rPr>
        <w:t xml:space="preserve"> </w:t>
      </w:r>
      <w:r>
        <w:t>by DFCI is necessary to ensure future access to inpatient oncology care.</w:t>
      </w:r>
    </w:p>
    <w:p w14:paraId="1C34EA52" w14:textId="77777777" w:rsidR="004C558F" w:rsidRDefault="004C558F">
      <w:pPr>
        <w:pStyle w:val="BodyText"/>
        <w:spacing w:before="38"/>
      </w:pPr>
    </w:p>
    <w:p w14:paraId="1C34EA53" w14:textId="77777777" w:rsidR="004C558F" w:rsidRDefault="00461887">
      <w:pPr>
        <w:ind w:right="6"/>
        <w:jc w:val="center"/>
      </w:pPr>
      <w:r>
        <w:rPr>
          <w:spacing w:val="-5"/>
        </w:rPr>
        <w:t>***</w:t>
      </w:r>
    </w:p>
    <w:p w14:paraId="1C34EA54" w14:textId="77777777" w:rsidR="004C558F" w:rsidRDefault="004C558F">
      <w:pPr>
        <w:pStyle w:val="BodyText"/>
        <w:spacing w:before="74"/>
      </w:pPr>
    </w:p>
    <w:p w14:paraId="1C34EA55" w14:textId="77777777" w:rsidR="004C558F" w:rsidRDefault="00461887">
      <w:pPr>
        <w:pStyle w:val="BodyText"/>
        <w:spacing w:line="276" w:lineRule="auto"/>
        <w:ind w:left="960" w:right="991" w:firstLine="720"/>
      </w:pPr>
      <w:r>
        <w:t>Given the limits of statistical modeling,</w:t>
      </w:r>
      <w:r>
        <w:rPr>
          <w:spacing w:val="-1"/>
        </w:rPr>
        <w:t xml:space="preserve"> </w:t>
      </w:r>
      <w:r>
        <w:t>the many</w:t>
      </w:r>
      <w:r>
        <w:rPr>
          <w:spacing w:val="-1"/>
        </w:rPr>
        <w:t xml:space="preserve"> </w:t>
      </w:r>
      <w:r>
        <w:t>factors that may impact future inpatient oncology</w:t>
      </w:r>
      <w:r>
        <w:rPr>
          <w:spacing w:val="-3"/>
        </w:rPr>
        <w:t xml:space="preserve"> </w:t>
      </w:r>
      <w:r>
        <w:t>utilization,</w:t>
      </w:r>
      <w:r>
        <w:rPr>
          <w:spacing w:val="-2"/>
        </w:rPr>
        <w:t xml:space="preserve"> </w:t>
      </w:r>
      <w:r>
        <w:t>and</w:t>
      </w:r>
      <w:r>
        <w:rPr>
          <w:spacing w:val="-4"/>
        </w:rPr>
        <w:t xml:space="preserve"> </w:t>
      </w:r>
      <w:r>
        <w:t>the</w:t>
      </w:r>
      <w:r>
        <w:rPr>
          <w:spacing w:val="-2"/>
        </w:rPr>
        <w:t xml:space="preserve"> </w:t>
      </w:r>
      <w:r>
        <w:t>inability</w:t>
      </w:r>
      <w:r>
        <w:rPr>
          <w:spacing w:val="-3"/>
        </w:rPr>
        <w:t xml:space="preserve"> </w:t>
      </w:r>
      <w:r>
        <w:t>to</w:t>
      </w:r>
      <w:r>
        <w:rPr>
          <w:spacing w:val="-2"/>
        </w:rPr>
        <w:t xml:space="preserve"> </w:t>
      </w:r>
      <w:r>
        <w:t>fully</w:t>
      </w:r>
      <w:r>
        <w:rPr>
          <w:spacing w:val="-5"/>
        </w:rPr>
        <w:t xml:space="preserve"> </w:t>
      </w:r>
      <w:r>
        <w:t>assess</w:t>
      </w:r>
      <w:r>
        <w:rPr>
          <w:spacing w:val="-4"/>
        </w:rPr>
        <w:t xml:space="preserve"> </w:t>
      </w:r>
      <w:r>
        <w:t>other</w:t>
      </w:r>
      <w:r>
        <w:rPr>
          <w:spacing w:val="-3"/>
        </w:rPr>
        <w:t xml:space="preserve"> </w:t>
      </w:r>
      <w:r>
        <w:t>inpatient</w:t>
      </w:r>
      <w:r>
        <w:rPr>
          <w:spacing w:val="-3"/>
        </w:rPr>
        <w:t xml:space="preserve"> </w:t>
      </w:r>
      <w:r>
        <w:t>oncology</w:t>
      </w:r>
      <w:r>
        <w:rPr>
          <w:spacing w:val="-3"/>
        </w:rPr>
        <w:t xml:space="preserve"> </w:t>
      </w:r>
      <w:r>
        <w:t>capacity,</w:t>
      </w:r>
      <w:r>
        <w:rPr>
          <w:spacing w:val="-2"/>
        </w:rPr>
        <w:t xml:space="preserve"> </w:t>
      </w:r>
      <w:r>
        <w:t>it</w:t>
      </w:r>
      <w:r>
        <w:rPr>
          <w:spacing w:val="-3"/>
        </w:rPr>
        <w:t xml:space="preserve"> </w:t>
      </w:r>
      <w:r>
        <w:t>is</w:t>
      </w:r>
      <w:r>
        <w:rPr>
          <w:spacing w:val="-2"/>
        </w:rPr>
        <w:t xml:space="preserve"> </w:t>
      </w:r>
      <w:r>
        <w:t>unclear whether the parties’ specific proposal is necessary or sufficient to ensure future access to inpatient oncology care.</w:t>
      </w:r>
    </w:p>
    <w:p w14:paraId="1C34EA56" w14:textId="77777777" w:rsidR="004C558F" w:rsidRDefault="004C558F">
      <w:pPr>
        <w:pStyle w:val="BodyText"/>
        <w:spacing w:before="197"/>
      </w:pPr>
    </w:p>
    <w:p w14:paraId="1C34EA57" w14:textId="77777777" w:rsidR="004C558F" w:rsidRDefault="00461887">
      <w:pPr>
        <w:pStyle w:val="Heading3"/>
        <w:numPr>
          <w:ilvl w:val="2"/>
          <w:numId w:val="16"/>
        </w:numPr>
        <w:tabs>
          <w:tab w:val="left" w:pos="959"/>
        </w:tabs>
        <w:ind w:left="959" w:hanging="359"/>
        <w:rPr>
          <w:color w:val="042339"/>
        </w:rPr>
      </w:pPr>
      <w:bookmarkStart w:id="197" w:name="2._Payer_Mix_and_Patient_Demographics"/>
      <w:bookmarkEnd w:id="197"/>
      <w:r>
        <w:rPr>
          <w:color w:val="042339"/>
        </w:rPr>
        <w:t>Payer</w:t>
      </w:r>
      <w:r>
        <w:rPr>
          <w:color w:val="042339"/>
          <w:spacing w:val="-7"/>
        </w:rPr>
        <w:t xml:space="preserve"> </w:t>
      </w:r>
      <w:r>
        <w:rPr>
          <w:color w:val="042339"/>
        </w:rPr>
        <w:t>Mix</w:t>
      </w:r>
      <w:r>
        <w:rPr>
          <w:color w:val="042339"/>
          <w:spacing w:val="-6"/>
        </w:rPr>
        <w:t xml:space="preserve"> </w:t>
      </w:r>
      <w:r>
        <w:rPr>
          <w:color w:val="042339"/>
        </w:rPr>
        <w:t>and</w:t>
      </w:r>
      <w:r>
        <w:rPr>
          <w:color w:val="042339"/>
          <w:spacing w:val="-7"/>
        </w:rPr>
        <w:t xml:space="preserve"> </w:t>
      </w:r>
      <w:r>
        <w:rPr>
          <w:color w:val="042339"/>
        </w:rPr>
        <w:t>Patient</w:t>
      </w:r>
      <w:r>
        <w:rPr>
          <w:color w:val="042339"/>
          <w:spacing w:val="-6"/>
        </w:rPr>
        <w:t xml:space="preserve"> </w:t>
      </w:r>
      <w:r>
        <w:rPr>
          <w:color w:val="042339"/>
          <w:spacing w:val="-2"/>
        </w:rPr>
        <w:t>Demographics</w:t>
      </w:r>
    </w:p>
    <w:p w14:paraId="1C34EA58" w14:textId="77777777" w:rsidR="004C558F" w:rsidRDefault="004C558F">
      <w:pPr>
        <w:pStyle w:val="BodyText"/>
        <w:spacing w:before="73"/>
        <w:rPr>
          <w:rFonts w:ascii="Franklin Gothic Medium"/>
          <w:sz w:val="26"/>
        </w:rPr>
      </w:pPr>
    </w:p>
    <w:p w14:paraId="1C34EA59" w14:textId="4566B9C7" w:rsidR="004C558F" w:rsidRDefault="00461887">
      <w:pPr>
        <w:pStyle w:val="BodyText"/>
        <w:spacing w:line="276" w:lineRule="auto"/>
        <w:ind w:left="959" w:right="943" w:firstLine="720"/>
      </w:pPr>
      <w:r>
        <w:t>In addition to the overall</w:t>
      </w:r>
      <w:r>
        <w:rPr>
          <w:spacing w:val="-2"/>
        </w:rPr>
        <w:t xml:space="preserve"> </w:t>
      </w:r>
      <w:r>
        <w:t>availability of</w:t>
      </w:r>
      <w:r>
        <w:rPr>
          <w:spacing w:val="-1"/>
        </w:rPr>
        <w:t xml:space="preserve"> </w:t>
      </w:r>
      <w:r>
        <w:t>services relevant to a</w:t>
      </w:r>
      <w:r>
        <w:rPr>
          <w:spacing w:val="-1"/>
        </w:rPr>
        <w:t xml:space="preserve"> </w:t>
      </w:r>
      <w:r>
        <w:t>given transaction,</w:t>
      </w:r>
      <w:r>
        <w:rPr>
          <w:spacing w:val="-2"/>
        </w:rPr>
        <w:t xml:space="preserve"> </w:t>
      </w:r>
      <w:r>
        <w:t>the HPC is directed</w:t>
      </w:r>
      <w:r>
        <w:rPr>
          <w:spacing w:val="-2"/>
        </w:rPr>
        <w:t xml:space="preserve"> </w:t>
      </w:r>
      <w:r>
        <w:t>to</w:t>
      </w:r>
      <w:r>
        <w:rPr>
          <w:spacing w:val="-3"/>
        </w:rPr>
        <w:t xml:space="preserve"> </w:t>
      </w:r>
      <w:r>
        <w:t>examine</w:t>
      </w:r>
      <w:r>
        <w:rPr>
          <w:spacing w:val="-3"/>
        </w:rPr>
        <w:t xml:space="preserve"> </w:t>
      </w:r>
      <w:r>
        <w:t>the</w:t>
      </w:r>
      <w:r>
        <w:rPr>
          <w:spacing w:val="-3"/>
        </w:rPr>
        <w:t xml:space="preserve"> </w:t>
      </w:r>
      <w:r>
        <w:t>role</w:t>
      </w:r>
      <w:r>
        <w:rPr>
          <w:spacing w:val="-3"/>
        </w:rPr>
        <w:t xml:space="preserve"> </w:t>
      </w:r>
      <w:r>
        <w:t>of</w:t>
      </w:r>
      <w:r>
        <w:rPr>
          <w:spacing w:val="-2"/>
        </w:rPr>
        <w:t xml:space="preserve"> </w:t>
      </w:r>
      <w:r>
        <w:t>the</w:t>
      </w:r>
      <w:r>
        <w:rPr>
          <w:spacing w:val="-3"/>
        </w:rPr>
        <w:t xml:space="preserve"> </w:t>
      </w:r>
      <w:r>
        <w:t>parties</w:t>
      </w:r>
      <w:r>
        <w:rPr>
          <w:spacing w:val="-3"/>
        </w:rPr>
        <w:t xml:space="preserve"> </w:t>
      </w:r>
      <w:r>
        <w:t>in</w:t>
      </w:r>
      <w:r>
        <w:rPr>
          <w:spacing w:val="-3"/>
        </w:rPr>
        <w:t xml:space="preserve"> </w:t>
      </w:r>
      <w:r>
        <w:t>“serving</w:t>
      </w:r>
      <w:r>
        <w:rPr>
          <w:spacing w:val="-4"/>
        </w:rPr>
        <w:t xml:space="preserve"> </w:t>
      </w:r>
      <w:r>
        <w:t>at-risk,</w:t>
      </w:r>
      <w:r>
        <w:rPr>
          <w:spacing w:val="-3"/>
        </w:rPr>
        <w:t xml:space="preserve"> </w:t>
      </w:r>
      <w:r>
        <w:t>underserved,</w:t>
      </w:r>
      <w:r>
        <w:rPr>
          <w:spacing w:val="-3"/>
        </w:rPr>
        <w:t xml:space="preserve"> </w:t>
      </w:r>
      <w:r>
        <w:t>and</w:t>
      </w:r>
      <w:r>
        <w:rPr>
          <w:spacing w:val="-2"/>
        </w:rPr>
        <w:t xml:space="preserve"> </w:t>
      </w:r>
      <w:r>
        <w:t>government</w:t>
      </w:r>
      <w:r>
        <w:rPr>
          <w:spacing w:val="-4"/>
        </w:rPr>
        <w:t xml:space="preserve"> </w:t>
      </w:r>
      <w:r>
        <w:t>payer patient</w:t>
      </w:r>
      <w:r>
        <w:rPr>
          <w:spacing w:val="-4"/>
        </w:rPr>
        <w:t xml:space="preserve"> </w:t>
      </w:r>
      <w:r>
        <w:t>populations”</w:t>
      </w:r>
      <w:r>
        <w:rPr>
          <w:spacing w:val="-6"/>
        </w:rPr>
        <w:t xml:space="preserve"> </w:t>
      </w:r>
      <w:r>
        <w:t>and</w:t>
      </w:r>
      <w:r>
        <w:rPr>
          <w:spacing w:val="-2"/>
        </w:rPr>
        <w:t xml:space="preserve"> </w:t>
      </w:r>
      <w:r>
        <w:t>the</w:t>
      </w:r>
      <w:r>
        <w:rPr>
          <w:spacing w:val="-3"/>
        </w:rPr>
        <w:t xml:space="preserve"> </w:t>
      </w:r>
      <w:r>
        <w:t>potential</w:t>
      </w:r>
      <w:r>
        <w:rPr>
          <w:spacing w:val="-4"/>
        </w:rPr>
        <w:t xml:space="preserve"> </w:t>
      </w:r>
      <w:r>
        <w:t>impacts</w:t>
      </w:r>
      <w:r>
        <w:rPr>
          <w:spacing w:val="-5"/>
        </w:rPr>
        <w:t xml:space="preserve"> </w:t>
      </w:r>
      <w:r>
        <w:t>of</w:t>
      </w:r>
      <w:r>
        <w:rPr>
          <w:spacing w:val="-2"/>
        </w:rPr>
        <w:t xml:space="preserve"> </w:t>
      </w:r>
      <w:r>
        <w:t>proposed</w:t>
      </w:r>
      <w:r>
        <w:rPr>
          <w:spacing w:val="-2"/>
        </w:rPr>
        <w:t xml:space="preserve"> </w:t>
      </w:r>
      <w:r>
        <w:t>transactions</w:t>
      </w:r>
      <w:r>
        <w:rPr>
          <w:spacing w:val="-3"/>
        </w:rPr>
        <w:t xml:space="preserve"> </w:t>
      </w:r>
      <w:r>
        <w:t>on</w:t>
      </w:r>
      <w:r>
        <w:rPr>
          <w:spacing w:val="-3"/>
        </w:rPr>
        <w:t xml:space="preserve"> </w:t>
      </w:r>
      <w:r>
        <w:t>access</w:t>
      </w:r>
      <w:r>
        <w:rPr>
          <w:spacing w:val="-3"/>
        </w:rPr>
        <w:t xml:space="preserve"> </w:t>
      </w:r>
      <w:r>
        <w:t>to</w:t>
      </w:r>
      <w:r>
        <w:rPr>
          <w:spacing w:val="-3"/>
        </w:rPr>
        <w:t xml:space="preserve"> </w:t>
      </w:r>
      <w:r>
        <w:t>services</w:t>
      </w:r>
      <w:r>
        <w:rPr>
          <w:spacing w:val="-5"/>
        </w:rPr>
        <w:t xml:space="preserve"> </w:t>
      </w:r>
      <w:r>
        <w:t>for these populations,</w:t>
      </w:r>
      <w:r>
        <w:rPr>
          <w:spacing w:val="-35"/>
        </w:rPr>
        <w:t xml:space="preserve"> </w:t>
      </w:r>
      <w:r w:rsidR="00434446">
        <w:rPr>
          <w:rStyle w:val="FootnoteReference"/>
          <w:spacing w:val="-35"/>
        </w:rPr>
        <w:footnoteReference w:id="209"/>
      </w:r>
      <w:r>
        <w:t>with a goal of reducing health care disparities and improving health equity. To this end, the HPC reviewed</w:t>
      </w:r>
      <w:r>
        <w:rPr>
          <w:spacing w:val="-1"/>
        </w:rPr>
        <w:t xml:space="preserve"> </w:t>
      </w:r>
      <w:r>
        <w:t>a range of literature</w:t>
      </w:r>
      <w:r>
        <w:rPr>
          <w:spacing w:val="-1"/>
        </w:rPr>
        <w:t xml:space="preserve"> </w:t>
      </w:r>
      <w:r>
        <w:t>documenting</w:t>
      </w:r>
      <w:r>
        <w:rPr>
          <w:spacing w:val="-2"/>
        </w:rPr>
        <w:t xml:space="preserve"> </w:t>
      </w:r>
      <w:r>
        <w:t>disparities in</w:t>
      </w:r>
      <w:r>
        <w:rPr>
          <w:spacing w:val="-1"/>
        </w:rPr>
        <w:t xml:space="preserve"> </w:t>
      </w:r>
      <w:r>
        <w:t xml:space="preserve">access to </w:t>
      </w:r>
      <w:proofErr w:type="gramStart"/>
      <w:r>
        <w:t>oncology</w:t>
      </w:r>
      <w:proofErr w:type="gramEnd"/>
      <w:r>
        <w:t xml:space="preserve"> care, morbidity, and</w:t>
      </w:r>
      <w:r>
        <w:rPr>
          <w:spacing w:val="-2"/>
        </w:rPr>
        <w:t xml:space="preserve"> </w:t>
      </w:r>
      <w:r>
        <w:t>mortality</w:t>
      </w:r>
      <w:r>
        <w:rPr>
          <w:spacing w:val="-1"/>
        </w:rPr>
        <w:t xml:space="preserve"> </w:t>
      </w:r>
      <w:r>
        <w:t>based</w:t>
      </w:r>
      <w:r>
        <w:rPr>
          <w:spacing w:val="-2"/>
        </w:rPr>
        <w:t xml:space="preserve"> </w:t>
      </w:r>
      <w:r>
        <w:t>on patient</w:t>
      </w:r>
      <w:r>
        <w:rPr>
          <w:spacing w:val="-1"/>
        </w:rPr>
        <w:t xml:space="preserve"> </w:t>
      </w:r>
      <w:r>
        <w:t>payer, race</w:t>
      </w:r>
      <w:r>
        <w:rPr>
          <w:spacing w:val="-2"/>
        </w:rPr>
        <w:t xml:space="preserve"> </w:t>
      </w:r>
      <w:r>
        <w:t xml:space="preserve">and ethnicity, geography, income, and other social determinants of health, as summarized below. This information provides context for understanding the </w:t>
      </w:r>
      <w:proofErr w:type="gramStart"/>
      <w:r>
        <w:t>payer</w:t>
      </w:r>
      <w:proofErr w:type="gramEnd"/>
      <w:r>
        <w:t xml:space="preserve"> mix and demographics of the patients served by the parties.</w:t>
      </w:r>
    </w:p>
    <w:p w14:paraId="1C34EA5A" w14:textId="77777777" w:rsidR="004C558F" w:rsidRDefault="004C558F">
      <w:pPr>
        <w:pStyle w:val="BodyText"/>
        <w:rPr>
          <w:sz w:val="20"/>
        </w:rPr>
      </w:pPr>
    </w:p>
    <w:p w14:paraId="1C34EA5B" w14:textId="77777777" w:rsidR="004C558F" w:rsidRDefault="004C558F">
      <w:pPr>
        <w:pStyle w:val="BodyText"/>
        <w:rPr>
          <w:sz w:val="20"/>
        </w:rPr>
      </w:pPr>
    </w:p>
    <w:p w14:paraId="1C34EA5C" w14:textId="77777777" w:rsidR="004C558F" w:rsidRDefault="004C558F">
      <w:pPr>
        <w:pStyle w:val="BodyText"/>
        <w:rPr>
          <w:sz w:val="20"/>
        </w:rPr>
      </w:pPr>
    </w:p>
    <w:p w14:paraId="1C34EA5D" w14:textId="77777777" w:rsidR="004C558F" w:rsidRDefault="004C558F">
      <w:pPr>
        <w:pStyle w:val="BodyText"/>
        <w:rPr>
          <w:sz w:val="20"/>
        </w:rPr>
      </w:pPr>
    </w:p>
    <w:p w14:paraId="1C34EA5E" w14:textId="77777777" w:rsidR="004C558F" w:rsidRDefault="004C558F">
      <w:pPr>
        <w:pStyle w:val="BodyText"/>
        <w:rPr>
          <w:sz w:val="20"/>
        </w:rPr>
      </w:pPr>
    </w:p>
    <w:p w14:paraId="1C34EA5F" w14:textId="77777777" w:rsidR="004C558F" w:rsidRDefault="004C558F">
      <w:pPr>
        <w:pStyle w:val="BodyText"/>
        <w:rPr>
          <w:sz w:val="20"/>
        </w:rPr>
      </w:pPr>
    </w:p>
    <w:p w14:paraId="1C34EA60" w14:textId="77777777" w:rsidR="004C558F" w:rsidRDefault="004C558F">
      <w:pPr>
        <w:pStyle w:val="BodyText"/>
        <w:rPr>
          <w:sz w:val="20"/>
        </w:rPr>
      </w:pPr>
    </w:p>
    <w:p w14:paraId="1C34EA61" w14:textId="77777777" w:rsidR="004C558F" w:rsidRDefault="004C558F">
      <w:pPr>
        <w:pStyle w:val="BodyText"/>
        <w:rPr>
          <w:sz w:val="20"/>
        </w:rPr>
      </w:pPr>
    </w:p>
    <w:p w14:paraId="1C34EA62" w14:textId="77777777" w:rsidR="004C558F" w:rsidRDefault="004C558F">
      <w:pPr>
        <w:pStyle w:val="BodyText"/>
        <w:rPr>
          <w:sz w:val="20"/>
        </w:rPr>
      </w:pPr>
    </w:p>
    <w:p w14:paraId="1C34EA63" w14:textId="77777777" w:rsidR="004C558F" w:rsidRDefault="004C558F">
      <w:pPr>
        <w:pStyle w:val="BodyText"/>
        <w:rPr>
          <w:sz w:val="20"/>
        </w:rPr>
      </w:pPr>
    </w:p>
    <w:p w14:paraId="1C34EA64" w14:textId="77777777" w:rsidR="004C558F" w:rsidRDefault="004C558F">
      <w:pPr>
        <w:pStyle w:val="BodyText"/>
        <w:rPr>
          <w:sz w:val="20"/>
        </w:rPr>
      </w:pPr>
    </w:p>
    <w:p w14:paraId="1C34EA65" w14:textId="77777777" w:rsidR="004C558F" w:rsidRDefault="004C558F">
      <w:pPr>
        <w:pStyle w:val="BodyText"/>
        <w:rPr>
          <w:sz w:val="20"/>
        </w:rPr>
      </w:pPr>
    </w:p>
    <w:p w14:paraId="1C34EA66" w14:textId="77777777" w:rsidR="004C558F" w:rsidRDefault="004C558F">
      <w:pPr>
        <w:pStyle w:val="BodyText"/>
        <w:rPr>
          <w:sz w:val="20"/>
        </w:rPr>
      </w:pPr>
    </w:p>
    <w:p w14:paraId="1C34EA67" w14:textId="77777777" w:rsidR="004C558F" w:rsidRDefault="004C558F">
      <w:pPr>
        <w:pStyle w:val="BodyText"/>
        <w:rPr>
          <w:sz w:val="20"/>
        </w:rPr>
      </w:pPr>
    </w:p>
    <w:p w14:paraId="1C34EA68" w14:textId="77777777" w:rsidR="004C558F" w:rsidRDefault="004C558F">
      <w:pPr>
        <w:pStyle w:val="BodyText"/>
        <w:rPr>
          <w:sz w:val="20"/>
        </w:rPr>
      </w:pPr>
    </w:p>
    <w:p w14:paraId="1C34EA69" w14:textId="77777777" w:rsidR="004C558F" w:rsidRDefault="004C558F">
      <w:pPr>
        <w:pStyle w:val="BodyText"/>
        <w:rPr>
          <w:sz w:val="20"/>
        </w:rPr>
      </w:pPr>
    </w:p>
    <w:p w14:paraId="1C34EA6A" w14:textId="77777777" w:rsidR="004C558F" w:rsidRDefault="004C558F">
      <w:pPr>
        <w:pStyle w:val="BodyText"/>
        <w:rPr>
          <w:sz w:val="20"/>
        </w:rPr>
      </w:pPr>
    </w:p>
    <w:p w14:paraId="1C34EA6B" w14:textId="77777777" w:rsidR="004C558F" w:rsidRDefault="004C558F">
      <w:pPr>
        <w:pStyle w:val="BodyText"/>
        <w:rPr>
          <w:sz w:val="20"/>
        </w:rPr>
      </w:pPr>
    </w:p>
    <w:p w14:paraId="1C34EA6C" w14:textId="77777777" w:rsidR="004C558F" w:rsidRDefault="004C558F">
      <w:pPr>
        <w:pStyle w:val="BodyText"/>
        <w:rPr>
          <w:sz w:val="20"/>
        </w:rPr>
      </w:pPr>
    </w:p>
    <w:p w14:paraId="1C34EA6D" w14:textId="77777777" w:rsidR="004C558F" w:rsidRDefault="004C558F">
      <w:pPr>
        <w:pStyle w:val="BodyText"/>
        <w:rPr>
          <w:sz w:val="20"/>
        </w:rPr>
      </w:pPr>
    </w:p>
    <w:p w14:paraId="1C34EA6E" w14:textId="77777777" w:rsidR="004C558F" w:rsidRDefault="004C558F">
      <w:pPr>
        <w:pStyle w:val="BodyText"/>
        <w:rPr>
          <w:sz w:val="20"/>
        </w:rPr>
      </w:pPr>
    </w:p>
    <w:p w14:paraId="1C34EA6F" w14:textId="77777777" w:rsidR="004C558F" w:rsidRDefault="004C558F">
      <w:pPr>
        <w:pStyle w:val="BodyText"/>
        <w:rPr>
          <w:sz w:val="20"/>
        </w:rPr>
      </w:pPr>
    </w:p>
    <w:p w14:paraId="1C34EA70" w14:textId="77777777" w:rsidR="004C558F" w:rsidRDefault="004C558F">
      <w:pPr>
        <w:pStyle w:val="BodyText"/>
        <w:rPr>
          <w:sz w:val="20"/>
        </w:rPr>
      </w:pPr>
    </w:p>
    <w:p w14:paraId="1C34EA71" w14:textId="77777777" w:rsidR="004C558F" w:rsidRDefault="004C558F">
      <w:pPr>
        <w:pStyle w:val="BodyText"/>
        <w:rPr>
          <w:sz w:val="20"/>
        </w:rPr>
      </w:pPr>
    </w:p>
    <w:p w14:paraId="1C34EA72" w14:textId="77777777" w:rsidR="004C558F" w:rsidRDefault="004C558F">
      <w:pPr>
        <w:pStyle w:val="BodyText"/>
        <w:rPr>
          <w:sz w:val="20"/>
        </w:rPr>
      </w:pPr>
    </w:p>
    <w:p w14:paraId="1C34EA73" w14:textId="77777777" w:rsidR="004C558F" w:rsidRDefault="004C558F">
      <w:pPr>
        <w:pStyle w:val="BodyText"/>
        <w:rPr>
          <w:sz w:val="20"/>
        </w:rPr>
      </w:pPr>
    </w:p>
    <w:p w14:paraId="1C34EA74" w14:textId="77777777" w:rsidR="004C558F" w:rsidRDefault="004C558F">
      <w:pPr>
        <w:pStyle w:val="BodyText"/>
        <w:rPr>
          <w:sz w:val="20"/>
        </w:rPr>
      </w:pPr>
    </w:p>
    <w:p w14:paraId="1C34EA75" w14:textId="77777777" w:rsidR="004C558F" w:rsidRDefault="004C558F">
      <w:pPr>
        <w:pStyle w:val="BodyText"/>
        <w:rPr>
          <w:sz w:val="20"/>
        </w:rPr>
      </w:pPr>
    </w:p>
    <w:p w14:paraId="1C34EA76" w14:textId="20C20A09" w:rsidR="004C558F" w:rsidRDefault="004C558F">
      <w:pPr>
        <w:pStyle w:val="BodyText"/>
        <w:spacing w:before="43"/>
        <w:rPr>
          <w:sz w:val="20"/>
        </w:rPr>
      </w:pPr>
    </w:p>
    <w:p w14:paraId="1C34EA78" w14:textId="77777777" w:rsidR="004C558F" w:rsidRDefault="004C558F">
      <w:pPr>
        <w:rPr>
          <w:sz w:val="20"/>
        </w:rPr>
        <w:sectPr w:rsidR="004C558F">
          <w:pgSz w:w="12240" w:h="15840"/>
          <w:pgMar w:top="1360" w:right="740" w:bottom="720" w:left="480" w:header="0" w:footer="521" w:gutter="0"/>
          <w:cols w:space="720"/>
        </w:sectPr>
      </w:pPr>
      <w:bookmarkStart w:id="198" w:name="_bookmark239"/>
      <w:bookmarkEnd w:id="198"/>
    </w:p>
    <w:p w14:paraId="1C34EA79" w14:textId="77777777" w:rsidR="004C558F" w:rsidRDefault="004C558F">
      <w:pPr>
        <w:pStyle w:val="BodyText"/>
        <w:spacing w:before="110"/>
      </w:pPr>
    </w:p>
    <w:p w14:paraId="1C34EA7A" w14:textId="1D18D7A0" w:rsidR="004C558F" w:rsidRDefault="00461887">
      <w:pPr>
        <w:pStyle w:val="BodyText"/>
        <w:ind w:left="139" w:right="146"/>
        <w:jc w:val="center"/>
      </w:pPr>
      <w:r>
        <w:rPr>
          <w:u w:val="single"/>
        </w:rPr>
        <w:t>Key</w:t>
      </w:r>
      <w:r>
        <w:rPr>
          <w:spacing w:val="-7"/>
          <w:u w:val="single"/>
        </w:rPr>
        <w:t xml:space="preserve"> </w:t>
      </w:r>
      <w:r>
        <w:rPr>
          <w:u w:val="single"/>
        </w:rPr>
        <w:t>Disparities</w:t>
      </w:r>
      <w:r>
        <w:rPr>
          <w:spacing w:val="-4"/>
          <w:u w:val="single"/>
        </w:rPr>
        <w:t xml:space="preserve"> </w:t>
      </w:r>
      <w:r>
        <w:rPr>
          <w:u w:val="single"/>
        </w:rPr>
        <w:t>in</w:t>
      </w:r>
      <w:r>
        <w:rPr>
          <w:spacing w:val="-3"/>
          <w:u w:val="single"/>
        </w:rPr>
        <w:t xml:space="preserve"> </w:t>
      </w:r>
      <w:r>
        <w:rPr>
          <w:u w:val="single"/>
        </w:rPr>
        <w:t>Cancer</w:t>
      </w:r>
      <w:r>
        <w:rPr>
          <w:spacing w:val="-5"/>
          <w:u w:val="single"/>
        </w:rPr>
        <w:t xml:space="preserve"> </w:t>
      </w:r>
      <w:r>
        <w:rPr>
          <w:u w:val="single"/>
        </w:rPr>
        <w:t>Incidence,</w:t>
      </w:r>
      <w:r>
        <w:rPr>
          <w:spacing w:val="-3"/>
          <w:u w:val="single"/>
        </w:rPr>
        <w:t xml:space="preserve"> </w:t>
      </w:r>
      <w:r>
        <w:rPr>
          <w:u w:val="single"/>
        </w:rPr>
        <w:t>Care,</w:t>
      </w:r>
      <w:r>
        <w:rPr>
          <w:spacing w:val="-7"/>
          <w:u w:val="single"/>
        </w:rPr>
        <w:t xml:space="preserve"> </w:t>
      </w:r>
      <w:r>
        <w:rPr>
          <w:u w:val="single"/>
        </w:rPr>
        <w:t>and</w:t>
      </w:r>
      <w:r>
        <w:rPr>
          <w:spacing w:val="-2"/>
          <w:u w:val="single"/>
        </w:rPr>
        <w:t xml:space="preserve"> </w:t>
      </w:r>
      <w:r>
        <w:rPr>
          <w:u w:val="single"/>
        </w:rPr>
        <w:t>Outcomes</w:t>
      </w:r>
      <w:r>
        <w:rPr>
          <w:spacing w:val="-6"/>
          <w:u w:val="single"/>
        </w:rPr>
        <w:t xml:space="preserve"> </w:t>
      </w:r>
      <w:r>
        <w:rPr>
          <w:u w:val="single"/>
        </w:rPr>
        <w:t>Based</w:t>
      </w:r>
      <w:r>
        <w:rPr>
          <w:spacing w:val="-5"/>
          <w:u w:val="single"/>
        </w:rPr>
        <w:t xml:space="preserve"> </w:t>
      </w:r>
      <w:r>
        <w:rPr>
          <w:u w:val="single"/>
        </w:rPr>
        <w:t>on</w:t>
      </w:r>
      <w:r>
        <w:rPr>
          <w:spacing w:val="-4"/>
          <w:u w:val="single"/>
        </w:rPr>
        <w:t xml:space="preserve"> </w:t>
      </w:r>
      <w:r>
        <w:rPr>
          <w:u w:val="single"/>
        </w:rPr>
        <w:t>Research</w:t>
      </w:r>
      <w:r>
        <w:rPr>
          <w:spacing w:val="-3"/>
          <w:u w:val="single"/>
        </w:rPr>
        <w:t xml:space="preserve"> </w:t>
      </w:r>
      <w:r>
        <w:rPr>
          <w:spacing w:val="-2"/>
          <w:u w:val="single"/>
        </w:rPr>
        <w:t>Literature</w:t>
      </w:r>
    </w:p>
    <w:p w14:paraId="1C34EA7B" w14:textId="77777777" w:rsidR="004C558F" w:rsidRDefault="004C558F">
      <w:pPr>
        <w:pStyle w:val="BodyText"/>
        <w:spacing w:before="216"/>
      </w:pPr>
    </w:p>
    <w:p w14:paraId="1C34EA7C" w14:textId="77777777" w:rsidR="004C558F" w:rsidRDefault="00461887">
      <w:pPr>
        <w:pStyle w:val="BodyText"/>
        <w:spacing w:before="1"/>
        <w:ind w:left="1680"/>
      </w:pPr>
      <w:r>
        <w:t>Payer</w:t>
      </w:r>
      <w:r>
        <w:rPr>
          <w:spacing w:val="-4"/>
        </w:rPr>
        <w:t xml:space="preserve"> </w:t>
      </w:r>
      <w:r>
        <w:rPr>
          <w:spacing w:val="-5"/>
        </w:rPr>
        <w:t>Mix</w:t>
      </w:r>
    </w:p>
    <w:p w14:paraId="1C34EA7D" w14:textId="5EF0E514" w:rsidR="004C558F" w:rsidRDefault="00461887">
      <w:pPr>
        <w:pStyle w:val="ListParagraph"/>
        <w:numPr>
          <w:ilvl w:val="0"/>
          <w:numId w:val="8"/>
        </w:numPr>
        <w:tabs>
          <w:tab w:val="left" w:pos="2398"/>
          <w:tab w:val="left" w:pos="2400"/>
        </w:tabs>
        <w:spacing w:before="38" w:line="266" w:lineRule="auto"/>
        <w:ind w:right="1514"/>
        <w:rPr>
          <w:sz w:val="14"/>
        </w:rPr>
      </w:pPr>
      <w:r>
        <w:t>Providers serving high proportions of oncology patients insured by Medicaid function</w:t>
      </w:r>
      <w:r>
        <w:rPr>
          <w:spacing w:val="-5"/>
        </w:rPr>
        <w:t xml:space="preserve"> </w:t>
      </w:r>
      <w:r>
        <w:t>as</w:t>
      </w:r>
      <w:r>
        <w:rPr>
          <w:spacing w:val="-3"/>
        </w:rPr>
        <w:t xml:space="preserve"> </w:t>
      </w:r>
      <w:r>
        <w:t>important</w:t>
      </w:r>
      <w:r>
        <w:rPr>
          <w:spacing w:val="-4"/>
        </w:rPr>
        <w:t xml:space="preserve"> </w:t>
      </w:r>
      <w:r>
        <w:t>points</w:t>
      </w:r>
      <w:r>
        <w:rPr>
          <w:spacing w:val="-3"/>
        </w:rPr>
        <w:t xml:space="preserve"> </w:t>
      </w:r>
      <w:r>
        <w:t>of</w:t>
      </w:r>
      <w:r>
        <w:rPr>
          <w:spacing w:val="-5"/>
        </w:rPr>
        <w:t xml:space="preserve"> </w:t>
      </w:r>
      <w:r>
        <w:t>access</w:t>
      </w:r>
      <w:r>
        <w:rPr>
          <w:spacing w:val="-3"/>
        </w:rPr>
        <w:t xml:space="preserve"> </w:t>
      </w:r>
      <w:r>
        <w:t>for</w:t>
      </w:r>
      <w:r>
        <w:rPr>
          <w:spacing w:val="-4"/>
        </w:rPr>
        <w:t xml:space="preserve"> </w:t>
      </w:r>
      <w:r>
        <w:t>patients</w:t>
      </w:r>
      <w:r>
        <w:rPr>
          <w:spacing w:val="-3"/>
        </w:rPr>
        <w:t xml:space="preserve"> </w:t>
      </w:r>
      <w:r>
        <w:t>who</w:t>
      </w:r>
      <w:r>
        <w:rPr>
          <w:spacing w:val="-3"/>
        </w:rPr>
        <w:t xml:space="preserve"> </w:t>
      </w:r>
      <w:r>
        <w:t>often</w:t>
      </w:r>
      <w:r>
        <w:rPr>
          <w:spacing w:val="-5"/>
        </w:rPr>
        <w:t xml:space="preserve"> </w:t>
      </w:r>
      <w:r>
        <w:t>face</w:t>
      </w:r>
      <w:r>
        <w:rPr>
          <w:spacing w:val="-3"/>
        </w:rPr>
        <w:t xml:space="preserve"> </w:t>
      </w:r>
      <w:r>
        <w:t>barriers</w:t>
      </w:r>
      <w:r>
        <w:rPr>
          <w:spacing w:val="-3"/>
        </w:rPr>
        <w:t xml:space="preserve"> </w:t>
      </w:r>
      <w:r>
        <w:t>to obtaining car</w:t>
      </w:r>
      <w:bookmarkStart w:id="199" w:name="_bookmark240"/>
      <w:bookmarkEnd w:id="199"/>
      <w:r>
        <w:t>e</w:t>
      </w:r>
      <w:r w:rsidR="00667703">
        <w:rPr>
          <w:rStyle w:val="FootnoteReference"/>
        </w:rPr>
        <w:footnoteReference w:id="210"/>
      </w:r>
      <w:r>
        <w:rPr>
          <w:spacing w:val="24"/>
          <w:position w:val="5"/>
          <w:sz w:val="14"/>
        </w:rPr>
        <w:t xml:space="preserve"> </w:t>
      </w:r>
      <w:r>
        <w:t>or disproportionately high morbidity and mortality rates.</w:t>
      </w:r>
      <w:r>
        <w:rPr>
          <w:spacing w:val="-35"/>
        </w:rPr>
        <w:t xml:space="preserve"> </w:t>
      </w:r>
      <w:r w:rsidR="00670F0B">
        <w:rPr>
          <w:rStyle w:val="FootnoteReference"/>
          <w:spacing w:val="-35"/>
        </w:rPr>
        <w:footnoteReference w:id="211"/>
      </w:r>
    </w:p>
    <w:p w14:paraId="1C34EA7E" w14:textId="073BD583" w:rsidR="004C558F" w:rsidRDefault="00461887">
      <w:pPr>
        <w:pStyle w:val="ListParagraph"/>
        <w:numPr>
          <w:ilvl w:val="0"/>
          <w:numId w:val="8"/>
        </w:numPr>
        <w:tabs>
          <w:tab w:val="left" w:pos="2399"/>
        </w:tabs>
        <w:spacing w:before="70" w:line="271" w:lineRule="auto"/>
        <w:ind w:left="2399" w:right="1258" w:hanging="360"/>
        <w:rPr>
          <w:sz w:val="14"/>
        </w:rPr>
      </w:pPr>
      <w:r>
        <w:t>A provider’s payer mix may impact its financial and quality performance due to lower payments by government payers relative to commercial payers</w:t>
      </w:r>
      <w:r>
        <w:rPr>
          <w:spacing w:val="-32"/>
        </w:rPr>
        <w:t xml:space="preserve"> </w:t>
      </w:r>
      <w:r w:rsidR="00670F0B">
        <w:rPr>
          <w:rStyle w:val="FootnoteReference"/>
          <w:spacing w:val="-32"/>
        </w:rPr>
        <w:footnoteReference w:id="212"/>
      </w:r>
      <w:r>
        <w:rPr>
          <w:spacing w:val="34"/>
          <w:position w:val="5"/>
          <w:sz w:val="14"/>
        </w:rPr>
        <w:t xml:space="preserve"> </w:t>
      </w:r>
      <w:r>
        <w:t>and socioeconomic</w:t>
      </w:r>
      <w:r>
        <w:rPr>
          <w:spacing w:val="-5"/>
        </w:rPr>
        <w:t xml:space="preserve"> </w:t>
      </w:r>
      <w:r>
        <w:t>factors</w:t>
      </w:r>
      <w:r>
        <w:rPr>
          <w:spacing w:val="-5"/>
        </w:rPr>
        <w:t xml:space="preserve"> </w:t>
      </w:r>
      <w:r>
        <w:t>that</w:t>
      </w:r>
      <w:r>
        <w:rPr>
          <w:spacing w:val="-5"/>
        </w:rPr>
        <w:t xml:space="preserve"> </w:t>
      </w:r>
      <w:r>
        <w:t>disproportionately</w:t>
      </w:r>
      <w:r>
        <w:rPr>
          <w:spacing w:val="-5"/>
        </w:rPr>
        <w:t xml:space="preserve"> </w:t>
      </w:r>
      <w:r>
        <w:t>impact</w:t>
      </w:r>
      <w:r>
        <w:rPr>
          <w:spacing w:val="-5"/>
        </w:rPr>
        <w:t xml:space="preserve"> </w:t>
      </w:r>
      <w:r>
        <w:t>the</w:t>
      </w:r>
      <w:r>
        <w:rPr>
          <w:spacing w:val="-5"/>
        </w:rPr>
        <w:t xml:space="preserve"> </w:t>
      </w:r>
      <w:r>
        <w:t>complexity</w:t>
      </w:r>
      <w:r>
        <w:rPr>
          <w:spacing w:val="-5"/>
        </w:rPr>
        <w:t xml:space="preserve"> </w:t>
      </w:r>
      <w:r>
        <w:t>and</w:t>
      </w:r>
      <w:r>
        <w:rPr>
          <w:spacing w:val="-6"/>
        </w:rPr>
        <w:t xml:space="preserve"> </w:t>
      </w:r>
      <w:r>
        <w:t>health outcomes of government payer patients. This can incentivize providers to try to attract commercial patients rather than focusing on Medicaid patients.</w:t>
      </w:r>
      <w:r w:rsidR="00670F0B">
        <w:rPr>
          <w:rStyle w:val="FootnoteReference"/>
        </w:rPr>
        <w:footnoteReference w:id="213"/>
      </w:r>
      <w:r w:rsidR="00670F0B">
        <w:rPr>
          <w:sz w:val="14"/>
        </w:rPr>
        <w:t xml:space="preserve"> </w:t>
      </w:r>
    </w:p>
    <w:p w14:paraId="1C34EA7F" w14:textId="77777777" w:rsidR="004C558F" w:rsidRDefault="004C558F">
      <w:pPr>
        <w:pStyle w:val="BodyText"/>
        <w:spacing w:before="106"/>
      </w:pPr>
    </w:p>
    <w:p w14:paraId="1C34EA80" w14:textId="77777777" w:rsidR="004C558F" w:rsidRDefault="00461887">
      <w:pPr>
        <w:pStyle w:val="BodyText"/>
        <w:spacing w:before="1"/>
        <w:ind w:left="1680"/>
      </w:pPr>
      <w:r>
        <w:t>Social</w:t>
      </w:r>
      <w:r>
        <w:rPr>
          <w:spacing w:val="-5"/>
        </w:rPr>
        <w:t xml:space="preserve"> </w:t>
      </w:r>
      <w:r>
        <w:t>Determinants</w:t>
      </w:r>
      <w:r>
        <w:rPr>
          <w:spacing w:val="-4"/>
        </w:rPr>
        <w:t xml:space="preserve"> </w:t>
      </w:r>
      <w:r>
        <w:t>of</w:t>
      </w:r>
      <w:r>
        <w:rPr>
          <w:spacing w:val="-3"/>
        </w:rPr>
        <w:t xml:space="preserve"> </w:t>
      </w:r>
      <w:r>
        <w:rPr>
          <w:spacing w:val="-2"/>
        </w:rPr>
        <w:t>Health</w:t>
      </w:r>
    </w:p>
    <w:p w14:paraId="1C34EA81" w14:textId="5F8E295E" w:rsidR="004C558F" w:rsidRDefault="00461887">
      <w:pPr>
        <w:pStyle w:val="ListParagraph"/>
        <w:numPr>
          <w:ilvl w:val="0"/>
          <w:numId w:val="8"/>
        </w:numPr>
        <w:tabs>
          <w:tab w:val="left" w:pos="2398"/>
          <w:tab w:val="left" w:pos="2400"/>
        </w:tabs>
        <w:spacing w:before="96" w:line="259" w:lineRule="auto"/>
        <w:ind w:right="987"/>
      </w:pPr>
      <w:r>
        <w:t>Individuals</w:t>
      </w:r>
      <w:r>
        <w:rPr>
          <w:spacing w:val="-3"/>
        </w:rPr>
        <w:t xml:space="preserve"> </w:t>
      </w:r>
      <w:r>
        <w:t>with</w:t>
      </w:r>
      <w:r>
        <w:rPr>
          <w:spacing w:val="-3"/>
        </w:rPr>
        <w:t xml:space="preserve"> </w:t>
      </w:r>
      <w:r>
        <w:t>greater</w:t>
      </w:r>
      <w:r>
        <w:rPr>
          <w:spacing w:val="-4"/>
        </w:rPr>
        <w:t xml:space="preserve"> </w:t>
      </w:r>
      <w:r>
        <w:t>burden</w:t>
      </w:r>
      <w:r>
        <w:rPr>
          <w:spacing w:val="-5"/>
        </w:rPr>
        <w:t xml:space="preserve"> </w:t>
      </w:r>
      <w:r>
        <w:t>from</w:t>
      </w:r>
      <w:r>
        <w:rPr>
          <w:spacing w:val="-5"/>
        </w:rPr>
        <w:t xml:space="preserve"> </w:t>
      </w:r>
      <w:r>
        <w:t>social</w:t>
      </w:r>
      <w:r>
        <w:rPr>
          <w:spacing w:val="-4"/>
        </w:rPr>
        <w:t xml:space="preserve"> </w:t>
      </w:r>
      <w:r>
        <w:t>determinants</w:t>
      </w:r>
      <w:r>
        <w:rPr>
          <w:spacing w:val="-5"/>
        </w:rPr>
        <w:t xml:space="preserve"> </w:t>
      </w:r>
      <w:r>
        <w:t>of</w:t>
      </w:r>
      <w:r>
        <w:rPr>
          <w:spacing w:val="-5"/>
        </w:rPr>
        <w:t xml:space="preserve"> </w:t>
      </w:r>
      <w:r>
        <w:t>health,</w:t>
      </w:r>
      <w:r>
        <w:rPr>
          <w:spacing w:val="-3"/>
        </w:rPr>
        <w:t xml:space="preserve"> </w:t>
      </w:r>
      <w:r>
        <w:t>including</w:t>
      </w:r>
      <w:r>
        <w:rPr>
          <w:spacing w:val="-4"/>
        </w:rPr>
        <w:t xml:space="preserve"> </w:t>
      </w:r>
      <w:r>
        <w:t>lower socioeconomic status, have higher mortality</w:t>
      </w:r>
      <w:r w:rsidR="00670F0B">
        <w:rPr>
          <w:rStyle w:val="FootnoteReference"/>
        </w:rPr>
        <w:footnoteReference w:id="214"/>
      </w:r>
      <w:r>
        <w:rPr>
          <w:spacing w:val="39"/>
          <w:position w:val="5"/>
          <w:sz w:val="14"/>
        </w:rPr>
        <w:t xml:space="preserve"> </w:t>
      </w:r>
      <w:r>
        <w:t xml:space="preserve">and rates of </w:t>
      </w:r>
      <w:proofErr w:type="gramStart"/>
      <w:r>
        <w:t>late-stage</w:t>
      </w:r>
      <w:proofErr w:type="gramEnd"/>
    </w:p>
    <w:p w14:paraId="1C34EA82" w14:textId="2BE05A95" w:rsidR="004C558F" w:rsidRDefault="00461887">
      <w:pPr>
        <w:pStyle w:val="BodyText"/>
        <w:spacing w:before="16"/>
        <w:ind w:left="2400"/>
      </w:pPr>
      <w:r>
        <w:t>diagnoses</w:t>
      </w:r>
      <w:r>
        <w:rPr>
          <w:spacing w:val="-36"/>
        </w:rPr>
        <w:t xml:space="preserve"> </w:t>
      </w:r>
      <w:r w:rsidR="00670F0B">
        <w:rPr>
          <w:rStyle w:val="FootnoteReference"/>
          <w:spacing w:val="-36"/>
        </w:rPr>
        <w:footnoteReference w:id="215"/>
      </w:r>
      <w:r>
        <w:rPr>
          <w:spacing w:val="14"/>
          <w:position w:val="5"/>
          <w:sz w:val="14"/>
        </w:rPr>
        <w:t xml:space="preserve"> </w:t>
      </w:r>
      <w:r>
        <w:t>than</w:t>
      </w:r>
      <w:r>
        <w:rPr>
          <w:spacing w:val="-5"/>
        </w:rPr>
        <w:t xml:space="preserve"> </w:t>
      </w:r>
      <w:r>
        <w:t>their</w:t>
      </w:r>
      <w:r>
        <w:rPr>
          <w:spacing w:val="-5"/>
        </w:rPr>
        <w:t xml:space="preserve"> </w:t>
      </w:r>
      <w:r>
        <w:rPr>
          <w:spacing w:val="-2"/>
        </w:rPr>
        <w:t>counterparts.</w:t>
      </w:r>
    </w:p>
    <w:p w14:paraId="1C34EA83" w14:textId="7511B210" w:rsidR="004C558F" w:rsidRDefault="00461887">
      <w:pPr>
        <w:pStyle w:val="ListParagraph"/>
        <w:numPr>
          <w:ilvl w:val="0"/>
          <w:numId w:val="8"/>
        </w:numPr>
        <w:tabs>
          <w:tab w:val="left" w:pos="2398"/>
          <w:tab w:val="left" w:pos="2400"/>
        </w:tabs>
        <w:spacing w:before="99" w:line="271" w:lineRule="auto"/>
        <w:ind w:right="991"/>
        <w:rPr>
          <w:sz w:val="14"/>
        </w:rPr>
      </w:pPr>
      <w:r>
        <w:t>Per the American Cancer Society’s 2023 report cancer disparities, racial, ethnic, and</w:t>
      </w:r>
      <w:r>
        <w:rPr>
          <w:spacing w:val="-5"/>
        </w:rPr>
        <w:t xml:space="preserve"> </w:t>
      </w:r>
      <w:r>
        <w:t>geographic</w:t>
      </w:r>
      <w:r>
        <w:rPr>
          <w:spacing w:val="-5"/>
        </w:rPr>
        <w:t xml:space="preserve"> </w:t>
      </w:r>
      <w:r>
        <w:t>cancer</w:t>
      </w:r>
      <w:r>
        <w:rPr>
          <w:spacing w:val="-6"/>
        </w:rPr>
        <w:t xml:space="preserve"> </w:t>
      </w:r>
      <w:r>
        <w:t>disparities</w:t>
      </w:r>
      <w:r>
        <w:rPr>
          <w:spacing w:val="-3"/>
        </w:rPr>
        <w:t xml:space="preserve"> </w:t>
      </w:r>
      <w:r>
        <w:t>align</w:t>
      </w:r>
      <w:r>
        <w:rPr>
          <w:spacing w:val="-3"/>
        </w:rPr>
        <w:t xml:space="preserve"> </w:t>
      </w:r>
      <w:r>
        <w:t>with</w:t>
      </w:r>
      <w:r>
        <w:rPr>
          <w:spacing w:val="-3"/>
        </w:rPr>
        <w:t xml:space="preserve"> </w:t>
      </w:r>
      <w:r>
        <w:t>“disparities</w:t>
      </w:r>
      <w:r>
        <w:rPr>
          <w:spacing w:val="-3"/>
        </w:rPr>
        <w:t xml:space="preserve"> </w:t>
      </w:r>
      <w:r>
        <w:t>in</w:t>
      </w:r>
      <w:r>
        <w:rPr>
          <w:spacing w:val="-3"/>
        </w:rPr>
        <w:t xml:space="preserve"> </w:t>
      </w:r>
      <w:r>
        <w:t>exposure</w:t>
      </w:r>
      <w:r>
        <w:rPr>
          <w:spacing w:val="-3"/>
        </w:rPr>
        <w:t xml:space="preserve"> </w:t>
      </w:r>
      <w:r>
        <w:t>to</w:t>
      </w:r>
      <w:r>
        <w:rPr>
          <w:spacing w:val="-3"/>
        </w:rPr>
        <w:t xml:space="preserve"> </w:t>
      </w:r>
      <w:r>
        <w:t>risk</w:t>
      </w:r>
      <w:r>
        <w:rPr>
          <w:spacing w:val="-6"/>
        </w:rPr>
        <w:t xml:space="preserve"> </w:t>
      </w:r>
      <w:r>
        <w:t>factors and</w:t>
      </w:r>
      <w:r>
        <w:rPr>
          <w:spacing w:val="-2"/>
        </w:rPr>
        <w:t xml:space="preserve"> </w:t>
      </w:r>
      <w:r>
        <w:t>access to</w:t>
      </w:r>
      <w:r>
        <w:rPr>
          <w:spacing w:val="-2"/>
        </w:rPr>
        <w:t xml:space="preserve"> </w:t>
      </w:r>
      <w:r>
        <w:t>cancer</w:t>
      </w:r>
      <w:r>
        <w:rPr>
          <w:spacing w:val="-1"/>
        </w:rPr>
        <w:t xml:space="preserve"> </w:t>
      </w:r>
      <w:r>
        <w:t>prevention, early</w:t>
      </w:r>
      <w:r>
        <w:rPr>
          <w:spacing w:val="-1"/>
        </w:rPr>
        <w:t xml:space="preserve"> </w:t>
      </w:r>
      <w:r>
        <w:t>detection, and treatment, which</w:t>
      </w:r>
      <w:r>
        <w:rPr>
          <w:spacing w:val="-2"/>
        </w:rPr>
        <w:t xml:space="preserve"> </w:t>
      </w:r>
      <w:r>
        <w:t>are largely rooted in fundamental inequities in social determinants of health in social determinants of health.</w:t>
      </w:r>
      <w:bookmarkStart w:id="200" w:name="_bookmark241"/>
      <w:bookmarkEnd w:id="200"/>
      <w:r>
        <w:t>”</w:t>
      </w:r>
      <w:r w:rsidR="00670F0B">
        <w:rPr>
          <w:rStyle w:val="FootnoteReference"/>
        </w:rPr>
        <w:footnoteReference w:id="216"/>
      </w:r>
      <w:r w:rsidR="00670F0B">
        <w:rPr>
          <w:sz w:val="14"/>
        </w:rPr>
        <w:t xml:space="preserve"> </w:t>
      </w:r>
    </w:p>
    <w:p w14:paraId="1C34EA84" w14:textId="77777777" w:rsidR="004C558F" w:rsidRDefault="004C558F">
      <w:pPr>
        <w:pStyle w:val="BodyText"/>
        <w:rPr>
          <w:sz w:val="20"/>
        </w:rPr>
      </w:pPr>
    </w:p>
    <w:p w14:paraId="1C34EA85" w14:textId="77777777" w:rsidR="004C558F" w:rsidRDefault="004C558F">
      <w:pPr>
        <w:pStyle w:val="BodyText"/>
        <w:rPr>
          <w:sz w:val="20"/>
        </w:rPr>
      </w:pPr>
    </w:p>
    <w:p w14:paraId="1C34EA86" w14:textId="77777777" w:rsidR="004C558F" w:rsidRDefault="004C558F">
      <w:pPr>
        <w:pStyle w:val="BodyText"/>
        <w:rPr>
          <w:sz w:val="20"/>
        </w:rPr>
      </w:pPr>
    </w:p>
    <w:p w14:paraId="1C34EA87" w14:textId="77777777" w:rsidR="004C558F" w:rsidRDefault="004C558F">
      <w:pPr>
        <w:pStyle w:val="BodyText"/>
        <w:rPr>
          <w:sz w:val="20"/>
        </w:rPr>
      </w:pPr>
    </w:p>
    <w:p w14:paraId="1C34EA88" w14:textId="77777777" w:rsidR="004C558F" w:rsidRDefault="004C558F">
      <w:pPr>
        <w:pStyle w:val="BodyText"/>
        <w:rPr>
          <w:sz w:val="20"/>
        </w:rPr>
      </w:pPr>
    </w:p>
    <w:p w14:paraId="1C34EA89" w14:textId="77777777" w:rsidR="004C558F" w:rsidRDefault="004C558F">
      <w:pPr>
        <w:pStyle w:val="BodyText"/>
        <w:rPr>
          <w:sz w:val="20"/>
        </w:rPr>
      </w:pPr>
    </w:p>
    <w:p w14:paraId="1C34EA8A" w14:textId="77777777" w:rsidR="004C558F" w:rsidRDefault="004C558F">
      <w:pPr>
        <w:pStyle w:val="BodyText"/>
        <w:rPr>
          <w:sz w:val="20"/>
        </w:rPr>
      </w:pPr>
    </w:p>
    <w:p w14:paraId="1C34EA8B" w14:textId="1A35C69C" w:rsidR="004C558F" w:rsidRDefault="004C558F">
      <w:pPr>
        <w:pStyle w:val="BodyText"/>
        <w:spacing w:before="80"/>
        <w:rPr>
          <w:sz w:val="20"/>
        </w:rPr>
      </w:pPr>
    </w:p>
    <w:p w14:paraId="1C34EA96" w14:textId="77777777" w:rsidR="004C558F" w:rsidRDefault="004C558F">
      <w:pPr>
        <w:rPr>
          <w:sz w:val="20"/>
        </w:rPr>
        <w:sectPr w:rsidR="004C558F">
          <w:pgSz w:w="12240" w:h="15840"/>
          <w:pgMar w:top="1080" w:right="740" w:bottom="720" w:left="480" w:header="0" w:footer="521" w:gutter="0"/>
          <w:cols w:space="720"/>
        </w:sectPr>
      </w:pPr>
      <w:bookmarkStart w:id="201" w:name="_bookmark242"/>
      <w:bookmarkStart w:id="202" w:name="_bookmark245"/>
      <w:bookmarkStart w:id="203" w:name="_bookmark246"/>
      <w:bookmarkStart w:id="204" w:name="_bookmark248"/>
      <w:bookmarkEnd w:id="201"/>
      <w:bookmarkEnd w:id="202"/>
      <w:bookmarkEnd w:id="203"/>
      <w:bookmarkEnd w:id="204"/>
    </w:p>
    <w:p w14:paraId="1C34EA97" w14:textId="77777777" w:rsidR="004C558F" w:rsidRDefault="004C558F">
      <w:pPr>
        <w:pStyle w:val="BodyText"/>
      </w:pPr>
    </w:p>
    <w:p w14:paraId="1C34EA98" w14:textId="77777777" w:rsidR="004C558F" w:rsidRDefault="004C558F">
      <w:pPr>
        <w:pStyle w:val="BodyText"/>
        <w:spacing w:before="181"/>
      </w:pPr>
    </w:p>
    <w:p w14:paraId="1C34EA99" w14:textId="39E84D59" w:rsidR="004C558F" w:rsidRDefault="00461887">
      <w:pPr>
        <w:pStyle w:val="BodyText"/>
        <w:ind w:left="1680"/>
      </w:pPr>
      <w:r>
        <w:rPr>
          <w:spacing w:val="-2"/>
        </w:rPr>
        <w:t>Race/Ethnicity</w:t>
      </w:r>
    </w:p>
    <w:p w14:paraId="1C34EA9A" w14:textId="5805853F" w:rsidR="004C558F" w:rsidRDefault="00461887">
      <w:pPr>
        <w:pStyle w:val="ListParagraph"/>
        <w:numPr>
          <w:ilvl w:val="0"/>
          <w:numId w:val="8"/>
        </w:numPr>
        <w:tabs>
          <w:tab w:val="left" w:pos="2398"/>
          <w:tab w:val="left" w:pos="2400"/>
        </w:tabs>
        <w:spacing w:before="98" w:line="266" w:lineRule="auto"/>
        <w:ind w:right="979"/>
        <w:rPr>
          <w:sz w:val="14"/>
        </w:rPr>
      </w:pPr>
      <w:r>
        <w:t>In Boston, Black individuals have higher cancer incidence, mortality, and premature</w:t>
      </w:r>
      <w:r>
        <w:rPr>
          <w:spacing w:val="-4"/>
        </w:rPr>
        <w:t xml:space="preserve"> </w:t>
      </w:r>
      <w:r>
        <w:t>mortality</w:t>
      </w:r>
      <w:r>
        <w:rPr>
          <w:spacing w:val="-4"/>
        </w:rPr>
        <w:t xml:space="preserve"> </w:t>
      </w:r>
      <w:r>
        <w:t>rates</w:t>
      </w:r>
      <w:r>
        <w:rPr>
          <w:spacing w:val="-4"/>
        </w:rPr>
        <w:t xml:space="preserve"> </w:t>
      </w:r>
      <w:r>
        <w:t>across</w:t>
      </w:r>
      <w:r>
        <w:rPr>
          <w:spacing w:val="-4"/>
        </w:rPr>
        <w:t xml:space="preserve"> </w:t>
      </w:r>
      <w:r>
        <w:t>all</w:t>
      </w:r>
      <w:r>
        <w:rPr>
          <w:spacing w:val="-4"/>
        </w:rPr>
        <w:t xml:space="preserve"> </w:t>
      </w:r>
      <w:r>
        <w:t>invasive</w:t>
      </w:r>
      <w:r>
        <w:rPr>
          <w:spacing w:val="-4"/>
        </w:rPr>
        <w:t xml:space="preserve"> </w:t>
      </w:r>
      <w:r>
        <w:t>cancers</w:t>
      </w:r>
      <w:r>
        <w:rPr>
          <w:spacing w:val="-3"/>
        </w:rPr>
        <w:t xml:space="preserve"> </w:t>
      </w:r>
      <w:r>
        <w:t>compared</w:t>
      </w:r>
      <w:r>
        <w:rPr>
          <w:spacing w:val="-2"/>
        </w:rPr>
        <w:t xml:space="preserve"> </w:t>
      </w:r>
      <w:r>
        <w:t>to</w:t>
      </w:r>
      <w:r>
        <w:rPr>
          <w:spacing w:val="-4"/>
        </w:rPr>
        <w:t xml:space="preserve"> </w:t>
      </w:r>
      <w:r>
        <w:t>other</w:t>
      </w:r>
      <w:r>
        <w:rPr>
          <w:spacing w:val="-4"/>
        </w:rPr>
        <w:t xml:space="preserve"> </w:t>
      </w:r>
      <w:r>
        <w:t>races</w:t>
      </w:r>
      <w:r>
        <w:rPr>
          <w:spacing w:val="-4"/>
        </w:rPr>
        <w:t xml:space="preserve"> </w:t>
      </w:r>
      <w:r>
        <w:t xml:space="preserve">and </w:t>
      </w:r>
      <w:r>
        <w:rPr>
          <w:spacing w:val="-2"/>
        </w:rPr>
        <w:t>ethnicities.</w:t>
      </w:r>
      <w:r w:rsidR="00F46EB7">
        <w:rPr>
          <w:rStyle w:val="FootnoteReference"/>
          <w:spacing w:val="-2"/>
        </w:rPr>
        <w:footnoteReference w:id="217"/>
      </w:r>
      <w:r w:rsidR="00F46EB7">
        <w:rPr>
          <w:sz w:val="14"/>
        </w:rPr>
        <w:t xml:space="preserve"> </w:t>
      </w:r>
    </w:p>
    <w:p w14:paraId="1C34EA9B" w14:textId="035C06D9" w:rsidR="004C558F" w:rsidRDefault="00461887">
      <w:pPr>
        <w:pStyle w:val="ListParagraph"/>
        <w:numPr>
          <w:ilvl w:val="0"/>
          <w:numId w:val="8"/>
        </w:numPr>
        <w:tabs>
          <w:tab w:val="left" w:pos="2398"/>
          <w:tab w:val="left" w:pos="2400"/>
        </w:tabs>
        <w:spacing w:before="71" w:line="259" w:lineRule="auto"/>
        <w:ind w:right="1316"/>
        <w:rPr>
          <w:sz w:val="14"/>
        </w:rPr>
      </w:pPr>
      <w:r>
        <w:t>Nationally,</w:t>
      </w:r>
      <w:r>
        <w:rPr>
          <w:spacing w:val="-2"/>
        </w:rPr>
        <w:t xml:space="preserve"> </w:t>
      </w:r>
      <w:r>
        <w:t>Hispanic</w:t>
      </w:r>
      <w:r>
        <w:rPr>
          <w:spacing w:val="-2"/>
        </w:rPr>
        <w:t xml:space="preserve"> </w:t>
      </w:r>
      <w:r>
        <w:t>individuals</w:t>
      </w:r>
      <w:r>
        <w:rPr>
          <w:spacing w:val="-4"/>
        </w:rPr>
        <w:t xml:space="preserve"> </w:t>
      </w:r>
      <w:r>
        <w:t>are</w:t>
      </w:r>
      <w:r>
        <w:rPr>
          <w:spacing w:val="-2"/>
        </w:rPr>
        <w:t xml:space="preserve"> </w:t>
      </w:r>
      <w:r>
        <w:t>twice</w:t>
      </w:r>
      <w:r>
        <w:rPr>
          <w:spacing w:val="-4"/>
        </w:rPr>
        <w:t xml:space="preserve"> </w:t>
      </w:r>
      <w:r>
        <w:t>as</w:t>
      </w:r>
      <w:r>
        <w:rPr>
          <w:spacing w:val="-2"/>
        </w:rPr>
        <w:t xml:space="preserve"> </w:t>
      </w:r>
      <w:r>
        <w:t>likely</w:t>
      </w:r>
      <w:r>
        <w:rPr>
          <w:spacing w:val="-3"/>
        </w:rPr>
        <w:t xml:space="preserve"> </w:t>
      </w:r>
      <w:r>
        <w:t>to</w:t>
      </w:r>
      <w:r>
        <w:rPr>
          <w:spacing w:val="-4"/>
        </w:rPr>
        <w:t xml:space="preserve"> </w:t>
      </w:r>
      <w:r>
        <w:t>be</w:t>
      </w:r>
      <w:r>
        <w:rPr>
          <w:spacing w:val="-2"/>
        </w:rPr>
        <w:t xml:space="preserve"> </w:t>
      </w:r>
      <w:r>
        <w:t>diagnosed</w:t>
      </w:r>
      <w:r>
        <w:rPr>
          <w:spacing w:val="-4"/>
        </w:rPr>
        <w:t xml:space="preserve"> </w:t>
      </w:r>
      <w:r>
        <w:t>with</w:t>
      </w:r>
      <w:r>
        <w:rPr>
          <w:spacing w:val="-2"/>
        </w:rPr>
        <w:t xml:space="preserve"> </w:t>
      </w:r>
      <w:r>
        <w:t>and</w:t>
      </w:r>
      <w:r>
        <w:rPr>
          <w:spacing w:val="-4"/>
        </w:rPr>
        <w:t xml:space="preserve"> </w:t>
      </w:r>
      <w:r>
        <w:t>die from stomach cancer than non-Hispanic individuals.</w:t>
      </w:r>
      <w:r w:rsidR="00F46EB7">
        <w:rPr>
          <w:rStyle w:val="FootnoteReference"/>
        </w:rPr>
        <w:footnoteReference w:id="218"/>
      </w:r>
      <w:r w:rsidR="00F46EB7">
        <w:rPr>
          <w:sz w:val="14"/>
        </w:rPr>
        <w:t xml:space="preserve"> </w:t>
      </w:r>
    </w:p>
    <w:p w14:paraId="1C34EA9C" w14:textId="4A436464" w:rsidR="004C558F" w:rsidRDefault="00461887">
      <w:pPr>
        <w:pStyle w:val="ListParagraph"/>
        <w:numPr>
          <w:ilvl w:val="0"/>
          <w:numId w:val="8"/>
        </w:numPr>
        <w:tabs>
          <w:tab w:val="left" w:pos="2398"/>
          <w:tab w:val="left" w:pos="2400"/>
        </w:tabs>
        <w:spacing w:before="76" w:line="259" w:lineRule="auto"/>
        <w:ind w:right="1253"/>
        <w:rPr>
          <w:sz w:val="14"/>
        </w:rPr>
      </w:pPr>
      <w:r>
        <w:t>Asian/Pacific</w:t>
      </w:r>
      <w:r>
        <w:rPr>
          <w:spacing w:val="-3"/>
        </w:rPr>
        <w:t xml:space="preserve"> </w:t>
      </w:r>
      <w:r>
        <w:t>Islander</w:t>
      </w:r>
      <w:r>
        <w:rPr>
          <w:spacing w:val="-4"/>
        </w:rPr>
        <w:t xml:space="preserve"> </w:t>
      </w:r>
      <w:r>
        <w:t>individuals</w:t>
      </w:r>
      <w:r>
        <w:rPr>
          <w:spacing w:val="-3"/>
        </w:rPr>
        <w:t xml:space="preserve"> </w:t>
      </w:r>
      <w:r>
        <w:t>have</w:t>
      </w:r>
      <w:r>
        <w:rPr>
          <w:spacing w:val="-3"/>
        </w:rPr>
        <w:t xml:space="preserve"> </w:t>
      </w:r>
      <w:r>
        <w:t>almost</w:t>
      </w:r>
      <w:r>
        <w:rPr>
          <w:spacing w:val="-4"/>
        </w:rPr>
        <w:t xml:space="preserve"> </w:t>
      </w:r>
      <w:r>
        <w:t>twice</w:t>
      </w:r>
      <w:r>
        <w:rPr>
          <w:spacing w:val="-5"/>
        </w:rPr>
        <w:t xml:space="preserve"> </w:t>
      </w:r>
      <w:r>
        <w:t>the</w:t>
      </w:r>
      <w:r>
        <w:rPr>
          <w:spacing w:val="-3"/>
        </w:rPr>
        <w:t xml:space="preserve"> </w:t>
      </w:r>
      <w:r>
        <w:t>incidence</w:t>
      </w:r>
      <w:r>
        <w:rPr>
          <w:spacing w:val="-3"/>
        </w:rPr>
        <w:t xml:space="preserve"> </w:t>
      </w:r>
      <w:r>
        <w:t>of</w:t>
      </w:r>
      <w:r>
        <w:rPr>
          <w:spacing w:val="-2"/>
        </w:rPr>
        <w:t xml:space="preserve"> </w:t>
      </w:r>
      <w:r>
        <w:t>liver</w:t>
      </w:r>
      <w:r>
        <w:rPr>
          <w:spacing w:val="-4"/>
        </w:rPr>
        <w:t xml:space="preserve"> </w:t>
      </w:r>
      <w:r>
        <w:t>&amp;</w:t>
      </w:r>
      <w:r>
        <w:rPr>
          <w:spacing w:val="-4"/>
        </w:rPr>
        <w:t xml:space="preserve"> </w:t>
      </w:r>
      <w:r>
        <w:t>IBD cancer compared to non-Hispanic white individuals.</w:t>
      </w:r>
      <w:r w:rsidR="008A1A8E">
        <w:rPr>
          <w:rStyle w:val="FootnoteReference"/>
        </w:rPr>
        <w:footnoteReference w:id="219"/>
      </w:r>
      <w:r w:rsidR="008A1A8E">
        <w:rPr>
          <w:sz w:val="14"/>
        </w:rPr>
        <w:t xml:space="preserve"> </w:t>
      </w:r>
    </w:p>
    <w:p w14:paraId="1C34EA9D" w14:textId="39FBF58F" w:rsidR="004C558F" w:rsidRDefault="00461887">
      <w:pPr>
        <w:pStyle w:val="ListParagraph"/>
        <w:numPr>
          <w:ilvl w:val="0"/>
          <w:numId w:val="8"/>
        </w:numPr>
        <w:tabs>
          <w:tab w:val="left" w:pos="2398"/>
          <w:tab w:val="left" w:pos="2400"/>
        </w:tabs>
        <w:spacing w:before="77" w:line="271" w:lineRule="auto"/>
        <w:ind w:right="1082"/>
        <w:rPr>
          <w:sz w:val="14"/>
        </w:rPr>
      </w:pPr>
      <w:r>
        <w:t>Across Massachusetts, white non-Hispanic individuals have higher age-adjusted incidence</w:t>
      </w:r>
      <w:r>
        <w:rPr>
          <w:spacing w:val="-3"/>
        </w:rPr>
        <w:t xml:space="preserve"> </w:t>
      </w:r>
      <w:r>
        <w:t>rates</w:t>
      </w:r>
      <w:r>
        <w:rPr>
          <w:spacing w:val="-5"/>
        </w:rPr>
        <w:t xml:space="preserve"> </w:t>
      </w:r>
      <w:r>
        <w:t>from</w:t>
      </w:r>
      <w:r>
        <w:rPr>
          <w:spacing w:val="-5"/>
        </w:rPr>
        <w:t xml:space="preserve"> </w:t>
      </w:r>
      <w:r>
        <w:t>all</w:t>
      </w:r>
      <w:r>
        <w:rPr>
          <w:spacing w:val="-4"/>
        </w:rPr>
        <w:t xml:space="preserve"> </w:t>
      </w:r>
      <w:r>
        <w:t>invasive</w:t>
      </w:r>
      <w:r>
        <w:rPr>
          <w:spacing w:val="-3"/>
        </w:rPr>
        <w:t xml:space="preserve"> </w:t>
      </w:r>
      <w:r>
        <w:t>cancers</w:t>
      </w:r>
      <w:r>
        <w:rPr>
          <w:spacing w:val="-3"/>
        </w:rPr>
        <w:t xml:space="preserve"> </w:t>
      </w:r>
      <w:r>
        <w:t>than</w:t>
      </w:r>
      <w:r>
        <w:rPr>
          <w:spacing w:val="-3"/>
        </w:rPr>
        <w:t xml:space="preserve"> </w:t>
      </w:r>
      <w:r>
        <w:t>other</w:t>
      </w:r>
      <w:r>
        <w:rPr>
          <w:spacing w:val="-6"/>
        </w:rPr>
        <w:t xml:space="preserve"> </w:t>
      </w:r>
      <w:r>
        <w:t>racial/ethnic</w:t>
      </w:r>
      <w:r>
        <w:rPr>
          <w:spacing w:val="-3"/>
        </w:rPr>
        <w:t xml:space="preserve"> </w:t>
      </w:r>
      <w:r>
        <w:t>groups.</w:t>
      </w:r>
      <w:r>
        <w:rPr>
          <w:spacing w:val="-3"/>
        </w:rPr>
        <w:t xml:space="preserve"> </w:t>
      </w:r>
      <w:r>
        <w:t>Despite their higher incidence rates, white non-Hispanic individuals saw statistically significant decreases in mortality from all cancers from 2016 – 2020, unlike Black and Hispanic individuals.</w:t>
      </w:r>
      <w:r w:rsidR="003D7E15">
        <w:rPr>
          <w:rStyle w:val="FootnoteReference"/>
        </w:rPr>
        <w:footnoteReference w:id="220"/>
      </w:r>
      <w:r w:rsidR="003D7E15">
        <w:rPr>
          <w:sz w:val="14"/>
        </w:rPr>
        <w:t xml:space="preserve"> </w:t>
      </w:r>
    </w:p>
    <w:p w14:paraId="1C34EA9E" w14:textId="64C2DAA4" w:rsidR="004C558F" w:rsidRDefault="00461887">
      <w:pPr>
        <w:pStyle w:val="ListParagraph"/>
        <w:numPr>
          <w:ilvl w:val="0"/>
          <w:numId w:val="8"/>
        </w:numPr>
        <w:tabs>
          <w:tab w:val="left" w:pos="2399"/>
        </w:tabs>
        <w:spacing w:before="67" w:line="256" w:lineRule="auto"/>
        <w:ind w:left="2399" w:right="1422" w:hanging="360"/>
        <w:rPr>
          <w:sz w:val="14"/>
        </w:rPr>
      </w:pPr>
      <w:r>
        <w:t>The</w:t>
      </w:r>
      <w:r>
        <w:rPr>
          <w:spacing w:val="-5"/>
        </w:rPr>
        <w:t xml:space="preserve"> </w:t>
      </w:r>
      <w:r>
        <w:t>overall</w:t>
      </w:r>
      <w:r>
        <w:rPr>
          <w:spacing w:val="-4"/>
        </w:rPr>
        <w:t xml:space="preserve"> </w:t>
      </w:r>
      <w:r>
        <w:t>cancer</w:t>
      </w:r>
      <w:r>
        <w:rPr>
          <w:spacing w:val="-4"/>
        </w:rPr>
        <w:t xml:space="preserve"> </w:t>
      </w:r>
      <w:r>
        <w:t>screening</w:t>
      </w:r>
      <w:r>
        <w:rPr>
          <w:spacing w:val="-4"/>
        </w:rPr>
        <w:t xml:space="preserve"> </w:t>
      </w:r>
      <w:r>
        <w:t>rate</w:t>
      </w:r>
      <w:r>
        <w:rPr>
          <w:spacing w:val="-3"/>
        </w:rPr>
        <w:t xml:space="preserve"> </w:t>
      </w:r>
      <w:r>
        <w:t>is</w:t>
      </w:r>
      <w:r>
        <w:rPr>
          <w:spacing w:val="-3"/>
        </w:rPr>
        <w:t xml:space="preserve"> </w:t>
      </w:r>
      <w:r>
        <w:t>lower</w:t>
      </w:r>
      <w:r>
        <w:rPr>
          <w:spacing w:val="-4"/>
        </w:rPr>
        <w:t xml:space="preserve"> </w:t>
      </w:r>
      <w:r>
        <w:t>for</w:t>
      </w:r>
      <w:r>
        <w:rPr>
          <w:spacing w:val="-4"/>
        </w:rPr>
        <w:t xml:space="preserve"> </w:t>
      </w:r>
      <w:r>
        <w:t>BIPOC</w:t>
      </w:r>
      <w:r>
        <w:rPr>
          <w:spacing w:val="-5"/>
        </w:rPr>
        <w:t xml:space="preserve"> </w:t>
      </w:r>
      <w:r>
        <w:t>individuals,</w:t>
      </w:r>
      <w:r>
        <w:rPr>
          <w:spacing w:val="-36"/>
        </w:rPr>
        <w:t xml:space="preserve"> </w:t>
      </w:r>
      <w:r w:rsidR="00017F05">
        <w:rPr>
          <w:rStyle w:val="FootnoteReference"/>
          <w:spacing w:val="-36"/>
        </w:rPr>
        <w:footnoteReference w:id="221"/>
      </w:r>
      <w:r>
        <w:t>and</w:t>
      </w:r>
      <w:r>
        <w:rPr>
          <w:spacing w:val="-2"/>
        </w:rPr>
        <w:t xml:space="preserve"> </w:t>
      </w:r>
      <w:r>
        <w:t>BIPOC individuals tend to receive later-stage diagnoses than white individuals.</w:t>
      </w:r>
      <w:r>
        <w:rPr>
          <w:spacing w:val="-31"/>
        </w:rPr>
        <w:t xml:space="preserve"> </w:t>
      </w:r>
      <w:r w:rsidR="00017F05">
        <w:rPr>
          <w:rStyle w:val="FootnoteReference"/>
          <w:spacing w:val="-31"/>
        </w:rPr>
        <w:footnoteReference w:id="222"/>
      </w:r>
    </w:p>
    <w:p w14:paraId="1C34EA9F" w14:textId="47B52C69" w:rsidR="004C558F" w:rsidRDefault="00461887">
      <w:pPr>
        <w:pStyle w:val="ListParagraph"/>
        <w:numPr>
          <w:ilvl w:val="0"/>
          <w:numId w:val="8"/>
        </w:numPr>
        <w:tabs>
          <w:tab w:val="left" w:pos="2398"/>
          <w:tab w:val="left" w:pos="2400"/>
        </w:tabs>
        <w:spacing w:before="82" w:line="266" w:lineRule="auto"/>
        <w:ind w:right="1652"/>
        <w:rPr>
          <w:sz w:val="14"/>
        </w:rPr>
      </w:pPr>
      <w:r>
        <w:t>Beyond</w:t>
      </w:r>
      <w:r>
        <w:rPr>
          <w:spacing w:val="-5"/>
        </w:rPr>
        <w:t xml:space="preserve"> </w:t>
      </w:r>
      <w:r>
        <w:t>disparities</w:t>
      </w:r>
      <w:r>
        <w:rPr>
          <w:spacing w:val="-3"/>
        </w:rPr>
        <w:t xml:space="preserve"> </w:t>
      </w:r>
      <w:r>
        <w:t>in</w:t>
      </w:r>
      <w:r>
        <w:rPr>
          <w:spacing w:val="-5"/>
        </w:rPr>
        <w:t xml:space="preserve"> </w:t>
      </w:r>
      <w:r>
        <w:t>incidence,</w:t>
      </w:r>
      <w:r>
        <w:rPr>
          <w:spacing w:val="-6"/>
        </w:rPr>
        <w:t xml:space="preserve"> </w:t>
      </w:r>
      <w:r>
        <w:t>mortality,</w:t>
      </w:r>
      <w:r>
        <w:rPr>
          <w:spacing w:val="-3"/>
        </w:rPr>
        <w:t xml:space="preserve"> </w:t>
      </w:r>
      <w:r>
        <w:t>screening,</w:t>
      </w:r>
      <w:r>
        <w:rPr>
          <w:spacing w:val="-6"/>
        </w:rPr>
        <w:t xml:space="preserve"> </w:t>
      </w:r>
      <w:r>
        <w:t>and</w:t>
      </w:r>
      <w:r>
        <w:rPr>
          <w:spacing w:val="-2"/>
        </w:rPr>
        <w:t xml:space="preserve"> </w:t>
      </w:r>
      <w:r>
        <w:t>timely</w:t>
      </w:r>
      <w:r>
        <w:rPr>
          <w:spacing w:val="-4"/>
        </w:rPr>
        <w:t xml:space="preserve"> </w:t>
      </w:r>
      <w:r>
        <w:t>care,</w:t>
      </w:r>
      <w:r>
        <w:rPr>
          <w:spacing w:val="-6"/>
        </w:rPr>
        <w:t xml:space="preserve"> </w:t>
      </w:r>
      <w:r>
        <w:t>some races/ethnicities may face a greater degree of difficulty accessing care or discrimination and bias within the healthcare system.</w:t>
      </w:r>
      <w:r>
        <w:rPr>
          <w:spacing w:val="-29"/>
        </w:rPr>
        <w:t xml:space="preserve"> </w:t>
      </w:r>
      <w:r w:rsidR="00EF363F">
        <w:rPr>
          <w:rStyle w:val="FootnoteReference"/>
          <w:spacing w:val="-29"/>
        </w:rPr>
        <w:footnoteReference w:id="223"/>
      </w:r>
    </w:p>
    <w:p w14:paraId="1C34EAA0" w14:textId="77777777" w:rsidR="004C558F" w:rsidRDefault="004C558F">
      <w:pPr>
        <w:pStyle w:val="BodyText"/>
        <w:spacing w:before="109"/>
      </w:pPr>
    </w:p>
    <w:p w14:paraId="1C34EAA1" w14:textId="77777777" w:rsidR="004C558F" w:rsidRDefault="00461887">
      <w:pPr>
        <w:pStyle w:val="BodyText"/>
        <w:ind w:left="1680"/>
      </w:pPr>
      <w:r>
        <w:rPr>
          <w:spacing w:val="-2"/>
        </w:rPr>
        <w:t>Geography</w:t>
      </w:r>
    </w:p>
    <w:p w14:paraId="1C34EAA2" w14:textId="5D746679" w:rsidR="004C558F" w:rsidRDefault="00461887">
      <w:pPr>
        <w:pStyle w:val="ListParagraph"/>
        <w:numPr>
          <w:ilvl w:val="0"/>
          <w:numId w:val="8"/>
        </w:numPr>
        <w:tabs>
          <w:tab w:val="left" w:pos="2399"/>
        </w:tabs>
        <w:spacing w:before="96" w:line="266" w:lineRule="auto"/>
        <w:ind w:left="2399" w:right="1540" w:hanging="360"/>
        <w:rPr>
          <w:sz w:val="14"/>
        </w:rPr>
      </w:pPr>
      <w:r>
        <w:t>Individuals</w:t>
      </w:r>
      <w:r>
        <w:rPr>
          <w:spacing w:val="-2"/>
        </w:rPr>
        <w:t xml:space="preserve"> </w:t>
      </w:r>
      <w:r>
        <w:t>living</w:t>
      </w:r>
      <w:r>
        <w:rPr>
          <w:spacing w:val="-3"/>
        </w:rPr>
        <w:t xml:space="preserve"> </w:t>
      </w:r>
      <w:r>
        <w:t>in</w:t>
      </w:r>
      <w:r>
        <w:rPr>
          <w:spacing w:val="-2"/>
        </w:rPr>
        <w:t xml:space="preserve"> </w:t>
      </w:r>
      <w:r>
        <w:t>rural</w:t>
      </w:r>
      <w:r>
        <w:rPr>
          <w:spacing w:val="-5"/>
        </w:rPr>
        <w:t xml:space="preserve"> </w:t>
      </w:r>
      <w:r>
        <w:t>areas</w:t>
      </w:r>
      <w:r>
        <w:rPr>
          <w:spacing w:val="-4"/>
        </w:rPr>
        <w:t xml:space="preserve"> </w:t>
      </w:r>
      <w:r>
        <w:t>may</w:t>
      </w:r>
      <w:r>
        <w:rPr>
          <w:spacing w:val="-5"/>
        </w:rPr>
        <w:t xml:space="preserve"> </w:t>
      </w:r>
      <w:r>
        <w:t>face</w:t>
      </w:r>
      <w:r>
        <w:rPr>
          <w:spacing w:val="-2"/>
        </w:rPr>
        <w:t xml:space="preserve"> </w:t>
      </w:r>
      <w:r>
        <w:t>higher</w:t>
      </w:r>
      <w:r>
        <w:rPr>
          <w:spacing w:val="-3"/>
        </w:rPr>
        <w:t xml:space="preserve"> </w:t>
      </w:r>
      <w:r>
        <w:t>incidence</w:t>
      </w:r>
      <w:r>
        <w:rPr>
          <w:spacing w:val="-4"/>
        </w:rPr>
        <w:t xml:space="preserve"> </w:t>
      </w:r>
      <w:r>
        <w:t>of</w:t>
      </w:r>
      <w:r>
        <w:rPr>
          <w:spacing w:val="-4"/>
        </w:rPr>
        <w:t xml:space="preserve"> </w:t>
      </w:r>
      <w:r>
        <w:t>certain</w:t>
      </w:r>
      <w:r>
        <w:rPr>
          <w:spacing w:val="-4"/>
        </w:rPr>
        <w:t xml:space="preserve"> </w:t>
      </w:r>
      <w:r>
        <w:t>cancers, including tobacco- and HPV-associated, lung and bronchus, cervical, and colorectal cancers,</w:t>
      </w:r>
      <w:r>
        <w:rPr>
          <w:spacing w:val="-29"/>
        </w:rPr>
        <w:t xml:space="preserve"> </w:t>
      </w:r>
      <w:r w:rsidR="009D1200">
        <w:rPr>
          <w:rStyle w:val="FootnoteReference"/>
          <w:spacing w:val="-29"/>
        </w:rPr>
        <w:footnoteReference w:id="224"/>
      </w:r>
      <w:r>
        <w:t>as well as higher mortality rates.</w:t>
      </w:r>
      <w:r w:rsidR="00870A4B">
        <w:rPr>
          <w:rStyle w:val="FootnoteReference"/>
        </w:rPr>
        <w:footnoteReference w:id="225"/>
      </w:r>
      <w:r w:rsidR="00870A4B">
        <w:rPr>
          <w:sz w:val="14"/>
        </w:rPr>
        <w:t xml:space="preserve"> </w:t>
      </w:r>
    </w:p>
    <w:p w14:paraId="1C34EAA3" w14:textId="77777777" w:rsidR="004C558F" w:rsidRDefault="004C558F">
      <w:pPr>
        <w:pStyle w:val="BodyText"/>
        <w:spacing w:before="111"/>
      </w:pPr>
    </w:p>
    <w:p w14:paraId="1C34EAA4" w14:textId="77777777" w:rsidR="004C558F" w:rsidRDefault="00461887">
      <w:pPr>
        <w:pStyle w:val="BodyText"/>
        <w:ind w:left="1627"/>
      </w:pPr>
      <w:r>
        <w:t>See</w:t>
      </w:r>
      <w:r>
        <w:rPr>
          <w:spacing w:val="-7"/>
        </w:rPr>
        <w:t xml:space="preserve"> </w:t>
      </w:r>
      <w:r>
        <w:t>Data</w:t>
      </w:r>
      <w:r>
        <w:rPr>
          <w:spacing w:val="-3"/>
        </w:rPr>
        <w:t xml:space="preserve"> </w:t>
      </w:r>
      <w:r>
        <w:t>Appendix,</w:t>
      </w:r>
      <w:r>
        <w:rPr>
          <w:spacing w:val="-7"/>
        </w:rPr>
        <w:t xml:space="preserve"> </w:t>
      </w:r>
      <w:r>
        <w:t>Figure</w:t>
      </w:r>
      <w:r>
        <w:rPr>
          <w:spacing w:val="-6"/>
        </w:rPr>
        <w:t xml:space="preserve"> </w:t>
      </w:r>
      <w:r>
        <w:t>A5,</w:t>
      </w:r>
      <w:r>
        <w:rPr>
          <w:spacing w:val="-4"/>
        </w:rPr>
        <w:t xml:space="preserve"> </w:t>
      </w:r>
      <w:r>
        <w:t>Infographic</w:t>
      </w:r>
      <w:r>
        <w:rPr>
          <w:spacing w:val="-4"/>
        </w:rPr>
        <w:t xml:space="preserve"> </w:t>
      </w:r>
      <w:r>
        <w:t>on</w:t>
      </w:r>
      <w:r>
        <w:rPr>
          <w:spacing w:val="-6"/>
        </w:rPr>
        <w:t xml:space="preserve"> </w:t>
      </w:r>
      <w:r>
        <w:t>Disparities</w:t>
      </w:r>
      <w:r>
        <w:rPr>
          <w:spacing w:val="-4"/>
        </w:rPr>
        <w:t xml:space="preserve"> </w:t>
      </w:r>
      <w:r>
        <w:t>in</w:t>
      </w:r>
      <w:r>
        <w:rPr>
          <w:spacing w:val="-4"/>
        </w:rPr>
        <w:t xml:space="preserve"> </w:t>
      </w:r>
      <w:r>
        <w:t>Cancer</w:t>
      </w:r>
      <w:r>
        <w:rPr>
          <w:spacing w:val="-5"/>
        </w:rPr>
        <w:t xml:space="preserve"> </w:t>
      </w:r>
      <w:r>
        <w:t>Incidence,</w:t>
      </w:r>
      <w:r>
        <w:rPr>
          <w:spacing w:val="-4"/>
        </w:rPr>
        <w:t xml:space="preserve"> </w:t>
      </w:r>
      <w:r>
        <w:t>Care,</w:t>
      </w:r>
      <w:r>
        <w:rPr>
          <w:spacing w:val="-4"/>
        </w:rPr>
        <w:t xml:space="preserve"> </w:t>
      </w:r>
      <w:r>
        <w:rPr>
          <w:spacing w:val="-5"/>
        </w:rPr>
        <w:t>and</w:t>
      </w:r>
    </w:p>
    <w:p w14:paraId="1C34EAA5" w14:textId="77777777" w:rsidR="004C558F" w:rsidRDefault="00461887">
      <w:pPr>
        <w:pStyle w:val="BodyText"/>
        <w:spacing w:before="36"/>
        <w:ind w:right="4"/>
        <w:jc w:val="center"/>
      </w:pPr>
      <w:r>
        <w:rPr>
          <w:spacing w:val="-2"/>
        </w:rPr>
        <w:t>Outcomes.</w:t>
      </w:r>
    </w:p>
    <w:p w14:paraId="1C34EAA6" w14:textId="77777777" w:rsidR="004C558F" w:rsidRDefault="004C558F">
      <w:pPr>
        <w:pStyle w:val="BodyText"/>
        <w:rPr>
          <w:sz w:val="16"/>
        </w:rPr>
      </w:pPr>
    </w:p>
    <w:p w14:paraId="1C34EAA7" w14:textId="77777777" w:rsidR="004C558F" w:rsidRDefault="004C558F">
      <w:pPr>
        <w:pStyle w:val="BodyText"/>
        <w:spacing w:before="100"/>
        <w:rPr>
          <w:sz w:val="16"/>
        </w:rPr>
      </w:pPr>
    </w:p>
    <w:p w14:paraId="1C34EAB6" w14:textId="77777777" w:rsidR="004C558F" w:rsidRDefault="004C558F">
      <w:pPr>
        <w:rPr>
          <w:sz w:val="20"/>
        </w:rPr>
        <w:sectPr w:rsidR="004C558F">
          <w:pgSz w:w="12240" w:h="15840"/>
          <w:pgMar w:top="760" w:right="740" w:bottom="720" w:left="480" w:header="0" w:footer="521" w:gutter="0"/>
          <w:cols w:space="720"/>
        </w:sectPr>
      </w:pPr>
      <w:bookmarkStart w:id="205" w:name="_bookmark249"/>
      <w:bookmarkStart w:id="206" w:name="_bookmark252"/>
      <w:bookmarkStart w:id="207" w:name="_bookmark255"/>
      <w:bookmarkStart w:id="208" w:name="_bookmark257"/>
      <w:bookmarkEnd w:id="205"/>
      <w:bookmarkEnd w:id="206"/>
      <w:bookmarkEnd w:id="207"/>
      <w:bookmarkEnd w:id="208"/>
    </w:p>
    <w:p w14:paraId="1C34EAB7" w14:textId="77777777" w:rsidR="004C558F" w:rsidRDefault="00461887">
      <w:pPr>
        <w:pStyle w:val="ListParagraph"/>
        <w:numPr>
          <w:ilvl w:val="3"/>
          <w:numId w:val="16"/>
        </w:numPr>
        <w:tabs>
          <w:tab w:val="left" w:pos="958"/>
          <w:tab w:val="left" w:pos="960"/>
        </w:tabs>
        <w:spacing w:before="80"/>
        <w:ind w:right="976"/>
      </w:pPr>
      <w:bookmarkStart w:id="209" w:name="a._DFCI_and_BIDMC_serve_a_larger_proport"/>
      <w:bookmarkEnd w:id="209"/>
      <w:r>
        <w:rPr>
          <w:color w:val="063656"/>
        </w:rPr>
        <w:lastRenderedPageBreak/>
        <w:t>DFCI</w:t>
      </w:r>
      <w:r>
        <w:rPr>
          <w:color w:val="063656"/>
          <w:spacing w:val="-2"/>
        </w:rPr>
        <w:t xml:space="preserve"> </w:t>
      </w:r>
      <w:r>
        <w:rPr>
          <w:color w:val="063656"/>
        </w:rPr>
        <w:t>and</w:t>
      </w:r>
      <w:r>
        <w:rPr>
          <w:color w:val="063656"/>
          <w:spacing w:val="-4"/>
        </w:rPr>
        <w:t xml:space="preserve"> </w:t>
      </w:r>
      <w:r>
        <w:rPr>
          <w:color w:val="063656"/>
        </w:rPr>
        <w:t>BIDMC</w:t>
      </w:r>
      <w:r>
        <w:rPr>
          <w:color w:val="063656"/>
          <w:spacing w:val="-5"/>
        </w:rPr>
        <w:t xml:space="preserve"> </w:t>
      </w:r>
      <w:r>
        <w:rPr>
          <w:color w:val="063656"/>
        </w:rPr>
        <w:t>serve</w:t>
      </w:r>
      <w:r>
        <w:rPr>
          <w:color w:val="063656"/>
          <w:spacing w:val="-2"/>
        </w:rPr>
        <w:t xml:space="preserve"> </w:t>
      </w:r>
      <w:r>
        <w:rPr>
          <w:color w:val="063656"/>
        </w:rPr>
        <w:t>a</w:t>
      </w:r>
      <w:r>
        <w:rPr>
          <w:color w:val="063656"/>
          <w:spacing w:val="-1"/>
        </w:rPr>
        <w:t xml:space="preserve"> </w:t>
      </w:r>
      <w:r>
        <w:rPr>
          <w:color w:val="063656"/>
        </w:rPr>
        <w:t>larger</w:t>
      </w:r>
      <w:r>
        <w:rPr>
          <w:color w:val="063656"/>
          <w:spacing w:val="-3"/>
        </w:rPr>
        <w:t xml:space="preserve"> </w:t>
      </w:r>
      <w:r>
        <w:rPr>
          <w:color w:val="063656"/>
        </w:rPr>
        <w:t>proportion</w:t>
      </w:r>
      <w:r>
        <w:rPr>
          <w:color w:val="063656"/>
          <w:spacing w:val="-2"/>
        </w:rPr>
        <w:t xml:space="preserve"> </w:t>
      </w:r>
      <w:r>
        <w:rPr>
          <w:color w:val="063656"/>
        </w:rPr>
        <w:t>of</w:t>
      </w:r>
      <w:r>
        <w:rPr>
          <w:color w:val="063656"/>
          <w:spacing w:val="-4"/>
        </w:rPr>
        <w:t xml:space="preserve"> </w:t>
      </w:r>
      <w:r>
        <w:rPr>
          <w:color w:val="063656"/>
        </w:rPr>
        <w:t>commercially</w:t>
      </w:r>
      <w:r>
        <w:rPr>
          <w:color w:val="063656"/>
          <w:spacing w:val="-3"/>
        </w:rPr>
        <w:t xml:space="preserve"> </w:t>
      </w:r>
      <w:r>
        <w:rPr>
          <w:color w:val="063656"/>
        </w:rPr>
        <w:t>insured</w:t>
      </w:r>
      <w:r>
        <w:rPr>
          <w:color w:val="063656"/>
          <w:spacing w:val="-1"/>
        </w:rPr>
        <w:t xml:space="preserve"> </w:t>
      </w:r>
      <w:r>
        <w:rPr>
          <w:color w:val="063656"/>
        </w:rPr>
        <w:t>and</w:t>
      </w:r>
      <w:r>
        <w:rPr>
          <w:color w:val="063656"/>
          <w:spacing w:val="-4"/>
        </w:rPr>
        <w:t xml:space="preserve"> </w:t>
      </w:r>
      <w:r>
        <w:rPr>
          <w:color w:val="063656"/>
        </w:rPr>
        <w:t>Medicaid-insured</w:t>
      </w:r>
      <w:r>
        <w:rPr>
          <w:color w:val="063656"/>
          <w:spacing w:val="-1"/>
        </w:rPr>
        <w:t xml:space="preserve"> </w:t>
      </w:r>
      <w:r>
        <w:rPr>
          <w:color w:val="063656"/>
        </w:rPr>
        <w:t xml:space="preserve">oncology patients than the statewide average, and DFCI’s Medicare payer mix would likely increase somewhat </w:t>
      </w:r>
      <w:proofErr w:type="gramStart"/>
      <w:r>
        <w:rPr>
          <w:color w:val="063656"/>
        </w:rPr>
        <w:t>as a result of</w:t>
      </w:r>
      <w:proofErr w:type="gramEnd"/>
      <w:r>
        <w:rPr>
          <w:color w:val="063656"/>
        </w:rPr>
        <w:t xml:space="preserve"> the transaction.</w:t>
      </w:r>
    </w:p>
    <w:p w14:paraId="1C34EAB8" w14:textId="77777777" w:rsidR="004C558F" w:rsidRDefault="004C558F">
      <w:pPr>
        <w:pStyle w:val="BodyText"/>
        <w:spacing w:before="38"/>
      </w:pPr>
    </w:p>
    <w:p w14:paraId="1C34EAB9" w14:textId="720A0A04" w:rsidR="004C558F" w:rsidRDefault="00461887">
      <w:pPr>
        <w:pStyle w:val="BodyText"/>
        <w:spacing w:before="1" w:line="276" w:lineRule="auto"/>
        <w:ind w:left="960" w:right="891" w:firstLine="720"/>
      </w:pPr>
      <w:r>
        <w:t>The</w:t>
      </w:r>
      <w:r>
        <w:rPr>
          <w:spacing w:val="-3"/>
        </w:rPr>
        <w:t xml:space="preserve"> </w:t>
      </w:r>
      <w:r>
        <w:t>HPC</w:t>
      </w:r>
      <w:r>
        <w:rPr>
          <w:spacing w:val="-4"/>
        </w:rPr>
        <w:t xml:space="preserve"> </w:t>
      </w:r>
      <w:r>
        <w:t>examined</w:t>
      </w:r>
      <w:r>
        <w:rPr>
          <w:spacing w:val="-2"/>
        </w:rPr>
        <w:t xml:space="preserve"> </w:t>
      </w:r>
      <w:r>
        <w:t>the</w:t>
      </w:r>
      <w:r>
        <w:rPr>
          <w:spacing w:val="-5"/>
        </w:rPr>
        <w:t xml:space="preserve"> </w:t>
      </w:r>
      <w:r>
        <w:t>historical</w:t>
      </w:r>
      <w:r>
        <w:rPr>
          <w:spacing w:val="-4"/>
        </w:rPr>
        <w:t xml:space="preserve"> </w:t>
      </w:r>
      <w:r>
        <w:t>payer</w:t>
      </w:r>
      <w:r>
        <w:rPr>
          <w:spacing w:val="-4"/>
        </w:rPr>
        <w:t xml:space="preserve"> </w:t>
      </w:r>
      <w:r>
        <w:t>mix</w:t>
      </w:r>
      <w:r>
        <w:rPr>
          <w:spacing w:val="-3"/>
        </w:rPr>
        <w:t xml:space="preserve"> </w:t>
      </w:r>
      <w:r>
        <w:t>of</w:t>
      </w:r>
      <w:r>
        <w:rPr>
          <w:spacing w:val="-2"/>
        </w:rPr>
        <w:t xml:space="preserve"> </w:t>
      </w:r>
      <w:r>
        <w:t>the</w:t>
      </w:r>
      <w:r>
        <w:rPr>
          <w:spacing w:val="-3"/>
        </w:rPr>
        <w:t xml:space="preserve"> </w:t>
      </w:r>
      <w:r>
        <w:t>parties’</w:t>
      </w:r>
      <w:r>
        <w:rPr>
          <w:spacing w:val="-3"/>
        </w:rPr>
        <w:t xml:space="preserve"> </w:t>
      </w:r>
      <w:r>
        <w:t>hospitals</w:t>
      </w:r>
      <w:r>
        <w:rPr>
          <w:spacing w:val="-3"/>
        </w:rPr>
        <w:t xml:space="preserve"> </w:t>
      </w:r>
      <w:r>
        <w:t>compared</w:t>
      </w:r>
      <w:r>
        <w:rPr>
          <w:spacing w:val="-5"/>
        </w:rPr>
        <w:t xml:space="preserve"> </w:t>
      </w:r>
      <w:r>
        <w:t>to</w:t>
      </w:r>
      <w:r>
        <w:rPr>
          <w:spacing w:val="-3"/>
        </w:rPr>
        <w:t xml:space="preserve"> </w:t>
      </w:r>
      <w:r>
        <w:t>statewide as well as to competitor hospitals.</w:t>
      </w:r>
      <w:r>
        <w:rPr>
          <w:spacing w:val="-33"/>
        </w:rPr>
        <w:t xml:space="preserve"> </w:t>
      </w:r>
      <w:r w:rsidR="00887B3C">
        <w:rPr>
          <w:rStyle w:val="FootnoteReference"/>
          <w:spacing w:val="-33"/>
        </w:rPr>
        <w:footnoteReference w:id="226"/>
      </w:r>
      <w:r>
        <w:t xml:space="preserve">We also examined changes in </w:t>
      </w:r>
      <w:proofErr w:type="gramStart"/>
      <w:r>
        <w:t>payer</w:t>
      </w:r>
      <w:proofErr w:type="gramEnd"/>
      <w:r>
        <w:t xml:space="preserve"> mix over time. The analyses in this section focus on inpatient medical oncology care.</w:t>
      </w:r>
    </w:p>
    <w:p w14:paraId="1C34EABA" w14:textId="77777777" w:rsidR="004C558F" w:rsidRDefault="004C558F">
      <w:pPr>
        <w:pStyle w:val="BodyText"/>
        <w:spacing w:before="36"/>
      </w:pPr>
    </w:p>
    <w:p w14:paraId="1C34EABB" w14:textId="50416643" w:rsidR="004C558F" w:rsidRDefault="00461887">
      <w:pPr>
        <w:pStyle w:val="BodyText"/>
        <w:spacing w:before="1" w:line="276" w:lineRule="auto"/>
        <w:ind w:left="960" w:right="891" w:firstLine="720"/>
        <w:rPr>
          <w:sz w:val="14"/>
        </w:rPr>
      </w:pPr>
      <w:r>
        <w:t>As shown in Figure III.C.3 below, from 2019 – 2023, Medicare patients accounted for an increasing</w:t>
      </w:r>
      <w:r>
        <w:rPr>
          <w:spacing w:val="-4"/>
        </w:rPr>
        <w:t xml:space="preserve"> </w:t>
      </w:r>
      <w:r>
        <w:t>majority</w:t>
      </w:r>
      <w:r>
        <w:rPr>
          <w:spacing w:val="-4"/>
        </w:rPr>
        <w:t xml:space="preserve"> </w:t>
      </w:r>
      <w:r>
        <w:t>of</w:t>
      </w:r>
      <w:r>
        <w:rPr>
          <w:spacing w:val="-2"/>
        </w:rPr>
        <w:t xml:space="preserve"> </w:t>
      </w:r>
      <w:r>
        <w:t>inpatient</w:t>
      </w:r>
      <w:r>
        <w:rPr>
          <w:spacing w:val="-4"/>
        </w:rPr>
        <w:t xml:space="preserve"> </w:t>
      </w:r>
      <w:r>
        <w:t>medical</w:t>
      </w:r>
      <w:r>
        <w:rPr>
          <w:spacing w:val="-7"/>
        </w:rPr>
        <w:t xml:space="preserve"> </w:t>
      </w:r>
      <w:r>
        <w:t>oncology</w:t>
      </w:r>
      <w:r>
        <w:rPr>
          <w:spacing w:val="-6"/>
        </w:rPr>
        <w:t xml:space="preserve"> </w:t>
      </w:r>
      <w:r>
        <w:t>discharges</w:t>
      </w:r>
      <w:r>
        <w:rPr>
          <w:spacing w:val="-3"/>
        </w:rPr>
        <w:t xml:space="preserve"> </w:t>
      </w:r>
      <w:r>
        <w:t>statewide.</w:t>
      </w:r>
      <w:r>
        <w:rPr>
          <w:spacing w:val="-3"/>
        </w:rPr>
        <w:t xml:space="preserve"> </w:t>
      </w:r>
      <w:r>
        <w:t>Over</w:t>
      </w:r>
      <w:r>
        <w:rPr>
          <w:spacing w:val="-4"/>
        </w:rPr>
        <w:t xml:space="preserve"> </w:t>
      </w:r>
      <w:r>
        <w:t>the</w:t>
      </w:r>
      <w:r>
        <w:rPr>
          <w:spacing w:val="-3"/>
        </w:rPr>
        <w:t xml:space="preserve"> </w:t>
      </w:r>
      <w:r>
        <w:t>same</w:t>
      </w:r>
      <w:r>
        <w:rPr>
          <w:spacing w:val="-3"/>
        </w:rPr>
        <w:t xml:space="preserve"> </w:t>
      </w:r>
      <w:r>
        <w:t>period,</w:t>
      </w:r>
      <w:r>
        <w:rPr>
          <w:spacing w:val="-3"/>
        </w:rPr>
        <w:t xml:space="preserve"> </w:t>
      </w:r>
      <w:r>
        <w:t>the proportion of commercially insured and Medicaid-insured discharges decreased.</w:t>
      </w:r>
      <w:r>
        <w:rPr>
          <w:spacing w:val="-36"/>
        </w:rPr>
        <w:t xml:space="preserve"> </w:t>
      </w:r>
      <w:r w:rsidR="00887B3C">
        <w:rPr>
          <w:rStyle w:val="FootnoteReference"/>
          <w:spacing w:val="-36"/>
        </w:rPr>
        <w:footnoteReference w:id="227"/>
      </w:r>
      <w:r>
        <w:t xml:space="preserve">These trends are </w:t>
      </w:r>
      <w:proofErr w:type="gramStart"/>
      <w:r>
        <w:t>similar to</w:t>
      </w:r>
      <w:proofErr w:type="gramEnd"/>
      <w:r>
        <w:t xml:space="preserve"> trends in </w:t>
      </w:r>
      <w:proofErr w:type="gramStart"/>
      <w:r>
        <w:t>payer</w:t>
      </w:r>
      <w:proofErr w:type="gramEnd"/>
      <w:r>
        <w:t xml:space="preserve"> mix for all discharges statewide.</w:t>
      </w:r>
      <w:r w:rsidR="00887B3C">
        <w:rPr>
          <w:rStyle w:val="FootnoteReference"/>
        </w:rPr>
        <w:footnoteReference w:id="228"/>
      </w:r>
      <w:r w:rsidR="00887B3C">
        <w:rPr>
          <w:sz w:val="14"/>
        </w:rPr>
        <w:t xml:space="preserve"> </w:t>
      </w:r>
    </w:p>
    <w:p w14:paraId="1C34EABC" w14:textId="77777777" w:rsidR="004C558F" w:rsidRDefault="004C558F">
      <w:pPr>
        <w:pStyle w:val="BodyText"/>
        <w:spacing w:before="38"/>
      </w:pPr>
    </w:p>
    <w:p w14:paraId="1C34EABD" w14:textId="77777777" w:rsidR="004C558F" w:rsidRDefault="00461887">
      <w:pPr>
        <w:pStyle w:val="BodyText"/>
        <w:ind w:right="4"/>
        <w:jc w:val="center"/>
      </w:pPr>
      <w:r>
        <w:rPr>
          <w:noProof/>
        </w:rPr>
        <mc:AlternateContent>
          <mc:Choice Requires="wpg">
            <w:drawing>
              <wp:anchor distT="0" distB="0" distL="0" distR="0" simplePos="0" relativeHeight="251621376" behindDoc="1" locked="0" layoutInCell="1" allowOverlap="1" wp14:anchorId="1C34F142" wp14:editId="1F1E4432">
                <wp:simplePos x="0" y="0"/>
                <wp:positionH relativeFrom="page">
                  <wp:posOffset>909637</wp:posOffset>
                </wp:positionH>
                <wp:positionV relativeFrom="paragraph">
                  <wp:posOffset>177925</wp:posOffset>
                </wp:positionV>
                <wp:extent cx="5953125" cy="3057525"/>
                <wp:effectExtent l="0" t="0" r="9525" b="9525"/>
                <wp:wrapNone/>
                <wp:docPr id="421" name="Group 421" descr="Bar graph showing Statewide Inpatient Medical Oncology Payer Mix (2019-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057525"/>
                          <a:chOff x="0" y="0"/>
                          <a:chExt cx="5953125" cy="3057525"/>
                        </a:xfrm>
                      </wpg:grpSpPr>
                      <wps:wsp>
                        <wps:cNvPr id="422" name="Graphic 422"/>
                        <wps:cNvSpPr/>
                        <wps:spPr>
                          <a:xfrm>
                            <a:off x="534174" y="717080"/>
                            <a:ext cx="5274945" cy="1146175"/>
                          </a:xfrm>
                          <a:custGeom>
                            <a:avLst/>
                            <a:gdLst/>
                            <a:ahLst/>
                            <a:cxnLst/>
                            <a:rect l="l" t="t" r="r" b="b"/>
                            <a:pathLst>
                              <a:path w="5274945" h="1146175">
                                <a:moveTo>
                                  <a:pt x="0" y="1146048"/>
                                </a:moveTo>
                                <a:lnTo>
                                  <a:pt x="176199" y="1146048"/>
                                </a:lnTo>
                              </a:path>
                              <a:path w="5274945" h="1146175">
                                <a:moveTo>
                                  <a:pt x="878763" y="1146048"/>
                                </a:moveTo>
                                <a:lnTo>
                                  <a:pt x="1230807" y="1146048"/>
                                </a:lnTo>
                              </a:path>
                              <a:path w="5274945" h="1146175">
                                <a:moveTo>
                                  <a:pt x="1933371" y="1146048"/>
                                </a:moveTo>
                                <a:lnTo>
                                  <a:pt x="2285415" y="1146048"/>
                                </a:lnTo>
                              </a:path>
                              <a:path w="5274945" h="1146175">
                                <a:moveTo>
                                  <a:pt x="2989503" y="1146048"/>
                                </a:moveTo>
                                <a:lnTo>
                                  <a:pt x="3340023" y="1146048"/>
                                </a:lnTo>
                              </a:path>
                              <a:path w="5274945" h="1146175">
                                <a:moveTo>
                                  <a:pt x="4044111" y="1146048"/>
                                </a:moveTo>
                                <a:lnTo>
                                  <a:pt x="4396155" y="1146048"/>
                                </a:lnTo>
                              </a:path>
                              <a:path w="5274945" h="1146175">
                                <a:moveTo>
                                  <a:pt x="5098719" y="1146048"/>
                                </a:moveTo>
                                <a:lnTo>
                                  <a:pt x="5274487" y="1146048"/>
                                </a:lnTo>
                              </a:path>
                              <a:path w="5274945" h="1146175">
                                <a:moveTo>
                                  <a:pt x="0" y="573024"/>
                                </a:moveTo>
                                <a:lnTo>
                                  <a:pt x="176199" y="573024"/>
                                </a:lnTo>
                              </a:path>
                              <a:path w="5274945" h="1146175">
                                <a:moveTo>
                                  <a:pt x="2989503" y="573024"/>
                                </a:moveTo>
                                <a:lnTo>
                                  <a:pt x="3340023" y="573024"/>
                                </a:lnTo>
                              </a:path>
                              <a:path w="5274945" h="1146175">
                                <a:moveTo>
                                  <a:pt x="5098719" y="573024"/>
                                </a:moveTo>
                                <a:lnTo>
                                  <a:pt x="5274487" y="573024"/>
                                </a:lnTo>
                              </a:path>
                              <a:path w="5274945" h="1146175">
                                <a:moveTo>
                                  <a:pt x="0" y="0"/>
                                </a:moveTo>
                                <a:lnTo>
                                  <a:pt x="176199" y="0"/>
                                </a:lnTo>
                              </a:path>
                              <a:path w="5274945" h="1146175">
                                <a:moveTo>
                                  <a:pt x="2989503" y="0"/>
                                </a:moveTo>
                                <a:lnTo>
                                  <a:pt x="3340023" y="0"/>
                                </a:lnTo>
                              </a:path>
                              <a:path w="5274945" h="1146175">
                                <a:moveTo>
                                  <a:pt x="5098719" y="0"/>
                                </a:moveTo>
                                <a:lnTo>
                                  <a:pt x="5274487" y="0"/>
                                </a:lnTo>
                              </a:path>
                            </a:pathLst>
                          </a:custGeom>
                          <a:ln w="9525">
                            <a:solidFill>
                              <a:srgbClr val="ECECEC"/>
                            </a:solidFill>
                            <a:prstDash val="solid"/>
                          </a:ln>
                        </wps:spPr>
                        <wps:bodyPr wrap="square" lIns="0" tIns="0" rIns="0" bIns="0" rtlCol="0">
                          <a:prstTxWarp prst="textNoShape">
                            <a:avLst/>
                          </a:prstTxWarp>
                          <a:noAutofit/>
                        </wps:bodyPr>
                      </wps:wsp>
                      <wps:wsp>
                        <wps:cNvPr id="423" name="Graphic 423"/>
                        <wps:cNvSpPr/>
                        <wps:spPr>
                          <a:xfrm>
                            <a:off x="534174" y="144462"/>
                            <a:ext cx="5274945" cy="1270"/>
                          </a:xfrm>
                          <a:custGeom>
                            <a:avLst/>
                            <a:gdLst/>
                            <a:ahLst/>
                            <a:cxnLst/>
                            <a:rect l="l" t="t" r="r" b="b"/>
                            <a:pathLst>
                              <a:path w="5274945">
                                <a:moveTo>
                                  <a:pt x="0" y="0"/>
                                </a:moveTo>
                                <a:lnTo>
                                  <a:pt x="5274487" y="0"/>
                                </a:lnTo>
                              </a:path>
                            </a:pathLst>
                          </a:custGeom>
                          <a:ln w="9525">
                            <a:solidFill>
                              <a:srgbClr val="ECECEC"/>
                            </a:solidFill>
                            <a:prstDash val="solid"/>
                          </a:ln>
                        </wps:spPr>
                        <wps:bodyPr wrap="square" lIns="0" tIns="0" rIns="0" bIns="0" rtlCol="0">
                          <a:prstTxWarp prst="textNoShape">
                            <a:avLst/>
                          </a:prstTxWarp>
                          <a:noAutofit/>
                        </wps:bodyPr>
                      </wps:wsp>
                      <wps:wsp>
                        <wps:cNvPr id="424" name="Graphic 424"/>
                        <wps:cNvSpPr/>
                        <wps:spPr>
                          <a:xfrm>
                            <a:off x="710374" y="1907324"/>
                            <a:ext cx="702945" cy="528320"/>
                          </a:xfrm>
                          <a:custGeom>
                            <a:avLst/>
                            <a:gdLst/>
                            <a:ahLst/>
                            <a:cxnLst/>
                            <a:rect l="l" t="t" r="r" b="b"/>
                            <a:pathLst>
                              <a:path w="702945" h="528320">
                                <a:moveTo>
                                  <a:pt x="702563" y="0"/>
                                </a:moveTo>
                                <a:lnTo>
                                  <a:pt x="0" y="0"/>
                                </a:lnTo>
                                <a:lnTo>
                                  <a:pt x="0" y="528116"/>
                                </a:lnTo>
                                <a:lnTo>
                                  <a:pt x="702563" y="528116"/>
                                </a:lnTo>
                                <a:lnTo>
                                  <a:pt x="702563" y="0"/>
                                </a:lnTo>
                                <a:close/>
                              </a:path>
                            </a:pathLst>
                          </a:custGeom>
                          <a:solidFill>
                            <a:srgbClr val="084875"/>
                          </a:solidFill>
                        </wps:spPr>
                        <wps:bodyPr wrap="square" lIns="0" tIns="0" rIns="0" bIns="0" rtlCol="0">
                          <a:prstTxWarp prst="textNoShape">
                            <a:avLst/>
                          </a:prstTxWarp>
                          <a:noAutofit/>
                        </wps:bodyPr>
                      </wps:wsp>
                      <wps:wsp>
                        <wps:cNvPr id="425" name="Graphic 425"/>
                        <wps:cNvSpPr/>
                        <wps:spPr>
                          <a:xfrm>
                            <a:off x="710374" y="177583"/>
                            <a:ext cx="4922520" cy="1582420"/>
                          </a:xfrm>
                          <a:custGeom>
                            <a:avLst/>
                            <a:gdLst/>
                            <a:ahLst/>
                            <a:cxnLst/>
                            <a:rect l="l" t="t" r="r" b="b"/>
                            <a:pathLst>
                              <a:path w="4922520" h="1582420">
                                <a:moveTo>
                                  <a:pt x="702564" y="4572"/>
                                </a:moveTo>
                                <a:lnTo>
                                  <a:pt x="0" y="4572"/>
                                </a:lnTo>
                                <a:lnTo>
                                  <a:pt x="0" y="1463040"/>
                                </a:lnTo>
                                <a:lnTo>
                                  <a:pt x="702564" y="1463040"/>
                                </a:lnTo>
                                <a:lnTo>
                                  <a:pt x="702564" y="4572"/>
                                </a:lnTo>
                                <a:close/>
                              </a:path>
                              <a:path w="4922520" h="1582420">
                                <a:moveTo>
                                  <a:pt x="1757172" y="0"/>
                                </a:moveTo>
                                <a:lnTo>
                                  <a:pt x="1054608" y="0"/>
                                </a:lnTo>
                                <a:lnTo>
                                  <a:pt x="1054608" y="1469136"/>
                                </a:lnTo>
                                <a:lnTo>
                                  <a:pt x="1757172" y="1469136"/>
                                </a:lnTo>
                                <a:lnTo>
                                  <a:pt x="1757172" y="0"/>
                                </a:lnTo>
                                <a:close/>
                              </a:path>
                              <a:path w="4922520" h="1582420">
                                <a:moveTo>
                                  <a:pt x="2813304" y="4572"/>
                                </a:moveTo>
                                <a:lnTo>
                                  <a:pt x="2109216" y="4572"/>
                                </a:lnTo>
                                <a:lnTo>
                                  <a:pt x="2109216" y="1447800"/>
                                </a:lnTo>
                                <a:lnTo>
                                  <a:pt x="2813304" y="1447800"/>
                                </a:lnTo>
                                <a:lnTo>
                                  <a:pt x="2813304" y="4572"/>
                                </a:lnTo>
                                <a:close/>
                              </a:path>
                              <a:path w="4922520" h="1582420">
                                <a:moveTo>
                                  <a:pt x="3867912" y="9144"/>
                                </a:moveTo>
                                <a:lnTo>
                                  <a:pt x="3163824" y="9144"/>
                                </a:lnTo>
                                <a:lnTo>
                                  <a:pt x="3163824" y="1537716"/>
                                </a:lnTo>
                                <a:lnTo>
                                  <a:pt x="3867912" y="1537716"/>
                                </a:lnTo>
                                <a:lnTo>
                                  <a:pt x="3867912" y="9144"/>
                                </a:lnTo>
                                <a:close/>
                              </a:path>
                              <a:path w="4922520" h="1582420">
                                <a:moveTo>
                                  <a:pt x="4922507" y="13716"/>
                                </a:moveTo>
                                <a:lnTo>
                                  <a:pt x="4219956" y="13716"/>
                                </a:lnTo>
                                <a:lnTo>
                                  <a:pt x="4219956" y="1581912"/>
                                </a:lnTo>
                                <a:lnTo>
                                  <a:pt x="4922507" y="1581912"/>
                                </a:lnTo>
                                <a:lnTo>
                                  <a:pt x="4922507" y="13716"/>
                                </a:lnTo>
                                <a:close/>
                              </a:path>
                            </a:pathLst>
                          </a:custGeom>
                          <a:solidFill>
                            <a:srgbClr val="339FC7"/>
                          </a:solidFill>
                        </wps:spPr>
                        <wps:bodyPr wrap="square" lIns="0" tIns="0" rIns="0" bIns="0" rtlCol="0">
                          <a:prstTxWarp prst="textNoShape">
                            <a:avLst/>
                          </a:prstTxWarp>
                          <a:noAutofit/>
                        </wps:bodyPr>
                      </wps:wsp>
                      <wps:wsp>
                        <wps:cNvPr id="426" name="Graphic 426"/>
                        <wps:cNvSpPr/>
                        <wps:spPr>
                          <a:xfrm>
                            <a:off x="710374" y="151688"/>
                            <a:ext cx="4922520" cy="40005"/>
                          </a:xfrm>
                          <a:custGeom>
                            <a:avLst/>
                            <a:gdLst/>
                            <a:ahLst/>
                            <a:cxnLst/>
                            <a:rect l="l" t="t" r="r" b="b"/>
                            <a:pathLst>
                              <a:path w="4922520" h="40005">
                                <a:moveTo>
                                  <a:pt x="702564" y="10655"/>
                                </a:moveTo>
                                <a:lnTo>
                                  <a:pt x="0" y="10655"/>
                                </a:lnTo>
                                <a:lnTo>
                                  <a:pt x="0" y="30467"/>
                                </a:lnTo>
                                <a:lnTo>
                                  <a:pt x="702564" y="30467"/>
                                </a:lnTo>
                                <a:lnTo>
                                  <a:pt x="702564" y="10655"/>
                                </a:lnTo>
                                <a:close/>
                              </a:path>
                              <a:path w="4922520" h="40005">
                                <a:moveTo>
                                  <a:pt x="1757172" y="4572"/>
                                </a:moveTo>
                                <a:lnTo>
                                  <a:pt x="1054608" y="4572"/>
                                </a:lnTo>
                                <a:lnTo>
                                  <a:pt x="1054608" y="25895"/>
                                </a:lnTo>
                                <a:lnTo>
                                  <a:pt x="1757172" y="25895"/>
                                </a:lnTo>
                                <a:lnTo>
                                  <a:pt x="1757172" y="4572"/>
                                </a:lnTo>
                                <a:close/>
                              </a:path>
                              <a:path w="4922520" h="40005">
                                <a:moveTo>
                                  <a:pt x="2813304" y="0"/>
                                </a:moveTo>
                                <a:lnTo>
                                  <a:pt x="2109216" y="0"/>
                                </a:lnTo>
                                <a:lnTo>
                                  <a:pt x="2109216" y="30467"/>
                                </a:lnTo>
                                <a:lnTo>
                                  <a:pt x="2813304" y="30467"/>
                                </a:lnTo>
                                <a:lnTo>
                                  <a:pt x="2813304" y="0"/>
                                </a:lnTo>
                                <a:close/>
                              </a:path>
                              <a:path w="4922520" h="40005">
                                <a:moveTo>
                                  <a:pt x="3867912" y="4572"/>
                                </a:moveTo>
                                <a:lnTo>
                                  <a:pt x="3163824" y="4572"/>
                                </a:lnTo>
                                <a:lnTo>
                                  <a:pt x="3163824" y="35039"/>
                                </a:lnTo>
                                <a:lnTo>
                                  <a:pt x="3867912" y="35039"/>
                                </a:lnTo>
                                <a:lnTo>
                                  <a:pt x="3867912" y="4572"/>
                                </a:lnTo>
                                <a:close/>
                              </a:path>
                              <a:path w="4922520" h="40005">
                                <a:moveTo>
                                  <a:pt x="4922507" y="7607"/>
                                </a:moveTo>
                                <a:lnTo>
                                  <a:pt x="4219956" y="7607"/>
                                </a:lnTo>
                                <a:lnTo>
                                  <a:pt x="4219956" y="39611"/>
                                </a:lnTo>
                                <a:lnTo>
                                  <a:pt x="4922507" y="39611"/>
                                </a:lnTo>
                                <a:lnTo>
                                  <a:pt x="4922507" y="7607"/>
                                </a:lnTo>
                                <a:close/>
                              </a:path>
                            </a:pathLst>
                          </a:custGeom>
                          <a:solidFill>
                            <a:srgbClr val="F9A720"/>
                          </a:solidFill>
                        </wps:spPr>
                        <wps:bodyPr wrap="square" lIns="0" tIns="0" rIns="0" bIns="0" rtlCol="0">
                          <a:prstTxWarp prst="textNoShape">
                            <a:avLst/>
                          </a:prstTxWarp>
                          <a:noAutofit/>
                        </wps:bodyPr>
                      </wps:wsp>
                      <wps:wsp>
                        <wps:cNvPr id="427" name="Graphic 427"/>
                        <wps:cNvSpPr/>
                        <wps:spPr>
                          <a:xfrm>
                            <a:off x="710374" y="144462"/>
                            <a:ext cx="4922520" cy="18415"/>
                          </a:xfrm>
                          <a:custGeom>
                            <a:avLst/>
                            <a:gdLst/>
                            <a:ahLst/>
                            <a:cxnLst/>
                            <a:rect l="l" t="t" r="r" b="b"/>
                            <a:pathLst>
                              <a:path w="4922520" h="18415">
                                <a:moveTo>
                                  <a:pt x="702564" y="0"/>
                                </a:moveTo>
                                <a:lnTo>
                                  <a:pt x="0" y="0"/>
                                </a:lnTo>
                                <a:lnTo>
                                  <a:pt x="0" y="17881"/>
                                </a:lnTo>
                                <a:lnTo>
                                  <a:pt x="702564" y="17881"/>
                                </a:lnTo>
                                <a:lnTo>
                                  <a:pt x="702564" y="0"/>
                                </a:lnTo>
                                <a:close/>
                              </a:path>
                              <a:path w="4922520" h="18415">
                                <a:moveTo>
                                  <a:pt x="1757172" y="0"/>
                                </a:moveTo>
                                <a:lnTo>
                                  <a:pt x="1054608" y="0"/>
                                </a:lnTo>
                                <a:lnTo>
                                  <a:pt x="1054608" y="11785"/>
                                </a:lnTo>
                                <a:lnTo>
                                  <a:pt x="1757172" y="11785"/>
                                </a:lnTo>
                                <a:lnTo>
                                  <a:pt x="1757172" y="0"/>
                                </a:lnTo>
                                <a:close/>
                              </a:path>
                              <a:path w="4922520" h="18415">
                                <a:moveTo>
                                  <a:pt x="2813304" y="0"/>
                                </a:moveTo>
                                <a:lnTo>
                                  <a:pt x="2109216" y="0"/>
                                </a:lnTo>
                                <a:lnTo>
                                  <a:pt x="2109216" y="7213"/>
                                </a:lnTo>
                                <a:lnTo>
                                  <a:pt x="2813304" y="7213"/>
                                </a:lnTo>
                                <a:lnTo>
                                  <a:pt x="2813304" y="0"/>
                                </a:lnTo>
                                <a:close/>
                              </a:path>
                              <a:path w="4922520" h="18415">
                                <a:moveTo>
                                  <a:pt x="3867912" y="0"/>
                                </a:moveTo>
                                <a:lnTo>
                                  <a:pt x="3163824" y="0"/>
                                </a:lnTo>
                                <a:lnTo>
                                  <a:pt x="3163824" y="11785"/>
                                </a:lnTo>
                                <a:lnTo>
                                  <a:pt x="3867912" y="11785"/>
                                </a:lnTo>
                                <a:lnTo>
                                  <a:pt x="3867912" y="0"/>
                                </a:lnTo>
                                <a:close/>
                              </a:path>
                              <a:path w="4922520" h="18415">
                                <a:moveTo>
                                  <a:pt x="4922507" y="12"/>
                                </a:moveTo>
                                <a:lnTo>
                                  <a:pt x="4219956" y="12"/>
                                </a:lnTo>
                                <a:lnTo>
                                  <a:pt x="4219956" y="14833"/>
                                </a:lnTo>
                                <a:lnTo>
                                  <a:pt x="4922507" y="14833"/>
                                </a:lnTo>
                                <a:lnTo>
                                  <a:pt x="4922507" y="12"/>
                                </a:lnTo>
                                <a:close/>
                              </a:path>
                            </a:pathLst>
                          </a:custGeom>
                          <a:solidFill>
                            <a:srgbClr val="53C0A4"/>
                          </a:solidFill>
                        </wps:spPr>
                        <wps:bodyPr wrap="square" lIns="0" tIns="0" rIns="0" bIns="0" rtlCol="0">
                          <a:prstTxWarp prst="textNoShape">
                            <a:avLst/>
                          </a:prstTxWarp>
                          <a:noAutofit/>
                        </wps:bodyPr>
                      </wps:wsp>
                      <wps:wsp>
                        <wps:cNvPr id="428" name="Graphic 428"/>
                        <wps:cNvSpPr/>
                        <wps:spPr>
                          <a:xfrm>
                            <a:off x="534174" y="2435445"/>
                            <a:ext cx="5274945" cy="1270"/>
                          </a:xfrm>
                          <a:custGeom>
                            <a:avLst/>
                            <a:gdLst/>
                            <a:ahLst/>
                            <a:cxnLst/>
                            <a:rect l="l" t="t" r="r" b="b"/>
                            <a:pathLst>
                              <a:path w="5274945">
                                <a:moveTo>
                                  <a:pt x="0" y="0"/>
                                </a:moveTo>
                                <a:lnTo>
                                  <a:pt x="5274487" y="0"/>
                                </a:lnTo>
                              </a:path>
                            </a:pathLst>
                          </a:custGeom>
                          <a:ln w="9525">
                            <a:solidFill>
                              <a:srgbClr val="D9D9D9"/>
                            </a:solidFill>
                            <a:prstDash val="solid"/>
                          </a:ln>
                        </wps:spPr>
                        <wps:bodyPr wrap="square" lIns="0" tIns="0" rIns="0" bIns="0" rtlCol="0">
                          <a:prstTxWarp prst="textNoShape">
                            <a:avLst/>
                          </a:prstTxWarp>
                          <a:noAutofit/>
                        </wps:bodyPr>
                      </wps:wsp>
                      <wps:wsp>
                        <wps:cNvPr id="429" name="Graphic 429"/>
                        <wps:cNvSpPr/>
                        <wps:spPr>
                          <a:xfrm>
                            <a:off x="894359" y="28295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084875"/>
                          </a:solidFill>
                        </wps:spPr>
                        <wps:bodyPr wrap="square" lIns="0" tIns="0" rIns="0" bIns="0" rtlCol="0">
                          <a:prstTxWarp prst="textNoShape">
                            <a:avLst/>
                          </a:prstTxWarp>
                          <a:noAutofit/>
                        </wps:bodyPr>
                      </wps:wsp>
                      <wps:wsp>
                        <wps:cNvPr id="430" name="Graphic 430"/>
                        <wps:cNvSpPr/>
                        <wps:spPr>
                          <a:xfrm>
                            <a:off x="1826234" y="28295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1682A"/>
                          </a:solidFill>
                        </wps:spPr>
                        <wps:bodyPr wrap="square" lIns="0" tIns="0" rIns="0" bIns="0" rtlCol="0">
                          <a:prstTxWarp prst="textNoShape">
                            <a:avLst/>
                          </a:prstTxWarp>
                          <a:noAutofit/>
                        </wps:bodyPr>
                      </wps:wsp>
                      <wps:wsp>
                        <wps:cNvPr id="431" name="Graphic 431"/>
                        <wps:cNvSpPr/>
                        <wps:spPr>
                          <a:xfrm>
                            <a:off x="2602204" y="28295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339FC7"/>
                          </a:solidFill>
                        </wps:spPr>
                        <wps:bodyPr wrap="square" lIns="0" tIns="0" rIns="0" bIns="0" rtlCol="0">
                          <a:prstTxWarp prst="textNoShape">
                            <a:avLst/>
                          </a:prstTxWarp>
                          <a:noAutofit/>
                        </wps:bodyPr>
                      </wps:wsp>
                      <wps:wsp>
                        <wps:cNvPr id="432" name="Graphic 432"/>
                        <wps:cNvSpPr/>
                        <wps:spPr>
                          <a:xfrm>
                            <a:off x="3389109" y="28295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9A720"/>
                          </a:solidFill>
                        </wps:spPr>
                        <wps:bodyPr wrap="square" lIns="0" tIns="0" rIns="0" bIns="0" rtlCol="0">
                          <a:prstTxWarp prst="textNoShape">
                            <a:avLst/>
                          </a:prstTxWarp>
                          <a:noAutofit/>
                        </wps:bodyPr>
                      </wps:wsp>
                      <wps:wsp>
                        <wps:cNvPr id="433" name="Graphic 433"/>
                        <wps:cNvSpPr/>
                        <wps:spPr>
                          <a:xfrm>
                            <a:off x="4188891" y="28295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53C0A4"/>
                          </a:solidFill>
                        </wps:spPr>
                        <wps:bodyPr wrap="square" lIns="0" tIns="0" rIns="0" bIns="0" rtlCol="0">
                          <a:prstTxWarp prst="textNoShape">
                            <a:avLst/>
                          </a:prstTxWarp>
                          <a:noAutofit/>
                        </wps:bodyPr>
                      </wps:wsp>
                      <wps:wsp>
                        <wps:cNvPr id="434" name="Graphic 434"/>
                        <wps:cNvSpPr/>
                        <wps:spPr>
                          <a:xfrm>
                            <a:off x="4762" y="4762"/>
                            <a:ext cx="5943600" cy="3048000"/>
                          </a:xfrm>
                          <a:custGeom>
                            <a:avLst/>
                            <a:gdLst/>
                            <a:ahLst/>
                            <a:cxnLst/>
                            <a:rect l="l" t="t" r="r" b="b"/>
                            <a:pathLst>
                              <a:path w="5943600" h="3048000">
                                <a:moveTo>
                                  <a:pt x="0" y="0"/>
                                </a:moveTo>
                                <a:lnTo>
                                  <a:pt x="5943600" y="0"/>
                                </a:lnTo>
                                <a:lnTo>
                                  <a:pt x="5943600" y="3048000"/>
                                </a:lnTo>
                                <a:lnTo>
                                  <a:pt x="0" y="30480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35" name="Textbox 435"/>
                        <wps:cNvSpPr txBox="1"/>
                        <wps:spPr>
                          <a:xfrm>
                            <a:off x="87276" y="63224"/>
                            <a:ext cx="343535" cy="152400"/>
                          </a:xfrm>
                          <a:prstGeom prst="rect">
                            <a:avLst/>
                          </a:prstGeom>
                        </wps:spPr>
                        <wps:txbx>
                          <w:txbxContent>
                            <w:p w14:paraId="1C34F1CB" w14:textId="77777777" w:rsidR="004C558F" w:rsidRDefault="00461887">
                              <w:pPr>
                                <w:spacing w:before="1"/>
                                <w:rPr>
                                  <w:sz w:val="21"/>
                                </w:rPr>
                              </w:pPr>
                              <w:r>
                                <w:rPr>
                                  <w:color w:val="585858"/>
                                  <w:spacing w:val="-4"/>
                                  <w:sz w:val="21"/>
                                </w:rPr>
                                <w:t>100%</w:t>
                              </w:r>
                            </w:p>
                          </w:txbxContent>
                        </wps:txbx>
                        <wps:bodyPr wrap="square" lIns="0" tIns="0" rIns="0" bIns="0" rtlCol="0">
                          <a:noAutofit/>
                        </wps:bodyPr>
                      </wps:wsp>
                      <wps:wsp>
                        <wps:cNvPr id="436" name="Textbox 436"/>
                        <wps:cNvSpPr txBox="1"/>
                        <wps:spPr>
                          <a:xfrm>
                            <a:off x="165463" y="636016"/>
                            <a:ext cx="266700" cy="152400"/>
                          </a:xfrm>
                          <a:prstGeom prst="rect">
                            <a:avLst/>
                          </a:prstGeom>
                        </wps:spPr>
                        <wps:txbx>
                          <w:txbxContent>
                            <w:p w14:paraId="1C34F1CC" w14:textId="77777777" w:rsidR="004C558F" w:rsidRDefault="00461887">
                              <w:pPr>
                                <w:spacing w:before="1"/>
                                <w:rPr>
                                  <w:sz w:val="21"/>
                                </w:rPr>
                              </w:pPr>
                              <w:r>
                                <w:rPr>
                                  <w:color w:val="585858"/>
                                  <w:spacing w:val="-5"/>
                                  <w:sz w:val="21"/>
                                </w:rPr>
                                <w:t>75%</w:t>
                              </w:r>
                            </w:p>
                          </w:txbxContent>
                        </wps:txbx>
                        <wps:bodyPr wrap="square" lIns="0" tIns="0" rIns="0" bIns="0" rtlCol="0">
                          <a:noAutofit/>
                        </wps:bodyPr>
                      </wps:wsp>
                      <wps:wsp>
                        <wps:cNvPr id="437" name="Textbox 437"/>
                        <wps:cNvSpPr txBox="1"/>
                        <wps:spPr>
                          <a:xfrm>
                            <a:off x="165463" y="1208808"/>
                            <a:ext cx="266700" cy="152400"/>
                          </a:xfrm>
                          <a:prstGeom prst="rect">
                            <a:avLst/>
                          </a:prstGeom>
                        </wps:spPr>
                        <wps:txbx>
                          <w:txbxContent>
                            <w:p w14:paraId="1C34F1CD" w14:textId="77777777" w:rsidR="004C558F" w:rsidRDefault="00461887">
                              <w:pPr>
                                <w:spacing w:before="1"/>
                                <w:rPr>
                                  <w:sz w:val="21"/>
                                </w:rPr>
                              </w:pPr>
                              <w:r>
                                <w:rPr>
                                  <w:color w:val="585858"/>
                                  <w:spacing w:val="-5"/>
                                  <w:sz w:val="21"/>
                                </w:rPr>
                                <w:t>50%</w:t>
                              </w:r>
                            </w:p>
                          </w:txbxContent>
                        </wps:txbx>
                        <wps:bodyPr wrap="square" lIns="0" tIns="0" rIns="0" bIns="0" rtlCol="0">
                          <a:noAutofit/>
                        </wps:bodyPr>
                      </wps:wsp>
                      <wps:wsp>
                        <wps:cNvPr id="438" name="Textbox 438"/>
                        <wps:cNvSpPr txBox="1"/>
                        <wps:spPr>
                          <a:xfrm>
                            <a:off x="165463" y="1781601"/>
                            <a:ext cx="266700" cy="152400"/>
                          </a:xfrm>
                          <a:prstGeom prst="rect">
                            <a:avLst/>
                          </a:prstGeom>
                        </wps:spPr>
                        <wps:txbx>
                          <w:txbxContent>
                            <w:p w14:paraId="1C34F1CE" w14:textId="77777777" w:rsidR="004C558F" w:rsidRDefault="00461887">
                              <w:pPr>
                                <w:spacing w:before="1"/>
                                <w:rPr>
                                  <w:sz w:val="21"/>
                                </w:rPr>
                              </w:pPr>
                              <w:r>
                                <w:rPr>
                                  <w:color w:val="585858"/>
                                  <w:spacing w:val="-5"/>
                                  <w:sz w:val="21"/>
                                </w:rPr>
                                <w:t>25%</w:t>
                              </w:r>
                            </w:p>
                          </w:txbxContent>
                        </wps:txbx>
                        <wps:bodyPr wrap="square" lIns="0" tIns="0" rIns="0" bIns="0" rtlCol="0">
                          <a:noAutofit/>
                        </wps:bodyPr>
                      </wps:wsp>
                      <wps:wsp>
                        <wps:cNvPr id="439" name="Textbox 439"/>
                        <wps:cNvSpPr txBox="1"/>
                        <wps:spPr>
                          <a:xfrm>
                            <a:off x="243650" y="2354393"/>
                            <a:ext cx="187325" cy="152400"/>
                          </a:xfrm>
                          <a:prstGeom prst="rect">
                            <a:avLst/>
                          </a:prstGeom>
                        </wps:spPr>
                        <wps:txbx>
                          <w:txbxContent>
                            <w:p w14:paraId="1C34F1CF" w14:textId="77777777" w:rsidR="004C558F" w:rsidRDefault="00461887">
                              <w:pPr>
                                <w:spacing w:before="1"/>
                                <w:rPr>
                                  <w:sz w:val="21"/>
                                </w:rPr>
                              </w:pPr>
                              <w:r>
                                <w:rPr>
                                  <w:color w:val="585858"/>
                                  <w:spacing w:val="-5"/>
                                  <w:sz w:val="21"/>
                                </w:rPr>
                                <w:t>0%</w:t>
                              </w:r>
                            </w:p>
                          </w:txbxContent>
                        </wps:txbx>
                        <wps:bodyPr wrap="square" lIns="0" tIns="0" rIns="0" bIns="0" rtlCol="0">
                          <a:noAutofit/>
                        </wps:bodyPr>
                      </wps:wsp>
                      <wps:wsp>
                        <wps:cNvPr id="440" name="Textbox 440"/>
                        <wps:cNvSpPr txBox="1"/>
                        <wps:spPr>
                          <a:xfrm>
                            <a:off x="1923526" y="2782568"/>
                            <a:ext cx="528955" cy="152400"/>
                          </a:xfrm>
                          <a:prstGeom prst="rect">
                            <a:avLst/>
                          </a:prstGeom>
                        </wps:spPr>
                        <wps:txbx>
                          <w:txbxContent>
                            <w:p w14:paraId="1C34F1D0" w14:textId="77777777" w:rsidR="004C558F" w:rsidRDefault="00461887">
                              <w:pPr>
                                <w:spacing w:before="1"/>
                                <w:rPr>
                                  <w:sz w:val="21"/>
                                </w:rPr>
                              </w:pPr>
                              <w:r>
                                <w:rPr>
                                  <w:color w:val="585858"/>
                                  <w:spacing w:val="-2"/>
                                  <w:sz w:val="21"/>
                                </w:rPr>
                                <w:t>Medicaid</w:t>
                              </w:r>
                            </w:p>
                          </w:txbxContent>
                        </wps:txbx>
                        <wps:bodyPr wrap="square" lIns="0" tIns="0" rIns="0" bIns="0" rtlCol="0">
                          <a:noAutofit/>
                        </wps:bodyPr>
                      </wps:wsp>
                      <wps:wsp>
                        <wps:cNvPr id="441" name="Textbox 441"/>
                        <wps:cNvSpPr txBox="1"/>
                        <wps:spPr>
                          <a:xfrm>
                            <a:off x="2699503" y="2782568"/>
                            <a:ext cx="538480" cy="152400"/>
                          </a:xfrm>
                          <a:prstGeom prst="rect">
                            <a:avLst/>
                          </a:prstGeom>
                        </wps:spPr>
                        <wps:txbx>
                          <w:txbxContent>
                            <w:p w14:paraId="1C34F1D1" w14:textId="77777777" w:rsidR="004C558F" w:rsidRDefault="00461887">
                              <w:pPr>
                                <w:spacing w:before="1"/>
                                <w:rPr>
                                  <w:sz w:val="21"/>
                                </w:rPr>
                              </w:pPr>
                              <w:r>
                                <w:rPr>
                                  <w:color w:val="585858"/>
                                  <w:spacing w:val="-2"/>
                                  <w:sz w:val="21"/>
                                </w:rPr>
                                <w:t>Medicare</w:t>
                              </w:r>
                            </w:p>
                          </w:txbxContent>
                        </wps:txbx>
                        <wps:bodyPr wrap="square" lIns="0" tIns="0" rIns="0" bIns="0" rtlCol="0">
                          <a:noAutofit/>
                        </wps:bodyPr>
                      </wps:wsp>
                      <wps:wsp>
                        <wps:cNvPr id="442" name="Textbox 442"/>
                        <wps:cNvSpPr txBox="1"/>
                        <wps:spPr>
                          <a:xfrm>
                            <a:off x="3486401" y="2782568"/>
                            <a:ext cx="551815" cy="152400"/>
                          </a:xfrm>
                          <a:prstGeom prst="rect">
                            <a:avLst/>
                          </a:prstGeom>
                        </wps:spPr>
                        <wps:txbx>
                          <w:txbxContent>
                            <w:p w14:paraId="1C34F1D2" w14:textId="77777777" w:rsidR="004C558F" w:rsidRDefault="00461887">
                              <w:pPr>
                                <w:spacing w:before="1"/>
                                <w:rPr>
                                  <w:sz w:val="21"/>
                                </w:rPr>
                              </w:pPr>
                              <w:r>
                                <w:rPr>
                                  <w:color w:val="585858"/>
                                  <w:sz w:val="21"/>
                                </w:rPr>
                                <w:t>Other</w:t>
                              </w:r>
                              <w:r>
                                <w:rPr>
                                  <w:color w:val="585858"/>
                                  <w:spacing w:val="-5"/>
                                  <w:sz w:val="21"/>
                                </w:rPr>
                                <w:t xml:space="preserve"> gov</w:t>
                              </w:r>
                            </w:p>
                          </w:txbxContent>
                        </wps:txbx>
                        <wps:bodyPr wrap="square" lIns="0" tIns="0" rIns="0" bIns="0" rtlCol="0">
                          <a:noAutofit/>
                        </wps:bodyPr>
                      </wps:wsp>
                      <wps:wsp>
                        <wps:cNvPr id="443" name="Textbox 443"/>
                        <wps:cNvSpPr txBox="1"/>
                        <wps:spPr>
                          <a:xfrm>
                            <a:off x="4070000" y="2515730"/>
                            <a:ext cx="1050925" cy="419100"/>
                          </a:xfrm>
                          <a:prstGeom prst="rect">
                            <a:avLst/>
                          </a:prstGeom>
                        </wps:spPr>
                        <wps:txbx>
                          <w:txbxContent>
                            <w:p w14:paraId="1C34F1D3" w14:textId="77777777" w:rsidR="004C558F" w:rsidRDefault="00461887">
                              <w:pPr>
                                <w:spacing w:before="1"/>
                                <w:rPr>
                                  <w:sz w:val="21"/>
                                </w:rPr>
                              </w:pPr>
                              <w:r>
                                <w:rPr>
                                  <w:color w:val="585858"/>
                                  <w:spacing w:val="-4"/>
                                  <w:sz w:val="21"/>
                                </w:rPr>
                                <w:t>2022</w:t>
                              </w:r>
                            </w:p>
                            <w:p w14:paraId="1C34F1D4" w14:textId="77777777" w:rsidR="004C558F" w:rsidRDefault="00461887">
                              <w:pPr>
                                <w:spacing w:before="182"/>
                                <w:ind w:left="340"/>
                                <w:rPr>
                                  <w:sz w:val="21"/>
                                </w:rPr>
                              </w:pPr>
                              <w:proofErr w:type="spellStart"/>
                              <w:r>
                                <w:rPr>
                                  <w:color w:val="585858"/>
                                  <w:sz w:val="21"/>
                                </w:rPr>
                                <w:t>Self</w:t>
                              </w:r>
                              <w:r>
                                <w:rPr>
                                  <w:color w:val="585858"/>
                                  <w:spacing w:val="-3"/>
                                  <w:sz w:val="21"/>
                                </w:rPr>
                                <w:t xml:space="preserve"> </w:t>
                              </w:r>
                              <w:r>
                                <w:rPr>
                                  <w:color w:val="585858"/>
                                  <w:spacing w:val="-2"/>
                                  <w:sz w:val="21"/>
                                </w:rPr>
                                <w:t>Pay</w:t>
                              </w:r>
                              <w:proofErr w:type="spellEnd"/>
                              <w:r>
                                <w:rPr>
                                  <w:color w:val="585858"/>
                                  <w:spacing w:val="-2"/>
                                  <w:sz w:val="21"/>
                                </w:rPr>
                                <w:t>/Other</w:t>
                              </w:r>
                            </w:p>
                          </w:txbxContent>
                        </wps:txbx>
                        <wps:bodyPr wrap="square" lIns="0" tIns="0" rIns="0" bIns="0" rtlCol="0">
                          <a:noAutofit/>
                        </wps:bodyPr>
                      </wps:wsp>
                      <wps:wsp>
                        <wps:cNvPr id="444" name="Textbox 444"/>
                        <wps:cNvSpPr txBox="1"/>
                        <wps:spPr>
                          <a:xfrm>
                            <a:off x="5124925" y="2515730"/>
                            <a:ext cx="325120" cy="152400"/>
                          </a:xfrm>
                          <a:prstGeom prst="rect">
                            <a:avLst/>
                          </a:prstGeom>
                        </wps:spPr>
                        <wps:txbx>
                          <w:txbxContent>
                            <w:p w14:paraId="1C34F1D5" w14:textId="77777777" w:rsidR="004C558F" w:rsidRDefault="00461887">
                              <w:pPr>
                                <w:spacing w:before="1"/>
                                <w:rPr>
                                  <w:sz w:val="21"/>
                                </w:rPr>
                              </w:pPr>
                              <w:r>
                                <w:rPr>
                                  <w:color w:val="585858"/>
                                  <w:spacing w:val="-4"/>
                                  <w:sz w:val="21"/>
                                </w:rPr>
                                <w:t>2023</w:t>
                              </w:r>
                            </w:p>
                          </w:txbxContent>
                        </wps:txbx>
                        <wps:bodyPr wrap="square" lIns="0" tIns="0" rIns="0" bIns="0" rtlCol="0">
                          <a:noAutofit/>
                        </wps:bodyPr>
                      </wps:wsp>
                      <wps:wsp>
                        <wps:cNvPr id="445" name="Textbox 445"/>
                        <wps:cNvSpPr txBox="1"/>
                        <wps:spPr>
                          <a:xfrm>
                            <a:off x="991657" y="2782568"/>
                            <a:ext cx="683895" cy="152400"/>
                          </a:xfrm>
                          <a:prstGeom prst="rect">
                            <a:avLst/>
                          </a:prstGeom>
                        </wps:spPr>
                        <wps:txbx>
                          <w:txbxContent>
                            <w:p w14:paraId="1C34F1D6" w14:textId="77777777" w:rsidR="004C558F" w:rsidRDefault="00461887">
                              <w:pPr>
                                <w:spacing w:before="1"/>
                                <w:rPr>
                                  <w:sz w:val="21"/>
                                </w:rPr>
                              </w:pPr>
                              <w:r>
                                <w:rPr>
                                  <w:color w:val="585858"/>
                                  <w:spacing w:val="-2"/>
                                  <w:sz w:val="21"/>
                                </w:rPr>
                                <w:t>Commercial</w:t>
                              </w:r>
                            </w:p>
                          </w:txbxContent>
                        </wps:txbx>
                        <wps:bodyPr wrap="square" lIns="0" tIns="0" rIns="0" bIns="0" rtlCol="0">
                          <a:noAutofit/>
                        </wps:bodyPr>
                      </wps:wsp>
                    </wpg:wgp>
                  </a:graphicData>
                </a:graphic>
              </wp:anchor>
            </w:drawing>
          </mc:Choice>
          <mc:Fallback>
            <w:pict>
              <v:group w14:anchorId="1C34F142" id="Group 421" o:spid="_x0000_s1349" alt="Bar graph showing Statewide Inpatient Medical Oncology Payer Mix (2019-2023)" style="position:absolute;left:0;text-align:left;margin-left:71.6pt;margin-top:14pt;width:468.75pt;height:240.75pt;z-index:-251695104;mso-wrap-distance-left:0;mso-wrap-distance-right:0;mso-position-horizontal-relative:page;mso-position-vertical-relative:text" coordsize="59531,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">
                <v:shape id="Graphic 422" o:spid="_x0000_s1350" style="position:absolute;left:5341;top:7170;width:52750;height:11462;visibility:visible;mso-wrap-style:square;v-text-anchor:top" coordsize="527494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" path="m,1146048r176199,em878763,1146048r352044,em1933371,1146048r352044,em2989503,1146048r350520,em4044111,1146048r352044,em5098719,1146048r175768,em,573024r176199,em2989503,573024r350520,em5098719,573024r175768,em,l176199,em2989503,r350520,em5098719,r175768,e" filled="f" strokecolor="#ececec">
                  <v:path arrowok="t"/>
                </v:shape>
                <v:shape id="Graphic 423" o:spid="_x0000_s1351" style="position:absolute;left:5341;top:1444;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" path="m,l5274487,e" filled="f" strokecolor="#ececec">
                  <v:path arrowok="t"/>
                </v:shape>
                <v:shape id="Graphic 424" o:spid="_x0000_s1352" style="position:absolute;left:7103;top:19073;width:7030;height:5283;visibility:visible;mso-wrap-style:square;v-text-anchor:top" coordsize="70294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" path="m702563,l,,,528116r702563,l702563,xe" fillcolor="#084875" stroked="f">
                  <v:path arrowok="t"/>
                </v:shape>
                <v:shape id="Graphic 425" o:spid="_x0000_s1353" style="position:absolute;left:7103;top:1775;width:49225;height:15825;visibility:visible;mso-wrap-style:square;v-text-anchor:top" coordsize="4922520,1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" path="m702564,4572l,4572,,1463040r702564,l702564,4572xem1757172,l1054608,r,1469136l1757172,1469136,1757172,xem2813304,4572r-704088,l2109216,1447800r704088,l2813304,4572xem3867912,9144r-704088,l3163824,1537716r704088,l3867912,9144xem4922507,13716r-702551,l4219956,1581912r702551,l4922507,13716xe" fillcolor="#339fc7" stroked="f">
                  <v:path arrowok="t"/>
                </v:shape>
                <v:shape id="Graphic 426" o:spid="_x0000_s1354" style="position:absolute;left:7103;top:1516;width:49225;height:400;visibility:visible;mso-wrap-style:square;v-text-anchor:top" coordsize="492252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" path="m702564,10655l,10655,,30467r702564,l702564,10655xem1757172,4572r-702564,l1054608,25895r702564,l1757172,4572xem2813304,l2109216,r,30467l2813304,30467r,-30467xem3867912,4572r-704088,l3163824,35039r704088,l3867912,4572xem4922507,7607r-702551,l4219956,39611r702551,l4922507,7607xe" fillcolor="#f9a720" stroked="f">
                  <v:path arrowok="t"/>
                </v:shape>
                <v:shape id="Graphic 427" o:spid="_x0000_s1355" style="position:absolute;left:7103;top:1444;width:49225;height:184;visibility:visible;mso-wrap-style:square;v-text-anchor:top" coordsize="4922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" path="m702564,l,,,17881r702564,l702564,xem1757172,l1054608,r,11785l1757172,11785r,-11785xem2813304,l2109216,r,7213l2813304,7213r,-7213xem3867912,l3163824,r,11785l3867912,11785r,-11785xem4922507,12r-702551,l4219956,14833r702551,l4922507,12xe" fillcolor="#53c0a4" stroked="f">
                  <v:path arrowok="t"/>
                </v:shape>
                <v:shape id="Graphic 428" o:spid="_x0000_s1356" style="position:absolute;left:5341;top:24354;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" path="m,l5274487,e" filled="f" strokecolor="#d9d9d9">
                  <v:path arrowok="t"/>
                </v:shape>
                <v:shape id="Graphic 429" o:spid="_x0000_s1357" style="position:absolute;left:8943;top:28295;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" path="m68033,l,,,68033r68033,l68033,xe" fillcolor="#084875" stroked="f">
                  <v:path arrowok="t"/>
                </v:shape>
                <v:shape id="Graphic 430" o:spid="_x0000_s1358" style="position:absolute;left:18262;top:28295;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" path="m68033,l,,,68033r68033,l68033,xe" fillcolor="#f1682a" stroked="f">
                  <v:path arrowok="t"/>
                </v:shape>
                <v:shape id="Graphic 431" o:spid="_x0000_s1359" style="position:absolute;left:26022;top:28295;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" path="m68033,l,,,68033r68033,l68033,xe" fillcolor="#339fc7" stroked="f">
                  <v:path arrowok="t"/>
                </v:shape>
                <v:shape id="Graphic 432" o:spid="_x0000_s1360" style="position:absolute;left:33891;top:28295;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" path="m68033,l,,,68033r68033,l68033,xe" fillcolor="#f9a720" stroked="f">
                  <v:path arrowok="t"/>
                </v:shape>
                <v:shape id="Graphic 433" o:spid="_x0000_s1361" style="position:absolute;left:41888;top:28295;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" path="m68033,l,,,68033r68033,l68033,xe" fillcolor="#53c0a4" stroked="f">
                  <v:path arrowok="t"/>
                </v:shape>
                <v:shape id="Graphic 434" o:spid="_x0000_s1362" style="position:absolute;left:47;top:47;width:59436;height:30480;visibility:visible;mso-wrap-style:square;v-text-anchor:top" coordsize="5943600,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" path="m,l5943600,r,3048000l,3048000,,xe" filled="f" strokecolor="#d9d9d9">
                  <v:path arrowok="t"/>
                </v:shape>
                <v:shape id="Textbox 435" o:spid="_x0000_s1363" type="#_x0000_t202" style="position:absolute;left:872;top:632;width:34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C34F1CB" w14:textId="77777777" w:rsidR="004C558F" w:rsidRDefault="00461887">
                        <w:pPr>
                          <w:spacing w:before="1"/>
                          <w:rPr>
                            <w:sz w:val="21"/>
                          </w:rPr>
                        </w:pPr>
                        <w:r>
                          <w:rPr>
                            <w:color w:val="585858"/>
                            <w:spacing w:val="-4"/>
                            <w:sz w:val="21"/>
                          </w:rPr>
                          <w:t>100%</w:t>
                        </w:r>
                      </w:p>
                    </w:txbxContent>
                  </v:textbox>
                </v:shape>
                <v:shape id="Textbox 436" o:spid="_x0000_s1364" type="#_x0000_t202" style="position:absolute;left:1654;top:6360;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1C34F1CC" w14:textId="77777777" w:rsidR="004C558F" w:rsidRDefault="00461887">
                        <w:pPr>
                          <w:spacing w:before="1"/>
                          <w:rPr>
                            <w:sz w:val="21"/>
                          </w:rPr>
                        </w:pPr>
                        <w:r>
                          <w:rPr>
                            <w:color w:val="585858"/>
                            <w:spacing w:val="-5"/>
                            <w:sz w:val="21"/>
                          </w:rPr>
                          <w:t>75%</w:t>
                        </w:r>
                      </w:p>
                    </w:txbxContent>
                  </v:textbox>
                </v:shape>
                <v:shape id="Textbox 437" o:spid="_x0000_s1365" type="#_x0000_t202" style="position:absolute;left:1654;top:12088;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1C34F1CD" w14:textId="77777777" w:rsidR="004C558F" w:rsidRDefault="00461887">
                        <w:pPr>
                          <w:spacing w:before="1"/>
                          <w:rPr>
                            <w:sz w:val="21"/>
                          </w:rPr>
                        </w:pPr>
                        <w:r>
                          <w:rPr>
                            <w:color w:val="585858"/>
                            <w:spacing w:val="-5"/>
                            <w:sz w:val="21"/>
                          </w:rPr>
                          <w:t>50%</w:t>
                        </w:r>
                      </w:p>
                    </w:txbxContent>
                  </v:textbox>
                </v:shape>
                <v:shape id="Textbox 438" o:spid="_x0000_s1366" type="#_x0000_t202" style="position:absolute;left:1654;top:17816;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C34F1CE" w14:textId="77777777" w:rsidR="004C558F" w:rsidRDefault="00461887">
                        <w:pPr>
                          <w:spacing w:before="1"/>
                          <w:rPr>
                            <w:sz w:val="21"/>
                          </w:rPr>
                        </w:pPr>
                        <w:r>
                          <w:rPr>
                            <w:color w:val="585858"/>
                            <w:spacing w:val="-5"/>
                            <w:sz w:val="21"/>
                          </w:rPr>
                          <w:t>25%</w:t>
                        </w:r>
                      </w:p>
                    </w:txbxContent>
                  </v:textbox>
                </v:shape>
                <v:shape id="Textbox 439" o:spid="_x0000_s1367" type="#_x0000_t202" style="position:absolute;left:2436;top:23543;width:1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C34F1CF" w14:textId="77777777" w:rsidR="004C558F" w:rsidRDefault="00461887">
                        <w:pPr>
                          <w:spacing w:before="1"/>
                          <w:rPr>
                            <w:sz w:val="21"/>
                          </w:rPr>
                        </w:pPr>
                        <w:r>
                          <w:rPr>
                            <w:color w:val="585858"/>
                            <w:spacing w:val="-5"/>
                            <w:sz w:val="21"/>
                          </w:rPr>
                          <w:t>0%</w:t>
                        </w:r>
                      </w:p>
                    </w:txbxContent>
                  </v:textbox>
                </v:shape>
                <v:shape id="Textbox 440" o:spid="_x0000_s1368" type="#_x0000_t202" style="position:absolute;left:19235;top:27825;width:52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1C34F1D0" w14:textId="77777777" w:rsidR="004C558F" w:rsidRDefault="00461887">
                        <w:pPr>
                          <w:spacing w:before="1"/>
                          <w:rPr>
                            <w:sz w:val="21"/>
                          </w:rPr>
                        </w:pPr>
                        <w:r>
                          <w:rPr>
                            <w:color w:val="585858"/>
                            <w:spacing w:val="-2"/>
                            <w:sz w:val="21"/>
                          </w:rPr>
                          <w:t>Medicaid</w:t>
                        </w:r>
                      </w:p>
                    </w:txbxContent>
                  </v:textbox>
                </v:shape>
                <v:shape id="Textbox 441" o:spid="_x0000_s1369" type="#_x0000_t202" style="position:absolute;left:26995;top:27825;width:53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C34F1D1" w14:textId="77777777" w:rsidR="004C558F" w:rsidRDefault="00461887">
                        <w:pPr>
                          <w:spacing w:before="1"/>
                          <w:rPr>
                            <w:sz w:val="21"/>
                          </w:rPr>
                        </w:pPr>
                        <w:r>
                          <w:rPr>
                            <w:color w:val="585858"/>
                            <w:spacing w:val="-2"/>
                            <w:sz w:val="21"/>
                          </w:rPr>
                          <w:t>Medicare</w:t>
                        </w:r>
                      </w:p>
                    </w:txbxContent>
                  </v:textbox>
                </v:shape>
                <v:shape id="Textbox 442" o:spid="_x0000_s1370" type="#_x0000_t202" style="position:absolute;left:34864;top:27825;width:55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C34F1D2" w14:textId="77777777" w:rsidR="004C558F" w:rsidRDefault="00461887">
                        <w:pPr>
                          <w:spacing w:before="1"/>
                          <w:rPr>
                            <w:sz w:val="21"/>
                          </w:rPr>
                        </w:pPr>
                        <w:r>
                          <w:rPr>
                            <w:color w:val="585858"/>
                            <w:sz w:val="21"/>
                          </w:rPr>
                          <w:t>Other</w:t>
                        </w:r>
                        <w:r>
                          <w:rPr>
                            <w:color w:val="585858"/>
                            <w:spacing w:val="-5"/>
                            <w:sz w:val="21"/>
                          </w:rPr>
                          <w:t xml:space="preserve"> gov</w:t>
                        </w:r>
                      </w:p>
                    </w:txbxContent>
                  </v:textbox>
                </v:shape>
                <v:shape id="Textbox 443" o:spid="_x0000_s1371" type="#_x0000_t202" style="position:absolute;left:40700;top:25157;width:1050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C34F1D3" w14:textId="77777777" w:rsidR="004C558F" w:rsidRDefault="00461887">
                        <w:pPr>
                          <w:spacing w:before="1"/>
                          <w:rPr>
                            <w:sz w:val="21"/>
                          </w:rPr>
                        </w:pPr>
                        <w:r>
                          <w:rPr>
                            <w:color w:val="585858"/>
                            <w:spacing w:val="-4"/>
                            <w:sz w:val="21"/>
                          </w:rPr>
                          <w:t>2022</w:t>
                        </w:r>
                      </w:p>
                      <w:p w14:paraId="1C34F1D4" w14:textId="77777777" w:rsidR="004C558F" w:rsidRDefault="00461887">
                        <w:pPr>
                          <w:spacing w:before="182"/>
                          <w:ind w:left="340"/>
                          <w:rPr>
                            <w:sz w:val="21"/>
                          </w:rPr>
                        </w:pPr>
                        <w:proofErr w:type="spellStart"/>
                        <w:r>
                          <w:rPr>
                            <w:color w:val="585858"/>
                            <w:sz w:val="21"/>
                          </w:rPr>
                          <w:t>Self</w:t>
                        </w:r>
                        <w:r>
                          <w:rPr>
                            <w:color w:val="585858"/>
                            <w:spacing w:val="-3"/>
                            <w:sz w:val="21"/>
                          </w:rPr>
                          <w:t xml:space="preserve"> </w:t>
                        </w:r>
                        <w:r>
                          <w:rPr>
                            <w:color w:val="585858"/>
                            <w:spacing w:val="-2"/>
                            <w:sz w:val="21"/>
                          </w:rPr>
                          <w:t>Pay</w:t>
                        </w:r>
                        <w:proofErr w:type="spellEnd"/>
                        <w:r>
                          <w:rPr>
                            <w:color w:val="585858"/>
                            <w:spacing w:val="-2"/>
                            <w:sz w:val="21"/>
                          </w:rPr>
                          <w:t>/Other</w:t>
                        </w:r>
                      </w:p>
                    </w:txbxContent>
                  </v:textbox>
                </v:shape>
                <v:shape id="Textbox 444" o:spid="_x0000_s1372" type="#_x0000_t202" style="position:absolute;left:51249;top:25157;width:32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C34F1D5" w14:textId="77777777" w:rsidR="004C558F" w:rsidRDefault="00461887">
                        <w:pPr>
                          <w:spacing w:before="1"/>
                          <w:rPr>
                            <w:sz w:val="21"/>
                          </w:rPr>
                        </w:pPr>
                        <w:r>
                          <w:rPr>
                            <w:color w:val="585858"/>
                            <w:spacing w:val="-4"/>
                            <w:sz w:val="21"/>
                          </w:rPr>
                          <w:t>2023</w:t>
                        </w:r>
                      </w:p>
                    </w:txbxContent>
                  </v:textbox>
                </v:shape>
                <v:shape id="Textbox 445" o:spid="_x0000_s1373" type="#_x0000_t202" style="position:absolute;left:9916;top:27825;width:68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C34F1D6" w14:textId="77777777" w:rsidR="004C558F" w:rsidRDefault="00461887">
                        <w:pPr>
                          <w:spacing w:before="1"/>
                          <w:rPr>
                            <w:sz w:val="21"/>
                          </w:rPr>
                        </w:pPr>
                        <w:r>
                          <w:rPr>
                            <w:color w:val="585858"/>
                            <w:spacing w:val="-2"/>
                            <w:sz w:val="21"/>
                          </w:rPr>
                          <w:t>Commercial</w:t>
                        </w:r>
                      </w:p>
                    </w:txbxContent>
                  </v:textbox>
                </v:shape>
                <w10:wrap anchorx="page"/>
              </v:group>
            </w:pict>
          </mc:Fallback>
        </mc:AlternateContent>
      </w:r>
      <w:r>
        <w:t>Figure</w:t>
      </w:r>
      <w:r>
        <w:rPr>
          <w:spacing w:val="-7"/>
        </w:rPr>
        <w:t xml:space="preserve"> </w:t>
      </w:r>
      <w:r>
        <w:t>III.C.3:</w:t>
      </w:r>
      <w:r>
        <w:rPr>
          <w:spacing w:val="-5"/>
        </w:rPr>
        <w:t xml:space="preserve"> </w:t>
      </w:r>
      <w:r>
        <w:t>Statewide</w:t>
      </w:r>
      <w:r>
        <w:rPr>
          <w:spacing w:val="-5"/>
        </w:rPr>
        <w:t xml:space="preserve"> </w:t>
      </w:r>
      <w:r>
        <w:t>Inpatient</w:t>
      </w:r>
      <w:r>
        <w:rPr>
          <w:spacing w:val="-5"/>
        </w:rPr>
        <w:t xml:space="preserve"> </w:t>
      </w:r>
      <w:r>
        <w:t>Medical</w:t>
      </w:r>
      <w:r>
        <w:rPr>
          <w:spacing w:val="-6"/>
        </w:rPr>
        <w:t xml:space="preserve"> </w:t>
      </w:r>
      <w:r>
        <w:t>Oncology</w:t>
      </w:r>
      <w:r>
        <w:rPr>
          <w:spacing w:val="-7"/>
        </w:rPr>
        <w:t xml:space="preserve"> </w:t>
      </w:r>
      <w:r>
        <w:t>Payer</w:t>
      </w:r>
      <w:r>
        <w:rPr>
          <w:spacing w:val="-6"/>
        </w:rPr>
        <w:t xml:space="preserve"> </w:t>
      </w:r>
      <w:r>
        <w:t>Mix</w:t>
      </w:r>
      <w:r>
        <w:rPr>
          <w:spacing w:val="-4"/>
        </w:rPr>
        <w:t xml:space="preserve"> </w:t>
      </w:r>
      <w:r>
        <w:t>(2019-</w:t>
      </w:r>
      <w:r>
        <w:rPr>
          <w:spacing w:val="-2"/>
        </w:rPr>
        <w:t>2023)</w:t>
      </w:r>
    </w:p>
    <w:p w14:paraId="1C34EABE" w14:textId="77777777" w:rsidR="004C558F" w:rsidRDefault="004C558F">
      <w:pPr>
        <w:pStyle w:val="BodyText"/>
        <w:rPr>
          <w:sz w:val="20"/>
        </w:rPr>
      </w:pPr>
    </w:p>
    <w:p w14:paraId="1C34EABF" w14:textId="77777777" w:rsidR="004C558F" w:rsidRDefault="004C558F">
      <w:pPr>
        <w:pStyle w:val="BodyText"/>
        <w:rPr>
          <w:sz w:val="20"/>
        </w:rPr>
      </w:pPr>
    </w:p>
    <w:p w14:paraId="1C34EAC0" w14:textId="77777777" w:rsidR="004C558F" w:rsidRDefault="004C558F">
      <w:pPr>
        <w:pStyle w:val="BodyText"/>
        <w:rPr>
          <w:sz w:val="20"/>
        </w:rPr>
      </w:pPr>
    </w:p>
    <w:p w14:paraId="1C34EAC1" w14:textId="77777777" w:rsidR="004C558F" w:rsidRDefault="004C558F">
      <w:pPr>
        <w:pStyle w:val="BodyText"/>
        <w:rPr>
          <w:sz w:val="20"/>
        </w:rPr>
      </w:pPr>
    </w:p>
    <w:p w14:paraId="1C34EAC2" w14:textId="77777777" w:rsidR="004C558F" w:rsidRDefault="00461887">
      <w:pPr>
        <w:pStyle w:val="BodyText"/>
        <w:spacing w:before="2"/>
        <w:rPr>
          <w:sz w:val="20"/>
        </w:rPr>
      </w:pPr>
      <w:r>
        <w:rPr>
          <w:noProof/>
        </w:rPr>
        <mc:AlternateContent>
          <mc:Choice Requires="wps">
            <w:drawing>
              <wp:anchor distT="0" distB="0" distL="0" distR="0" simplePos="0" relativeHeight="251624448" behindDoc="1" locked="0" layoutInCell="1" allowOverlap="1" wp14:anchorId="1C34F144" wp14:editId="1C34F145">
                <wp:simplePos x="0" y="0"/>
                <wp:positionH relativeFrom="page">
                  <wp:posOffset>1622932</wp:posOffset>
                </wp:positionH>
                <wp:positionV relativeFrom="paragraph">
                  <wp:posOffset>160650</wp:posOffset>
                </wp:positionV>
                <wp:extent cx="2808605" cy="1950720"/>
                <wp:effectExtent l="0" t="0" r="0" b="0"/>
                <wp:wrapTopAndBottom/>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195072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02"/>
                              <w:gridCol w:w="555"/>
                              <w:gridCol w:w="1107"/>
                              <w:gridCol w:w="555"/>
                              <w:gridCol w:w="1106"/>
                            </w:tblGrid>
                            <w:tr w:rsidR="004C558F" w14:paraId="1C34F1DC" w14:textId="77777777">
                              <w:trPr>
                                <w:trHeight w:val="887"/>
                              </w:trPr>
                              <w:tc>
                                <w:tcPr>
                                  <w:tcW w:w="1102" w:type="dxa"/>
                                  <w:shd w:val="clear" w:color="auto" w:fill="339FC7"/>
                                </w:tcPr>
                                <w:p w14:paraId="1C34F1D7" w14:textId="77777777" w:rsidR="004C558F" w:rsidRDefault="00461887">
                                  <w:pPr>
                                    <w:pStyle w:val="TableParagraph"/>
                                    <w:spacing w:before="93"/>
                                    <w:ind w:right="4"/>
                                    <w:jc w:val="center"/>
                                    <w:rPr>
                                      <w:rFonts w:ascii="Franklin Gothic Medium Cond"/>
                                      <w:sz w:val="36"/>
                                    </w:rPr>
                                  </w:pPr>
                                  <w:r>
                                    <w:rPr>
                                      <w:rFonts w:ascii="Franklin Gothic Medium Cond"/>
                                      <w:spacing w:val="-2"/>
                                      <w:sz w:val="36"/>
                                    </w:rPr>
                                    <w:t>63.7%</w:t>
                                  </w:r>
                                </w:p>
                              </w:tc>
                              <w:tc>
                                <w:tcPr>
                                  <w:tcW w:w="555" w:type="dxa"/>
                                  <w:tcBorders>
                                    <w:top w:val="single" w:sz="6" w:space="0" w:color="ECECEC"/>
                                    <w:bottom w:val="single" w:sz="6" w:space="0" w:color="ECECEC"/>
                                  </w:tcBorders>
                                </w:tcPr>
                                <w:p w14:paraId="1C34F1D8" w14:textId="77777777" w:rsidR="004C558F" w:rsidRDefault="004C558F">
                                  <w:pPr>
                                    <w:pStyle w:val="TableParagraph"/>
                                    <w:spacing w:before="0"/>
                                    <w:jc w:val="left"/>
                                    <w:rPr>
                                      <w:rFonts w:ascii="Times New Roman"/>
                                      <w:sz w:val="20"/>
                                    </w:rPr>
                                  </w:pPr>
                                </w:p>
                              </w:tc>
                              <w:tc>
                                <w:tcPr>
                                  <w:tcW w:w="1107" w:type="dxa"/>
                                  <w:shd w:val="clear" w:color="auto" w:fill="339FC7"/>
                                </w:tcPr>
                                <w:p w14:paraId="1C34F1D9" w14:textId="77777777" w:rsidR="004C558F" w:rsidRDefault="00461887">
                                  <w:pPr>
                                    <w:pStyle w:val="TableParagraph"/>
                                    <w:spacing w:before="94"/>
                                    <w:jc w:val="center"/>
                                    <w:rPr>
                                      <w:rFonts w:ascii="Franklin Gothic Medium Cond"/>
                                      <w:sz w:val="36"/>
                                    </w:rPr>
                                  </w:pPr>
                                  <w:r>
                                    <w:rPr>
                                      <w:rFonts w:ascii="Franklin Gothic Medium Cond"/>
                                      <w:spacing w:val="-2"/>
                                      <w:sz w:val="36"/>
                                    </w:rPr>
                                    <w:t>64.1%</w:t>
                                  </w:r>
                                </w:p>
                              </w:tc>
                              <w:tc>
                                <w:tcPr>
                                  <w:tcW w:w="555" w:type="dxa"/>
                                  <w:tcBorders>
                                    <w:top w:val="single" w:sz="6" w:space="0" w:color="ECECEC"/>
                                    <w:bottom w:val="single" w:sz="6" w:space="0" w:color="ECECEC"/>
                                  </w:tcBorders>
                                </w:tcPr>
                                <w:p w14:paraId="1C34F1DA" w14:textId="77777777" w:rsidR="004C558F" w:rsidRDefault="004C558F">
                                  <w:pPr>
                                    <w:pStyle w:val="TableParagraph"/>
                                    <w:spacing w:before="0"/>
                                    <w:jc w:val="left"/>
                                    <w:rPr>
                                      <w:rFonts w:ascii="Times New Roman"/>
                                      <w:sz w:val="20"/>
                                    </w:rPr>
                                  </w:pPr>
                                </w:p>
                              </w:tc>
                              <w:tc>
                                <w:tcPr>
                                  <w:tcW w:w="1106" w:type="dxa"/>
                                  <w:shd w:val="clear" w:color="auto" w:fill="339FC7"/>
                                </w:tcPr>
                                <w:p w14:paraId="1C34F1DB" w14:textId="77777777" w:rsidR="004C558F" w:rsidRDefault="00461887">
                                  <w:pPr>
                                    <w:pStyle w:val="TableParagraph"/>
                                    <w:spacing w:before="81"/>
                                    <w:ind w:left="4" w:right="4"/>
                                    <w:jc w:val="center"/>
                                    <w:rPr>
                                      <w:rFonts w:ascii="Franklin Gothic Medium Cond"/>
                                      <w:sz w:val="36"/>
                                    </w:rPr>
                                  </w:pPr>
                                  <w:r>
                                    <w:rPr>
                                      <w:rFonts w:ascii="Franklin Gothic Medium Cond"/>
                                      <w:spacing w:val="-2"/>
                                      <w:sz w:val="36"/>
                                    </w:rPr>
                                    <w:t>63.0%</w:t>
                                  </w:r>
                                </w:p>
                              </w:tc>
                            </w:tr>
                            <w:tr w:rsidR="004C558F" w14:paraId="1C34F1E2" w14:textId="77777777">
                              <w:trPr>
                                <w:trHeight w:val="543"/>
                              </w:trPr>
                              <w:tc>
                                <w:tcPr>
                                  <w:tcW w:w="1102" w:type="dxa"/>
                                  <w:shd w:val="clear" w:color="auto" w:fill="339FC7"/>
                                </w:tcPr>
                                <w:p w14:paraId="1C34F1DD" w14:textId="77777777" w:rsidR="004C558F" w:rsidRDefault="004C558F">
                                  <w:pPr>
                                    <w:pStyle w:val="TableParagraph"/>
                                    <w:spacing w:before="0"/>
                                    <w:jc w:val="left"/>
                                    <w:rPr>
                                      <w:rFonts w:ascii="Times New Roman"/>
                                      <w:sz w:val="20"/>
                                    </w:rPr>
                                  </w:pPr>
                                </w:p>
                              </w:tc>
                              <w:tc>
                                <w:tcPr>
                                  <w:tcW w:w="555" w:type="dxa"/>
                                  <w:tcBorders>
                                    <w:top w:val="single" w:sz="6" w:space="0" w:color="ECECEC"/>
                                  </w:tcBorders>
                                </w:tcPr>
                                <w:p w14:paraId="1C34F1DE" w14:textId="77777777" w:rsidR="004C558F" w:rsidRDefault="004C558F">
                                  <w:pPr>
                                    <w:pStyle w:val="TableParagraph"/>
                                    <w:spacing w:before="0"/>
                                    <w:jc w:val="left"/>
                                    <w:rPr>
                                      <w:rFonts w:ascii="Times New Roman"/>
                                      <w:sz w:val="20"/>
                                    </w:rPr>
                                  </w:pPr>
                                </w:p>
                              </w:tc>
                              <w:tc>
                                <w:tcPr>
                                  <w:tcW w:w="1107" w:type="dxa"/>
                                  <w:shd w:val="clear" w:color="auto" w:fill="339FC7"/>
                                </w:tcPr>
                                <w:p w14:paraId="1C34F1DF" w14:textId="77777777" w:rsidR="004C558F" w:rsidRDefault="004C558F">
                                  <w:pPr>
                                    <w:pStyle w:val="TableParagraph"/>
                                    <w:spacing w:before="0"/>
                                    <w:jc w:val="left"/>
                                    <w:rPr>
                                      <w:rFonts w:ascii="Times New Roman"/>
                                      <w:sz w:val="20"/>
                                    </w:rPr>
                                  </w:pPr>
                                </w:p>
                              </w:tc>
                              <w:tc>
                                <w:tcPr>
                                  <w:tcW w:w="555" w:type="dxa"/>
                                  <w:tcBorders>
                                    <w:top w:val="single" w:sz="6" w:space="0" w:color="ECECEC"/>
                                  </w:tcBorders>
                                </w:tcPr>
                                <w:p w14:paraId="1C34F1E0" w14:textId="77777777" w:rsidR="004C558F" w:rsidRDefault="004C558F">
                                  <w:pPr>
                                    <w:pStyle w:val="TableParagraph"/>
                                    <w:spacing w:before="0"/>
                                    <w:jc w:val="left"/>
                                    <w:rPr>
                                      <w:rFonts w:ascii="Times New Roman"/>
                                      <w:sz w:val="20"/>
                                    </w:rPr>
                                  </w:pPr>
                                </w:p>
                              </w:tc>
                              <w:tc>
                                <w:tcPr>
                                  <w:tcW w:w="1106" w:type="dxa"/>
                                  <w:shd w:val="clear" w:color="auto" w:fill="339FC7"/>
                                </w:tcPr>
                                <w:p w14:paraId="1C34F1E1" w14:textId="77777777" w:rsidR="004C558F" w:rsidRDefault="004C558F">
                                  <w:pPr>
                                    <w:pStyle w:val="TableParagraph"/>
                                    <w:spacing w:before="0"/>
                                    <w:jc w:val="left"/>
                                    <w:rPr>
                                      <w:rFonts w:ascii="Times New Roman"/>
                                      <w:sz w:val="20"/>
                                    </w:rPr>
                                  </w:pPr>
                                </w:p>
                              </w:tc>
                            </w:tr>
                            <w:tr w:rsidR="004C558F" w14:paraId="1C34F1E8" w14:textId="77777777">
                              <w:trPr>
                                <w:trHeight w:val="430"/>
                              </w:trPr>
                              <w:tc>
                                <w:tcPr>
                                  <w:tcW w:w="1102" w:type="dxa"/>
                                  <w:shd w:val="clear" w:color="auto" w:fill="F1682A"/>
                                </w:tcPr>
                                <w:p w14:paraId="1C34F1E3" w14:textId="77777777" w:rsidR="004C558F" w:rsidRDefault="00461887">
                                  <w:pPr>
                                    <w:pStyle w:val="TableParagraph"/>
                                    <w:spacing w:before="17" w:line="404" w:lineRule="exact"/>
                                    <w:ind w:right="4"/>
                                    <w:jc w:val="center"/>
                                    <w:rPr>
                                      <w:rFonts w:ascii="Franklin Gothic Medium Cond"/>
                                      <w:sz w:val="36"/>
                                    </w:rPr>
                                  </w:pPr>
                                  <w:r>
                                    <w:rPr>
                                      <w:rFonts w:ascii="Franklin Gothic Medium Cond"/>
                                      <w:spacing w:val="-2"/>
                                      <w:sz w:val="36"/>
                                    </w:rPr>
                                    <w:t>11.7%</w:t>
                                  </w:r>
                                </w:p>
                              </w:tc>
                              <w:tc>
                                <w:tcPr>
                                  <w:tcW w:w="555" w:type="dxa"/>
                                </w:tcPr>
                                <w:p w14:paraId="1C34F1E4" w14:textId="77777777" w:rsidR="004C558F" w:rsidRDefault="004C558F">
                                  <w:pPr>
                                    <w:pStyle w:val="TableParagraph"/>
                                    <w:spacing w:before="0"/>
                                    <w:jc w:val="left"/>
                                    <w:rPr>
                                      <w:rFonts w:ascii="Times New Roman"/>
                                      <w:sz w:val="20"/>
                                    </w:rPr>
                                  </w:pPr>
                                </w:p>
                              </w:tc>
                              <w:tc>
                                <w:tcPr>
                                  <w:tcW w:w="1107" w:type="dxa"/>
                                  <w:shd w:val="clear" w:color="auto" w:fill="F1682A"/>
                                </w:tcPr>
                                <w:p w14:paraId="1C34F1E5" w14:textId="77777777" w:rsidR="004C558F" w:rsidRDefault="00461887">
                                  <w:pPr>
                                    <w:pStyle w:val="TableParagraph"/>
                                    <w:spacing w:before="22" w:line="382" w:lineRule="exact"/>
                                    <w:jc w:val="center"/>
                                    <w:rPr>
                                      <w:rFonts w:ascii="Franklin Gothic Medium Cond"/>
                                      <w:sz w:val="36"/>
                                    </w:rPr>
                                  </w:pPr>
                                  <w:r>
                                    <w:rPr>
                                      <w:rFonts w:ascii="Franklin Gothic Medium Cond"/>
                                      <w:spacing w:val="-2"/>
                                      <w:sz w:val="36"/>
                                    </w:rPr>
                                    <w:t>12.0%</w:t>
                                  </w:r>
                                </w:p>
                              </w:tc>
                              <w:tc>
                                <w:tcPr>
                                  <w:tcW w:w="555" w:type="dxa"/>
                                </w:tcPr>
                                <w:p w14:paraId="1C34F1E6" w14:textId="77777777" w:rsidR="004C558F" w:rsidRDefault="004C558F">
                                  <w:pPr>
                                    <w:pStyle w:val="TableParagraph"/>
                                    <w:spacing w:before="0"/>
                                    <w:jc w:val="left"/>
                                    <w:rPr>
                                      <w:rFonts w:ascii="Times New Roman"/>
                                      <w:sz w:val="20"/>
                                    </w:rPr>
                                  </w:pPr>
                                </w:p>
                              </w:tc>
                              <w:tc>
                                <w:tcPr>
                                  <w:tcW w:w="1106" w:type="dxa"/>
                                  <w:shd w:val="clear" w:color="auto" w:fill="F1682A"/>
                                </w:tcPr>
                                <w:p w14:paraId="1C34F1E7" w14:textId="77777777" w:rsidR="004C558F" w:rsidRDefault="00461887">
                                  <w:pPr>
                                    <w:pStyle w:val="TableParagraph"/>
                                    <w:spacing w:before="0" w:line="404" w:lineRule="exact"/>
                                    <w:ind w:left="4" w:right="4"/>
                                    <w:jc w:val="center"/>
                                    <w:rPr>
                                      <w:rFonts w:ascii="Franklin Gothic Medium Cond"/>
                                      <w:sz w:val="36"/>
                                    </w:rPr>
                                  </w:pPr>
                                  <w:r>
                                    <w:rPr>
                                      <w:rFonts w:ascii="Franklin Gothic Medium Cond"/>
                                      <w:spacing w:val="-2"/>
                                      <w:sz w:val="36"/>
                                    </w:rPr>
                                    <w:t>12.6%</w:t>
                                  </w:r>
                                </w:p>
                              </w:tc>
                            </w:tr>
                            <w:tr w:rsidR="004C558F" w14:paraId="1C34F1EE" w14:textId="77777777">
                              <w:trPr>
                                <w:trHeight w:val="822"/>
                              </w:trPr>
                              <w:tc>
                                <w:tcPr>
                                  <w:tcW w:w="1102" w:type="dxa"/>
                                  <w:shd w:val="clear" w:color="auto" w:fill="084875"/>
                                </w:tcPr>
                                <w:p w14:paraId="1C34F1E9" w14:textId="77777777" w:rsidR="004C558F" w:rsidRDefault="00461887">
                                  <w:pPr>
                                    <w:pStyle w:val="TableParagraph"/>
                                    <w:spacing w:before="202"/>
                                    <w:ind w:right="4"/>
                                    <w:jc w:val="center"/>
                                    <w:rPr>
                                      <w:rFonts w:ascii="Franklin Gothic Medium Cond"/>
                                      <w:sz w:val="36"/>
                                    </w:rPr>
                                  </w:pPr>
                                  <w:r>
                                    <w:rPr>
                                      <w:rFonts w:ascii="Franklin Gothic Medium Cond"/>
                                      <w:color w:val="FFFFFF"/>
                                      <w:spacing w:val="-2"/>
                                      <w:sz w:val="36"/>
                                    </w:rPr>
                                    <w:t>23.0%</w:t>
                                  </w:r>
                                </w:p>
                              </w:tc>
                              <w:tc>
                                <w:tcPr>
                                  <w:tcW w:w="555" w:type="dxa"/>
                                </w:tcPr>
                                <w:p w14:paraId="1C34F1EA" w14:textId="77777777" w:rsidR="004C558F" w:rsidRDefault="004C558F">
                                  <w:pPr>
                                    <w:pStyle w:val="TableParagraph"/>
                                    <w:spacing w:before="0"/>
                                    <w:jc w:val="left"/>
                                    <w:rPr>
                                      <w:rFonts w:ascii="Times New Roman"/>
                                      <w:sz w:val="20"/>
                                    </w:rPr>
                                  </w:pPr>
                                </w:p>
                              </w:tc>
                              <w:tc>
                                <w:tcPr>
                                  <w:tcW w:w="1107" w:type="dxa"/>
                                  <w:shd w:val="clear" w:color="auto" w:fill="084875"/>
                                </w:tcPr>
                                <w:p w14:paraId="1C34F1EB" w14:textId="77777777" w:rsidR="004C558F" w:rsidRDefault="00461887">
                                  <w:pPr>
                                    <w:pStyle w:val="TableParagraph"/>
                                    <w:spacing w:before="219"/>
                                    <w:jc w:val="center"/>
                                    <w:rPr>
                                      <w:rFonts w:ascii="Franklin Gothic Medium Cond"/>
                                      <w:sz w:val="36"/>
                                    </w:rPr>
                                  </w:pPr>
                                  <w:r>
                                    <w:rPr>
                                      <w:rFonts w:ascii="Franklin Gothic Medium Cond"/>
                                      <w:color w:val="FFFFFF"/>
                                      <w:spacing w:val="-2"/>
                                      <w:sz w:val="36"/>
                                    </w:rPr>
                                    <w:t>22.4%</w:t>
                                  </w:r>
                                </w:p>
                              </w:tc>
                              <w:tc>
                                <w:tcPr>
                                  <w:tcW w:w="555" w:type="dxa"/>
                                </w:tcPr>
                                <w:p w14:paraId="1C34F1EC" w14:textId="77777777" w:rsidR="004C558F" w:rsidRDefault="004C558F">
                                  <w:pPr>
                                    <w:pStyle w:val="TableParagraph"/>
                                    <w:spacing w:before="0"/>
                                    <w:jc w:val="left"/>
                                    <w:rPr>
                                      <w:rFonts w:ascii="Times New Roman"/>
                                      <w:sz w:val="20"/>
                                    </w:rPr>
                                  </w:pPr>
                                </w:p>
                              </w:tc>
                              <w:tc>
                                <w:tcPr>
                                  <w:tcW w:w="1106" w:type="dxa"/>
                                  <w:shd w:val="clear" w:color="auto" w:fill="084875"/>
                                </w:tcPr>
                                <w:p w14:paraId="1C34F1ED" w14:textId="77777777" w:rsidR="004C558F" w:rsidRDefault="00461887">
                                  <w:pPr>
                                    <w:pStyle w:val="TableParagraph"/>
                                    <w:spacing w:before="213"/>
                                    <w:ind w:left="3" w:right="4"/>
                                    <w:jc w:val="center"/>
                                    <w:rPr>
                                      <w:rFonts w:ascii="Franklin Gothic Medium Cond"/>
                                      <w:sz w:val="36"/>
                                    </w:rPr>
                                  </w:pPr>
                                  <w:r>
                                    <w:rPr>
                                      <w:rFonts w:ascii="Franklin Gothic Medium Cond"/>
                                      <w:color w:val="FFFFFF"/>
                                      <w:spacing w:val="-2"/>
                                      <w:sz w:val="36"/>
                                    </w:rPr>
                                    <w:t>22.7%</w:t>
                                  </w:r>
                                </w:p>
                              </w:tc>
                            </w:tr>
                            <w:tr w:rsidR="004C558F" w14:paraId="1C34F1F4" w14:textId="77777777">
                              <w:trPr>
                                <w:trHeight w:val="365"/>
                              </w:trPr>
                              <w:tc>
                                <w:tcPr>
                                  <w:tcW w:w="1102" w:type="dxa"/>
                                </w:tcPr>
                                <w:p w14:paraId="1C34F1EF" w14:textId="77777777" w:rsidR="004C558F" w:rsidRDefault="00461887">
                                  <w:pPr>
                                    <w:pStyle w:val="TableParagraph"/>
                                    <w:spacing w:before="127" w:line="218" w:lineRule="exact"/>
                                    <w:ind w:left="1" w:right="4"/>
                                    <w:jc w:val="center"/>
                                    <w:rPr>
                                      <w:sz w:val="21"/>
                                    </w:rPr>
                                  </w:pPr>
                                  <w:r>
                                    <w:rPr>
                                      <w:color w:val="585858"/>
                                      <w:spacing w:val="-4"/>
                                      <w:sz w:val="21"/>
                                    </w:rPr>
                                    <w:t>2019</w:t>
                                  </w:r>
                                </w:p>
                              </w:tc>
                              <w:tc>
                                <w:tcPr>
                                  <w:tcW w:w="555" w:type="dxa"/>
                                </w:tcPr>
                                <w:p w14:paraId="1C34F1F0" w14:textId="77777777" w:rsidR="004C558F" w:rsidRDefault="004C558F">
                                  <w:pPr>
                                    <w:pStyle w:val="TableParagraph"/>
                                    <w:spacing w:before="0"/>
                                    <w:jc w:val="left"/>
                                    <w:rPr>
                                      <w:rFonts w:ascii="Times New Roman"/>
                                      <w:sz w:val="20"/>
                                    </w:rPr>
                                  </w:pPr>
                                </w:p>
                              </w:tc>
                              <w:tc>
                                <w:tcPr>
                                  <w:tcW w:w="1107" w:type="dxa"/>
                                </w:tcPr>
                                <w:p w14:paraId="1C34F1F1" w14:textId="77777777" w:rsidR="004C558F" w:rsidRDefault="00461887">
                                  <w:pPr>
                                    <w:pStyle w:val="TableParagraph"/>
                                    <w:spacing w:before="127" w:line="218" w:lineRule="exact"/>
                                    <w:jc w:val="center"/>
                                    <w:rPr>
                                      <w:sz w:val="21"/>
                                    </w:rPr>
                                  </w:pPr>
                                  <w:r>
                                    <w:rPr>
                                      <w:color w:val="585858"/>
                                      <w:spacing w:val="-4"/>
                                      <w:sz w:val="21"/>
                                    </w:rPr>
                                    <w:t>2020</w:t>
                                  </w:r>
                                </w:p>
                              </w:tc>
                              <w:tc>
                                <w:tcPr>
                                  <w:tcW w:w="555" w:type="dxa"/>
                                </w:tcPr>
                                <w:p w14:paraId="1C34F1F2" w14:textId="77777777" w:rsidR="004C558F" w:rsidRDefault="004C558F">
                                  <w:pPr>
                                    <w:pStyle w:val="TableParagraph"/>
                                    <w:spacing w:before="0"/>
                                    <w:jc w:val="left"/>
                                    <w:rPr>
                                      <w:rFonts w:ascii="Times New Roman"/>
                                      <w:sz w:val="20"/>
                                    </w:rPr>
                                  </w:pPr>
                                </w:p>
                              </w:tc>
                              <w:tc>
                                <w:tcPr>
                                  <w:tcW w:w="1106" w:type="dxa"/>
                                </w:tcPr>
                                <w:p w14:paraId="1C34F1F3" w14:textId="77777777" w:rsidR="004C558F" w:rsidRDefault="00461887">
                                  <w:pPr>
                                    <w:pStyle w:val="TableParagraph"/>
                                    <w:spacing w:before="127" w:line="218" w:lineRule="exact"/>
                                    <w:ind w:left="4" w:right="4"/>
                                    <w:jc w:val="center"/>
                                    <w:rPr>
                                      <w:sz w:val="21"/>
                                    </w:rPr>
                                  </w:pPr>
                                  <w:r>
                                    <w:rPr>
                                      <w:color w:val="585858"/>
                                      <w:spacing w:val="-4"/>
                                      <w:sz w:val="21"/>
                                    </w:rPr>
                                    <w:t>2021</w:t>
                                  </w:r>
                                </w:p>
                              </w:tc>
                            </w:tr>
                          </w:tbl>
                          <w:p w14:paraId="1C34F1F5" w14:textId="77777777" w:rsidR="004C558F" w:rsidRDefault="004C558F">
                            <w:pPr>
                              <w:pStyle w:val="BodyText"/>
                            </w:pPr>
                          </w:p>
                        </w:txbxContent>
                      </wps:txbx>
                      <wps:bodyPr wrap="square" lIns="0" tIns="0" rIns="0" bIns="0" rtlCol="0">
                        <a:noAutofit/>
                      </wps:bodyPr>
                    </wps:wsp>
                  </a:graphicData>
                </a:graphic>
              </wp:anchor>
            </w:drawing>
          </mc:Choice>
          <mc:Fallback>
            <w:pict>
              <v:shape w14:anchorId="1C34F144" id="Textbox 446" o:spid="_x0000_s1374" type="#_x0000_t202" style="position:absolute;margin-left:127.8pt;margin-top:12.65pt;width:221.15pt;height:153.6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02"/>
                        <w:gridCol w:w="555"/>
                        <w:gridCol w:w="1107"/>
                        <w:gridCol w:w="555"/>
                        <w:gridCol w:w="1106"/>
                      </w:tblGrid>
                      <w:tr w:rsidR="004C558F" w14:paraId="1C34F1DC" w14:textId="77777777">
                        <w:trPr>
                          <w:trHeight w:val="887"/>
                        </w:trPr>
                        <w:tc>
                          <w:tcPr>
                            <w:tcW w:w="1102" w:type="dxa"/>
                            <w:shd w:val="clear" w:color="auto" w:fill="339FC7"/>
                          </w:tcPr>
                          <w:p w14:paraId="1C34F1D7" w14:textId="77777777" w:rsidR="004C558F" w:rsidRDefault="00461887">
                            <w:pPr>
                              <w:pStyle w:val="TableParagraph"/>
                              <w:spacing w:before="93"/>
                              <w:ind w:right="4"/>
                              <w:jc w:val="center"/>
                              <w:rPr>
                                <w:rFonts w:ascii="Franklin Gothic Medium Cond"/>
                                <w:sz w:val="36"/>
                              </w:rPr>
                            </w:pPr>
                            <w:r>
                              <w:rPr>
                                <w:rFonts w:ascii="Franklin Gothic Medium Cond"/>
                                <w:spacing w:val="-2"/>
                                <w:sz w:val="36"/>
                              </w:rPr>
                              <w:t>63.7%</w:t>
                            </w:r>
                          </w:p>
                        </w:tc>
                        <w:tc>
                          <w:tcPr>
                            <w:tcW w:w="555" w:type="dxa"/>
                            <w:tcBorders>
                              <w:top w:val="single" w:sz="6" w:space="0" w:color="ECECEC"/>
                              <w:bottom w:val="single" w:sz="6" w:space="0" w:color="ECECEC"/>
                            </w:tcBorders>
                          </w:tcPr>
                          <w:p w14:paraId="1C34F1D8" w14:textId="77777777" w:rsidR="004C558F" w:rsidRDefault="004C558F">
                            <w:pPr>
                              <w:pStyle w:val="TableParagraph"/>
                              <w:spacing w:before="0"/>
                              <w:jc w:val="left"/>
                              <w:rPr>
                                <w:rFonts w:ascii="Times New Roman"/>
                                <w:sz w:val="20"/>
                              </w:rPr>
                            </w:pPr>
                          </w:p>
                        </w:tc>
                        <w:tc>
                          <w:tcPr>
                            <w:tcW w:w="1107" w:type="dxa"/>
                            <w:shd w:val="clear" w:color="auto" w:fill="339FC7"/>
                          </w:tcPr>
                          <w:p w14:paraId="1C34F1D9" w14:textId="77777777" w:rsidR="004C558F" w:rsidRDefault="00461887">
                            <w:pPr>
                              <w:pStyle w:val="TableParagraph"/>
                              <w:spacing w:before="94"/>
                              <w:jc w:val="center"/>
                              <w:rPr>
                                <w:rFonts w:ascii="Franklin Gothic Medium Cond"/>
                                <w:sz w:val="36"/>
                              </w:rPr>
                            </w:pPr>
                            <w:r>
                              <w:rPr>
                                <w:rFonts w:ascii="Franklin Gothic Medium Cond"/>
                                <w:spacing w:val="-2"/>
                                <w:sz w:val="36"/>
                              </w:rPr>
                              <w:t>64.1%</w:t>
                            </w:r>
                          </w:p>
                        </w:tc>
                        <w:tc>
                          <w:tcPr>
                            <w:tcW w:w="555" w:type="dxa"/>
                            <w:tcBorders>
                              <w:top w:val="single" w:sz="6" w:space="0" w:color="ECECEC"/>
                              <w:bottom w:val="single" w:sz="6" w:space="0" w:color="ECECEC"/>
                            </w:tcBorders>
                          </w:tcPr>
                          <w:p w14:paraId="1C34F1DA" w14:textId="77777777" w:rsidR="004C558F" w:rsidRDefault="004C558F">
                            <w:pPr>
                              <w:pStyle w:val="TableParagraph"/>
                              <w:spacing w:before="0"/>
                              <w:jc w:val="left"/>
                              <w:rPr>
                                <w:rFonts w:ascii="Times New Roman"/>
                                <w:sz w:val="20"/>
                              </w:rPr>
                            </w:pPr>
                          </w:p>
                        </w:tc>
                        <w:tc>
                          <w:tcPr>
                            <w:tcW w:w="1106" w:type="dxa"/>
                            <w:shd w:val="clear" w:color="auto" w:fill="339FC7"/>
                          </w:tcPr>
                          <w:p w14:paraId="1C34F1DB" w14:textId="77777777" w:rsidR="004C558F" w:rsidRDefault="00461887">
                            <w:pPr>
                              <w:pStyle w:val="TableParagraph"/>
                              <w:spacing w:before="81"/>
                              <w:ind w:left="4" w:right="4"/>
                              <w:jc w:val="center"/>
                              <w:rPr>
                                <w:rFonts w:ascii="Franklin Gothic Medium Cond"/>
                                <w:sz w:val="36"/>
                              </w:rPr>
                            </w:pPr>
                            <w:r>
                              <w:rPr>
                                <w:rFonts w:ascii="Franklin Gothic Medium Cond"/>
                                <w:spacing w:val="-2"/>
                                <w:sz w:val="36"/>
                              </w:rPr>
                              <w:t>63.0%</w:t>
                            </w:r>
                          </w:p>
                        </w:tc>
                      </w:tr>
                      <w:tr w:rsidR="004C558F" w14:paraId="1C34F1E2" w14:textId="77777777">
                        <w:trPr>
                          <w:trHeight w:val="543"/>
                        </w:trPr>
                        <w:tc>
                          <w:tcPr>
                            <w:tcW w:w="1102" w:type="dxa"/>
                            <w:shd w:val="clear" w:color="auto" w:fill="339FC7"/>
                          </w:tcPr>
                          <w:p w14:paraId="1C34F1DD" w14:textId="77777777" w:rsidR="004C558F" w:rsidRDefault="004C558F">
                            <w:pPr>
                              <w:pStyle w:val="TableParagraph"/>
                              <w:spacing w:before="0"/>
                              <w:jc w:val="left"/>
                              <w:rPr>
                                <w:rFonts w:ascii="Times New Roman"/>
                                <w:sz w:val="20"/>
                              </w:rPr>
                            </w:pPr>
                          </w:p>
                        </w:tc>
                        <w:tc>
                          <w:tcPr>
                            <w:tcW w:w="555" w:type="dxa"/>
                            <w:tcBorders>
                              <w:top w:val="single" w:sz="6" w:space="0" w:color="ECECEC"/>
                            </w:tcBorders>
                          </w:tcPr>
                          <w:p w14:paraId="1C34F1DE" w14:textId="77777777" w:rsidR="004C558F" w:rsidRDefault="004C558F">
                            <w:pPr>
                              <w:pStyle w:val="TableParagraph"/>
                              <w:spacing w:before="0"/>
                              <w:jc w:val="left"/>
                              <w:rPr>
                                <w:rFonts w:ascii="Times New Roman"/>
                                <w:sz w:val="20"/>
                              </w:rPr>
                            </w:pPr>
                          </w:p>
                        </w:tc>
                        <w:tc>
                          <w:tcPr>
                            <w:tcW w:w="1107" w:type="dxa"/>
                            <w:shd w:val="clear" w:color="auto" w:fill="339FC7"/>
                          </w:tcPr>
                          <w:p w14:paraId="1C34F1DF" w14:textId="77777777" w:rsidR="004C558F" w:rsidRDefault="004C558F">
                            <w:pPr>
                              <w:pStyle w:val="TableParagraph"/>
                              <w:spacing w:before="0"/>
                              <w:jc w:val="left"/>
                              <w:rPr>
                                <w:rFonts w:ascii="Times New Roman"/>
                                <w:sz w:val="20"/>
                              </w:rPr>
                            </w:pPr>
                          </w:p>
                        </w:tc>
                        <w:tc>
                          <w:tcPr>
                            <w:tcW w:w="555" w:type="dxa"/>
                            <w:tcBorders>
                              <w:top w:val="single" w:sz="6" w:space="0" w:color="ECECEC"/>
                            </w:tcBorders>
                          </w:tcPr>
                          <w:p w14:paraId="1C34F1E0" w14:textId="77777777" w:rsidR="004C558F" w:rsidRDefault="004C558F">
                            <w:pPr>
                              <w:pStyle w:val="TableParagraph"/>
                              <w:spacing w:before="0"/>
                              <w:jc w:val="left"/>
                              <w:rPr>
                                <w:rFonts w:ascii="Times New Roman"/>
                                <w:sz w:val="20"/>
                              </w:rPr>
                            </w:pPr>
                          </w:p>
                        </w:tc>
                        <w:tc>
                          <w:tcPr>
                            <w:tcW w:w="1106" w:type="dxa"/>
                            <w:shd w:val="clear" w:color="auto" w:fill="339FC7"/>
                          </w:tcPr>
                          <w:p w14:paraId="1C34F1E1" w14:textId="77777777" w:rsidR="004C558F" w:rsidRDefault="004C558F">
                            <w:pPr>
                              <w:pStyle w:val="TableParagraph"/>
                              <w:spacing w:before="0"/>
                              <w:jc w:val="left"/>
                              <w:rPr>
                                <w:rFonts w:ascii="Times New Roman"/>
                                <w:sz w:val="20"/>
                              </w:rPr>
                            </w:pPr>
                          </w:p>
                        </w:tc>
                      </w:tr>
                      <w:tr w:rsidR="004C558F" w14:paraId="1C34F1E8" w14:textId="77777777">
                        <w:trPr>
                          <w:trHeight w:val="430"/>
                        </w:trPr>
                        <w:tc>
                          <w:tcPr>
                            <w:tcW w:w="1102" w:type="dxa"/>
                            <w:shd w:val="clear" w:color="auto" w:fill="F1682A"/>
                          </w:tcPr>
                          <w:p w14:paraId="1C34F1E3" w14:textId="77777777" w:rsidR="004C558F" w:rsidRDefault="00461887">
                            <w:pPr>
                              <w:pStyle w:val="TableParagraph"/>
                              <w:spacing w:before="17" w:line="404" w:lineRule="exact"/>
                              <w:ind w:right="4"/>
                              <w:jc w:val="center"/>
                              <w:rPr>
                                <w:rFonts w:ascii="Franklin Gothic Medium Cond"/>
                                <w:sz w:val="36"/>
                              </w:rPr>
                            </w:pPr>
                            <w:r>
                              <w:rPr>
                                <w:rFonts w:ascii="Franklin Gothic Medium Cond"/>
                                <w:spacing w:val="-2"/>
                                <w:sz w:val="36"/>
                              </w:rPr>
                              <w:t>11.7%</w:t>
                            </w:r>
                          </w:p>
                        </w:tc>
                        <w:tc>
                          <w:tcPr>
                            <w:tcW w:w="555" w:type="dxa"/>
                          </w:tcPr>
                          <w:p w14:paraId="1C34F1E4" w14:textId="77777777" w:rsidR="004C558F" w:rsidRDefault="004C558F">
                            <w:pPr>
                              <w:pStyle w:val="TableParagraph"/>
                              <w:spacing w:before="0"/>
                              <w:jc w:val="left"/>
                              <w:rPr>
                                <w:rFonts w:ascii="Times New Roman"/>
                                <w:sz w:val="20"/>
                              </w:rPr>
                            </w:pPr>
                          </w:p>
                        </w:tc>
                        <w:tc>
                          <w:tcPr>
                            <w:tcW w:w="1107" w:type="dxa"/>
                            <w:shd w:val="clear" w:color="auto" w:fill="F1682A"/>
                          </w:tcPr>
                          <w:p w14:paraId="1C34F1E5" w14:textId="77777777" w:rsidR="004C558F" w:rsidRDefault="00461887">
                            <w:pPr>
                              <w:pStyle w:val="TableParagraph"/>
                              <w:spacing w:before="22" w:line="382" w:lineRule="exact"/>
                              <w:jc w:val="center"/>
                              <w:rPr>
                                <w:rFonts w:ascii="Franklin Gothic Medium Cond"/>
                                <w:sz w:val="36"/>
                              </w:rPr>
                            </w:pPr>
                            <w:r>
                              <w:rPr>
                                <w:rFonts w:ascii="Franklin Gothic Medium Cond"/>
                                <w:spacing w:val="-2"/>
                                <w:sz w:val="36"/>
                              </w:rPr>
                              <w:t>12.0%</w:t>
                            </w:r>
                          </w:p>
                        </w:tc>
                        <w:tc>
                          <w:tcPr>
                            <w:tcW w:w="555" w:type="dxa"/>
                          </w:tcPr>
                          <w:p w14:paraId="1C34F1E6" w14:textId="77777777" w:rsidR="004C558F" w:rsidRDefault="004C558F">
                            <w:pPr>
                              <w:pStyle w:val="TableParagraph"/>
                              <w:spacing w:before="0"/>
                              <w:jc w:val="left"/>
                              <w:rPr>
                                <w:rFonts w:ascii="Times New Roman"/>
                                <w:sz w:val="20"/>
                              </w:rPr>
                            </w:pPr>
                          </w:p>
                        </w:tc>
                        <w:tc>
                          <w:tcPr>
                            <w:tcW w:w="1106" w:type="dxa"/>
                            <w:shd w:val="clear" w:color="auto" w:fill="F1682A"/>
                          </w:tcPr>
                          <w:p w14:paraId="1C34F1E7" w14:textId="77777777" w:rsidR="004C558F" w:rsidRDefault="00461887">
                            <w:pPr>
                              <w:pStyle w:val="TableParagraph"/>
                              <w:spacing w:before="0" w:line="404" w:lineRule="exact"/>
                              <w:ind w:left="4" w:right="4"/>
                              <w:jc w:val="center"/>
                              <w:rPr>
                                <w:rFonts w:ascii="Franklin Gothic Medium Cond"/>
                                <w:sz w:val="36"/>
                              </w:rPr>
                            </w:pPr>
                            <w:r>
                              <w:rPr>
                                <w:rFonts w:ascii="Franklin Gothic Medium Cond"/>
                                <w:spacing w:val="-2"/>
                                <w:sz w:val="36"/>
                              </w:rPr>
                              <w:t>12.6%</w:t>
                            </w:r>
                          </w:p>
                        </w:tc>
                      </w:tr>
                      <w:tr w:rsidR="004C558F" w14:paraId="1C34F1EE" w14:textId="77777777">
                        <w:trPr>
                          <w:trHeight w:val="822"/>
                        </w:trPr>
                        <w:tc>
                          <w:tcPr>
                            <w:tcW w:w="1102" w:type="dxa"/>
                            <w:shd w:val="clear" w:color="auto" w:fill="084875"/>
                          </w:tcPr>
                          <w:p w14:paraId="1C34F1E9" w14:textId="77777777" w:rsidR="004C558F" w:rsidRDefault="00461887">
                            <w:pPr>
                              <w:pStyle w:val="TableParagraph"/>
                              <w:spacing w:before="202"/>
                              <w:ind w:right="4"/>
                              <w:jc w:val="center"/>
                              <w:rPr>
                                <w:rFonts w:ascii="Franklin Gothic Medium Cond"/>
                                <w:sz w:val="36"/>
                              </w:rPr>
                            </w:pPr>
                            <w:r>
                              <w:rPr>
                                <w:rFonts w:ascii="Franklin Gothic Medium Cond"/>
                                <w:color w:val="FFFFFF"/>
                                <w:spacing w:val="-2"/>
                                <w:sz w:val="36"/>
                              </w:rPr>
                              <w:t>23.0%</w:t>
                            </w:r>
                          </w:p>
                        </w:tc>
                        <w:tc>
                          <w:tcPr>
                            <w:tcW w:w="555" w:type="dxa"/>
                          </w:tcPr>
                          <w:p w14:paraId="1C34F1EA" w14:textId="77777777" w:rsidR="004C558F" w:rsidRDefault="004C558F">
                            <w:pPr>
                              <w:pStyle w:val="TableParagraph"/>
                              <w:spacing w:before="0"/>
                              <w:jc w:val="left"/>
                              <w:rPr>
                                <w:rFonts w:ascii="Times New Roman"/>
                                <w:sz w:val="20"/>
                              </w:rPr>
                            </w:pPr>
                          </w:p>
                        </w:tc>
                        <w:tc>
                          <w:tcPr>
                            <w:tcW w:w="1107" w:type="dxa"/>
                            <w:shd w:val="clear" w:color="auto" w:fill="084875"/>
                          </w:tcPr>
                          <w:p w14:paraId="1C34F1EB" w14:textId="77777777" w:rsidR="004C558F" w:rsidRDefault="00461887">
                            <w:pPr>
                              <w:pStyle w:val="TableParagraph"/>
                              <w:spacing w:before="219"/>
                              <w:jc w:val="center"/>
                              <w:rPr>
                                <w:rFonts w:ascii="Franklin Gothic Medium Cond"/>
                                <w:sz w:val="36"/>
                              </w:rPr>
                            </w:pPr>
                            <w:r>
                              <w:rPr>
                                <w:rFonts w:ascii="Franklin Gothic Medium Cond"/>
                                <w:color w:val="FFFFFF"/>
                                <w:spacing w:val="-2"/>
                                <w:sz w:val="36"/>
                              </w:rPr>
                              <w:t>22.4%</w:t>
                            </w:r>
                          </w:p>
                        </w:tc>
                        <w:tc>
                          <w:tcPr>
                            <w:tcW w:w="555" w:type="dxa"/>
                          </w:tcPr>
                          <w:p w14:paraId="1C34F1EC" w14:textId="77777777" w:rsidR="004C558F" w:rsidRDefault="004C558F">
                            <w:pPr>
                              <w:pStyle w:val="TableParagraph"/>
                              <w:spacing w:before="0"/>
                              <w:jc w:val="left"/>
                              <w:rPr>
                                <w:rFonts w:ascii="Times New Roman"/>
                                <w:sz w:val="20"/>
                              </w:rPr>
                            </w:pPr>
                          </w:p>
                        </w:tc>
                        <w:tc>
                          <w:tcPr>
                            <w:tcW w:w="1106" w:type="dxa"/>
                            <w:shd w:val="clear" w:color="auto" w:fill="084875"/>
                          </w:tcPr>
                          <w:p w14:paraId="1C34F1ED" w14:textId="77777777" w:rsidR="004C558F" w:rsidRDefault="00461887">
                            <w:pPr>
                              <w:pStyle w:val="TableParagraph"/>
                              <w:spacing w:before="213"/>
                              <w:ind w:left="3" w:right="4"/>
                              <w:jc w:val="center"/>
                              <w:rPr>
                                <w:rFonts w:ascii="Franklin Gothic Medium Cond"/>
                                <w:sz w:val="36"/>
                              </w:rPr>
                            </w:pPr>
                            <w:r>
                              <w:rPr>
                                <w:rFonts w:ascii="Franklin Gothic Medium Cond"/>
                                <w:color w:val="FFFFFF"/>
                                <w:spacing w:val="-2"/>
                                <w:sz w:val="36"/>
                              </w:rPr>
                              <w:t>22.7%</w:t>
                            </w:r>
                          </w:p>
                        </w:tc>
                      </w:tr>
                      <w:tr w:rsidR="004C558F" w14:paraId="1C34F1F4" w14:textId="77777777">
                        <w:trPr>
                          <w:trHeight w:val="365"/>
                        </w:trPr>
                        <w:tc>
                          <w:tcPr>
                            <w:tcW w:w="1102" w:type="dxa"/>
                          </w:tcPr>
                          <w:p w14:paraId="1C34F1EF" w14:textId="77777777" w:rsidR="004C558F" w:rsidRDefault="00461887">
                            <w:pPr>
                              <w:pStyle w:val="TableParagraph"/>
                              <w:spacing w:before="127" w:line="218" w:lineRule="exact"/>
                              <w:ind w:left="1" w:right="4"/>
                              <w:jc w:val="center"/>
                              <w:rPr>
                                <w:sz w:val="21"/>
                              </w:rPr>
                            </w:pPr>
                            <w:r>
                              <w:rPr>
                                <w:color w:val="585858"/>
                                <w:spacing w:val="-4"/>
                                <w:sz w:val="21"/>
                              </w:rPr>
                              <w:t>2019</w:t>
                            </w:r>
                          </w:p>
                        </w:tc>
                        <w:tc>
                          <w:tcPr>
                            <w:tcW w:w="555" w:type="dxa"/>
                          </w:tcPr>
                          <w:p w14:paraId="1C34F1F0" w14:textId="77777777" w:rsidR="004C558F" w:rsidRDefault="004C558F">
                            <w:pPr>
                              <w:pStyle w:val="TableParagraph"/>
                              <w:spacing w:before="0"/>
                              <w:jc w:val="left"/>
                              <w:rPr>
                                <w:rFonts w:ascii="Times New Roman"/>
                                <w:sz w:val="20"/>
                              </w:rPr>
                            </w:pPr>
                          </w:p>
                        </w:tc>
                        <w:tc>
                          <w:tcPr>
                            <w:tcW w:w="1107" w:type="dxa"/>
                          </w:tcPr>
                          <w:p w14:paraId="1C34F1F1" w14:textId="77777777" w:rsidR="004C558F" w:rsidRDefault="00461887">
                            <w:pPr>
                              <w:pStyle w:val="TableParagraph"/>
                              <w:spacing w:before="127" w:line="218" w:lineRule="exact"/>
                              <w:jc w:val="center"/>
                              <w:rPr>
                                <w:sz w:val="21"/>
                              </w:rPr>
                            </w:pPr>
                            <w:r>
                              <w:rPr>
                                <w:color w:val="585858"/>
                                <w:spacing w:val="-4"/>
                                <w:sz w:val="21"/>
                              </w:rPr>
                              <w:t>2020</w:t>
                            </w:r>
                          </w:p>
                        </w:tc>
                        <w:tc>
                          <w:tcPr>
                            <w:tcW w:w="555" w:type="dxa"/>
                          </w:tcPr>
                          <w:p w14:paraId="1C34F1F2" w14:textId="77777777" w:rsidR="004C558F" w:rsidRDefault="004C558F">
                            <w:pPr>
                              <w:pStyle w:val="TableParagraph"/>
                              <w:spacing w:before="0"/>
                              <w:jc w:val="left"/>
                              <w:rPr>
                                <w:rFonts w:ascii="Times New Roman"/>
                                <w:sz w:val="20"/>
                              </w:rPr>
                            </w:pPr>
                          </w:p>
                        </w:tc>
                        <w:tc>
                          <w:tcPr>
                            <w:tcW w:w="1106" w:type="dxa"/>
                          </w:tcPr>
                          <w:p w14:paraId="1C34F1F3" w14:textId="77777777" w:rsidR="004C558F" w:rsidRDefault="00461887">
                            <w:pPr>
                              <w:pStyle w:val="TableParagraph"/>
                              <w:spacing w:before="127" w:line="218" w:lineRule="exact"/>
                              <w:ind w:left="4" w:right="4"/>
                              <w:jc w:val="center"/>
                              <w:rPr>
                                <w:sz w:val="21"/>
                              </w:rPr>
                            </w:pPr>
                            <w:r>
                              <w:rPr>
                                <w:color w:val="585858"/>
                                <w:spacing w:val="-4"/>
                                <w:sz w:val="21"/>
                              </w:rPr>
                              <w:t>2021</w:t>
                            </w:r>
                          </w:p>
                        </w:tc>
                      </w:tr>
                    </w:tbl>
                    <w:p w14:paraId="1C34F1F5" w14:textId="77777777" w:rsidR="004C558F" w:rsidRDefault="004C558F">
                      <w:pPr>
                        <w:pStyle w:val="BodyText"/>
                      </w:pPr>
                    </w:p>
                  </w:txbxContent>
                </v:textbox>
                <w10:wrap type="topAndBottom" anchorx="page"/>
              </v:shape>
            </w:pict>
          </mc:Fallback>
        </mc:AlternateContent>
      </w:r>
      <w:r>
        <w:rPr>
          <w:noProof/>
        </w:rPr>
        <mc:AlternateContent>
          <mc:Choice Requires="wps">
            <w:drawing>
              <wp:anchor distT="0" distB="0" distL="0" distR="0" simplePos="0" relativeHeight="251625472" behindDoc="1" locked="0" layoutInCell="1" allowOverlap="1" wp14:anchorId="1C34F146" wp14:editId="1C34F147">
                <wp:simplePos x="0" y="0"/>
                <wp:positionH relativeFrom="page">
                  <wp:posOffset>4785638</wp:posOffset>
                </wp:positionH>
                <wp:positionV relativeFrom="paragraph">
                  <wp:posOffset>160650</wp:posOffset>
                </wp:positionV>
                <wp:extent cx="1755775" cy="1718945"/>
                <wp:effectExtent l="0" t="0" r="0" b="0"/>
                <wp:wrapTopAndBottom/>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775" cy="17189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06"/>
                              <w:gridCol w:w="554"/>
                              <w:gridCol w:w="1103"/>
                            </w:tblGrid>
                            <w:tr w:rsidR="004C558F" w14:paraId="1C34F1F9" w14:textId="77777777">
                              <w:trPr>
                                <w:trHeight w:val="887"/>
                              </w:trPr>
                              <w:tc>
                                <w:tcPr>
                                  <w:tcW w:w="1106" w:type="dxa"/>
                                  <w:shd w:val="clear" w:color="auto" w:fill="339FC7"/>
                                </w:tcPr>
                                <w:p w14:paraId="1C34F1F6" w14:textId="77777777" w:rsidR="004C558F" w:rsidRDefault="00461887">
                                  <w:pPr>
                                    <w:pStyle w:val="TableParagraph"/>
                                    <w:spacing w:before="156"/>
                                    <w:ind w:left="4" w:right="4"/>
                                    <w:jc w:val="center"/>
                                    <w:rPr>
                                      <w:rFonts w:ascii="Franklin Gothic Medium Cond"/>
                                      <w:sz w:val="36"/>
                                    </w:rPr>
                                  </w:pPr>
                                  <w:r>
                                    <w:rPr>
                                      <w:rFonts w:ascii="Franklin Gothic Medium Cond"/>
                                      <w:spacing w:val="-2"/>
                                      <w:sz w:val="36"/>
                                    </w:rPr>
                                    <w:t>66.7%</w:t>
                                  </w:r>
                                </w:p>
                              </w:tc>
                              <w:tc>
                                <w:tcPr>
                                  <w:tcW w:w="554" w:type="dxa"/>
                                  <w:tcBorders>
                                    <w:top w:val="single" w:sz="6" w:space="0" w:color="ECECEC"/>
                                    <w:bottom w:val="single" w:sz="6" w:space="0" w:color="ECECEC"/>
                                  </w:tcBorders>
                                </w:tcPr>
                                <w:p w14:paraId="1C34F1F7" w14:textId="77777777" w:rsidR="004C558F" w:rsidRDefault="004C558F">
                                  <w:pPr>
                                    <w:pStyle w:val="TableParagraph"/>
                                    <w:spacing w:before="0"/>
                                    <w:jc w:val="left"/>
                                    <w:rPr>
                                      <w:rFonts w:ascii="Times New Roman"/>
                                      <w:sz w:val="20"/>
                                    </w:rPr>
                                  </w:pPr>
                                </w:p>
                              </w:tc>
                              <w:tc>
                                <w:tcPr>
                                  <w:tcW w:w="1103" w:type="dxa"/>
                                  <w:shd w:val="clear" w:color="auto" w:fill="339FC7"/>
                                </w:tcPr>
                                <w:p w14:paraId="1C34F1F8" w14:textId="77777777" w:rsidR="004C558F" w:rsidRDefault="00461887">
                                  <w:pPr>
                                    <w:pStyle w:val="TableParagraph"/>
                                    <w:spacing w:before="194"/>
                                    <w:ind w:left="4" w:right="2"/>
                                    <w:jc w:val="center"/>
                                    <w:rPr>
                                      <w:rFonts w:ascii="Franklin Gothic Medium Cond"/>
                                      <w:sz w:val="36"/>
                                    </w:rPr>
                                  </w:pPr>
                                  <w:r>
                                    <w:rPr>
                                      <w:rFonts w:ascii="Franklin Gothic Medium Cond"/>
                                      <w:spacing w:val="-2"/>
                                      <w:sz w:val="36"/>
                                    </w:rPr>
                                    <w:t>68.5%</w:t>
                                  </w:r>
                                </w:p>
                              </w:tc>
                            </w:tr>
                            <w:tr w:rsidR="004C558F" w14:paraId="1C34F1FD" w14:textId="77777777">
                              <w:trPr>
                                <w:trHeight w:val="667"/>
                              </w:trPr>
                              <w:tc>
                                <w:tcPr>
                                  <w:tcW w:w="1106" w:type="dxa"/>
                                  <w:shd w:val="clear" w:color="auto" w:fill="339FC7"/>
                                </w:tcPr>
                                <w:p w14:paraId="1C34F1FA" w14:textId="77777777" w:rsidR="004C558F" w:rsidRDefault="004C558F">
                                  <w:pPr>
                                    <w:pStyle w:val="TableParagraph"/>
                                    <w:spacing w:before="0"/>
                                    <w:jc w:val="left"/>
                                    <w:rPr>
                                      <w:rFonts w:ascii="Times New Roman"/>
                                      <w:sz w:val="20"/>
                                    </w:rPr>
                                  </w:pPr>
                                </w:p>
                              </w:tc>
                              <w:tc>
                                <w:tcPr>
                                  <w:tcW w:w="554" w:type="dxa"/>
                                  <w:tcBorders>
                                    <w:top w:val="single" w:sz="6" w:space="0" w:color="ECECEC"/>
                                  </w:tcBorders>
                                </w:tcPr>
                                <w:p w14:paraId="1C34F1FB" w14:textId="77777777" w:rsidR="004C558F" w:rsidRDefault="004C558F">
                                  <w:pPr>
                                    <w:pStyle w:val="TableParagraph"/>
                                    <w:spacing w:before="0"/>
                                    <w:jc w:val="left"/>
                                    <w:rPr>
                                      <w:rFonts w:ascii="Times New Roman"/>
                                      <w:sz w:val="20"/>
                                    </w:rPr>
                                  </w:pPr>
                                </w:p>
                              </w:tc>
                              <w:tc>
                                <w:tcPr>
                                  <w:tcW w:w="1103" w:type="dxa"/>
                                  <w:shd w:val="clear" w:color="auto" w:fill="339FC7"/>
                                </w:tcPr>
                                <w:p w14:paraId="1C34F1FC" w14:textId="77777777" w:rsidR="004C558F" w:rsidRDefault="004C558F">
                                  <w:pPr>
                                    <w:pStyle w:val="TableParagraph"/>
                                    <w:spacing w:before="0"/>
                                    <w:jc w:val="left"/>
                                    <w:rPr>
                                      <w:rFonts w:ascii="Times New Roman"/>
                                      <w:sz w:val="20"/>
                                    </w:rPr>
                                  </w:pPr>
                                </w:p>
                              </w:tc>
                            </w:tr>
                            <w:tr w:rsidR="004C558F" w14:paraId="1C34F201" w14:textId="77777777">
                              <w:trPr>
                                <w:trHeight w:val="459"/>
                              </w:trPr>
                              <w:tc>
                                <w:tcPr>
                                  <w:tcW w:w="1106" w:type="dxa"/>
                                  <w:shd w:val="clear" w:color="auto" w:fill="F1682A"/>
                                </w:tcPr>
                                <w:p w14:paraId="1C34F1FE" w14:textId="77777777" w:rsidR="004C558F" w:rsidRDefault="00461887">
                                  <w:pPr>
                                    <w:pStyle w:val="TableParagraph"/>
                                    <w:spacing w:before="0" w:line="378" w:lineRule="exact"/>
                                    <w:ind w:left="3" w:right="4"/>
                                    <w:jc w:val="center"/>
                                    <w:rPr>
                                      <w:rFonts w:ascii="Franklin Gothic Medium Cond"/>
                                      <w:sz w:val="36"/>
                                    </w:rPr>
                                  </w:pPr>
                                  <w:r>
                                    <w:rPr>
                                      <w:rFonts w:ascii="Franklin Gothic Medium Cond"/>
                                      <w:spacing w:val="-2"/>
                                      <w:sz w:val="36"/>
                                    </w:rPr>
                                    <w:t>11.6%</w:t>
                                  </w:r>
                                </w:p>
                              </w:tc>
                              <w:tc>
                                <w:tcPr>
                                  <w:tcW w:w="554" w:type="dxa"/>
                                </w:tcPr>
                                <w:p w14:paraId="1C34F1FF" w14:textId="77777777" w:rsidR="004C558F" w:rsidRDefault="004C558F">
                                  <w:pPr>
                                    <w:pStyle w:val="TableParagraph"/>
                                    <w:spacing w:before="0"/>
                                    <w:jc w:val="left"/>
                                    <w:rPr>
                                      <w:rFonts w:ascii="Times New Roman"/>
                                      <w:sz w:val="20"/>
                                    </w:rPr>
                                  </w:pPr>
                                </w:p>
                              </w:tc>
                              <w:tc>
                                <w:tcPr>
                                  <w:tcW w:w="1103" w:type="dxa"/>
                                  <w:shd w:val="clear" w:color="auto" w:fill="F1682A"/>
                                </w:tcPr>
                                <w:p w14:paraId="1C34F200" w14:textId="77777777" w:rsidR="004C558F" w:rsidRDefault="00461887">
                                  <w:pPr>
                                    <w:pStyle w:val="TableParagraph"/>
                                    <w:spacing w:before="22" w:line="360" w:lineRule="exact"/>
                                    <w:ind w:left="4" w:right="1"/>
                                    <w:jc w:val="center"/>
                                    <w:rPr>
                                      <w:rFonts w:ascii="Franklin Gothic Medium Cond"/>
                                      <w:sz w:val="36"/>
                                    </w:rPr>
                                  </w:pPr>
                                  <w:r>
                                    <w:rPr>
                                      <w:rFonts w:ascii="Franklin Gothic Medium Cond"/>
                                      <w:spacing w:val="-2"/>
                                      <w:sz w:val="36"/>
                                    </w:rPr>
                                    <w:t>10.6%</w:t>
                                  </w:r>
                                </w:p>
                              </w:tc>
                            </w:tr>
                            <w:tr w:rsidR="004C558F" w14:paraId="1C34F205" w14:textId="77777777">
                              <w:trPr>
                                <w:trHeight w:val="669"/>
                              </w:trPr>
                              <w:tc>
                                <w:tcPr>
                                  <w:tcW w:w="1106" w:type="dxa"/>
                                  <w:shd w:val="clear" w:color="auto" w:fill="084875"/>
                                </w:tcPr>
                                <w:p w14:paraId="1C34F202" w14:textId="77777777" w:rsidR="004C558F" w:rsidRDefault="00461887">
                                  <w:pPr>
                                    <w:pStyle w:val="TableParagraph"/>
                                    <w:spacing w:before="135"/>
                                    <w:ind w:left="3" w:right="4"/>
                                    <w:jc w:val="center"/>
                                    <w:rPr>
                                      <w:rFonts w:ascii="Franklin Gothic Medium Cond"/>
                                      <w:sz w:val="36"/>
                                    </w:rPr>
                                  </w:pPr>
                                  <w:r>
                                    <w:rPr>
                                      <w:rFonts w:ascii="Franklin Gothic Medium Cond"/>
                                      <w:color w:val="FFFFFF"/>
                                      <w:spacing w:val="-2"/>
                                      <w:sz w:val="36"/>
                                    </w:rPr>
                                    <w:t>19.8%</w:t>
                                  </w:r>
                                </w:p>
                              </w:tc>
                              <w:tc>
                                <w:tcPr>
                                  <w:tcW w:w="554" w:type="dxa"/>
                                </w:tcPr>
                                <w:p w14:paraId="1C34F203" w14:textId="77777777" w:rsidR="004C558F" w:rsidRDefault="004C558F">
                                  <w:pPr>
                                    <w:pStyle w:val="TableParagraph"/>
                                    <w:spacing w:before="0"/>
                                    <w:jc w:val="left"/>
                                    <w:rPr>
                                      <w:rFonts w:ascii="Times New Roman"/>
                                      <w:sz w:val="20"/>
                                    </w:rPr>
                                  </w:pPr>
                                </w:p>
                              </w:tc>
                              <w:tc>
                                <w:tcPr>
                                  <w:tcW w:w="1103" w:type="dxa"/>
                                  <w:shd w:val="clear" w:color="auto" w:fill="084875"/>
                                </w:tcPr>
                                <w:p w14:paraId="1C34F204" w14:textId="77777777" w:rsidR="004C558F" w:rsidRDefault="00461887">
                                  <w:pPr>
                                    <w:pStyle w:val="TableParagraph"/>
                                    <w:spacing w:before="152"/>
                                    <w:ind w:left="4"/>
                                    <w:jc w:val="center"/>
                                    <w:rPr>
                                      <w:rFonts w:ascii="Franklin Gothic Medium Cond"/>
                                      <w:sz w:val="36"/>
                                    </w:rPr>
                                  </w:pPr>
                                  <w:r>
                                    <w:rPr>
                                      <w:rFonts w:ascii="Franklin Gothic Medium Cond"/>
                                      <w:color w:val="FFFFFF"/>
                                      <w:spacing w:val="-2"/>
                                      <w:sz w:val="36"/>
                                    </w:rPr>
                                    <w:t>18.9%</w:t>
                                  </w:r>
                                </w:p>
                              </w:tc>
                            </w:tr>
                          </w:tbl>
                          <w:p w14:paraId="1C34F206" w14:textId="77777777" w:rsidR="004C558F" w:rsidRDefault="004C558F">
                            <w:pPr>
                              <w:pStyle w:val="BodyText"/>
                            </w:pPr>
                          </w:p>
                        </w:txbxContent>
                      </wps:txbx>
                      <wps:bodyPr wrap="square" lIns="0" tIns="0" rIns="0" bIns="0" rtlCol="0">
                        <a:noAutofit/>
                      </wps:bodyPr>
                    </wps:wsp>
                  </a:graphicData>
                </a:graphic>
              </wp:anchor>
            </w:drawing>
          </mc:Choice>
          <mc:Fallback>
            <w:pict>
              <v:shape w14:anchorId="1C34F146" id="Textbox 447" o:spid="_x0000_s1375" type="#_x0000_t202" style="position:absolute;margin-left:376.8pt;margin-top:12.65pt;width:138.25pt;height:135.3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06"/>
                        <w:gridCol w:w="554"/>
                        <w:gridCol w:w="1103"/>
                      </w:tblGrid>
                      <w:tr w:rsidR="004C558F" w14:paraId="1C34F1F9" w14:textId="77777777">
                        <w:trPr>
                          <w:trHeight w:val="887"/>
                        </w:trPr>
                        <w:tc>
                          <w:tcPr>
                            <w:tcW w:w="1106" w:type="dxa"/>
                            <w:shd w:val="clear" w:color="auto" w:fill="339FC7"/>
                          </w:tcPr>
                          <w:p w14:paraId="1C34F1F6" w14:textId="77777777" w:rsidR="004C558F" w:rsidRDefault="00461887">
                            <w:pPr>
                              <w:pStyle w:val="TableParagraph"/>
                              <w:spacing w:before="156"/>
                              <w:ind w:left="4" w:right="4"/>
                              <w:jc w:val="center"/>
                              <w:rPr>
                                <w:rFonts w:ascii="Franklin Gothic Medium Cond"/>
                                <w:sz w:val="36"/>
                              </w:rPr>
                            </w:pPr>
                            <w:r>
                              <w:rPr>
                                <w:rFonts w:ascii="Franklin Gothic Medium Cond"/>
                                <w:spacing w:val="-2"/>
                                <w:sz w:val="36"/>
                              </w:rPr>
                              <w:t>66.7%</w:t>
                            </w:r>
                          </w:p>
                        </w:tc>
                        <w:tc>
                          <w:tcPr>
                            <w:tcW w:w="554" w:type="dxa"/>
                            <w:tcBorders>
                              <w:top w:val="single" w:sz="6" w:space="0" w:color="ECECEC"/>
                              <w:bottom w:val="single" w:sz="6" w:space="0" w:color="ECECEC"/>
                            </w:tcBorders>
                          </w:tcPr>
                          <w:p w14:paraId="1C34F1F7" w14:textId="77777777" w:rsidR="004C558F" w:rsidRDefault="004C558F">
                            <w:pPr>
                              <w:pStyle w:val="TableParagraph"/>
                              <w:spacing w:before="0"/>
                              <w:jc w:val="left"/>
                              <w:rPr>
                                <w:rFonts w:ascii="Times New Roman"/>
                                <w:sz w:val="20"/>
                              </w:rPr>
                            </w:pPr>
                          </w:p>
                        </w:tc>
                        <w:tc>
                          <w:tcPr>
                            <w:tcW w:w="1103" w:type="dxa"/>
                            <w:shd w:val="clear" w:color="auto" w:fill="339FC7"/>
                          </w:tcPr>
                          <w:p w14:paraId="1C34F1F8" w14:textId="77777777" w:rsidR="004C558F" w:rsidRDefault="00461887">
                            <w:pPr>
                              <w:pStyle w:val="TableParagraph"/>
                              <w:spacing w:before="194"/>
                              <w:ind w:left="4" w:right="2"/>
                              <w:jc w:val="center"/>
                              <w:rPr>
                                <w:rFonts w:ascii="Franklin Gothic Medium Cond"/>
                                <w:sz w:val="36"/>
                              </w:rPr>
                            </w:pPr>
                            <w:r>
                              <w:rPr>
                                <w:rFonts w:ascii="Franklin Gothic Medium Cond"/>
                                <w:spacing w:val="-2"/>
                                <w:sz w:val="36"/>
                              </w:rPr>
                              <w:t>68.5%</w:t>
                            </w:r>
                          </w:p>
                        </w:tc>
                      </w:tr>
                      <w:tr w:rsidR="004C558F" w14:paraId="1C34F1FD" w14:textId="77777777">
                        <w:trPr>
                          <w:trHeight w:val="667"/>
                        </w:trPr>
                        <w:tc>
                          <w:tcPr>
                            <w:tcW w:w="1106" w:type="dxa"/>
                            <w:shd w:val="clear" w:color="auto" w:fill="339FC7"/>
                          </w:tcPr>
                          <w:p w14:paraId="1C34F1FA" w14:textId="77777777" w:rsidR="004C558F" w:rsidRDefault="004C558F">
                            <w:pPr>
                              <w:pStyle w:val="TableParagraph"/>
                              <w:spacing w:before="0"/>
                              <w:jc w:val="left"/>
                              <w:rPr>
                                <w:rFonts w:ascii="Times New Roman"/>
                                <w:sz w:val="20"/>
                              </w:rPr>
                            </w:pPr>
                          </w:p>
                        </w:tc>
                        <w:tc>
                          <w:tcPr>
                            <w:tcW w:w="554" w:type="dxa"/>
                            <w:tcBorders>
                              <w:top w:val="single" w:sz="6" w:space="0" w:color="ECECEC"/>
                            </w:tcBorders>
                          </w:tcPr>
                          <w:p w14:paraId="1C34F1FB" w14:textId="77777777" w:rsidR="004C558F" w:rsidRDefault="004C558F">
                            <w:pPr>
                              <w:pStyle w:val="TableParagraph"/>
                              <w:spacing w:before="0"/>
                              <w:jc w:val="left"/>
                              <w:rPr>
                                <w:rFonts w:ascii="Times New Roman"/>
                                <w:sz w:val="20"/>
                              </w:rPr>
                            </w:pPr>
                          </w:p>
                        </w:tc>
                        <w:tc>
                          <w:tcPr>
                            <w:tcW w:w="1103" w:type="dxa"/>
                            <w:shd w:val="clear" w:color="auto" w:fill="339FC7"/>
                          </w:tcPr>
                          <w:p w14:paraId="1C34F1FC" w14:textId="77777777" w:rsidR="004C558F" w:rsidRDefault="004C558F">
                            <w:pPr>
                              <w:pStyle w:val="TableParagraph"/>
                              <w:spacing w:before="0"/>
                              <w:jc w:val="left"/>
                              <w:rPr>
                                <w:rFonts w:ascii="Times New Roman"/>
                                <w:sz w:val="20"/>
                              </w:rPr>
                            </w:pPr>
                          </w:p>
                        </w:tc>
                      </w:tr>
                      <w:tr w:rsidR="004C558F" w14:paraId="1C34F201" w14:textId="77777777">
                        <w:trPr>
                          <w:trHeight w:val="459"/>
                        </w:trPr>
                        <w:tc>
                          <w:tcPr>
                            <w:tcW w:w="1106" w:type="dxa"/>
                            <w:shd w:val="clear" w:color="auto" w:fill="F1682A"/>
                          </w:tcPr>
                          <w:p w14:paraId="1C34F1FE" w14:textId="77777777" w:rsidR="004C558F" w:rsidRDefault="00461887">
                            <w:pPr>
                              <w:pStyle w:val="TableParagraph"/>
                              <w:spacing w:before="0" w:line="378" w:lineRule="exact"/>
                              <w:ind w:left="3" w:right="4"/>
                              <w:jc w:val="center"/>
                              <w:rPr>
                                <w:rFonts w:ascii="Franklin Gothic Medium Cond"/>
                                <w:sz w:val="36"/>
                              </w:rPr>
                            </w:pPr>
                            <w:r>
                              <w:rPr>
                                <w:rFonts w:ascii="Franklin Gothic Medium Cond"/>
                                <w:spacing w:val="-2"/>
                                <w:sz w:val="36"/>
                              </w:rPr>
                              <w:t>11.6%</w:t>
                            </w:r>
                          </w:p>
                        </w:tc>
                        <w:tc>
                          <w:tcPr>
                            <w:tcW w:w="554" w:type="dxa"/>
                          </w:tcPr>
                          <w:p w14:paraId="1C34F1FF" w14:textId="77777777" w:rsidR="004C558F" w:rsidRDefault="004C558F">
                            <w:pPr>
                              <w:pStyle w:val="TableParagraph"/>
                              <w:spacing w:before="0"/>
                              <w:jc w:val="left"/>
                              <w:rPr>
                                <w:rFonts w:ascii="Times New Roman"/>
                                <w:sz w:val="20"/>
                              </w:rPr>
                            </w:pPr>
                          </w:p>
                        </w:tc>
                        <w:tc>
                          <w:tcPr>
                            <w:tcW w:w="1103" w:type="dxa"/>
                            <w:shd w:val="clear" w:color="auto" w:fill="F1682A"/>
                          </w:tcPr>
                          <w:p w14:paraId="1C34F200" w14:textId="77777777" w:rsidR="004C558F" w:rsidRDefault="00461887">
                            <w:pPr>
                              <w:pStyle w:val="TableParagraph"/>
                              <w:spacing w:before="22" w:line="360" w:lineRule="exact"/>
                              <w:ind w:left="4" w:right="1"/>
                              <w:jc w:val="center"/>
                              <w:rPr>
                                <w:rFonts w:ascii="Franklin Gothic Medium Cond"/>
                                <w:sz w:val="36"/>
                              </w:rPr>
                            </w:pPr>
                            <w:r>
                              <w:rPr>
                                <w:rFonts w:ascii="Franklin Gothic Medium Cond"/>
                                <w:spacing w:val="-2"/>
                                <w:sz w:val="36"/>
                              </w:rPr>
                              <w:t>10.6%</w:t>
                            </w:r>
                          </w:p>
                        </w:tc>
                      </w:tr>
                      <w:tr w:rsidR="004C558F" w14:paraId="1C34F205" w14:textId="77777777">
                        <w:trPr>
                          <w:trHeight w:val="669"/>
                        </w:trPr>
                        <w:tc>
                          <w:tcPr>
                            <w:tcW w:w="1106" w:type="dxa"/>
                            <w:shd w:val="clear" w:color="auto" w:fill="084875"/>
                          </w:tcPr>
                          <w:p w14:paraId="1C34F202" w14:textId="77777777" w:rsidR="004C558F" w:rsidRDefault="00461887">
                            <w:pPr>
                              <w:pStyle w:val="TableParagraph"/>
                              <w:spacing w:before="135"/>
                              <w:ind w:left="3" w:right="4"/>
                              <w:jc w:val="center"/>
                              <w:rPr>
                                <w:rFonts w:ascii="Franklin Gothic Medium Cond"/>
                                <w:sz w:val="36"/>
                              </w:rPr>
                            </w:pPr>
                            <w:r>
                              <w:rPr>
                                <w:rFonts w:ascii="Franklin Gothic Medium Cond"/>
                                <w:color w:val="FFFFFF"/>
                                <w:spacing w:val="-2"/>
                                <w:sz w:val="36"/>
                              </w:rPr>
                              <w:t>19.8%</w:t>
                            </w:r>
                          </w:p>
                        </w:tc>
                        <w:tc>
                          <w:tcPr>
                            <w:tcW w:w="554" w:type="dxa"/>
                          </w:tcPr>
                          <w:p w14:paraId="1C34F203" w14:textId="77777777" w:rsidR="004C558F" w:rsidRDefault="004C558F">
                            <w:pPr>
                              <w:pStyle w:val="TableParagraph"/>
                              <w:spacing w:before="0"/>
                              <w:jc w:val="left"/>
                              <w:rPr>
                                <w:rFonts w:ascii="Times New Roman"/>
                                <w:sz w:val="20"/>
                              </w:rPr>
                            </w:pPr>
                          </w:p>
                        </w:tc>
                        <w:tc>
                          <w:tcPr>
                            <w:tcW w:w="1103" w:type="dxa"/>
                            <w:shd w:val="clear" w:color="auto" w:fill="084875"/>
                          </w:tcPr>
                          <w:p w14:paraId="1C34F204" w14:textId="77777777" w:rsidR="004C558F" w:rsidRDefault="00461887">
                            <w:pPr>
                              <w:pStyle w:val="TableParagraph"/>
                              <w:spacing w:before="152"/>
                              <w:ind w:left="4"/>
                              <w:jc w:val="center"/>
                              <w:rPr>
                                <w:rFonts w:ascii="Franklin Gothic Medium Cond"/>
                                <w:sz w:val="36"/>
                              </w:rPr>
                            </w:pPr>
                            <w:r>
                              <w:rPr>
                                <w:rFonts w:ascii="Franklin Gothic Medium Cond"/>
                                <w:color w:val="FFFFFF"/>
                                <w:spacing w:val="-2"/>
                                <w:sz w:val="36"/>
                              </w:rPr>
                              <w:t>18.9%</w:t>
                            </w:r>
                          </w:p>
                        </w:tc>
                      </w:tr>
                    </w:tbl>
                    <w:p w14:paraId="1C34F206" w14:textId="77777777" w:rsidR="004C558F" w:rsidRDefault="004C558F">
                      <w:pPr>
                        <w:pStyle w:val="BodyText"/>
                      </w:pPr>
                    </w:p>
                  </w:txbxContent>
                </v:textbox>
                <w10:wrap type="topAndBottom" anchorx="page"/>
              </v:shape>
            </w:pict>
          </mc:Fallback>
        </mc:AlternateContent>
      </w:r>
    </w:p>
    <w:p w14:paraId="1C34EAC3" w14:textId="77777777" w:rsidR="004C558F" w:rsidRDefault="004C558F">
      <w:pPr>
        <w:pStyle w:val="BodyText"/>
      </w:pPr>
    </w:p>
    <w:p w14:paraId="1C34EAC4" w14:textId="77777777" w:rsidR="004C558F" w:rsidRDefault="004C558F">
      <w:pPr>
        <w:pStyle w:val="BodyText"/>
        <w:spacing w:before="145"/>
      </w:pPr>
    </w:p>
    <w:p w14:paraId="1C34EAC5" w14:textId="77777777" w:rsidR="004C558F" w:rsidRDefault="00461887">
      <w:pPr>
        <w:spacing w:before="1"/>
        <w:ind w:left="960"/>
        <w:rPr>
          <w:sz w:val="20"/>
        </w:rPr>
      </w:pPr>
      <w:r>
        <w:rPr>
          <w:sz w:val="20"/>
        </w:rPr>
        <w:t>Source:</w:t>
      </w:r>
      <w:r>
        <w:rPr>
          <w:spacing w:val="-7"/>
          <w:sz w:val="20"/>
        </w:rPr>
        <w:t xml:space="preserve"> </w:t>
      </w:r>
      <w:r>
        <w:rPr>
          <w:sz w:val="20"/>
        </w:rPr>
        <w:t>HPC</w:t>
      </w:r>
      <w:r>
        <w:rPr>
          <w:spacing w:val="-7"/>
          <w:sz w:val="20"/>
        </w:rPr>
        <w:t xml:space="preserve"> </w:t>
      </w:r>
      <w:r>
        <w:rPr>
          <w:sz w:val="20"/>
        </w:rPr>
        <w:t>analysis</w:t>
      </w:r>
      <w:r>
        <w:rPr>
          <w:spacing w:val="-6"/>
          <w:sz w:val="20"/>
        </w:rPr>
        <w:t xml:space="preserve"> </w:t>
      </w:r>
      <w:r>
        <w:rPr>
          <w:sz w:val="20"/>
        </w:rPr>
        <w:t>of</w:t>
      </w:r>
      <w:r>
        <w:rPr>
          <w:spacing w:val="-7"/>
          <w:sz w:val="20"/>
        </w:rPr>
        <w:t xml:space="preserve"> </w:t>
      </w:r>
      <w:r>
        <w:rPr>
          <w:sz w:val="20"/>
        </w:rPr>
        <w:t>CHIA</w:t>
      </w:r>
      <w:r>
        <w:rPr>
          <w:spacing w:val="-7"/>
          <w:sz w:val="20"/>
        </w:rPr>
        <w:t xml:space="preserve"> </w:t>
      </w:r>
      <w:r>
        <w:rPr>
          <w:sz w:val="20"/>
        </w:rPr>
        <w:t>Massachusetts</w:t>
      </w:r>
      <w:r>
        <w:rPr>
          <w:spacing w:val="-6"/>
          <w:sz w:val="20"/>
        </w:rPr>
        <w:t xml:space="preserve"> </w:t>
      </w:r>
      <w:r>
        <w:rPr>
          <w:sz w:val="20"/>
        </w:rPr>
        <w:t>Hospital</w:t>
      </w:r>
      <w:r>
        <w:rPr>
          <w:spacing w:val="-7"/>
          <w:sz w:val="20"/>
        </w:rPr>
        <w:t xml:space="preserve"> </w:t>
      </w:r>
      <w:r>
        <w:rPr>
          <w:sz w:val="20"/>
        </w:rPr>
        <w:t>Discharge</w:t>
      </w:r>
      <w:r>
        <w:rPr>
          <w:spacing w:val="-8"/>
          <w:sz w:val="20"/>
        </w:rPr>
        <w:t xml:space="preserve"> </w:t>
      </w:r>
      <w:r>
        <w:rPr>
          <w:spacing w:val="-2"/>
          <w:sz w:val="20"/>
        </w:rPr>
        <w:t>Database.</w:t>
      </w:r>
    </w:p>
    <w:p w14:paraId="1C34EAC6" w14:textId="77777777" w:rsidR="004C558F" w:rsidRDefault="00461887">
      <w:pPr>
        <w:spacing w:before="34" w:line="276" w:lineRule="auto"/>
        <w:ind w:left="959" w:right="799"/>
        <w:rPr>
          <w:sz w:val="20"/>
        </w:rPr>
      </w:pPr>
      <w:r>
        <w:rPr>
          <w:sz w:val="20"/>
        </w:rPr>
        <w:t>Note:</w:t>
      </w:r>
      <w:r>
        <w:rPr>
          <w:spacing w:val="-3"/>
          <w:sz w:val="20"/>
        </w:rPr>
        <w:t xml:space="preserve"> </w:t>
      </w:r>
      <w:r>
        <w:rPr>
          <w:sz w:val="20"/>
        </w:rPr>
        <w:t>Includes</w:t>
      </w:r>
      <w:r>
        <w:rPr>
          <w:spacing w:val="-3"/>
          <w:sz w:val="20"/>
        </w:rPr>
        <w:t xml:space="preserve"> </w:t>
      </w:r>
      <w:r>
        <w:rPr>
          <w:sz w:val="20"/>
        </w:rPr>
        <w:t>medical</w:t>
      </w:r>
      <w:r>
        <w:rPr>
          <w:spacing w:val="-4"/>
          <w:sz w:val="20"/>
        </w:rPr>
        <w:t xml:space="preserve"> </w:t>
      </w:r>
      <w:r>
        <w:rPr>
          <w:sz w:val="20"/>
        </w:rPr>
        <w:t>oncology</w:t>
      </w:r>
      <w:r>
        <w:rPr>
          <w:spacing w:val="-5"/>
          <w:sz w:val="20"/>
        </w:rPr>
        <w:t xml:space="preserve"> </w:t>
      </w:r>
      <w:r>
        <w:rPr>
          <w:sz w:val="20"/>
        </w:rPr>
        <w:t>discharges</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Massachusetts</w:t>
      </w:r>
      <w:r>
        <w:rPr>
          <w:spacing w:val="-3"/>
          <w:sz w:val="20"/>
        </w:rPr>
        <w:t xml:space="preserve"> </w:t>
      </w:r>
      <w:r>
        <w:rPr>
          <w:sz w:val="20"/>
        </w:rPr>
        <w:t>hospitals,</w:t>
      </w:r>
      <w:r>
        <w:rPr>
          <w:spacing w:val="-4"/>
          <w:sz w:val="20"/>
        </w:rPr>
        <w:t xml:space="preserve"> </w:t>
      </w:r>
      <w:r>
        <w:rPr>
          <w:sz w:val="20"/>
        </w:rPr>
        <w:t>excluding</w:t>
      </w:r>
      <w:r>
        <w:rPr>
          <w:spacing w:val="-4"/>
          <w:sz w:val="20"/>
        </w:rPr>
        <w:t xml:space="preserve"> </w:t>
      </w:r>
      <w:r>
        <w:rPr>
          <w:sz w:val="20"/>
        </w:rPr>
        <w:t>non-MA</w:t>
      </w:r>
      <w:r>
        <w:rPr>
          <w:spacing w:val="-5"/>
          <w:sz w:val="20"/>
        </w:rPr>
        <w:t xml:space="preserve"> </w:t>
      </w:r>
      <w:r>
        <w:rPr>
          <w:sz w:val="20"/>
        </w:rPr>
        <w:t>residents, normal newborns, and discharges for patients under 18 years of age.</w:t>
      </w:r>
    </w:p>
    <w:p w14:paraId="1C34EAC7" w14:textId="3BF69957" w:rsidR="004C558F" w:rsidRDefault="004C558F">
      <w:pPr>
        <w:pStyle w:val="BodyText"/>
        <w:spacing w:before="3"/>
        <w:rPr>
          <w:sz w:val="11"/>
        </w:rPr>
      </w:pPr>
    </w:p>
    <w:p w14:paraId="1C34EACB" w14:textId="3DDBFFF1" w:rsidR="004C558F" w:rsidRDefault="00461887">
      <w:pPr>
        <w:ind w:left="959" w:right="1034"/>
        <w:rPr>
          <w:sz w:val="20"/>
        </w:rPr>
      </w:pPr>
      <w:bookmarkStart w:id="210" w:name="_bookmark258"/>
      <w:bookmarkStart w:id="211" w:name="_bookmark260"/>
      <w:bookmarkEnd w:id="210"/>
      <w:bookmarkEnd w:id="211"/>
      <w:r>
        <w:rPr>
          <w:spacing w:val="24"/>
          <w:position w:val="5"/>
          <w:sz w:val="13"/>
        </w:rPr>
        <w:t xml:space="preserve"> </w:t>
      </w:r>
    </w:p>
    <w:p w14:paraId="1C34EACC" w14:textId="77777777" w:rsidR="004C558F" w:rsidRDefault="004C558F">
      <w:pPr>
        <w:rPr>
          <w:sz w:val="20"/>
        </w:rPr>
        <w:sectPr w:rsidR="004C558F">
          <w:pgSz w:w="12240" w:h="15840"/>
          <w:pgMar w:top="1360" w:right="740" w:bottom="720" w:left="480" w:header="0" w:footer="521" w:gutter="0"/>
          <w:cols w:space="720"/>
        </w:sectPr>
      </w:pPr>
    </w:p>
    <w:p w14:paraId="1C34EACD" w14:textId="3CA50B02" w:rsidR="004C558F" w:rsidRDefault="00461887">
      <w:pPr>
        <w:pStyle w:val="BodyText"/>
        <w:spacing w:before="88" w:line="276" w:lineRule="auto"/>
        <w:ind w:left="960" w:right="1034" w:firstLine="720"/>
        <w:rPr>
          <w:sz w:val="14"/>
        </w:rPr>
      </w:pPr>
      <w:r>
        <w:lastRenderedPageBreak/>
        <w:t>The parties serve a larger proportion of commercially insured and Medicaid-insured medical oncology inpatients than the statewide average. DFCI’s inpatient oncology commercial mix has historically been higher than the statewide average.</w:t>
      </w:r>
      <w:r w:rsidR="00225EDD">
        <w:rPr>
          <w:rStyle w:val="FootnoteReference"/>
        </w:rPr>
        <w:footnoteReference w:id="229"/>
      </w:r>
      <w:r>
        <w:rPr>
          <w:position w:val="5"/>
          <w:sz w:val="14"/>
        </w:rPr>
        <w:t>,</w:t>
      </w:r>
      <w:r>
        <w:rPr>
          <w:spacing w:val="32"/>
          <w:position w:val="5"/>
          <w:sz w:val="14"/>
        </w:rPr>
        <w:t xml:space="preserve"> </w:t>
      </w:r>
      <w:r w:rsidR="003E1DFC">
        <w:rPr>
          <w:rStyle w:val="FootnoteReference"/>
          <w:spacing w:val="32"/>
          <w:position w:val="5"/>
          <w:sz w:val="14"/>
        </w:rPr>
        <w:footnoteReference w:id="230"/>
      </w:r>
      <w:r>
        <w:t>However, DFCI’s inpatient oncology Medicaid mix has been increasing over time, and it was higher than the statewide average</w:t>
      </w:r>
      <w:r>
        <w:rPr>
          <w:spacing w:val="-3"/>
        </w:rPr>
        <w:t xml:space="preserve"> </w:t>
      </w:r>
      <w:r>
        <w:t>in</w:t>
      </w:r>
      <w:r>
        <w:rPr>
          <w:spacing w:val="-4"/>
        </w:rPr>
        <w:t xml:space="preserve"> </w:t>
      </w:r>
      <w:r>
        <w:t>2023.</w:t>
      </w:r>
      <w:r>
        <w:rPr>
          <w:spacing w:val="-37"/>
        </w:rPr>
        <w:t xml:space="preserve"> </w:t>
      </w:r>
      <w:r w:rsidR="003E1DFC">
        <w:rPr>
          <w:rStyle w:val="FootnoteReference"/>
          <w:spacing w:val="-37"/>
        </w:rPr>
        <w:footnoteReference w:id="231"/>
      </w:r>
      <w:r>
        <w:t>In</w:t>
      </w:r>
      <w:r>
        <w:rPr>
          <w:spacing w:val="-2"/>
        </w:rPr>
        <w:t xml:space="preserve"> </w:t>
      </w:r>
      <w:r>
        <w:t>2023,</w:t>
      </w:r>
      <w:r>
        <w:rPr>
          <w:spacing w:val="-2"/>
        </w:rPr>
        <w:t xml:space="preserve"> </w:t>
      </w:r>
      <w:r>
        <w:t>BIDMC</w:t>
      </w:r>
      <w:r>
        <w:rPr>
          <w:spacing w:val="-5"/>
        </w:rPr>
        <w:t xml:space="preserve"> </w:t>
      </w:r>
      <w:r>
        <w:t>had</w:t>
      </w:r>
      <w:r>
        <w:rPr>
          <w:spacing w:val="-1"/>
        </w:rPr>
        <w:t xml:space="preserve"> </w:t>
      </w:r>
      <w:r>
        <w:t>a</w:t>
      </w:r>
      <w:r>
        <w:rPr>
          <w:spacing w:val="-4"/>
        </w:rPr>
        <w:t xml:space="preserve"> </w:t>
      </w:r>
      <w:r>
        <w:t>higher</w:t>
      </w:r>
      <w:r>
        <w:rPr>
          <w:spacing w:val="-3"/>
        </w:rPr>
        <w:t xml:space="preserve"> </w:t>
      </w:r>
      <w:r>
        <w:t>inpatient</w:t>
      </w:r>
      <w:r>
        <w:rPr>
          <w:spacing w:val="-3"/>
        </w:rPr>
        <w:t xml:space="preserve"> </w:t>
      </w:r>
      <w:r>
        <w:t>oncology</w:t>
      </w:r>
      <w:r>
        <w:rPr>
          <w:spacing w:val="-3"/>
        </w:rPr>
        <w:t xml:space="preserve"> </w:t>
      </w:r>
      <w:r>
        <w:t>commercial</w:t>
      </w:r>
      <w:r>
        <w:rPr>
          <w:spacing w:val="-5"/>
        </w:rPr>
        <w:t xml:space="preserve"> </w:t>
      </w:r>
      <w:r>
        <w:t>and</w:t>
      </w:r>
      <w:r>
        <w:rPr>
          <w:spacing w:val="-1"/>
        </w:rPr>
        <w:t xml:space="preserve"> </w:t>
      </w:r>
      <w:r>
        <w:t>Medicaid mix than statewide,</w:t>
      </w:r>
      <w:r w:rsidR="00C46FC7">
        <w:rPr>
          <w:rStyle w:val="FootnoteReference"/>
        </w:rPr>
        <w:footnoteReference w:id="232"/>
      </w:r>
      <w:r>
        <w:rPr>
          <w:spacing w:val="23"/>
          <w:position w:val="5"/>
          <w:sz w:val="14"/>
        </w:rPr>
        <w:t xml:space="preserve"> </w:t>
      </w:r>
      <w:r>
        <w:t>even though, consistent with Massachusetts trends, its commercial and Medicaid mix have decreased since 2019.</w:t>
      </w:r>
      <w:r>
        <w:rPr>
          <w:spacing w:val="-27"/>
        </w:rPr>
        <w:t xml:space="preserve"> </w:t>
      </w:r>
      <w:r w:rsidR="002E1C32">
        <w:rPr>
          <w:rStyle w:val="FootnoteReference"/>
          <w:spacing w:val="-27"/>
        </w:rPr>
        <w:footnoteReference w:id="233"/>
      </w:r>
    </w:p>
    <w:p w14:paraId="1C34EACE" w14:textId="77777777" w:rsidR="004C558F" w:rsidRDefault="004C558F">
      <w:pPr>
        <w:pStyle w:val="BodyText"/>
        <w:spacing w:before="63"/>
      </w:pPr>
    </w:p>
    <w:p w14:paraId="1C34EACF" w14:textId="12A100F8" w:rsidR="004C558F" w:rsidRDefault="00461887">
      <w:pPr>
        <w:pStyle w:val="BodyText"/>
        <w:spacing w:line="276" w:lineRule="auto"/>
        <w:ind w:left="960" w:right="1005" w:firstLine="719"/>
      </w:pPr>
      <w:r>
        <w:t xml:space="preserve">In confidential production to the HPC, the parties stated that they do not expect the transaction to have a significant impact on their payer mix, although DFCI has indicated to the </w:t>
      </w:r>
      <w:proofErr w:type="spellStart"/>
      <w:r>
        <w:t>DoN</w:t>
      </w:r>
      <w:proofErr w:type="spellEnd"/>
      <w:r>
        <w:t xml:space="preserve"> program that the proposed transaction might increase DFCI’s MassHealth mix, which would enhance access for a population that often faces barriers to obtaining oncology care.</w:t>
      </w:r>
      <w:r w:rsidR="008616D9">
        <w:rPr>
          <w:rStyle w:val="FootnoteReference"/>
        </w:rPr>
        <w:footnoteReference w:id="234"/>
      </w:r>
      <w:r>
        <w:rPr>
          <w:position w:val="5"/>
          <w:sz w:val="14"/>
        </w:rPr>
        <w:t>,</w:t>
      </w:r>
      <w:r>
        <w:rPr>
          <w:spacing w:val="28"/>
          <w:position w:val="5"/>
          <w:sz w:val="14"/>
        </w:rPr>
        <w:t xml:space="preserve"> </w:t>
      </w:r>
      <w:r w:rsidR="008616D9">
        <w:rPr>
          <w:rStyle w:val="FootnoteReference"/>
          <w:spacing w:val="28"/>
          <w:position w:val="5"/>
          <w:sz w:val="14"/>
        </w:rPr>
        <w:footnoteReference w:id="235"/>
      </w:r>
      <w:r>
        <w:t>Section III.C.3 details the parties’ planned access and equity efforts, some of which may impact their</w:t>
      </w:r>
      <w:r>
        <w:rPr>
          <w:spacing w:val="-3"/>
        </w:rPr>
        <w:t xml:space="preserve"> </w:t>
      </w:r>
      <w:r>
        <w:t>payer</w:t>
      </w:r>
      <w:r>
        <w:rPr>
          <w:spacing w:val="-3"/>
        </w:rPr>
        <w:t xml:space="preserve"> </w:t>
      </w:r>
      <w:r>
        <w:t>mix,</w:t>
      </w:r>
      <w:r>
        <w:rPr>
          <w:spacing w:val="-2"/>
        </w:rPr>
        <w:t xml:space="preserve"> </w:t>
      </w:r>
      <w:r>
        <w:t>but</w:t>
      </w:r>
      <w:r>
        <w:rPr>
          <w:spacing w:val="-3"/>
        </w:rPr>
        <w:t xml:space="preserve"> </w:t>
      </w:r>
      <w:r>
        <w:t>DFCI’s</w:t>
      </w:r>
      <w:r>
        <w:rPr>
          <w:spacing w:val="-4"/>
        </w:rPr>
        <w:t xml:space="preserve"> </w:t>
      </w:r>
      <w:r>
        <w:t>payer</w:t>
      </w:r>
      <w:r>
        <w:rPr>
          <w:spacing w:val="-3"/>
        </w:rPr>
        <w:t xml:space="preserve"> </w:t>
      </w:r>
      <w:r>
        <w:t>mix</w:t>
      </w:r>
      <w:r>
        <w:rPr>
          <w:spacing w:val="-2"/>
        </w:rPr>
        <w:t xml:space="preserve"> </w:t>
      </w:r>
      <w:r>
        <w:t>in</w:t>
      </w:r>
      <w:r>
        <w:rPr>
          <w:spacing w:val="-2"/>
        </w:rPr>
        <w:t xml:space="preserve"> </w:t>
      </w:r>
      <w:r>
        <w:t>the</w:t>
      </w:r>
      <w:r>
        <w:rPr>
          <w:spacing w:val="-4"/>
        </w:rPr>
        <w:t xml:space="preserve"> </w:t>
      </w:r>
      <w:r>
        <w:t>new</w:t>
      </w:r>
      <w:r>
        <w:rPr>
          <w:spacing w:val="-5"/>
        </w:rPr>
        <w:t xml:space="preserve"> </w:t>
      </w:r>
      <w:r>
        <w:t>facility</w:t>
      </w:r>
      <w:r>
        <w:rPr>
          <w:spacing w:val="-3"/>
        </w:rPr>
        <w:t xml:space="preserve"> </w:t>
      </w:r>
      <w:r>
        <w:t>would</w:t>
      </w:r>
      <w:r>
        <w:rPr>
          <w:spacing w:val="-1"/>
        </w:rPr>
        <w:t xml:space="preserve"> </w:t>
      </w:r>
      <w:r>
        <w:t>likely</w:t>
      </w:r>
      <w:r>
        <w:rPr>
          <w:spacing w:val="-3"/>
        </w:rPr>
        <w:t xml:space="preserve"> </w:t>
      </w:r>
      <w:r>
        <w:t>resemble</w:t>
      </w:r>
      <w:r>
        <w:rPr>
          <w:spacing w:val="-2"/>
        </w:rPr>
        <w:t xml:space="preserve"> </w:t>
      </w:r>
      <w:r>
        <w:t>a</w:t>
      </w:r>
      <w:r>
        <w:rPr>
          <w:spacing w:val="-4"/>
        </w:rPr>
        <w:t xml:space="preserve"> </w:t>
      </w:r>
      <w:r>
        <w:t>combination</w:t>
      </w:r>
      <w:r>
        <w:rPr>
          <w:spacing w:val="-4"/>
        </w:rPr>
        <w:t xml:space="preserve"> </w:t>
      </w:r>
      <w:r>
        <w:t>of</w:t>
      </w:r>
      <w:r>
        <w:rPr>
          <w:spacing w:val="-1"/>
        </w:rPr>
        <w:t xml:space="preserve"> </w:t>
      </w:r>
      <w:r>
        <w:t>the current mix of BIDMC, DFCI, and the hospitals from which DFCI is most likely to draw patients, including</w:t>
      </w:r>
      <w:r>
        <w:rPr>
          <w:spacing w:val="-2"/>
        </w:rPr>
        <w:t xml:space="preserve"> </w:t>
      </w:r>
      <w:r>
        <w:t>BWH</w:t>
      </w:r>
      <w:r>
        <w:rPr>
          <w:spacing w:val="-2"/>
        </w:rPr>
        <w:t xml:space="preserve"> </w:t>
      </w:r>
      <w:r>
        <w:t>and</w:t>
      </w:r>
      <w:r>
        <w:rPr>
          <w:spacing w:val="-3"/>
        </w:rPr>
        <w:t xml:space="preserve"> </w:t>
      </w:r>
      <w:r>
        <w:t>MGH.</w:t>
      </w:r>
      <w:r>
        <w:rPr>
          <w:spacing w:val="-4"/>
        </w:rPr>
        <w:t xml:space="preserve"> </w:t>
      </w:r>
      <w:r>
        <w:t>This</w:t>
      </w:r>
      <w:r>
        <w:rPr>
          <w:spacing w:val="-3"/>
        </w:rPr>
        <w:t xml:space="preserve"> </w:t>
      </w:r>
      <w:r>
        <w:t>would likely</w:t>
      </w:r>
      <w:r>
        <w:rPr>
          <w:spacing w:val="-2"/>
        </w:rPr>
        <w:t xml:space="preserve"> </w:t>
      </w:r>
      <w:r>
        <w:t>result</w:t>
      </w:r>
      <w:r>
        <w:rPr>
          <w:spacing w:val="-2"/>
        </w:rPr>
        <w:t xml:space="preserve"> </w:t>
      </w:r>
      <w:r>
        <w:t>in</w:t>
      </w:r>
      <w:r>
        <w:rPr>
          <w:spacing w:val="-3"/>
        </w:rPr>
        <w:t xml:space="preserve"> </w:t>
      </w:r>
      <w:r>
        <w:t>an</w:t>
      </w:r>
      <w:r>
        <w:rPr>
          <w:spacing w:val="-1"/>
        </w:rPr>
        <w:t xml:space="preserve"> </w:t>
      </w:r>
      <w:r>
        <w:t>increase</w:t>
      </w:r>
      <w:r>
        <w:rPr>
          <w:spacing w:val="-1"/>
        </w:rPr>
        <w:t xml:space="preserve"> </w:t>
      </w:r>
      <w:r>
        <w:t>in</w:t>
      </w:r>
      <w:r>
        <w:rPr>
          <w:spacing w:val="-3"/>
        </w:rPr>
        <w:t xml:space="preserve"> </w:t>
      </w:r>
      <w:r>
        <w:t>DFCI’s</w:t>
      </w:r>
      <w:r>
        <w:rPr>
          <w:spacing w:val="-1"/>
        </w:rPr>
        <w:t xml:space="preserve"> </w:t>
      </w:r>
      <w:r>
        <w:t>mix</w:t>
      </w:r>
      <w:r>
        <w:rPr>
          <w:spacing w:val="-4"/>
        </w:rPr>
        <w:t xml:space="preserve"> </w:t>
      </w:r>
      <w:r>
        <w:t>of</w:t>
      </w:r>
      <w:r>
        <w:rPr>
          <w:spacing w:val="-3"/>
        </w:rPr>
        <w:t xml:space="preserve"> </w:t>
      </w:r>
      <w:r>
        <w:t>Medicare</w:t>
      </w:r>
      <w:r>
        <w:rPr>
          <w:spacing w:val="-3"/>
        </w:rPr>
        <w:t xml:space="preserve"> </w:t>
      </w:r>
      <w:r>
        <w:t>patients and maintain DFCI’s relatively high mix of commercial patients.</w:t>
      </w:r>
    </w:p>
    <w:p w14:paraId="1C34EAD0" w14:textId="77777777" w:rsidR="004C558F" w:rsidRDefault="004C558F">
      <w:pPr>
        <w:pStyle w:val="BodyText"/>
        <w:rPr>
          <w:sz w:val="20"/>
        </w:rPr>
      </w:pPr>
    </w:p>
    <w:p w14:paraId="1C34EAD1" w14:textId="77777777" w:rsidR="004C558F" w:rsidRDefault="004C558F">
      <w:pPr>
        <w:pStyle w:val="BodyText"/>
        <w:rPr>
          <w:sz w:val="20"/>
        </w:rPr>
      </w:pPr>
    </w:p>
    <w:p w14:paraId="1C34EAD2" w14:textId="77777777" w:rsidR="004C558F" w:rsidRDefault="004C558F">
      <w:pPr>
        <w:pStyle w:val="BodyText"/>
        <w:rPr>
          <w:sz w:val="20"/>
        </w:rPr>
      </w:pPr>
    </w:p>
    <w:p w14:paraId="1C34EAD3" w14:textId="77777777" w:rsidR="004C558F" w:rsidRDefault="004C558F">
      <w:pPr>
        <w:pStyle w:val="BodyText"/>
        <w:rPr>
          <w:sz w:val="20"/>
        </w:rPr>
      </w:pPr>
    </w:p>
    <w:p w14:paraId="1C34EAD4" w14:textId="77777777" w:rsidR="004C558F" w:rsidRDefault="004C558F">
      <w:pPr>
        <w:pStyle w:val="BodyText"/>
        <w:rPr>
          <w:sz w:val="20"/>
        </w:rPr>
      </w:pPr>
    </w:p>
    <w:p w14:paraId="1C34EAD5" w14:textId="77777777" w:rsidR="004C558F" w:rsidRDefault="004C558F">
      <w:pPr>
        <w:pStyle w:val="BodyText"/>
        <w:rPr>
          <w:sz w:val="20"/>
        </w:rPr>
      </w:pPr>
    </w:p>
    <w:p w14:paraId="1C34EAD6" w14:textId="77777777" w:rsidR="004C558F" w:rsidRDefault="004C558F">
      <w:pPr>
        <w:pStyle w:val="BodyText"/>
        <w:rPr>
          <w:sz w:val="20"/>
        </w:rPr>
      </w:pPr>
    </w:p>
    <w:p w14:paraId="1C34EAD7" w14:textId="77777777" w:rsidR="004C558F" w:rsidRDefault="004C558F">
      <w:pPr>
        <w:pStyle w:val="BodyText"/>
        <w:rPr>
          <w:sz w:val="20"/>
        </w:rPr>
      </w:pPr>
    </w:p>
    <w:p w14:paraId="1C34EAD8" w14:textId="77777777" w:rsidR="004C558F" w:rsidRDefault="004C558F">
      <w:pPr>
        <w:pStyle w:val="BodyText"/>
        <w:rPr>
          <w:sz w:val="20"/>
        </w:rPr>
      </w:pPr>
    </w:p>
    <w:p w14:paraId="1C34EAD9" w14:textId="77777777" w:rsidR="004C558F" w:rsidRDefault="004C558F">
      <w:pPr>
        <w:pStyle w:val="BodyText"/>
        <w:rPr>
          <w:sz w:val="20"/>
        </w:rPr>
      </w:pPr>
    </w:p>
    <w:p w14:paraId="1C34EAE3" w14:textId="28E50E9F" w:rsidR="004C558F" w:rsidRDefault="00461887" w:rsidP="008616D9">
      <w:pPr>
        <w:pStyle w:val="BodyText"/>
        <w:spacing w:before="156"/>
        <w:rPr>
          <w:sz w:val="20"/>
        </w:rPr>
      </w:pPr>
      <w:r>
        <w:rPr>
          <w:spacing w:val="16"/>
          <w:position w:val="5"/>
          <w:sz w:val="13"/>
        </w:rPr>
        <w:t xml:space="preserve"> </w:t>
      </w:r>
    </w:p>
    <w:p w14:paraId="1C34EAE4" w14:textId="77777777" w:rsidR="004C558F" w:rsidRDefault="004C558F">
      <w:pPr>
        <w:rPr>
          <w:sz w:val="20"/>
        </w:rPr>
        <w:sectPr w:rsidR="004C558F">
          <w:pgSz w:w="12240" w:h="15840"/>
          <w:pgMar w:top="1640" w:right="740" w:bottom="720" w:left="480" w:header="0" w:footer="521" w:gutter="0"/>
          <w:cols w:space="720"/>
        </w:sectPr>
      </w:pPr>
    </w:p>
    <w:p w14:paraId="1C34EAE5" w14:textId="77777777" w:rsidR="004C558F" w:rsidRDefault="00461887">
      <w:pPr>
        <w:pStyle w:val="Heading4"/>
        <w:spacing w:line="276" w:lineRule="auto"/>
      </w:pPr>
      <w:r>
        <w:lastRenderedPageBreak/>
        <w:t>Figure</w:t>
      </w:r>
      <w:r>
        <w:rPr>
          <w:spacing w:val="-3"/>
        </w:rPr>
        <w:t xml:space="preserve"> </w:t>
      </w:r>
      <w:r>
        <w:t>III.C.4:</w:t>
      </w:r>
      <w:r>
        <w:rPr>
          <w:spacing w:val="-2"/>
        </w:rPr>
        <w:t xml:space="preserve"> </w:t>
      </w:r>
      <w:r>
        <w:t>Inpatient</w:t>
      </w:r>
      <w:r>
        <w:rPr>
          <w:spacing w:val="-2"/>
        </w:rPr>
        <w:t xml:space="preserve"> </w:t>
      </w:r>
      <w:r>
        <w:t>Medical</w:t>
      </w:r>
      <w:r>
        <w:rPr>
          <w:spacing w:val="-2"/>
        </w:rPr>
        <w:t xml:space="preserve"> </w:t>
      </w:r>
      <w:r>
        <w:t>Oncology</w:t>
      </w:r>
      <w:r>
        <w:rPr>
          <w:spacing w:val="-1"/>
        </w:rPr>
        <w:t xml:space="preserve"> </w:t>
      </w:r>
      <w:r>
        <w:t>Payer</w:t>
      </w:r>
      <w:r>
        <w:rPr>
          <w:spacing w:val="-5"/>
        </w:rPr>
        <w:t xml:space="preserve"> </w:t>
      </w:r>
      <w:r>
        <w:t>Mix</w:t>
      </w:r>
      <w:r>
        <w:rPr>
          <w:spacing w:val="-3"/>
        </w:rPr>
        <w:t xml:space="preserve"> </w:t>
      </w:r>
      <w:r>
        <w:t>for</w:t>
      </w:r>
      <w:r>
        <w:rPr>
          <w:spacing w:val="-2"/>
        </w:rPr>
        <w:t xml:space="preserve"> </w:t>
      </w:r>
      <w:r>
        <w:t>Select</w:t>
      </w:r>
      <w:r>
        <w:rPr>
          <w:spacing w:val="-2"/>
        </w:rPr>
        <w:t xml:space="preserve"> </w:t>
      </w:r>
      <w:r>
        <w:t>Hospitals</w:t>
      </w:r>
      <w:r>
        <w:rPr>
          <w:spacing w:val="-3"/>
        </w:rPr>
        <w:t xml:space="preserve"> </w:t>
      </w:r>
      <w:r>
        <w:t>and</w:t>
      </w:r>
      <w:r>
        <w:rPr>
          <w:spacing w:val="-2"/>
        </w:rPr>
        <w:t xml:space="preserve"> </w:t>
      </w:r>
      <w:r>
        <w:t xml:space="preserve">Statewide </w:t>
      </w:r>
      <w:r>
        <w:rPr>
          <w:spacing w:val="-2"/>
        </w:rPr>
        <w:t>(2023)</w:t>
      </w:r>
    </w:p>
    <w:p w14:paraId="1C34EAE6" w14:textId="77777777" w:rsidR="004C558F" w:rsidRDefault="00461887">
      <w:pPr>
        <w:pStyle w:val="BodyText"/>
        <w:ind w:left="952"/>
        <w:rPr>
          <w:sz w:val="20"/>
        </w:rPr>
      </w:pPr>
      <w:r>
        <w:rPr>
          <w:noProof/>
          <w:sz w:val="20"/>
        </w:rPr>
        <mc:AlternateContent>
          <mc:Choice Requires="wpg">
            <w:drawing>
              <wp:inline distT="0" distB="0" distL="0" distR="0" wp14:anchorId="1C34F14C" wp14:editId="46E37F66">
                <wp:extent cx="5953125" cy="3444875"/>
                <wp:effectExtent l="0" t="0" r="9525" b="22225"/>
                <wp:docPr id="450" name="Group 450" descr="Bar Graph of Inpatient Medical Oncology Payer Mix for Select Hospitals and Statewide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444875"/>
                          <a:chOff x="0" y="0"/>
                          <a:chExt cx="5953125" cy="3444875"/>
                        </a:xfrm>
                      </wpg:grpSpPr>
                      <wps:wsp>
                        <wps:cNvPr id="451" name="Graphic 451"/>
                        <wps:cNvSpPr/>
                        <wps:spPr>
                          <a:xfrm>
                            <a:off x="534174" y="814349"/>
                            <a:ext cx="5274945" cy="1339850"/>
                          </a:xfrm>
                          <a:custGeom>
                            <a:avLst/>
                            <a:gdLst/>
                            <a:ahLst/>
                            <a:cxnLst/>
                            <a:rect l="l" t="t" r="r" b="b"/>
                            <a:pathLst>
                              <a:path w="5274945" h="1339850">
                                <a:moveTo>
                                  <a:pt x="0" y="1339596"/>
                                </a:moveTo>
                                <a:lnTo>
                                  <a:pt x="176199" y="1339596"/>
                                </a:lnTo>
                              </a:path>
                              <a:path w="5274945" h="1339850">
                                <a:moveTo>
                                  <a:pt x="878763" y="1339596"/>
                                </a:moveTo>
                                <a:lnTo>
                                  <a:pt x="1230807" y="1339596"/>
                                </a:lnTo>
                              </a:path>
                              <a:path w="5274945" h="1339850">
                                <a:moveTo>
                                  <a:pt x="1933371" y="1339596"/>
                                </a:moveTo>
                                <a:lnTo>
                                  <a:pt x="2285415" y="1339596"/>
                                </a:lnTo>
                              </a:path>
                              <a:path w="5274945" h="1339850">
                                <a:moveTo>
                                  <a:pt x="2989503" y="1339596"/>
                                </a:moveTo>
                                <a:lnTo>
                                  <a:pt x="3340023" y="1339596"/>
                                </a:lnTo>
                              </a:path>
                              <a:path w="5274945" h="1339850">
                                <a:moveTo>
                                  <a:pt x="4044111" y="1339596"/>
                                </a:moveTo>
                                <a:lnTo>
                                  <a:pt x="4396155" y="1339596"/>
                                </a:lnTo>
                              </a:path>
                              <a:path w="5274945" h="1339850">
                                <a:moveTo>
                                  <a:pt x="5098719" y="1339596"/>
                                </a:moveTo>
                                <a:lnTo>
                                  <a:pt x="5274487" y="1339596"/>
                                </a:lnTo>
                              </a:path>
                              <a:path w="5274945" h="1339850">
                                <a:moveTo>
                                  <a:pt x="1933371" y="669036"/>
                                </a:moveTo>
                                <a:lnTo>
                                  <a:pt x="2285415" y="669036"/>
                                </a:lnTo>
                              </a:path>
                              <a:path w="5274945" h="1339850">
                                <a:moveTo>
                                  <a:pt x="2989503" y="669036"/>
                                </a:moveTo>
                                <a:lnTo>
                                  <a:pt x="3340023" y="669036"/>
                                </a:lnTo>
                              </a:path>
                              <a:path w="5274945" h="1339850">
                                <a:moveTo>
                                  <a:pt x="0" y="669036"/>
                                </a:moveTo>
                                <a:lnTo>
                                  <a:pt x="176199" y="669036"/>
                                </a:lnTo>
                              </a:path>
                              <a:path w="5274945" h="1339850">
                                <a:moveTo>
                                  <a:pt x="878763" y="669036"/>
                                </a:moveTo>
                                <a:lnTo>
                                  <a:pt x="1230807" y="669036"/>
                                </a:lnTo>
                              </a:path>
                              <a:path w="5274945" h="1339850">
                                <a:moveTo>
                                  <a:pt x="4044111" y="669036"/>
                                </a:moveTo>
                                <a:lnTo>
                                  <a:pt x="4396155" y="669036"/>
                                </a:lnTo>
                              </a:path>
                              <a:path w="5274945" h="1339850">
                                <a:moveTo>
                                  <a:pt x="5098719" y="669036"/>
                                </a:moveTo>
                                <a:lnTo>
                                  <a:pt x="5274487" y="669036"/>
                                </a:lnTo>
                              </a:path>
                              <a:path w="5274945" h="1339850">
                                <a:moveTo>
                                  <a:pt x="0" y="0"/>
                                </a:moveTo>
                                <a:lnTo>
                                  <a:pt x="176199" y="0"/>
                                </a:lnTo>
                              </a:path>
                              <a:path w="5274945" h="1339850">
                                <a:moveTo>
                                  <a:pt x="878763" y="0"/>
                                </a:moveTo>
                                <a:lnTo>
                                  <a:pt x="1230807" y="0"/>
                                </a:lnTo>
                              </a:path>
                              <a:path w="5274945" h="1339850">
                                <a:moveTo>
                                  <a:pt x="1933371" y="0"/>
                                </a:moveTo>
                                <a:lnTo>
                                  <a:pt x="2285415" y="0"/>
                                </a:lnTo>
                              </a:path>
                              <a:path w="5274945" h="1339850">
                                <a:moveTo>
                                  <a:pt x="2989503" y="0"/>
                                </a:moveTo>
                                <a:lnTo>
                                  <a:pt x="3340023" y="0"/>
                                </a:lnTo>
                              </a:path>
                              <a:path w="5274945" h="1339850">
                                <a:moveTo>
                                  <a:pt x="4044111" y="0"/>
                                </a:moveTo>
                                <a:lnTo>
                                  <a:pt x="4396155" y="0"/>
                                </a:lnTo>
                              </a:path>
                              <a:path w="5274945" h="1339850">
                                <a:moveTo>
                                  <a:pt x="5098719" y="0"/>
                                </a:moveTo>
                                <a:lnTo>
                                  <a:pt x="5274487" y="0"/>
                                </a:lnTo>
                              </a:path>
                            </a:pathLst>
                          </a:custGeom>
                          <a:ln w="9525">
                            <a:solidFill>
                              <a:srgbClr val="ECECEC"/>
                            </a:solidFill>
                            <a:prstDash val="solid"/>
                          </a:ln>
                        </wps:spPr>
                        <wps:bodyPr wrap="square" lIns="0" tIns="0" rIns="0" bIns="0" rtlCol="0">
                          <a:prstTxWarp prst="textNoShape">
                            <a:avLst/>
                          </a:prstTxWarp>
                          <a:noAutofit/>
                        </wps:bodyPr>
                      </wps:wsp>
                      <wps:wsp>
                        <wps:cNvPr id="452" name="Graphic 452"/>
                        <wps:cNvSpPr/>
                        <wps:spPr>
                          <a:xfrm>
                            <a:off x="534174" y="144462"/>
                            <a:ext cx="5274945" cy="1270"/>
                          </a:xfrm>
                          <a:custGeom>
                            <a:avLst/>
                            <a:gdLst/>
                            <a:ahLst/>
                            <a:cxnLst/>
                            <a:rect l="l" t="t" r="r" b="b"/>
                            <a:pathLst>
                              <a:path w="5274945">
                                <a:moveTo>
                                  <a:pt x="0" y="0"/>
                                </a:moveTo>
                                <a:lnTo>
                                  <a:pt x="5274487" y="0"/>
                                </a:lnTo>
                              </a:path>
                            </a:pathLst>
                          </a:custGeom>
                          <a:ln w="9525">
                            <a:solidFill>
                              <a:srgbClr val="ECECEC"/>
                            </a:solidFill>
                            <a:prstDash val="solid"/>
                          </a:ln>
                        </wps:spPr>
                        <wps:bodyPr wrap="square" lIns="0" tIns="0" rIns="0" bIns="0" rtlCol="0">
                          <a:prstTxWarp prst="textNoShape">
                            <a:avLst/>
                          </a:prstTxWarp>
                          <a:noAutofit/>
                        </wps:bodyPr>
                      </wps:wsp>
                      <wps:wsp>
                        <wps:cNvPr id="453" name="Graphic 453"/>
                        <wps:cNvSpPr/>
                        <wps:spPr>
                          <a:xfrm>
                            <a:off x="710374" y="1856765"/>
                            <a:ext cx="4922520" cy="966469"/>
                          </a:xfrm>
                          <a:custGeom>
                            <a:avLst/>
                            <a:gdLst/>
                            <a:ahLst/>
                            <a:cxnLst/>
                            <a:rect l="l" t="t" r="r" b="b"/>
                            <a:pathLst>
                              <a:path w="4922520" h="966469">
                                <a:moveTo>
                                  <a:pt x="702564" y="353568"/>
                                </a:moveTo>
                                <a:lnTo>
                                  <a:pt x="0" y="353568"/>
                                </a:lnTo>
                                <a:lnTo>
                                  <a:pt x="0" y="966025"/>
                                </a:lnTo>
                                <a:lnTo>
                                  <a:pt x="702564" y="966025"/>
                                </a:lnTo>
                                <a:lnTo>
                                  <a:pt x="702564" y="353568"/>
                                </a:lnTo>
                                <a:close/>
                              </a:path>
                              <a:path w="4922520" h="966469">
                                <a:moveTo>
                                  <a:pt x="1757172" y="94488"/>
                                </a:moveTo>
                                <a:lnTo>
                                  <a:pt x="1054608" y="94488"/>
                                </a:lnTo>
                                <a:lnTo>
                                  <a:pt x="1054608" y="966025"/>
                                </a:lnTo>
                                <a:lnTo>
                                  <a:pt x="1757172" y="966025"/>
                                </a:lnTo>
                                <a:lnTo>
                                  <a:pt x="1757172" y="94488"/>
                                </a:lnTo>
                                <a:close/>
                              </a:path>
                              <a:path w="4922520" h="966469">
                                <a:moveTo>
                                  <a:pt x="2813304" y="0"/>
                                </a:moveTo>
                                <a:lnTo>
                                  <a:pt x="2109216" y="0"/>
                                </a:lnTo>
                                <a:lnTo>
                                  <a:pt x="2109216" y="966025"/>
                                </a:lnTo>
                                <a:lnTo>
                                  <a:pt x="2813304" y="966025"/>
                                </a:lnTo>
                                <a:lnTo>
                                  <a:pt x="2813304" y="0"/>
                                </a:lnTo>
                                <a:close/>
                              </a:path>
                              <a:path w="4922520" h="966469">
                                <a:moveTo>
                                  <a:pt x="3867912" y="179819"/>
                                </a:moveTo>
                                <a:lnTo>
                                  <a:pt x="3163824" y="179819"/>
                                </a:lnTo>
                                <a:lnTo>
                                  <a:pt x="3163824" y="966025"/>
                                </a:lnTo>
                                <a:lnTo>
                                  <a:pt x="3867912" y="966025"/>
                                </a:lnTo>
                                <a:lnTo>
                                  <a:pt x="3867912" y="179819"/>
                                </a:lnTo>
                                <a:close/>
                              </a:path>
                              <a:path w="4922520" h="966469">
                                <a:moveTo>
                                  <a:pt x="4922507" y="460248"/>
                                </a:moveTo>
                                <a:lnTo>
                                  <a:pt x="4219956" y="460248"/>
                                </a:lnTo>
                                <a:lnTo>
                                  <a:pt x="4219956" y="966025"/>
                                </a:lnTo>
                                <a:lnTo>
                                  <a:pt x="4922507" y="966025"/>
                                </a:lnTo>
                                <a:lnTo>
                                  <a:pt x="4922507" y="460248"/>
                                </a:lnTo>
                                <a:close/>
                              </a:path>
                            </a:pathLst>
                          </a:custGeom>
                          <a:solidFill>
                            <a:srgbClr val="084875"/>
                          </a:solidFill>
                        </wps:spPr>
                        <wps:bodyPr wrap="square" lIns="0" tIns="0" rIns="0" bIns="0" rtlCol="0">
                          <a:prstTxWarp prst="textNoShape">
                            <a:avLst/>
                          </a:prstTxWarp>
                          <a:noAutofit/>
                        </wps:bodyPr>
                      </wps:wsp>
                      <wps:wsp>
                        <wps:cNvPr id="454" name="Graphic 454"/>
                        <wps:cNvSpPr/>
                        <wps:spPr>
                          <a:xfrm>
                            <a:off x="710374" y="1477289"/>
                            <a:ext cx="4922520" cy="840105"/>
                          </a:xfrm>
                          <a:custGeom>
                            <a:avLst/>
                            <a:gdLst/>
                            <a:ahLst/>
                            <a:cxnLst/>
                            <a:rect l="l" t="t" r="r" b="b"/>
                            <a:pathLst>
                              <a:path w="4922520" h="840105">
                                <a:moveTo>
                                  <a:pt x="702564" y="362712"/>
                                </a:moveTo>
                                <a:lnTo>
                                  <a:pt x="0" y="362712"/>
                                </a:lnTo>
                                <a:lnTo>
                                  <a:pt x="0" y="733044"/>
                                </a:lnTo>
                                <a:lnTo>
                                  <a:pt x="702564" y="733044"/>
                                </a:lnTo>
                                <a:lnTo>
                                  <a:pt x="702564" y="362712"/>
                                </a:lnTo>
                                <a:close/>
                              </a:path>
                              <a:path w="4922520" h="840105">
                                <a:moveTo>
                                  <a:pt x="1757172" y="169164"/>
                                </a:moveTo>
                                <a:lnTo>
                                  <a:pt x="1054608" y="169164"/>
                                </a:lnTo>
                                <a:lnTo>
                                  <a:pt x="1054608" y="473964"/>
                                </a:lnTo>
                                <a:lnTo>
                                  <a:pt x="1757172" y="473964"/>
                                </a:lnTo>
                                <a:lnTo>
                                  <a:pt x="1757172" y="169164"/>
                                </a:lnTo>
                                <a:close/>
                              </a:path>
                              <a:path w="4922520" h="840105">
                                <a:moveTo>
                                  <a:pt x="2813304" y="0"/>
                                </a:moveTo>
                                <a:lnTo>
                                  <a:pt x="2109216" y="0"/>
                                </a:lnTo>
                                <a:lnTo>
                                  <a:pt x="2109216" y="379476"/>
                                </a:lnTo>
                                <a:lnTo>
                                  <a:pt x="2813304" y="379476"/>
                                </a:lnTo>
                                <a:lnTo>
                                  <a:pt x="2813304" y="0"/>
                                </a:lnTo>
                                <a:close/>
                              </a:path>
                              <a:path w="4922520" h="840105">
                                <a:moveTo>
                                  <a:pt x="3867912" y="222504"/>
                                </a:moveTo>
                                <a:lnTo>
                                  <a:pt x="3163824" y="222504"/>
                                </a:lnTo>
                                <a:lnTo>
                                  <a:pt x="3163824" y="559308"/>
                                </a:lnTo>
                                <a:lnTo>
                                  <a:pt x="3867912" y="559308"/>
                                </a:lnTo>
                                <a:lnTo>
                                  <a:pt x="3867912" y="222504"/>
                                </a:lnTo>
                                <a:close/>
                              </a:path>
                              <a:path w="4922520" h="840105">
                                <a:moveTo>
                                  <a:pt x="4922507" y="556260"/>
                                </a:moveTo>
                                <a:lnTo>
                                  <a:pt x="4219956" y="556260"/>
                                </a:lnTo>
                                <a:lnTo>
                                  <a:pt x="4219956" y="839724"/>
                                </a:lnTo>
                                <a:lnTo>
                                  <a:pt x="4922507" y="839724"/>
                                </a:lnTo>
                                <a:lnTo>
                                  <a:pt x="4922507" y="556260"/>
                                </a:lnTo>
                                <a:close/>
                              </a:path>
                            </a:pathLst>
                          </a:custGeom>
                          <a:solidFill>
                            <a:srgbClr val="F1682A"/>
                          </a:solidFill>
                        </wps:spPr>
                        <wps:bodyPr wrap="square" lIns="0" tIns="0" rIns="0" bIns="0" rtlCol="0">
                          <a:prstTxWarp prst="textNoShape">
                            <a:avLst/>
                          </a:prstTxWarp>
                          <a:noAutofit/>
                        </wps:bodyPr>
                      </wps:wsp>
                      <wps:wsp>
                        <wps:cNvPr id="455" name="Graphic 455"/>
                        <wps:cNvSpPr/>
                        <wps:spPr>
                          <a:xfrm>
                            <a:off x="710374" y="168172"/>
                            <a:ext cx="4922520" cy="1865630"/>
                          </a:xfrm>
                          <a:custGeom>
                            <a:avLst/>
                            <a:gdLst/>
                            <a:ahLst/>
                            <a:cxnLst/>
                            <a:rect l="l" t="t" r="r" b="b"/>
                            <a:pathLst>
                              <a:path w="4922520" h="1865630">
                                <a:moveTo>
                                  <a:pt x="702564" y="0"/>
                                </a:moveTo>
                                <a:lnTo>
                                  <a:pt x="0" y="0"/>
                                </a:lnTo>
                                <a:lnTo>
                                  <a:pt x="0" y="1671828"/>
                                </a:lnTo>
                                <a:lnTo>
                                  <a:pt x="702564" y="1671828"/>
                                </a:lnTo>
                                <a:lnTo>
                                  <a:pt x="702564" y="0"/>
                                </a:lnTo>
                                <a:close/>
                              </a:path>
                              <a:path w="4922520" h="1865630">
                                <a:moveTo>
                                  <a:pt x="1757172" y="0"/>
                                </a:moveTo>
                                <a:lnTo>
                                  <a:pt x="1054608" y="0"/>
                                </a:lnTo>
                                <a:lnTo>
                                  <a:pt x="1054608" y="1478280"/>
                                </a:lnTo>
                                <a:lnTo>
                                  <a:pt x="1757172" y="1478280"/>
                                </a:lnTo>
                                <a:lnTo>
                                  <a:pt x="1757172" y="0"/>
                                </a:lnTo>
                                <a:close/>
                              </a:path>
                              <a:path w="4922520" h="1865630">
                                <a:moveTo>
                                  <a:pt x="2813304" y="4572"/>
                                </a:moveTo>
                                <a:lnTo>
                                  <a:pt x="2109216" y="4572"/>
                                </a:lnTo>
                                <a:lnTo>
                                  <a:pt x="2109216" y="1309116"/>
                                </a:lnTo>
                                <a:lnTo>
                                  <a:pt x="2813304" y="1309116"/>
                                </a:lnTo>
                                <a:lnTo>
                                  <a:pt x="2813304" y="4572"/>
                                </a:lnTo>
                                <a:close/>
                              </a:path>
                              <a:path w="4922520" h="1865630">
                                <a:moveTo>
                                  <a:pt x="3867912" y="0"/>
                                </a:moveTo>
                                <a:lnTo>
                                  <a:pt x="3163824" y="0"/>
                                </a:lnTo>
                                <a:lnTo>
                                  <a:pt x="3163824" y="1531620"/>
                                </a:lnTo>
                                <a:lnTo>
                                  <a:pt x="3867912" y="1531620"/>
                                </a:lnTo>
                                <a:lnTo>
                                  <a:pt x="3867912" y="0"/>
                                </a:lnTo>
                                <a:close/>
                              </a:path>
                              <a:path w="4922520" h="1865630">
                                <a:moveTo>
                                  <a:pt x="4922507" y="30480"/>
                                </a:moveTo>
                                <a:lnTo>
                                  <a:pt x="4219956" y="30480"/>
                                </a:lnTo>
                                <a:lnTo>
                                  <a:pt x="4219956" y="1865376"/>
                                </a:lnTo>
                                <a:lnTo>
                                  <a:pt x="4922507" y="1865376"/>
                                </a:lnTo>
                                <a:lnTo>
                                  <a:pt x="4922507" y="30480"/>
                                </a:lnTo>
                                <a:close/>
                              </a:path>
                            </a:pathLst>
                          </a:custGeom>
                          <a:solidFill>
                            <a:srgbClr val="339FC7"/>
                          </a:solidFill>
                        </wps:spPr>
                        <wps:bodyPr wrap="square" lIns="0" tIns="0" rIns="0" bIns="0" rtlCol="0">
                          <a:prstTxWarp prst="textNoShape">
                            <a:avLst/>
                          </a:prstTxWarp>
                          <a:noAutofit/>
                        </wps:bodyPr>
                      </wps:wsp>
                      <wps:wsp>
                        <wps:cNvPr id="456" name="Graphic 456"/>
                        <wps:cNvSpPr/>
                        <wps:spPr>
                          <a:xfrm>
                            <a:off x="710374" y="144449"/>
                            <a:ext cx="4922520" cy="54610"/>
                          </a:xfrm>
                          <a:custGeom>
                            <a:avLst/>
                            <a:gdLst/>
                            <a:ahLst/>
                            <a:cxnLst/>
                            <a:rect l="l" t="t" r="r" b="b"/>
                            <a:pathLst>
                              <a:path w="4922520" h="54610">
                                <a:moveTo>
                                  <a:pt x="702564" y="17614"/>
                                </a:moveTo>
                                <a:lnTo>
                                  <a:pt x="0" y="17614"/>
                                </a:lnTo>
                                <a:lnTo>
                                  <a:pt x="0" y="23723"/>
                                </a:lnTo>
                                <a:lnTo>
                                  <a:pt x="702564" y="23723"/>
                                </a:lnTo>
                                <a:lnTo>
                                  <a:pt x="702564" y="17614"/>
                                </a:lnTo>
                                <a:close/>
                              </a:path>
                              <a:path w="4922520" h="54610">
                                <a:moveTo>
                                  <a:pt x="1757172" y="2387"/>
                                </a:moveTo>
                                <a:lnTo>
                                  <a:pt x="1054608" y="2387"/>
                                </a:lnTo>
                                <a:lnTo>
                                  <a:pt x="1054608" y="23723"/>
                                </a:lnTo>
                                <a:lnTo>
                                  <a:pt x="1757172" y="23723"/>
                                </a:lnTo>
                                <a:lnTo>
                                  <a:pt x="1757172" y="2387"/>
                                </a:lnTo>
                                <a:close/>
                              </a:path>
                              <a:path w="4922520" h="54610">
                                <a:moveTo>
                                  <a:pt x="2813304" y="0"/>
                                </a:moveTo>
                                <a:lnTo>
                                  <a:pt x="2109216" y="0"/>
                                </a:lnTo>
                                <a:lnTo>
                                  <a:pt x="2109216" y="28295"/>
                                </a:lnTo>
                                <a:lnTo>
                                  <a:pt x="2813304" y="28295"/>
                                </a:lnTo>
                                <a:lnTo>
                                  <a:pt x="2813304" y="0"/>
                                </a:lnTo>
                                <a:close/>
                              </a:path>
                              <a:path w="4922520" h="54610">
                                <a:moveTo>
                                  <a:pt x="3867912" y="8470"/>
                                </a:moveTo>
                                <a:lnTo>
                                  <a:pt x="3163824" y="8470"/>
                                </a:lnTo>
                                <a:lnTo>
                                  <a:pt x="3163824" y="23723"/>
                                </a:lnTo>
                                <a:lnTo>
                                  <a:pt x="3867912" y="23723"/>
                                </a:lnTo>
                                <a:lnTo>
                                  <a:pt x="3867912" y="8470"/>
                                </a:lnTo>
                                <a:close/>
                              </a:path>
                              <a:path w="4922520" h="54610">
                                <a:moveTo>
                                  <a:pt x="4922507" y="17627"/>
                                </a:moveTo>
                                <a:lnTo>
                                  <a:pt x="4219956" y="17627"/>
                                </a:lnTo>
                                <a:lnTo>
                                  <a:pt x="4219956" y="54203"/>
                                </a:lnTo>
                                <a:lnTo>
                                  <a:pt x="4922507" y="54203"/>
                                </a:lnTo>
                                <a:lnTo>
                                  <a:pt x="4922507" y="17627"/>
                                </a:lnTo>
                                <a:close/>
                              </a:path>
                            </a:pathLst>
                          </a:custGeom>
                          <a:solidFill>
                            <a:srgbClr val="F9A720"/>
                          </a:solidFill>
                        </wps:spPr>
                        <wps:bodyPr wrap="square" lIns="0" tIns="0" rIns="0" bIns="0" rtlCol="0">
                          <a:prstTxWarp prst="textNoShape">
                            <a:avLst/>
                          </a:prstTxWarp>
                          <a:noAutofit/>
                        </wps:bodyPr>
                      </wps:wsp>
                      <wps:wsp>
                        <wps:cNvPr id="457" name="Graphic 457"/>
                        <wps:cNvSpPr/>
                        <wps:spPr>
                          <a:xfrm>
                            <a:off x="710374" y="144462"/>
                            <a:ext cx="4922520" cy="17780"/>
                          </a:xfrm>
                          <a:custGeom>
                            <a:avLst/>
                            <a:gdLst/>
                            <a:ahLst/>
                            <a:cxnLst/>
                            <a:rect l="l" t="t" r="r" b="b"/>
                            <a:pathLst>
                              <a:path w="4922520" h="17780">
                                <a:moveTo>
                                  <a:pt x="702564" y="0"/>
                                </a:moveTo>
                                <a:lnTo>
                                  <a:pt x="0" y="0"/>
                                </a:lnTo>
                                <a:lnTo>
                                  <a:pt x="0" y="17614"/>
                                </a:lnTo>
                                <a:lnTo>
                                  <a:pt x="702564" y="17614"/>
                                </a:lnTo>
                                <a:lnTo>
                                  <a:pt x="702564" y="0"/>
                                </a:lnTo>
                                <a:close/>
                              </a:path>
                              <a:path w="4922520" h="17780">
                                <a:moveTo>
                                  <a:pt x="1757172" y="0"/>
                                </a:moveTo>
                                <a:lnTo>
                                  <a:pt x="1054608" y="0"/>
                                </a:lnTo>
                                <a:lnTo>
                                  <a:pt x="1054608" y="2374"/>
                                </a:lnTo>
                                <a:lnTo>
                                  <a:pt x="1757172" y="2374"/>
                                </a:lnTo>
                                <a:lnTo>
                                  <a:pt x="1757172" y="0"/>
                                </a:lnTo>
                                <a:close/>
                              </a:path>
                              <a:path w="4922520" h="17780">
                                <a:moveTo>
                                  <a:pt x="3867912" y="0"/>
                                </a:moveTo>
                                <a:lnTo>
                                  <a:pt x="3163824" y="0"/>
                                </a:lnTo>
                                <a:lnTo>
                                  <a:pt x="3163824" y="8470"/>
                                </a:lnTo>
                                <a:lnTo>
                                  <a:pt x="3867912" y="8470"/>
                                </a:lnTo>
                                <a:lnTo>
                                  <a:pt x="3867912" y="0"/>
                                </a:lnTo>
                                <a:close/>
                              </a:path>
                              <a:path w="4922520" h="17780">
                                <a:moveTo>
                                  <a:pt x="4922507" y="0"/>
                                </a:moveTo>
                                <a:lnTo>
                                  <a:pt x="4219956" y="0"/>
                                </a:lnTo>
                                <a:lnTo>
                                  <a:pt x="4219956" y="17614"/>
                                </a:lnTo>
                                <a:lnTo>
                                  <a:pt x="4922507" y="17614"/>
                                </a:lnTo>
                                <a:lnTo>
                                  <a:pt x="4922507" y="0"/>
                                </a:lnTo>
                                <a:close/>
                              </a:path>
                            </a:pathLst>
                          </a:custGeom>
                          <a:solidFill>
                            <a:srgbClr val="53C0A4"/>
                          </a:solidFill>
                        </wps:spPr>
                        <wps:bodyPr wrap="square" lIns="0" tIns="0" rIns="0" bIns="0" rtlCol="0">
                          <a:prstTxWarp prst="textNoShape">
                            <a:avLst/>
                          </a:prstTxWarp>
                          <a:noAutofit/>
                        </wps:bodyPr>
                      </wps:wsp>
                      <wps:wsp>
                        <wps:cNvPr id="458" name="Graphic 458"/>
                        <wps:cNvSpPr/>
                        <wps:spPr>
                          <a:xfrm>
                            <a:off x="534174" y="2822789"/>
                            <a:ext cx="5274945" cy="1270"/>
                          </a:xfrm>
                          <a:custGeom>
                            <a:avLst/>
                            <a:gdLst/>
                            <a:ahLst/>
                            <a:cxnLst/>
                            <a:rect l="l" t="t" r="r" b="b"/>
                            <a:pathLst>
                              <a:path w="5274945">
                                <a:moveTo>
                                  <a:pt x="0" y="0"/>
                                </a:moveTo>
                                <a:lnTo>
                                  <a:pt x="5274487" y="0"/>
                                </a:lnTo>
                              </a:path>
                            </a:pathLst>
                          </a:custGeom>
                          <a:ln w="9525">
                            <a:solidFill>
                              <a:srgbClr val="D9D9D9"/>
                            </a:solidFill>
                            <a:prstDash val="solid"/>
                          </a:ln>
                        </wps:spPr>
                        <wps:bodyPr wrap="square" lIns="0" tIns="0" rIns="0" bIns="0" rtlCol="0">
                          <a:prstTxWarp prst="textNoShape">
                            <a:avLst/>
                          </a:prstTxWarp>
                          <a:noAutofit/>
                        </wps:bodyPr>
                      </wps:wsp>
                      <wps:wsp>
                        <wps:cNvPr id="459" name="Graphic 459"/>
                        <wps:cNvSpPr/>
                        <wps:spPr>
                          <a:xfrm>
                            <a:off x="894359" y="32169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084875"/>
                          </a:solidFill>
                        </wps:spPr>
                        <wps:bodyPr wrap="square" lIns="0" tIns="0" rIns="0" bIns="0" rtlCol="0">
                          <a:prstTxWarp prst="textNoShape">
                            <a:avLst/>
                          </a:prstTxWarp>
                          <a:noAutofit/>
                        </wps:bodyPr>
                      </wps:wsp>
                      <wps:wsp>
                        <wps:cNvPr id="460" name="Graphic 460"/>
                        <wps:cNvSpPr/>
                        <wps:spPr>
                          <a:xfrm>
                            <a:off x="1826234" y="32169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1682A"/>
                          </a:solidFill>
                        </wps:spPr>
                        <wps:bodyPr wrap="square" lIns="0" tIns="0" rIns="0" bIns="0" rtlCol="0">
                          <a:prstTxWarp prst="textNoShape">
                            <a:avLst/>
                          </a:prstTxWarp>
                          <a:noAutofit/>
                        </wps:bodyPr>
                      </wps:wsp>
                      <wps:wsp>
                        <wps:cNvPr id="461" name="Graphic 461"/>
                        <wps:cNvSpPr/>
                        <wps:spPr>
                          <a:xfrm>
                            <a:off x="2602204" y="32169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339FC7"/>
                          </a:solidFill>
                        </wps:spPr>
                        <wps:bodyPr wrap="square" lIns="0" tIns="0" rIns="0" bIns="0" rtlCol="0">
                          <a:prstTxWarp prst="textNoShape">
                            <a:avLst/>
                          </a:prstTxWarp>
                          <a:noAutofit/>
                        </wps:bodyPr>
                      </wps:wsp>
                      <wps:wsp>
                        <wps:cNvPr id="462" name="Graphic 462"/>
                        <wps:cNvSpPr/>
                        <wps:spPr>
                          <a:xfrm>
                            <a:off x="3389109" y="32169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9A720"/>
                          </a:solidFill>
                        </wps:spPr>
                        <wps:bodyPr wrap="square" lIns="0" tIns="0" rIns="0" bIns="0" rtlCol="0">
                          <a:prstTxWarp prst="textNoShape">
                            <a:avLst/>
                          </a:prstTxWarp>
                          <a:noAutofit/>
                        </wps:bodyPr>
                      </wps:wsp>
                      <wps:wsp>
                        <wps:cNvPr id="463" name="Graphic 463"/>
                        <wps:cNvSpPr/>
                        <wps:spPr>
                          <a:xfrm>
                            <a:off x="4188891" y="32169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53C0A4"/>
                          </a:solidFill>
                        </wps:spPr>
                        <wps:bodyPr wrap="square" lIns="0" tIns="0" rIns="0" bIns="0" rtlCol="0">
                          <a:prstTxWarp prst="textNoShape">
                            <a:avLst/>
                          </a:prstTxWarp>
                          <a:noAutofit/>
                        </wps:bodyPr>
                      </wps:wsp>
                      <wps:wsp>
                        <wps:cNvPr id="464" name="Graphic 464"/>
                        <wps:cNvSpPr/>
                        <wps:spPr>
                          <a:xfrm>
                            <a:off x="4762" y="4762"/>
                            <a:ext cx="5943600" cy="3435350"/>
                          </a:xfrm>
                          <a:custGeom>
                            <a:avLst/>
                            <a:gdLst/>
                            <a:ahLst/>
                            <a:cxnLst/>
                            <a:rect l="l" t="t" r="r" b="b"/>
                            <a:pathLst>
                              <a:path w="5943600" h="3435350">
                                <a:moveTo>
                                  <a:pt x="0" y="0"/>
                                </a:moveTo>
                                <a:lnTo>
                                  <a:pt x="5943600" y="0"/>
                                </a:lnTo>
                                <a:lnTo>
                                  <a:pt x="5943600" y="3435350"/>
                                </a:lnTo>
                                <a:lnTo>
                                  <a:pt x="0" y="34353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65" name="Textbox 465"/>
                        <wps:cNvSpPr txBox="1"/>
                        <wps:spPr>
                          <a:xfrm>
                            <a:off x="87276" y="63252"/>
                            <a:ext cx="343535" cy="152400"/>
                          </a:xfrm>
                          <a:prstGeom prst="rect">
                            <a:avLst/>
                          </a:prstGeom>
                        </wps:spPr>
                        <wps:txbx>
                          <w:txbxContent>
                            <w:p w14:paraId="1C34F207" w14:textId="77777777" w:rsidR="004C558F" w:rsidRDefault="00461887">
                              <w:pPr>
                                <w:spacing w:before="1"/>
                                <w:rPr>
                                  <w:sz w:val="21"/>
                                </w:rPr>
                              </w:pPr>
                              <w:r>
                                <w:rPr>
                                  <w:color w:val="585858"/>
                                  <w:spacing w:val="-4"/>
                                  <w:sz w:val="21"/>
                                </w:rPr>
                                <w:t>100%</w:t>
                              </w:r>
                            </w:p>
                          </w:txbxContent>
                        </wps:txbx>
                        <wps:bodyPr wrap="square" lIns="0" tIns="0" rIns="0" bIns="0" rtlCol="0">
                          <a:noAutofit/>
                        </wps:bodyPr>
                      </wps:wsp>
                      <wps:wsp>
                        <wps:cNvPr id="466" name="Textbox 466"/>
                        <wps:cNvSpPr txBox="1"/>
                        <wps:spPr>
                          <a:xfrm>
                            <a:off x="165463" y="732873"/>
                            <a:ext cx="266700" cy="152400"/>
                          </a:xfrm>
                          <a:prstGeom prst="rect">
                            <a:avLst/>
                          </a:prstGeom>
                        </wps:spPr>
                        <wps:txbx>
                          <w:txbxContent>
                            <w:p w14:paraId="1C34F208" w14:textId="77777777" w:rsidR="004C558F" w:rsidRDefault="00461887">
                              <w:pPr>
                                <w:spacing w:before="1"/>
                                <w:rPr>
                                  <w:sz w:val="21"/>
                                </w:rPr>
                              </w:pPr>
                              <w:r>
                                <w:rPr>
                                  <w:color w:val="585858"/>
                                  <w:spacing w:val="-5"/>
                                  <w:sz w:val="21"/>
                                </w:rPr>
                                <w:t>75%</w:t>
                              </w:r>
                            </w:p>
                          </w:txbxContent>
                        </wps:txbx>
                        <wps:bodyPr wrap="square" lIns="0" tIns="0" rIns="0" bIns="0" rtlCol="0">
                          <a:noAutofit/>
                        </wps:bodyPr>
                      </wps:wsp>
                      <wps:wsp>
                        <wps:cNvPr id="467" name="Textbox 467"/>
                        <wps:cNvSpPr txBox="1"/>
                        <wps:spPr>
                          <a:xfrm>
                            <a:off x="779715" y="873900"/>
                            <a:ext cx="575945" cy="259715"/>
                          </a:xfrm>
                          <a:prstGeom prst="rect">
                            <a:avLst/>
                          </a:prstGeom>
                        </wps:spPr>
                        <wps:txbx>
                          <w:txbxContent>
                            <w:p w14:paraId="1C34F209" w14:textId="77777777" w:rsidR="004C558F" w:rsidRDefault="00461887">
                              <w:pPr>
                                <w:rPr>
                                  <w:rFonts w:ascii="Franklin Gothic Medium Cond"/>
                                  <w:sz w:val="36"/>
                                </w:rPr>
                              </w:pPr>
                              <w:r>
                                <w:rPr>
                                  <w:rFonts w:ascii="Franklin Gothic Medium Cond"/>
                                  <w:spacing w:val="-2"/>
                                  <w:sz w:val="36"/>
                                </w:rPr>
                                <w:t>62.4%</w:t>
                              </w:r>
                            </w:p>
                          </w:txbxContent>
                        </wps:txbx>
                        <wps:bodyPr wrap="square" lIns="0" tIns="0" rIns="0" bIns="0" rtlCol="0">
                          <a:noAutofit/>
                        </wps:bodyPr>
                      </wps:wsp>
                      <wps:wsp>
                        <wps:cNvPr id="468" name="Textbox 468"/>
                        <wps:cNvSpPr txBox="1"/>
                        <wps:spPr>
                          <a:xfrm>
                            <a:off x="1834704" y="777202"/>
                            <a:ext cx="575945" cy="259715"/>
                          </a:xfrm>
                          <a:prstGeom prst="rect">
                            <a:avLst/>
                          </a:prstGeom>
                        </wps:spPr>
                        <wps:txbx>
                          <w:txbxContent>
                            <w:p w14:paraId="1C34F20A" w14:textId="77777777" w:rsidR="004C558F" w:rsidRDefault="00461887">
                              <w:pPr>
                                <w:rPr>
                                  <w:rFonts w:ascii="Franklin Gothic Medium Cond"/>
                                  <w:sz w:val="36"/>
                                </w:rPr>
                              </w:pPr>
                              <w:r>
                                <w:rPr>
                                  <w:rFonts w:ascii="Franklin Gothic Medium Cond"/>
                                  <w:spacing w:val="-2"/>
                                  <w:sz w:val="36"/>
                                </w:rPr>
                                <w:t>55.2%</w:t>
                              </w:r>
                            </w:p>
                          </w:txbxContent>
                        </wps:txbx>
                        <wps:bodyPr wrap="square" lIns="0" tIns="0" rIns="0" bIns="0" rtlCol="0">
                          <a:noAutofit/>
                        </wps:bodyPr>
                      </wps:wsp>
                      <wps:wsp>
                        <wps:cNvPr id="469" name="Textbox 469"/>
                        <wps:cNvSpPr txBox="1"/>
                        <wps:spPr>
                          <a:xfrm>
                            <a:off x="2889693" y="694449"/>
                            <a:ext cx="575945" cy="259715"/>
                          </a:xfrm>
                          <a:prstGeom prst="rect">
                            <a:avLst/>
                          </a:prstGeom>
                        </wps:spPr>
                        <wps:txbx>
                          <w:txbxContent>
                            <w:p w14:paraId="1C34F20B" w14:textId="77777777" w:rsidR="004C558F" w:rsidRDefault="00461887">
                              <w:pPr>
                                <w:rPr>
                                  <w:rFonts w:ascii="Franklin Gothic Medium Cond"/>
                                  <w:sz w:val="36"/>
                                </w:rPr>
                              </w:pPr>
                              <w:r>
                                <w:rPr>
                                  <w:rFonts w:ascii="Franklin Gothic Medium Cond"/>
                                  <w:spacing w:val="-2"/>
                                  <w:sz w:val="36"/>
                                </w:rPr>
                                <w:t>48.7%</w:t>
                              </w:r>
                            </w:p>
                          </w:txbxContent>
                        </wps:txbx>
                        <wps:bodyPr wrap="square" lIns="0" tIns="0" rIns="0" bIns="0" rtlCol="0">
                          <a:noAutofit/>
                        </wps:bodyPr>
                      </wps:wsp>
                      <wps:wsp>
                        <wps:cNvPr id="470" name="Textbox 470"/>
                        <wps:cNvSpPr txBox="1"/>
                        <wps:spPr>
                          <a:xfrm>
                            <a:off x="3958398" y="804405"/>
                            <a:ext cx="549910" cy="259715"/>
                          </a:xfrm>
                          <a:prstGeom prst="rect">
                            <a:avLst/>
                          </a:prstGeom>
                        </wps:spPr>
                        <wps:txbx>
                          <w:txbxContent>
                            <w:p w14:paraId="1C34F20C" w14:textId="77777777" w:rsidR="004C558F" w:rsidRDefault="00461887">
                              <w:pPr>
                                <w:rPr>
                                  <w:rFonts w:ascii="Franklin Gothic Medium Cond"/>
                                  <w:sz w:val="36"/>
                                </w:rPr>
                              </w:pPr>
                              <w:r>
                                <w:rPr>
                                  <w:rFonts w:ascii="Franklin Gothic Medium Cond"/>
                                  <w:spacing w:val="-7"/>
                                  <w:sz w:val="36"/>
                                </w:rPr>
                                <w:t>57.2%</w:t>
                              </w:r>
                            </w:p>
                          </w:txbxContent>
                        </wps:txbx>
                        <wps:bodyPr wrap="square" lIns="0" tIns="0" rIns="0" bIns="0" rtlCol="0">
                          <a:noAutofit/>
                        </wps:bodyPr>
                      </wps:wsp>
                      <wps:wsp>
                        <wps:cNvPr id="471" name="Textbox 471"/>
                        <wps:cNvSpPr txBox="1"/>
                        <wps:spPr>
                          <a:xfrm>
                            <a:off x="4999671" y="985914"/>
                            <a:ext cx="575945" cy="259715"/>
                          </a:xfrm>
                          <a:prstGeom prst="rect">
                            <a:avLst/>
                          </a:prstGeom>
                        </wps:spPr>
                        <wps:txbx>
                          <w:txbxContent>
                            <w:p w14:paraId="1C34F20D" w14:textId="77777777" w:rsidR="004C558F" w:rsidRDefault="00461887">
                              <w:pPr>
                                <w:rPr>
                                  <w:rFonts w:ascii="Franklin Gothic Medium Cond"/>
                                  <w:sz w:val="36"/>
                                </w:rPr>
                              </w:pPr>
                              <w:r>
                                <w:rPr>
                                  <w:rFonts w:ascii="Franklin Gothic Medium Cond"/>
                                  <w:spacing w:val="-2"/>
                                  <w:sz w:val="36"/>
                                </w:rPr>
                                <w:t>68.5%</w:t>
                              </w:r>
                            </w:p>
                          </w:txbxContent>
                        </wps:txbx>
                        <wps:bodyPr wrap="square" lIns="0" tIns="0" rIns="0" bIns="0" rtlCol="0">
                          <a:noAutofit/>
                        </wps:bodyPr>
                      </wps:wsp>
                      <wps:wsp>
                        <wps:cNvPr id="472" name="Textbox 472"/>
                        <wps:cNvSpPr txBox="1"/>
                        <wps:spPr>
                          <a:xfrm>
                            <a:off x="165463" y="1402494"/>
                            <a:ext cx="266700" cy="152400"/>
                          </a:xfrm>
                          <a:prstGeom prst="rect">
                            <a:avLst/>
                          </a:prstGeom>
                        </wps:spPr>
                        <wps:txbx>
                          <w:txbxContent>
                            <w:p w14:paraId="1C34F20E" w14:textId="77777777" w:rsidR="004C558F" w:rsidRDefault="00461887">
                              <w:pPr>
                                <w:spacing w:before="1"/>
                                <w:rPr>
                                  <w:sz w:val="21"/>
                                </w:rPr>
                              </w:pPr>
                              <w:r>
                                <w:rPr>
                                  <w:color w:val="585858"/>
                                  <w:spacing w:val="-5"/>
                                  <w:sz w:val="21"/>
                                </w:rPr>
                                <w:t>50%</w:t>
                              </w:r>
                            </w:p>
                          </w:txbxContent>
                        </wps:txbx>
                        <wps:bodyPr wrap="square" lIns="0" tIns="0" rIns="0" bIns="0" rtlCol="0">
                          <a:noAutofit/>
                        </wps:bodyPr>
                      </wps:wsp>
                      <wps:wsp>
                        <wps:cNvPr id="473" name="Textbox 473"/>
                        <wps:cNvSpPr txBox="1"/>
                        <wps:spPr>
                          <a:xfrm>
                            <a:off x="2894036" y="1536382"/>
                            <a:ext cx="566420" cy="259715"/>
                          </a:xfrm>
                          <a:prstGeom prst="rect">
                            <a:avLst/>
                          </a:prstGeom>
                        </wps:spPr>
                        <wps:txbx>
                          <w:txbxContent>
                            <w:p w14:paraId="1C34F20F" w14:textId="77777777" w:rsidR="004C558F" w:rsidRDefault="00461887">
                              <w:pPr>
                                <w:rPr>
                                  <w:rFonts w:ascii="Franklin Gothic Medium Cond"/>
                                  <w:sz w:val="36"/>
                                </w:rPr>
                              </w:pPr>
                              <w:r>
                                <w:rPr>
                                  <w:rFonts w:ascii="Franklin Gothic Medium Cond"/>
                                  <w:spacing w:val="-2"/>
                                  <w:sz w:val="36"/>
                                </w:rPr>
                                <w:t>14.2%</w:t>
                              </w:r>
                            </w:p>
                          </w:txbxContent>
                        </wps:txbx>
                        <wps:bodyPr wrap="square" lIns="0" tIns="0" rIns="0" bIns="0" rtlCol="0">
                          <a:noAutofit/>
                        </wps:bodyPr>
                      </wps:wsp>
                      <wps:wsp>
                        <wps:cNvPr id="474" name="Textbox 474"/>
                        <wps:cNvSpPr txBox="1"/>
                        <wps:spPr>
                          <a:xfrm>
                            <a:off x="165463" y="2072115"/>
                            <a:ext cx="266700" cy="152400"/>
                          </a:xfrm>
                          <a:prstGeom prst="rect">
                            <a:avLst/>
                          </a:prstGeom>
                        </wps:spPr>
                        <wps:txbx>
                          <w:txbxContent>
                            <w:p w14:paraId="1C34F210" w14:textId="77777777" w:rsidR="004C558F" w:rsidRDefault="00461887">
                              <w:pPr>
                                <w:spacing w:before="1"/>
                                <w:rPr>
                                  <w:sz w:val="21"/>
                                </w:rPr>
                              </w:pPr>
                              <w:r>
                                <w:rPr>
                                  <w:color w:val="585858"/>
                                  <w:spacing w:val="-5"/>
                                  <w:sz w:val="21"/>
                                </w:rPr>
                                <w:t>25%</w:t>
                              </w:r>
                            </w:p>
                          </w:txbxContent>
                        </wps:txbx>
                        <wps:bodyPr wrap="square" lIns="0" tIns="0" rIns="0" bIns="0" rtlCol="0">
                          <a:noAutofit/>
                        </wps:bodyPr>
                      </wps:wsp>
                      <wps:wsp>
                        <wps:cNvPr id="475" name="Textbox 475"/>
                        <wps:cNvSpPr txBox="1"/>
                        <wps:spPr>
                          <a:xfrm>
                            <a:off x="781315" y="1895056"/>
                            <a:ext cx="572770" cy="259715"/>
                          </a:xfrm>
                          <a:prstGeom prst="rect">
                            <a:avLst/>
                          </a:prstGeom>
                        </wps:spPr>
                        <wps:txbx>
                          <w:txbxContent>
                            <w:p w14:paraId="1C34F211" w14:textId="77777777" w:rsidR="004C558F" w:rsidRDefault="00461887">
                              <w:pPr>
                                <w:rPr>
                                  <w:rFonts w:ascii="Franklin Gothic Medium Cond"/>
                                  <w:sz w:val="36"/>
                                </w:rPr>
                              </w:pPr>
                              <w:r>
                                <w:rPr>
                                  <w:rFonts w:ascii="Franklin Gothic Medium Cond"/>
                                  <w:spacing w:val="-2"/>
                                  <w:sz w:val="36"/>
                                </w:rPr>
                                <w:t>13.8%</w:t>
                              </w:r>
                            </w:p>
                          </w:txbxContent>
                        </wps:txbx>
                        <wps:bodyPr wrap="square" lIns="0" tIns="0" rIns="0" bIns="0" rtlCol="0">
                          <a:noAutofit/>
                        </wps:bodyPr>
                      </wps:wsp>
                      <wps:wsp>
                        <wps:cNvPr id="476" name="Textbox 476"/>
                        <wps:cNvSpPr txBox="1"/>
                        <wps:spPr>
                          <a:xfrm>
                            <a:off x="1842248" y="1668513"/>
                            <a:ext cx="560705" cy="259715"/>
                          </a:xfrm>
                          <a:prstGeom prst="rect">
                            <a:avLst/>
                          </a:prstGeom>
                        </wps:spPr>
                        <wps:txbx>
                          <w:txbxContent>
                            <w:p w14:paraId="1C34F212" w14:textId="77777777" w:rsidR="004C558F" w:rsidRDefault="00461887">
                              <w:pPr>
                                <w:rPr>
                                  <w:rFonts w:ascii="Franklin Gothic Medium Cond"/>
                                  <w:sz w:val="36"/>
                                </w:rPr>
                              </w:pPr>
                              <w:r>
                                <w:rPr>
                                  <w:rFonts w:ascii="Franklin Gothic Medium Cond"/>
                                  <w:spacing w:val="-2"/>
                                  <w:sz w:val="36"/>
                                </w:rPr>
                                <w:t>11.4%</w:t>
                              </w:r>
                            </w:p>
                          </w:txbxContent>
                        </wps:txbx>
                        <wps:bodyPr wrap="square" lIns="0" tIns="0" rIns="0" bIns="0" rtlCol="0">
                          <a:noAutofit/>
                        </wps:bodyPr>
                      </wps:wsp>
                      <wps:wsp>
                        <wps:cNvPr id="477" name="Textbox 477"/>
                        <wps:cNvSpPr txBox="1"/>
                        <wps:spPr>
                          <a:xfrm>
                            <a:off x="3945825" y="1738008"/>
                            <a:ext cx="574040" cy="259715"/>
                          </a:xfrm>
                          <a:prstGeom prst="rect">
                            <a:avLst/>
                          </a:prstGeom>
                        </wps:spPr>
                        <wps:txbx>
                          <w:txbxContent>
                            <w:p w14:paraId="1C34F213" w14:textId="77777777" w:rsidR="004C558F" w:rsidRDefault="00461887">
                              <w:pPr>
                                <w:rPr>
                                  <w:rFonts w:ascii="Franklin Gothic Medium Cond"/>
                                  <w:sz w:val="36"/>
                                </w:rPr>
                              </w:pPr>
                              <w:r>
                                <w:rPr>
                                  <w:rFonts w:ascii="Franklin Gothic Medium Cond"/>
                                  <w:spacing w:val="-2"/>
                                  <w:sz w:val="36"/>
                                </w:rPr>
                                <w:t>12.5%</w:t>
                              </w:r>
                            </w:p>
                          </w:txbxContent>
                        </wps:txbx>
                        <wps:bodyPr wrap="square" lIns="0" tIns="0" rIns="0" bIns="0" rtlCol="0">
                          <a:noAutofit/>
                        </wps:bodyPr>
                      </wps:wsp>
                      <wps:wsp>
                        <wps:cNvPr id="478" name="Textbox 478"/>
                        <wps:cNvSpPr txBox="1"/>
                        <wps:spPr>
                          <a:xfrm>
                            <a:off x="779715" y="2386546"/>
                            <a:ext cx="575945" cy="259715"/>
                          </a:xfrm>
                          <a:prstGeom prst="rect">
                            <a:avLst/>
                          </a:prstGeom>
                        </wps:spPr>
                        <wps:txbx>
                          <w:txbxContent>
                            <w:p w14:paraId="1C34F214" w14:textId="77777777" w:rsidR="004C558F" w:rsidRDefault="00461887">
                              <w:pPr>
                                <w:rPr>
                                  <w:rFonts w:ascii="Franklin Gothic Medium Cond"/>
                                  <w:sz w:val="36"/>
                                </w:rPr>
                              </w:pPr>
                              <w:r w:rsidRPr="00961C23">
                                <w:rPr>
                                  <w:rFonts w:ascii="Franklin Gothic Medium Cond"/>
                                  <w:color w:val="000000" w:themeColor="text1"/>
                                  <w:spacing w:val="-2"/>
                                  <w:sz w:val="36"/>
                                </w:rPr>
                                <w:t>22.8%</w:t>
                              </w:r>
                            </w:p>
                          </w:txbxContent>
                        </wps:txbx>
                        <wps:bodyPr wrap="square" lIns="0" tIns="0" rIns="0" bIns="0" rtlCol="0">
                          <a:noAutofit/>
                        </wps:bodyPr>
                      </wps:wsp>
                      <wps:wsp>
                        <wps:cNvPr id="479" name="Textbox 479"/>
                        <wps:cNvSpPr txBox="1"/>
                        <wps:spPr>
                          <a:xfrm>
                            <a:off x="1834704" y="2256701"/>
                            <a:ext cx="575945" cy="259715"/>
                          </a:xfrm>
                          <a:prstGeom prst="rect">
                            <a:avLst/>
                          </a:prstGeom>
                        </wps:spPr>
                        <wps:txbx>
                          <w:txbxContent>
                            <w:p w14:paraId="1C34F215" w14:textId="77777777" w:rsidR="004C558F" w:rsidRDefault="00461887">
                              <w:pPr>
                                <w:rPr>
                                  <w:rFonts w:ascii="Franklin Gothic Medium Cond"/>
                                  <w:sz w:val="36"/>
                                </w:rPr>
                              </w:pPr>
                              <w:r w:rsidRPr="00961C23">
                                <w:rPr>
                                  <w:rFonts w:ascii="Franklin Gothic Medium Cond"/>
                                  <w:color w:val="000000" w:themeColor="text1"/>
                                  <w:spacing w:val="-2"/>
                                  <w:sz w:val="36"/>
                                </w:rPr>
                                <w:t>32.5%</w:t>
                              </w:r>
                            </w:p>
                          </w:txbxContent>
                        </wps:txbx>
                        <wps:bodyPr wrap="square" lIns="0" tIns="0" rIns="0" bIns="0" rtlCol="0">
                          <a:noAutofit/>
                        </wps:bodyPr>
                      </wps:wsp>
                      <wps:wsp>
                        <wps:cNvPr id="480" name="Textbox 480"/>
                        <wps:cNvSpPr txBox="1"/>
                        <wps:spPr>
                          <a:xfrm>
                            <a:off x="2895636" y="2209609"/>
                            <a:ext cx="565150" cy="259715"/>
                          </a:xfrm>
                          <a:prstGeom prst="rect">
                            <a:avLst/>
                          </a:prstGeom>
                        </wps:spPr>
                        <wps:txbx>
                          <w:txbxContent>
                            <w:p w14:paraId="1C34F216" w14:textId="77777777" w:rsidR="004C558F" w:rsidRDefault="00461887">
                              <w:pPr>
                                <w:rPr>
                                  <w:rFonts w:ascii="Franklin Gothic Medium Cond"/>
                                  <w:sz w:val="36"/>
                                </w:rPr>
                              </w:pPr>
                              <w:r w:rsidRPr="00961C23">
                                <w:rPr>
                                  <w:rFonts w:ascii="Franklin Gothic Medium Cond"/>
                                  <w:color w:val="000000" w:themeColor="text1"/>
                                  <w:spacing w:val="-2"/>
                                  <w:sz w:val="36"/>
                                </w:rPr>
                                <w:t>36.1%</w:t>
                              </w:r>
                            </w:p>
                          </w:txbxContent>
                        </wps:txbx>
                        <wps:bodyPr wrap="square" lIns="0" tIns="0" rIns="0" bIns="0" rtlCol="0">
                          <a:noAutofit/>
                        </wps:bodyPr>
                      </wps:wsp>
                      <wps:wsp>
                        <wps:cNvPr id="481" name="Textbox 481"/>
                        <wps:cNvSpPr txBox="1"/>
                        <wps:spPr>
                          <a:xfrm>
                            <a:off x="3944453" y="2299221"/>
                            <a:ext cx="575945" cy="259715"/>
                          </a:xfrm>
                          <a:prstGeom prst="rect">
                            <a:avLst/>
                          </a:prstGeom>
                        </wps:spPr>
                        <wps:txbx>
                          <w:txbxContent>
                            <w:p w14:paraId="1C34F217" w14:textId="77777777" w:rsidR="004C558F" w:rsidRDefault="00461887">
                              <w:pPr>
                                <w:rPr>
                                  <w:rFonts w:ascii="Franklin Gothic Medium Cond"/>
                                  <w:sz w:val="36"/>
                                </w:rPr>
                              </w:pPr>
                              <w:r w:rsidRPr="00961C23">
                                <w:rPr>
                                  <w:rFonts w:ascii="Franklin Gothic Medium Cond"/>
                                  <w:color w:val="000000" w:themeColor="text1"/>
                                  <w:spacing w:val="-2"/>
                                  <w:sz w:val="36"/>
                                </w:rPr>
                                <w:t>29.4%</w:t>
                              </w:r>
                            </w:p>
                          </w:txbxContent>
                        </wps:txbx>
                        <wps:bodyPr wrap="square" lIns="0" tIns="0" rIns="0" bIns="0" rtlCol="0">
                          <a:noAutofit/>
                        </wps:bodyPr>
                      </wps:wsp>
                      <wps:wsp>
                        <wps:cNvPr id="482" name="Textbox 482"/>
                        <wps:cNvSpPr txBox="1"/>
                        <wps:spPr>
                          <a:xfrm>
                            <a:off x="243650" y="2741737"/>
                            <a:ext cx="187325" cy="152400"/>
                          </a:xfrm>
                          <a:prstGeom prst="rect">
                            <a:avLst/>
                          </a:prstGeom>
                        </wps:spPr>
                        <wps:txbx>
                          <w:txbxContent>
                            <w:p w14:paraId="1C34F218" w14:textId="77777777" w:rsidR="004C558F" w:rsidRDefault="00461887">
                              <w:pPr>
                                <w:spacing w:before="1"/>
                                <w:rPr>
                                  <w:sz w:val="21"/>
                                </w:rPr>
                              </w:pPr>
                              <w:r>
                                <w:rPr>
                                  <w:color w:val="585858"/>
                                  <w:spacing w:val="-5"/>
                                  <w:sz w:val="21"/>
                                </w:rPr>
                                <w:t>0%</w:t>
                              </w:r>
                            </w:p>
                          </w:txbxContent>
                        </wps:txbx>
                        <wps:bodyPr wrap="square" lIns="0" tIns="0" rIns="0" bIns="0" rtlCol="0">
                          <a:noAutofit/>
                        </wps:bodyPr>
                      </wps:wsp>
                      <wps:wsp>
                        <wps:cNvPr id="483" name="Textbox 483"/>
                        <wps:cNvSpPr txBox="1"/>
                        <wps:spPr>
                          <a:xfrm>
                            <a:off x="868880" y="2903073"/>
                            <a:ext cx="806450" cy="419100"/>
                          </a:xfrm>
                          <a:prstGeom prst="rect">
                            <a:avLst/>
                          </a:prstGeom>
                        </wps:spPr>
                        <wps:txbx>
                          <w:txbxContent>
                            <w:p w14:paraId="1C34F219" w14:textId="77777777" w:rsidR="004C558F" w:rsidRDefault="00461887">
                              <w:pPr>
                                <w:spacing w:before="1"/>
                                <w:rPr>
                                  <w:sz w:val="21"/>
                                </w:rPr>
                              </w:pPr>
                              <w:r>
                                <w:rPr>
                                  <w:color w:val="585858"/>
                                  <w:spacing w:val="-2"/>
                                  <w:sz w:val="21"/>
                                </w:rPr>
                                <w:t>BIDMC</w:t>
                              </w:r>
                            </w:p>
                            <w:p w14:paraId="1C34F21A" w14:textId="77777777" w:rsidR="004C558F" w:rsidRDefault="00461887">
                              <w:pPr>
                                <w:spacing w:before="182"/>
                                <w:ind w:left="193"/>
                                <w:rPr>
                                  <w:sz w:val="21"/>
                                </w:rPr>
                              </w:pPr>
                              <w:r>
                                <w:rPr>
                                  <w:color w:val="585858"/>
                                  <w:spacing w:val="-2"/>
                                  <w:sz w:val="21"/>
                                </w:rPr>
                                <w:t>Commercial</w:t>
                              </w:r>
                            </w:p>
                          </w:txbxContent>
                        </wps:txbx>
                        <wps:bodyPr wrap="square" lIns="0" tIns="0" rIns="0" bIns="0" rtlCol="0">
                          <a:noAutofit/>
                        </wps:bodyPr>
                      </wps:wsp>
                      <wps:wsp>
                        <wps:cNvPr id="484" name="Textbox 484"/>
                        <wps:cNvSpPr txBox="1"/>
                        <wps:spPr>
                          <a:xfrm>
                            <a:off x="1923526" y="2903073"/>
                            <a:ext cx="528955" cy="419100"/>
                          </a:xfrm>
                          <a:prstGeom prst="rect">
                            <a:avLst/>
                          </a:prstGeom>
                        </wps:spPr>
                        <wps:txbx>
                          <w:txbxContent>
                            <w:p w14:paraId="1C34F21B" w14:textId="77777777" w:rsidR="004C558F" w:rsidRDefault="00461887">
                              <w:pPr>
                                <w:spacing w:before="1"/>
                                <w:ind w:left="87"/>
                                <w:rPr>
                                  <w:sz w:val="21"/>
                                </w:rPr>
                              </w:pPr>
                              <w:r>
                                <w:rPr>
                                  <w:color w:val="585858"/>
                                  <w:spacing w:val="-5"/>
                                  <w:sz w:val="21"/>
                                </w:rPr>
                                <w:t>BWH</w:t>
                              </w:r>
                            </w:p>
                            <w:p w14:paraId="1C34F21C" w14:textId="77777777" w:rsidR="004C558F" w:rsidRDefault="00461887">
                              <w:pPr>
                                <w:spacing w:before="182"/>
                                <w:rPr>
                                  <w:sz w:val="21"/>
                                </w:rPr>
                              </w:pPr>
                              <w:r>
                                <w:rPr>
                                  <w:color w:val="585858"/>
                                  <w:spacing w:val="-2"/>
                                  <w:sz w:val="21"/>
                                </w:rPr>
                                <w:t>Medicaid</w:t>
                              </w:r>
                            </w:p>
                          </w:txbxContent>
                        </wps:txbx>
                        <wps:bodyPr wrap="square" lIns="0" tIns="0" rIns="0" bIns="0" rtlCol="0">
                          <a:noAutofit/>
                        </wps:bodyPr>
                      </wps:wsp>
                      <wps:wsp>
                        <wps:cNvPr id="485" name="Textbox 485"/>
                        <wps:cNvSpPr txBox="1"/>
                        <wps:spPr>
                          <a:xfrm>
                            <a:off x="2699503" y="2903073"/>
                            <a:ext cx="617855" cy="419100"/>
                          </a:xfrm>
                          <a:prstGeom prst="rect">
                            <a:avLst/>
                          </a:prstGeom>
                        </wps:spPr>
                        <wps:txbx>
                          <w:txbxContent>
                            <w:p w14:paraId="1C34F21D" w14:textId="77777777" w:rsidR="004C558F" w:rsidRDefault="00461887">
                              <w:pPr>
                                <w:spacing w:before="1"/>
                                <w:ind w:left="534"/>
                                <w:rPr>
                                  <w:sz w:val="21"/>
                                </w:rPr>
                              </w:pPr>
                              <w:r>
                                <w:rPr>
                                  <w:color w:val="585858"/>
                                  <w:spacing w:val="-4"/>
                                  <w:sz w:val="21"/>
                                </w:rPr>
                                <w:t>DFCI</w:t>
                              </w:r>
                            </w:p>
                            <w:p w14:paraId="1C34F21E" w14:textId="77777777" w:rsidR="004C558F" w:rsidRDefault="00461887">
                              <w:pPr>
                                <w:spacing w:before="182"/>
                                <w:rPr>
                                  <w:sz w:val="21"/>
                                </w:rPr>
                              </w:pPr>
                              <w:r>
                                <w:rPr>
                                  <w:color w:val="585858"/>
                                  <w:spacing w:val="-2"/>
                                  <w:sz w:val="21"/>
                                </w:rPr>
                                <w:t>Medicare</w:t>
                              </w:r>
                            </w:p>
                          </w:txbxContent>
                        </wps:txbx>
                        <wps:bodyPr wrap="square" lIns="0" tIns="0" rIns="0" bIns="0" rtlCol="0">
                          <a:noAutofit/>
                        </wps:bodyPr>
                      </wps:wsp>
                      <wps:wsp>
                        <wps:cNvPr id="486" name="Textbox 486"/>
                        <wps:cNvSpPr txBox="1"/>
                        <wps:spPr>
                          <a:xfrm>
                            <a:off x="3703203" y="2045017"/>
                            <a:ext cx="1871345" cy="1010285"/>
                          </a:xfrm>
                          <a:prstGeom prst="rect">
                            <a:avLst/>
                          </a:prstGeom>
                        </wps:spPr>
                        <wps:txbx>
                          <w:txbxContent>
                            <w:p w14:paraId="1C34F21F" w14:textId="77777777" w:rsidR="004C558F" w:rsidRDefault="00461887">
                              <w:pPr>
                                <w:ind w:left="2048"/>
                                <w:rPr>
                                  <w:rFonts w:ascii="Franklin Gothic Medium Cond"/>
                                  <w:sz w:val="36"/>
                                </w:rPr>
                              </w:pPr>
                              <w:r>
                                <w:rPr>
                                  <w:rFonts w:ascii="Franklin Gothic Medium Cond"/>
                                  <w:spacing w:val="-2"/>
                                  <w:sz w:val="36"/>
                                </w:rPr>
                                <w:t>10.6%</w:t>
                              </w:r>
                            </w:p>
                            <w:p w14:paraId="1C34F220" w14:textId="77777777" w:rsidR="004C558F" w:rsidRDefault="00461887">
                              <w:pPr>
                                <w:spacing w:before="213"/>
                                <w:ind w:left="2046"/>
                                <w:rPr>
                                  <w:rFonts w:ascii="Franklin Gothic Medium Cond"/>
                                  <w:sz w:val="36"/>
                                </w:rPr>
                              </w:pPr>
                              <w:r w:rsidRPr="00961C23">
                                <w:rPr>
                                  <w:rFonts w:ascii="Franklin Gothic Medium Cond"/>
                                  <w:color w:val="000000" w:themeColor="text1"/>
                                  <w:spacing w:val="-2"/>
                                  <w:sz w:val="36"/>
                                </w:rPr>
                                <w:t>18.9%</w:t>
                              </w:r>
                            </w:p>
                            <w:p w14:paraId="1C34F221" w14:textId="77777777" w:rsidR="004C558F" w:rsidRDefault="00461887">
                              <w:pPr>
                                <w:tabs>
                                  <w:tab w:val="left" w:pos="2045"/>
                                </w:tabs>
                                <w:spacing w:before="323"/>
                                <w:rPr>
                                  <w:sz w:val="21"/>
                                </w:rPr>
                              </w:pPr>
                              <w:r>
                                <w:rPr>
                                  <w:color w:val="585858"/>
                                  <w:spacing w:val="-2"/>
                                  <w:sz w:val="21"/>
                                </w:rPr>
                                <w:t>DFCI/BWH/BIDMC</w:t>
                              </w:r>
                              <w:r>
                                <w:rPr>
                                  <w:color w:val="585858"/>
                                  <w:sz w:val="21"/>
                                </w:rPr>
                                <w:tab/>
                              </w:r>
                              <w:r>
                                <w:rPr>
                                  <w:color w:val="585858"/>
                                  <w:spacing w:val="-2"/>
                                  <w:sz w:val="21"/>
                                </w:rPr>
                                <w:t>Statewide</w:t>
                              </w:r>
                            </w:p>
                          </w:txbxContent>
                        </wps:txbx>
                        <wps:bodyPr wrap="square" lIns="0" tIns="0" rIns="0" bIns="0" rtlCol="0">
                          <a:noAutofit/>
                        </wps:bodyPr>
                      </wps:wsp>
                      <wps:wsp>
                        <wps:cNvPr id="487" name="Textbox 487"/>
                        <wps:cNvSpPr txBox="1"/>
                        <wps:spPr>
                          <a:xfrm>
                            <a:off x="3486401" y="3169912"/>
                            <a:ext cx="551815" cy="152400"/>
                          </a:xfrm>
                          <a:prstGeom prst="rect">
                            <a:avLst/>
                          </a:prstGeom>
                        </wps:spPr>
                        <wps:txbx>
                          <w:txbxContent>
                            <w:p w14:paraId="1C34F222" w14:textId="77777777" w:rsidR="004C558F" w:rsidRDefault="00461887">
                              <w:pPr>
                                <w:spacing w:before="1"/>
                                <w:rPr>
                                  <w:sz w:val="21"/>
                                </w:rPr>
                              </w:pPr>
                              <w:r>
                                <w:rPr>
                                  <w:color w:val="585858"/>
                                  <w:sz w:val="21"/>
                                </w:rPr>
                                <w:t>Other</w:t>
                              </w:r>
                              <w:r>
                                <w:rPr>
                                  <w:color w:val="585858"/>
                                  <w:spacing w:val="-5"/>
                                  <w:sz w:val="21"/>
                                </w:rPr>
                                <w:t xml:space="preserve"> gov</w:t>
                              </w:r>
                            </w:p>
                          </w:txbxContent>
                        </wps:txbx>
                        <wps:bodyPr wrap="square" lIns="0" tIns="0" rIns="0" bIns="0" rtlCol="0">
                          <a:noAutofit/>
                        </wps:bodyPr>
                      </wps:wsp>
                      <wps:wsp>
                        <wps:cNvPr id="488" name="Textbox 488"/>
                        <wps:cNvSpPr txBox="1"/>
                        <wps:spPr>
                          <a:xfrm>
                            <a:off x="4286190" y="3169912"/>
                            <a:ext cx="834390" cy="152400"/>
                          </a:xfrm>
                          <a:prstGeom prst="rect">
                            <a:avLst/>
                          </a:prstGeom>
                        </wps:spPr>
                        <wps:txbx>
                          <w:txbxContent>
                            <w:p w14:paraId="1C34F223" w14:textId="77777777" w:rsidR="004C558F" w:rsidRDefault="00461887">
                              <w:pPr>
                                <w:spacing w:before="1"/>
                                <w:rPr>
                                  <w:sz w:val="21"/>
                                </w:rPr>
                              </w:pPr>
                              <w:proofErr w:type="spellStart"/>
                              <w:r>
                                <w:rPr>
                                  <w:color w:val="585858"/>
                                  <w:sz w:val="21"/>
                                </w:rPr>
                                <w:t>Self</w:t>
                              </w:r>
                              <w:r>
                                <w:rPr>
                                  <w:color w:val="585858"/>
                                  <w:spacing w:val="-3"/>
                                  <w:sz w:val="21"/>
                                </w:rPr>
                                <w:t xml:space="preserve"> </w:t>
                              </w:r>
                              <w:r>
                                <w:rPr>
                                  <w:color w:val="585858"/>
                                  <w:spacing w:val="-2"/>
                                  <w:sz w:val="21"/>
                                </w:rPr>
                                <w:t>Pay</w:t>
                              </w:r>
                              <w:proofErr w:type="spellEnd"/>
                              <w:r>
                                <w:rPr>
                                  <w:color w:val="585858"/>
                                  <w:spacing w:val="-2"/>
                                  <w:sz w:val="21"/>
                                </w:rPr>
                                <w:t>/Other</w:t>
                              </w:r>
                            </w:p>
                          </w:txbxContent>
                        </wps:txbx>
                        <wps:bodyPr wrap="square" lIns="0" tIns="0" rIns="0" bIns="0" rtlCol="0">
                          <a:noAutofit/>
                        </wps:bodyPr>
                      </wps:wsp>
                    </wpg:wgp>
                  </a:graphicData>
                </a:graphic>
              </wp:inline>
            </w:drawing>
          </mc:Choice>
          <mc:Fallback>
            <w:pict>
              <v:group w14:anchorId="1C34F14C" id="Group 450" o:spid="_x0000_s1376" alt="Bar Graph of Inpatient Medical Oncology Payer Mix for Select Hospitals and Statewide (2023)" style="width:468.75pt;height:271.25pt;mso-position-horizontal-relative:char;mso-position-vertical-relative:line" coordsize="59531,3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">
                <v:shape id="Graphic 451" o:spid="_x0000_s1377" style="position:absolute;left:5341;top:8143;width:52750;height:13398;visibility:visible;mso-wrap-style:square;v-text-anchor:top" coordsize="527494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" path="m,1339596r176199,em878763,1339596r352044,em1933371,1339596r352044,em2989503,1339596r350520,em4044111,1339596r352044,em5098719,1339596r175768,em1933371,669036r352044,em2989503,669036r350520,em,669036r176199,em878763,669036r352044,em4044111,669036r352044,em5098719,669036r175768,em,l176199,em878763,r352044,em1933371,r352044,em2989503,r350520,em4044111,r352044,em5098719,r175768,e" filled="f" strokecolor="#ececec">
                  <v:path arrowok="t"/>
                </v:shape>
                <v:shape id="Graphic 452" o:spid="_x0000_s1378" style="position:absolute;left:5341;top:1444;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" path="m,l5274487,e" filled="f" strokecolor="#ececec">
                  <v:path arrowok="t"/>
                </v:shape>
                <v:shape id="Graphic 453" o:spid="_x0000_s1379" style="position:absolute;left:7103;top:18567;width:49225;height:9665;visibility:visible;mso-wrap-style:square;v-text-anchor:top" coordsize="492252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" path="m702564,353568l,353568,,966025r702564,l702564,353568xem1757172,94488r-702564,l1054608,966025r702564,l1757172,94488xem2813304,l2109216,r,966025l2813304,966025,2813304,xem3867912,179819r-704088,l3163824,966025r704088,l3867912,179819xem4922507,460248r-702551,l4219956,966025r702551,l4922507,460248xe" fillcolor="#084875" stroked="f">
                  <v:path arrowok="t"/>
                </v:shape>
                <v:shape id="Graphic 454" o:spid="_x0000_s1380" style="position:absolute;left:7103;top:14772;width:49225;height:8401;visibility:visible;mso-wrap-style:square;v-text-anchor:top" coordsize="49225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" path="m702564,362712l,362712,,733044r702564,l702564,362712xem1757172,169164r-702564,l1054608,473964r702564,l1757172,169164xem2813304,l2109216,r,379476l2813304,379476,2813304,xem3867912,222504r-704088,l3163824,559308r704088,l3867912,222504xem4922507,556260r-702551,l4219956,839724r702551,l4922507,556260xe" fillcolor="#f1682a" stroked="f">
                  <v:path arrowok="t"/>
                </v:shape>
                <v:shape id="Graphic 455" o:spid="_x0000_s1381" style="position:absolute;left:7103;top:1681;width:49225;height:18657;visibility:visible;mso-wrap-style:square;v-text-anchor:top" coordsize="492252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" path="m702564,l,,,1671828r702564,l702564,xem1757172,l1054608,r,1478280l1757172,1478280,1757172,xem2813304,4572r-704088,l2109216,1309116r704088,l2813304,4572xem3867912,l3163824,r,1531620l3867912,1531620,3867912,xem4922507,30480r-702551,l4219956,1865376r702551,l4922507,30480xe" fillcolor="#339fc7" stroked="f">
                  <v:path arrowok="t"/>
                </v:shape>
                <v:shape id="Graphic 456" o:spid="_x0000_s1382" style="position:absolute;left:7103;top:1444;width:49225;height:546;visibility:visible;mso-wrap-style:square;v-text-anchor:top" coordsize="492252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" path="m702564,17614l,17614r,6109l702564,23723r,-6109xem1757172,2387r-702564,l1054608,23723r702564,l1757172,2387xem2813304,l2109216,r,28295l2813304,28295r,-28295xem3867912,8470r-704088,l3163824,23723r704088,l3867912,8470xem4922507,17627r-702551,l4219956,54203r702551,l4922507,17627xe" fillcolor="#f9a720" stroked="f">
                  <v:path arrowok="t"/>
                </v:shape>
                <v:shape id="Graphic 457" o:spid="_x0000_s1383" style="position:absolute;left:7103;top:1444;width:49225;height:178;visibility:visible;mso-wrap-style:square;v-text-anchor:top" coordsize="49225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" path="m702564,l,,,17614r702564,l702564,xem1757172,l1054608,r,2374l1757172,2374r,-2374xem3867912,l3163824,r,8470l3867912,8470r,-8470xem4922507,l4219956,r,17614l4922507,17614r,-17614xe" fillcolor="#53c0a4" stroked="f">
                  <v:path arrowok="t"/>
                </v:shape>
                <v:shape id="Graphic 458" o:spid="_x0000_s1384" style="position:absolute;left:5341;top:28227;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" path="m,l5274487,e" filled="f" strokecolor="#d9d9d9">
                  <v:path arrowok="t"/>
                </v:shape>
                <v:shape id="Graphic 459" o:spid="_x0000_s1385" style="position:absolute;left:8943;top:32169;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" path="m68033,l,,,68033r68033,l68033,xe" fillcolor="#084875" stroked="f">
                  <v:path arrowok="t"/>
                </v:shape>
                <v:shape id="Graphic 460" o:spid="_x0000_s1386" style="position:absolute;left:18262;top:32169;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" path="m68033,l,,,68033r68033,l68033,xe" fillcolor="#f1682a" stroked="f">
                  <v:path arrowok="t"/>
                </v:shape>
                <v:shape id="Graphic 461" o:spid="_x0000_s1387" style="position:absolute;left:26022;top:32169;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" path="m68033,l,,,68033r68033,l68033,xe" fillcolor="#339fc7" stroked="f">
                  <v:path arrowok="t"/>
                </v:shape>
                <v:shape id="Graphic 462" o:spid="_x0000_s1388" style="position:absolute;left:33891;top:32169;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" path="m68033,l,,,68033r68033,l68033,xe" fillcolor="#f9a720" stroked="f">
                  <v:path arrowok="t"/>
                </v:shape>
                <v:shape id="Graphic 463" o:spid="_x0000_s1389" style="position:absolute;left:41888;top:32169;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" path="m68033,l,,,68033r68033,l68033,xe" fillcolor="#53c0a4" stroked="f">
                  <v:path arrowok="t"/>
                </v:shape>
                <v:shape id="Graphic 464" o:spid="_x0000_s1390" style="position:absolute;left:47;top:47;width:59436;height:34354;visibility:visible;mso-wrap-style:square;v-text-anchor:top" coordsize="5943600,34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" path="m,l5943600,r,3435350l,3435350,,xe" filled="f" strokecolor="#d9d9d9">
                  <v:path arrowok="t"/>
                </v:shape>
                <v:shape id="Textbox 465" o:spid="_x0000_s1391" type="#_x0000_t202" style="position:absolute;left:872;top:632;width:34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C34F207" w14:textId="77777777" w:rsidR="004C558F" w:rsidRDefault="00461887">
                        <w:pPr>
                          <w:spacing w:before="1"/>
                          <w:rPr>
                            <w:sz w:val="21"/>
                          </w:rPr>
                        </w:pPr>
                        <w:r>
                          <w:rPr>
                            <w:color w:val="585858"/>
                            <w:spacing w:val="-4"/>
                            <w:sz w:val="21"/>
                          </w:rPr>
                          <w:t>100%</w:t>
                        </w:r>
                      </w:p>
                    </w:txbxContent>
                  </v:textbox>
                </v:shape>
                <v:shape id="Textbox 466" o:spid="_x0000_s1392" type="#_x0000_t202" style="position:absolute;left:1654;top:7328;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C34F208" w14:textId="77777777" w:rsidR="004C558F" w:rsidRDefault="00461887">
                        <w:pPr>
                          <w:spacing w:before="1"/>
                          <w:rPr>
                            <w:sz w:val="21"/>
                          </w:rPr>
                        </w:pPr>
                        <w:r>
                          <w:rPr>
                            <w:color w:val="585858"/>
                            <w:spacing w:val="-5"/>
                            <w:sz w:val="21"/>
                          </w:rPr>
                          <w:t>75%</w:t>
                        </w:r>
                      </w:p>
                    </w:txbxContent>
                  </v:textbox>
                </v:shape>
                <v:shape id="Textbox 467" o:spid="_x0000_s1393" type="#_x0000_t202" style="position:absolute;left:7797;top:8739;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1C34F209" w14:textId="77777777" w:rsidR="004C558F" w:rsidRDefault="00461887">
                        <w:pPr>
                          <w:rPr>
                            <w:rFonts w:ascii="Franklin Gothic Medium Cond"/>
                            <w:sz w:val="36"/>
                          </w:rPr>
                        </w:pPr>
                        <w:r>
                          <w:rPr>
                            <w:rFonts w:ascii="Franklin Gothic Medium Cond"/>
                            <w:spacing w:val="-2"/>
                            <w:sz w:val="36"/>
                          </w:rPr>
                          <w:t>62.4%</w:t>
                        </w:r>
                      </w:p>
                    </w:txbxContent>
                  </v:textbox>
                </v:shape>
                <v:shape id="Textbox 468" o:spid="_x0000_s1394" type="#_x0000_t202" style="position:absolute;left:18347;top:7772;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1C34F20A" w14:textId="77777777" w:rsidR="004C558F" w:rsidRDefault="00461887">
                        <w:pPr>
                          <w:rPr>
                            <w:rFonts w:ascii="Franklin Gothic Medium Cond"/>
                            <w:sz w:val="36"/>
                          </w:rPr>
                        </w:pPr>
                        <w:r>
                          <w:rPr>
                            <w:rFonts w:ascii="Franklin Gothic Medium Cond"/>
                            <w:spacing w:val="-2"/>
                            <w:sz w:val="36"/>
                          </w:rPr>
                          <w:t>55.2%</w:t>
                        </w:r>
                      </w:p>
                    </w:txbxContent>
                  </v:textbox>
                </v:shape>
                <v:shape id="Textbox 469" o:spid="_x0000_s1395" type="#_x0000_t202" style="position:absolute;left:28896;top:6944;width:57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C34F20B" w14:textId="77777777" w:rsidR="004C558F" w:rsidRDefault="00461887">
                        <w:pPr>
                          <w:rPr>
                            <w:rFonts w:ascii="Franklin Gothic Medium Cond"/>
                            <w:sz w:val="36"/>
                          </w:rPr>
                        </w:pPr>
                        <w:r>
                          <w:rPr>
                            <w:rFonts w:ascii="Franklin Gothic Medium Cond"/>
                            <w:spacing w:val="-2"/>
                            <w:sz w:val="36"/>
                          </w:rPr>
                          <w:t>48.7%</w:t>
                        </w:r>
                      </w:p>
                    </w:txbxContent>
                  </v:textbox>
                </v:shape>
                <v:shape id="Textbox 470" o:spid="_x0000_s1396" type="#_x0000_t202" style="position:absolute;left:39583;top:8044;width:55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C34F20C" w14:textId="77777777" w:rsidR="004C558F" w:rsidRDefault="00461887">
                        <w:pPr>
                          <w:rPr>
                            <w:rFonts w:ascii="Franklin Gothic Medium Cond"/>
                            <w:sz w:val="36"/>
                          </w:rPr>
                        </w:pPr>
                        <w:r>
                          <w:rPr>
                            <w:rFonts w:ascii="Franklin Gothic Medium Cond"/>
                            <w:spacing w:val="-7"/>
                            <w:sz w:val="36"/>
                          </w:rPr>
                          <w:t>57.2%</w:t>
                        </w:r>
                      </w:p>
                    </w:txbxContent>
                  </v:textbox>
                </v:shape>
                <v:shape id="Textbox 471" o:spid="_x0000_s1397" type="#_x0000_t202" style="position:absolute;left:49996;top:9859;width:57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C34F20D" w14:textId="77777777" w:rsidR="004C558F" w:rsidRDefault="00461887">
                        <w:pPr>
                          <w:rPr>
                            <w:rFonts w:ascii="Franklin Gothic Medium Cond"/>
                            <w:sz w:val="36"/>
                          </w:rPr>
                        </w:pPr>
                        <w:r>
                          <w:rPr>
                            <w:rFonts w:ascii="Franklin Gothic Medium Cond"/>
                            <w:spacing w:val="-2"/>
                            <w:sz w:val="36"/>
                          </w:rPr>
                          <w:t>68.5%</w:t>
                        </w:r>
                      </w:p>
                    </w:txbxContent>
                  </v:textbox>
                </v:shape>
                <v:shape id="Textbox 472" o:spid="_x0000_s1398" type="#_x0000_t202" style="position:absolute;left:1654;top:14024;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1C34F20E" w14:textId="77777777" w:rsidR="004C558F" w:rsidRDefault="00461887">
                        <w:pPr>
                          <w:spacing w:before="1"/>
                          <w:rPr>
                            <w:sz w:val="21"/>
                          </w:rPr>
                        </w:pPr>
                        <w:r>
                          <w:rPr>
                            <w:color w:val="585858"/>
                            <w:spacing w:val="-5"/>
                            <w:sz w:val="21"/>
                          </w:rPr>
                          <w:t>50%</w:t>
                        </w:r>
                      </w:p>
                    </w:txbxContent>
                  </v:textbox>
                </v:shape>
                <v:shape id="Textbox 473" o:spid="_x0000_s1399" type="#_x0000_t202" style="position:absolute;left:28940;top:15363;width:566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C34F20F" w14:textId="77777777" w:rsidR="004C558F" w:rsidRDefault="00461887">
                        <w:pPr>
                          <w:rPr>
                            <w:rFonts w:ascii="Franklin Gothic Medium Cond"/>
                            <w:sz w:val="36"/>
                          </w:rPr>
                        </w:pPr>
                        <w:r>
                          <w:rPr>
                            <w:rFonts w:ascii="Franklin Gothic Medium Cond"/>
                            <w:spacing w:val="-2"/>
                            <w:sz w:val="36"/>
                          </w:rPr>
                          <w:t>14.2%</w:t>
                        </w:r>
                      </w:p>
                    </w:txbxContent>
                  </v:textbox>
                </v:shape>
                <v:shape id="Textbox 474" o:spid="_x0000_s1400" type="#_x0000_t202" style="position:absolute;left:1654;top:20721;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C34F210" w14:textId="77777777" w:rsidR="004C558F" w:rsidRDefault="00461887">
                        <w:pPr>
                          <w:spacing w:before="1"/>
                          <w:rPr>
                            <w:sz w:val="21"/>
                          </w:rPr>
                        </w:pPr>
                        <w:r>
                          <w:rPr>
                            <w:color w:val="585858"/>
                            <w:spacing w:val="-5"/>
                            <w:sz w:val="21"/>
                          </w:rPr>
                          <w:t>25%</w:t>
                        </w:r>
                      </w:p>
                    </w:txbxContent>
                  </v:textbox>
                </v:shape>
                <v:shape id="Textbox 475" o:spid="_x0000_s1401" type="#_x0000_t202" style="position:absolute;left:7813;top:18950;width:572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1C34F211" w14:textId="77777777" w:rsidR="004C558F" w:rsidRDefault="00461887">
                        <w:pPr>
                          <w:rPr>
                            <w:rFonts w:ascii="Franklin Gothic Medium Cond"/>
                            <w:sz w:val="36"/>
                          </w:rPr>
                        </w:pPr>
                        <w:r>
                          <w:rPr>
                            <w:rFonts w:ascii="Franklin Gothic Medium Cond"/>
                            <w:spacing w:val="-2"/>
                            <w:sz w:val="36"/>
                          </w:rPr>
                          <w:t>13.8%</w:t>
                        </w:r>
                      </w:p>
                    </w:txbxContent>
                  </v:textbox>
                </v:shape>
                <v:shape id="Textbox 476" o:spid="_x0000_s1402" type="#_x0000_t202" style="position:absolute;left:18422;top:16685;width:560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1C34F212" w14:textId="77777777" w:rsidR="004C558F" w:rsidRDefault="00461887">
                        <w:pPr>
                          <w:rPr>
                            <w:rFonts w:ascii="Franklin Gothic Medium Cond"/>
                            <w:sz w:val="36"/>
                          </w:rPr>
                        </w:pPr>
                        <w:r>
                          <w:rPr>
                            <w:rFonts w:ascii="Franklin Gothic Medium Cond"/>
                            <w:spacing w:val="-2"/>
                            <w:sz w:val="36"/>
                          </w:rPr>
                          <w:t>11.4%</w:t>
                        </w:r>
                      </w:p>
                    </w:txbxContent>
                  </v:textbox>
                </v:shape>
                <v:shape id="Textbox 477" o:spid="_x0000_s1403" type="#_x0000_t202" style="position:absolute;left:39458;top:17380;width:574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C34F213" w14:textId="77777777" w:rsidR="004C558F" w:rsidRDefault="00461887">
                        <w:pPr>
                          <w:rPr>
                            <w:rFonts w:ascii="Franklin Gothic Medium Cond"/>
                            <w:sz w:val="36"/>
                          </w:rPr>
                        </w:pPr>
                        <w:r>
                          <w:rPr>
                            <w:rFonts w:ascii="Franklin Gothic Medium Cond"/>
                            <w:spacing w:val="-2"/>
                            <w:sz w:val="36"/>
                          </w:rPr>
                          <w:t>12.5%</w:t>
                        </w:r>
                      </w:p>
                    </w:txbxContent>
                  </v:textbox>
                </v:shape>
                <v:shape id="Textbox 478" o:spid="_x0000_s1404" type="#_x0000_t202" style="position:absolute;left:7797;top:23865;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C34F214" w14:textId="77777777" w:rsidR="004C558F" w:rsidRDefault="00461887">
                        <w:pPr>
                          <w:rPr>
                            <w:rFonts w:ascii="Franklin Gothic Medium Cond"/>
                            <w:sz w:val="36"/>
                          </w:rPr>
                        </w:pPr>
                        <w:r w:rsidRPr="00961C23">
                          <w:rPr>
                            <w:rFonts w:ascii="Franklin Gothic Medium Cond"/>
                            <w:color w:val="000000" w:themeColor="text1"/>
                            <w:spacing w:val="-2"/>
                            <w:sz w:val="36"/>
                          </w:rPr>
                          <w:t>22.8%</w:t>
                        </w:r>
                      </w:p>
                    </w:txbxContent>
                  </v:textbox>
                </v:shape>
                <v:shape id="Textbox 479" o:spid="_x0000_s1405" type="#_x0000_t202" style="position:absolute;left:18347;top:22567;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1C34F215" w14:textId="77777777" w:rsidR="004C558F" w:rsidRDefault="00461887">
                        <w:pPr>
                          <w:rPr>
                            <w:rFonts w:ascii="Franklin Gothic Medium Cond"/>
                            <w:sz w:val="36"/>
                          </w:rPr>
                        </w:pPr>
                        <w:r w:rsidRPr="00961C23">
                          <w:rPr>
                            <w:rFonts w:ascii="Franklin Gothic Medium Cond"/>
                            <w:color w:val="000000" w:themeColor="text1"/>
                            <w:spacing w:val="-2"/>
                            <w:sz w:val="36"/>
                          </w:rPr>
                          <w:t>32.5%</w:t>
                        </w:r>
                      </w:p>
                    </w:txbxContent>
                  </v:textbox>
                </v:shape>
                <v:shape id="Textbox 480" o:spid="_x0000_s1406" type="#_x0000_t202" style="position:absolute;left:28956;top:22096;width:565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1C34F216" w14:textId="77777777" w:rsidR="004C558F" w:rsidRDefault="00461887">
                        <w:pPr>
                          <w:rPr>
                            <w:rFonts w:ascii="Franklin Gothic Medium Cond"/>
                            <w:sz w:val="36"/>
                          </w:rPr>
                        </w:pPr>
                        <w:r w:rsidRPr="00961C23">
                          <w:rPr>
                            <w:rFonts w:ascii="Franklin Gothic Medium Cond"/>
                            <w:color w:val="000000" w:themeColor="text1"/>
                            <w:spacing w:val="-2"/>
                            <w:sz w:val="36"/>
                          </w:rPr>
                          <w:t>36.1%</w:t>
                        </w:r>
                      </w:p>
                    </w:txbxContent>
                  </v:textbox>
                </v:shape>
                <v:shape id="Textbox 481" o:spid="_x0000_s1407" type="#_x0000_t202" style="position:absolute;left:39444;top:22992;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1C34F217" w14:textId="77777777" w:rsidR="004C558F" w:rsidRDefault="00461887">
                        <w:pPr>
                          <w:rPr>
                            <w:rFonts w:ascii="Franklin Gothic Medium Cond"/>
                            <w:sz w:val="36"/>
                          </w:rPr>
                        </w:pPr>
                        <w:r w:rsidRPr="00961C23">
                          <w:rPr>
                            <w:rFonts w:ascii="Franklin Gothic Medium Cond"/>
                            <w:color w:val="000000" w:themeColor="text1"/>
                            <w:spacing w:val="-2"/>
                            <w:sz w:val="36"/>
                          </w:rPr>
                          <w:t>29.4%</w:t>
                        </w:r>
                      </w:p>
                    </w:txbxContent>
                  </v:textbox>
                </v:shape>
                <v:shape id="Textbox 482" o:spid="_x0000_s1408" type="#_x0000_t202" style="position:absolute;left:2436;top:27417;width:1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1C34F218" w14:textId="77777777" w:rsidR="004C558F" w:rsidRDefault="00461887">
                        <w:pPr>
                          <w:spacing w:before="1"/>
                          <w:rPr>
                            <w:sz w:val="21"/>
                          </w:rPr>
                        </w:pPr>
                        <w:r>
                          <w:rPr>
                            <w:color w:val="585858"/>
                            <w:spacing w:val="-5"/>
                            <w:sz w:val="21"/>
                          </w:rPr>
                          <w:t>0%</w:t>
                        </w:r>
                      </w:p>
                    </w:txbxContent>
                  </v:textbox>
                </v:shape>
                <v:shape id="Textbox 483" o:spid="_x0000_s1409" type="#_x0000_t202" style="position:absolute;left:8688;top:29030;width:806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C34F219" w14:textId="77777777" w:rsidR="004C558F" w:rsidRDefault="00461887">
                        <w:pPr>
                          <w:spacing w:before="1"/>
                          <w:rPr>
                            <w:sz w:val="21"/>
                          </w:rPr>
                        </w:pPr>
                        <w:r>
                          <w:rPr>
                            <w:color w:val="585858"/>
                            <w:spacing w:val="-2"/>
                            <w:sz w:val="21"/>
                          </w:rPr>
                          <w:t>BIDMC</w:t>
                        </w:r>
                      </w:p>
                      <w:p w14:paraId="1C34F21A" w14:textId="77777777" w:rsidR="004C558F" w:rsidRDefault="00461887">
                        <w:pPr>
                          <w:spacing w:before="182"/>
                          <w:ind w:left="193"/>
                          <w:rPr>
                            <w:sz w:val="21"/>
                          </w:rPr>
                        </w:pPr>
                        <w:r>
                          <w:rPr>
                            <w:color w:val="585858"/>
                            <w:spacing w:val="-2"/>
                            <w:sz w:val="21"/>
                          </w:rPr>
                          <w:t>Commercial</w:t>
                        </w:r>
                      </w:p>
                    </w:txbxContent>
                  </v:textbox>
                </v:shape>
                <v:shape id="Textbox 484" o:spid="_x0000_s1410" type="#_x0000_t202" style="position:absolute;left:19235;top:29030;width:52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C34F21B" w14:textId="77777777" w:rsidR="004C558F" w:rsidRDefault="00461887">
                        <w:pPr>
                          <w:spacing w:before="1"/>
                          <w:ind w:left="87"/>
                          <w:rPr>
                            <w:sz w:val="21"/>
                          </w:rPr>
                        </w:pPr>
                        <w:r>
                          <w:rPr>
                            <w:color w:val="585858"/>
                            <w:spacing w:val="-5"/>
                            <w:sz w:val="21"/>
                          </w:rPr>
                          <w:t>BWH</w:t>
                        </w:r>
                      </w:p>
                      <w:p w14:paraId="1C34F21C" w14:textId="77777777" w:rsidR="004C558F" w:rsidRDefault="00461887">
                        <w:pPr>
                          <w:spacing w:before="182"/>
                          <w:rPr>
                            <w:sz w:val="21"/>
                          </w:rPr>
                        </w:pPr>
                        <w:r>
                          <w:rPr>
                            <w:color w:val="585858"/>
                            <w:spacing w:val="-2"/>
                            <w:sz w:val="21"/>
                          </w:rPr>
                          <w:t>Medicaid</w:t>
                        </w:r>
                      </w:p>
                    </w:txbxContent>
                  </v:textbox>
                </v:shape>
                <v:shape id="Textbox 485" o:spid="_x0000_s1411" type="#_x0000_t202" style="position:absolute;left:26995;top:29030;width:61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C34F21D" w14:textId="77777777" w:rsidR="004C558F" w:rsidRDefault="00461887">
                        <w:pPr>
                          <w:spacing w:before="1"/>
                          <w:ind w:left="534"/>
                          <w:rPr>
                            <w:sz w:val="21"/>
                          </w:rPr>
                        </w:pPr>
                        <w:r>
                          <w:rPr>
                            <w:color w:val="585858"/>
                            <w:spacing w:val="-4"/>
                            <w:sz w:val="21"/>
                          </w:rPr>
                          <w:t>DFCI</w:t>
                        </w:r>
                      </w:p>
                      <w:p w14:paraId="1C34F21E" w14:textId="77777777" w:rsidR="004C558F" w:rsidRDefault="00461887">
                        <w:pPr>
                          <w:spacing w:before="182"/>
                          <w:rPr>
                            <w:sz w:val="21"/>
                          </w:rPr>
                        </w:pPr>
                        <w:r>
                          <w:rPr>
                            <w:color w:val="585858"/>
                            <w:spacing w:val="-2"/>
                            <w:sz w:val="21"/>
                          </w:rPr>
                          <w:t>Medicare</w:t>
                        </w:r>
                      </w:p>
                    </w:txbxContent>
                  </v:textbox>
                </v:shape>
                <v:shape id="Textbox 486" o:spid="_x0000_s1412" type="#_x0000_t202" style="position:absolute;left:37032;top:20450;width:18713;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C34F21F" w14:textId="77777777" w:rsidR="004C558F" w:rsidRDefault="00461887">
                        <w:pPr>
                          <w:ind w:left="2048"/>
                          <w:rPr>
                            <w:rFonts w:ascii="Franklin Gothic Medium Cond"/>
                            <w:sz w:val="36"/>
                          </w:rPr>
                        </w:pPr>
                        <w:r>
                          <w:rPr>
                            <w:rFonts w:ascii="Franklin Gothic Medium Cond"/>
                            <w:spacing w:val="-2"/>
                            <w:sz w:val="36"/>
                          </w:rPr>
                          <w:t>10.6%</w:t>
                        </w:r>
                      </w:p>
                      <w:p w14:paraId="1C34F220" w14:textId="77777777" w:rsidR="004C558F" w:rsidRDefault="00461887">
                        <w:pPr>
                          <w:spacing w:before="213"/>
                          <w:ind w:left="2046"/>
                          <w:rPr>
                            <w:rFonts w:ascii="Franklin Gothic Medium Cond"/>
                            <w:sz w:val="36"/>
                          </w:rPr>
                        </w:pPr>
                        <w:r w:rsidRPr="00961C23">
                          <w:rPr>
                            <w:rFonts w:ascii="Franklin Gothic Medium Cond"/>
                            <w:color w:val="000000" w:themeColor="text1"/>
                            <w:spacing w:val="-2"/>
                            <w:sz w:val="36"/>
                          </w:rPr>
                          <w:t>18.9%</w:t>
                        </w:r>
                      </w:p>
                      <w:p w14:paraId="1C34F221" w14:textId="77777777" w:rsidR="004C558F" w:rsidRDefault="00461887">
                        <w:pPr>
                          <w:tabs>
                            <w:tab w:val="left" w:pos="2045"/>
                          </w:tabs>
                          <w:spacing w:before="323"/>
                          <w:rPr>
                            <w:sz w:val="21"/>
                          </w:rPr>
                        </w:pPr>
                        <w:r>
                          <w:rPr>
                            <w:color w:val="585858"/>
                            <w:spacing w:val="-2"/>
                            <w:sz w:val="21"/>
                          </w:rPr>
                          <w:t>DFCI/BWH/BIDMC</w:t>
                        </w:r>
                        <w:r>
                          <w:rPr>
                            <w:color w:val="585858"/>
                            <w:sz w:val="21"/>
                          </w:rPr>
                          <w:tab/>
                        </w:r>
                        <w:r>
                          <w:rPr>
                            <w:color w:val="585858"/>
                            <w:spacing w:val="-2"/>
                            <w:sz w:val="21"/>
                          </w:rPr>
                          <w:t>Statewide</w:t>
                        </w:r>
                      </w:p>
                    </w:txbxContent>
                  </v:textbox>
                </v:shape>
                <v:shape id="Textbox 487" o:spid="_x0000_s1413" type="#_x0000_t202" style="position:absolute;left:34864;top:31699;width:55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1C34F222" w14:textId="77777777" w:rsidR="004C558F" w:rsidRDefault="00461887">
                        <w:pPr>
                          <w:spacing w:before="1"/>
                          <w:rPr>
                            <w:sz w:val="21"/>
                          </w:rPr>
                        </w:pPr>
                        <w:r>
                          <w:rPr>
                            <w:color w:val="585858"/>
                            <w:sz w:val="21"/>
                          </w:rPr>
                          <w:t>Other</w:t>
                        </w:r>
                        <w:r>
                          <w:rPr>
                            <w:color w:val="585858"/>
                            <w:spacing w:val="-5"/>
                            <w:sz w:val="21"/>
                          </w:rPr>
                          <w:t xml:space="preserve"> gov</w:t>
                        </w:r>
                      </w:p>
                    </w:txbxContent>
                  </v:textbox>
                </v:shape>
                <v:shape id="Textbox 488" o:spid="_x0000_s1414" type="#_x0000_t202" style="position:absolute;left:42861;top:31699;width:83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1C34F223" w14:textId="77777777" w:rsidR="004C558F" w:rsidRDefault="00461887">
                        <w:pPr>
                          <w:spacing w:before="1"/>
                          <w:rPr>
                            <w:sz w:val="21"/>
                          </w:rPr>
                        </w:pPr>
                        <w:proofErr w:type="spellStart"/>
                        <w:r>
                          <w:rPr>
                            <w:color w:val="585858"/>
                            <w:sz w:val="21"/>
                          </w:rPr>
                          <w:t>Self</w:t>
                        </w:r>
                        <w:r>
                          <w:rPr>
                            <w:color w:val="585858"/>
                            <w:spacing w:val="-3"/>
                            <w:sz w:val="21"/>
                          </w:rPr>
                          <w:t xml:space="preserve"> </w:t>
                        </w:r>
                        <w:r>
                          <w:rPr>
                            <w:color w:val="585858"/>
                            <w:spacing w:val="-2"/>
                            <w:sz w:val="21"/>
                          </w:rPr>
                          <w:t>Pay</w:t>
                        </w:r>
                        <w:proofErr w:type="spellEnd"/>
                        <w:r>
                          <w:rPr>
                            <w:color w:val="585858"/>
                            <w:spacing w:val="-2"/>
                            <w:sz w:val="21"/>
                          </w:rPr>
                          <w:t>/Other</w:t>
                        </w:r>
                      </w:p>
                    </w:txbxContent>
                  </v:textbox>
                </v:shape>
                <w10:anchorlock/>
              </v:group>
            </w:pict>
          </mc:Fallback>
        </mc:AlternateContent>
      </w:r>
    </w:p>
    <w:p w14:paraId="1C34EAE7" w14:textId="77777777" w:rsidR="004C558F" w:rsidRDefault="00461887">
      <w:pPr>
        <w:spacing w:before="18"/>
        <w:ind w:left="960"/>
        <w:rPr>
          <w:sz w:val="20"/>
        </w:rPr>
      </w:pPr>
      <w:r>
        <w:rPr>
          <w:sz w:val="20"/>
        </w:rPr>
        <w:t>Source:</w:t>
      </w:r>
      <w:r>
        <w:rPr>
          <w:spacing w:val="-7"/>
          <w:sz w:val="20"/>
        </w:rPr>
        <w:t xml:space="preserve"> </w:t>
      </w:r>
      <w:r>
        <w:rPr>
          <w:sz w:val="20"/>
        </w:rPr>
        <w:t>HPC</w:t>
      </w:r>
      <w:r>
        <w:rPr>
          <w:spacing w:val="-7"/>
          <w:sz w:val="20"/>
        </w:rPr>
        <w:t xml:space="preserve"> </w:t>
      </w:r>
      <w:r>
        <w:rPr>
          <w:sz w:val="20"/>
        </w:rPr>
        <w:t>analysis</w:t>
      </w:r>
      <w:r>
        <w:rPr>
          <w:spacing w:val="-6"/>
          <w:sz w:val="20"/>
        </w:rPr>
        <w:t xml:space="preserve"> </w:t>
      </w:r>
      <w:r>
        <w:rPr>
          <w:sz w:val="20"/>
        </w:rPr>
        <w:t>of</w:t>
      </w:r>
      <w:r>
        <w:rPr>
          <w:spacing w:val="-7"/>
          <w:sz w:val="20"/>
        </w:rPr>
        <w:t xml:space="preserve"> </w:t>
      </w:r>
      <w:r>
        <w:rPr>
          <w:sz w:val="20"/>
        </w:rPr>
        <w:t>CHIA</w:t>
      </w:r>
      <w:r>
        <w:rPr>
          <w:spacing w:val="-7"/>
          <w:sz w:val="20"/>
        </w:rPr>
        <w:t xml:space="preserve"> </w:t>
      </w:r>
      <w:r>
        <w:rPr>
          <w:sz w:val="20"/>
        </w:rPr>
        <w:t>Massachusetts</w:t>
      </w:r>
      <w:r>
        <w:rPr>
          <w:spacing w:val="-6"/>
          <w:sz w:val="20"/>
        </w:rPr>
        <w:t xml:space="preserve"> </w:t>
      </w:r>
      <w:r>
        <w:rPr>
          <w:sz w:val="20"/>
        </w:rPr>
        <w:t>Hospital</w:t>
      </w:r>
      <w:r>
        <w:rPr>
          <w:spacing w:val="-7"/>
          <w:sz w:val="20"/>
        </w:rPr>
        <w:t xml:space="preserve"> </w:t>
      </w:r>
      <w:r>
        <w:rPr>
          <w:sz w:val="20"/>
        </w:rPr>
        <w:t>Discharge</w:t>
      </w:r>
      <w:r>
        <w:rPr>
          <w:spacing w:val="-8"/>
          <w:sz w:val="20"/>
        </w:rPr>
        <w:t xml:space="preserve"> </w:t>
      </w:r>
      <w:r>
        <w:rPr>
          <w:spacing w:val="-2"/>
          <w:sz w:val="20"/>
        </w:rPr>
        <w:t>Database.</w:t>
      </w:r>
    </w:p>
    <w:p w14:paraId="1C34EAE8" w14:textId="77777777" w:rsidR="004C558F" w:rsidRDefault="00461887">
      <w:pPr>
        <w:spacing w:before="35" w:line="273" w:lineRule="auto"/>
        <w:ind w:left="959" w:right="799"/>
        <w:rPr>
          <w:sz w:val="20"/>
        </w:rPr>
      </w:pPr>
      <w:r>
        <w:rPr>
          <w:sz w:val="20"/>
        </w:rPr>
        <w:t>Note:</w:t>
      </w:r>
      <w:r>
        <w:rPr>
          <w:spacing w:val="-3"/>
          <w:sz w:val="20"/>
        </w:rPr>
        <w:t xml:space="preserve"> </w:t>
      </w:r>
      <w:r>
        <w:rPr>
          <w:sz w:val="20"/>
        </w:rPr>
        <w:t>Includes</w:t>
      </w:r>
      <w:r>
        <w:rPr>
          <w:spacing w:val="-3"/>
          <w:sz w:val="20"/>
        </w:rPr>
        <w:t xml:space="preserve"> </w:t>
      </w:r>
      <w:r>
        <w:rPr>
          <w:sz w:val="20"/>
        </w:rPr>
        <w:t>medical</w:t>
      </w:r>
      <w:r>
        <w:rPr>
          <w:spacing w:val="-4"/>
          <w:sz w:val="20"/>
        </w:rPr>
        <w:t xml:space="preserve"> </w:t>
      </w:r>
      <w:r>
        <w:rPr>
          <w:sz w:val="20"/>
        </w:rPr>
        <w:t>oncology</w:t>
      </w:r>
      <w:r>
        <w:rPr>
          <w:spacing w:val="-5"/>
          <w:sz w:val="20"/>
        </w:rPr>
        <w:t xml:space="preserve"> </w:t>
      </w:r>
      <w:r>
        <w:rPr>
          <w:sz w:val="20"/>
        </w:rPr>
        <w:t>discharges</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Massachusetts</w:t>
      </w:r>
      <w:r>
        <w:rPr>
          <w:spacing w:val="-3"/>
          <w:sz w:val="20"/>
        </w:rPr>
        <w:t xml:space="preserve"> </w:t>
      </w:r>
      <w:r>
        <w:rPr>
          <w:sz w:val="20"/>
        </w:rPr>
        <w:t>hospitals,</w:t>
      </w:r>
      <w:r>
        <w:rPr>
          <w:spacing w:val="-3"/>
          <w:sz w:val="20"/>
        </w:rPr>
        <w:t xml:space="preserve"> </w:t>
      </w:r>
      <w:r>
        <w:rPr>
          <w:sz w:val="20"/>
        </w:rPr>
        <w:t>excluding</w:t>
      </w:r>
      <w:r>
        <w:rPr>
          <w:spacing w:val="-4"/>
          <w:sz w:val="20"/>
        </w:rPr>
        <w:t xml:space="preserve"> </w:t>
      </w:r>
      <w:r>
        <w:rPr>
          <w:sz w:val="20"/>
        </w:rPr>
        <w:t>non-MA</w:t>
      </w:r>
      <w:r>
        <w:rPr>
          <w:spacing w:val="-5"/>
          <w:sz w:val="20"/>
        </w:rPr>
        <w:t xml:space="preserve"> </w:t>
      </w:r>
      <w:r>
        <w:rPr>
          <w:sz w:val="20"/>
        </w:rPr>
        <w:t>residents, normal newborns, and discharges for patients under 18 years of age.</w:t>
      </w:r>
    </w:p>
    <w:p w14:paraId="1C34EAE9" w14:textId="77777777" w:rsidR="004C558F" w:rsidRDefault="004C558F">
      <w:pPr>
        <w:pStyle w:val="BodyText"/>
        <w:spacing w:before="140"/>
        <w:rPr>
          <w:sz w:val="20"/>
        </w:rPr>
      </w:pPr>
    </w:p>
    <w:p w14:paraId="1C34EAEA" w14:textId="77777777" w:rsidR="004C558F" w:rsidRDefault="00461887">
      <w:pPr>
        <w:pStyle w:val="ListParagraph"/>
        <w:numPr>
          <w:ilvl w:val="3"/>
          <w:numId w:val="16"/>
        </w:numPr>
        <w:tabs>
          <w:tab w:val="left" w:pos="960"/>
        </w:tabs>
        <w:spacing w:line="242" w:lineRule="auto"/>
        <w:ind w:right="1290"/>
      </w:pPr>
      <w:bookmarkStart w:id="212" w:name="b._Based_on_certain_indicia_of_social_ne"/>
      <w:bookmarkEnd w:id="212"/>
      <w:r>
        <w:rPr>
          <w:color w:val="063656"/>
        </w:rPr>
        <w:t>Based</w:t>
      </w:r>
      <w:r>
        <w:rPr>
          <w:color w:val="063656"/>
          <w:spacing w:val="-4"/>
        </w:rPr>
        <w:t xml:space="preserve"> </w:t>
      </w:r>
      <w:r>
        <w:rPr>
          <w:color w:val="063656"/>
        </w:rPr>
        <w:t>on</w:t>
      </w:r>
      <w:r>
        <w:rPr>
          <w:color w:val="063656"/>
          <w:spacing w:val="-2"/>
        </w:rPr>
        <w:t xml:space="preserve"> </w:t>
      </w:r>
      <w:r>
        <w:rPr>
          <w:color w:val="063656"/>
        </w:rPr>
        <w:t>certain</w:t>
      </w:r>
      <w:r>
        <w:rPr>
          <w:color w:val="063656"/>
          <w:spacing w:val="-2"/>
        </w:rPr>
        <w:t xml:space="preserve"> </w:t>
      </w:r>
      <w:r>
        <w:rPr>
          <w:color w:val="063656"/>
        </w:rPr>
        <w:t>indicia</w:t>
      </w:r>
      <w:r>
        <w:rPr>
          <w:color w:val="063656"/>
          <w:spacing w:val="-1"/>
        </w:rPr>
        <w:t xml:space="preserve"> </w:t>
      </w:r>
      <w:r>
        <w:rPr>
          <w:color w:val="063656"/>
        </w:rPr>
        <w:t>of</w:t>
      </w:r>
      <w:r>
        <w:rPr>
          <w:color w:val="063656"/>
          <w:spacing w:val="-1"/>
        </w:rPr>
        <w:t xml:space="preserve"> </w:t>
      </w:r>
      <w:r>
        <w:rPr>
          <w:color w:val="063656"/>
        </w:rPr>
        <w:t>social</w:t>
      </w:r>
      <w:r>
        <w:rPr>
          <w:color w:val="063656"/>
          <w:spacing w:val="-3"/>
        </w:rPr>
        <w:t xml:space="preserve"> </w:t>
      </w:r>
      <w:r>
        <w:rPr>
          <w:color w:val="063656"/>
        </w:rPr>
        <w:t>need,</w:t>
      </w:r>
      <w:r>
        <w:rPr>
          <w:color w:val="063656"/>
          <w:spacing w:val="-5"/>
        </w:rPr>
        <w:t xml:space="preserve"> </w:t>
      </w:r>
      <w:r>
        <w:rPr>
          <w:color w:val="063656"/>
        </w:rPr>
        <w:t>BIDMC’s</w:t>
      </w:r>
      <w:r>
        <w:rPr>
          <w:color w:val="063656"/>
          <w:spacing w:val="-4"/>
        </w:rPr>
        <w:t xml:space="preserve"> </w:t>
      </w:r>
      <w:r>
        <w:rPr>
          <w:color w:val="063656"/>
        </w:rPr>
        <w:t>oncology</w:t>
      </w:r>
      <w:r>
        <w:rPr>
          <w:color w:val="063656"/>
          <w:spacing w:val="-3"/>
        </w:rPr>
        <w:t xml:space="preserve"> </w:t>
      </w:r>
      <w:r>
        <w:rPr>
          <w:color w:val="063656"/>
        </w:rPr>
        <w:t>patients</w:t>
      </w:r>
      <w:r>
        <w:rPr>
          <w:color w:val="063656"/>
          <w:spacing w:val="-4"/>
        </w:rPr>
        <w:t xml:space="preserve"> </w:t>
      </w:r>
      <w:r>
        <w:rPr>
          <w:color w:val="063656"/>
        </w:rPr>
        <w:t>reside</w:t>
      </w:r>
      <w:r>
        <w:rPr>
          <w:color w:val="063656"/>
          <w:spacing w:val="-2"/>
        </w:rPr>
        <w:t xml:space="preserve"> </w:t>
      </w:r>
      <w:r>
        <w:rPr>
          <w:color w:val="063656"/>
        </w:rPr>
        <w:t>in</w:t>
      </w:r>
      <w:r>
        <w:rPr>
          <w:color w:val="063656"/>
          <w:spacing w:val="-2"/>
        </w:rPr>
        <w:t xml:space="preserve"> </w:t>
      </w:r>
      <w:r>
        <w:rPr>
          <w:color w:val="063656"/>
        </w:rPr>
        <w:t>areas</w:t>
      </w:r>
      <w:r>
        <w:rPr>
          <w:color w:val="063656"/>
          <w:spacing w:val="-2"/>
        </w:rPr>
        <w:t xml:space="preserve"> </w:t>
      </w:r>
      <w:r>
        <w:rPr>
          <w:color w:val="063656"/>
        </w:rPr>
        <w:t>with</w:t>
      </w:r>
      <w:r>
        <w:rPr>
          <w:color w:val="063656"/>
          <w:spacing w:val="-2"/>
        </w:rPr>
        <w:t xml:space="preserve"> </w:t>
      </w:r>
      <w:r>
        <w:rPr>
          <w:color w:val="063656"/>
        </w:rPr>
        <w:t>greater social determinant of health burden than DFCI’s patients.</w:t>
      </w:r>
    </w:p>
    <w:p w14:paraId="1C34EAEB" w14:textId="58541AAF" w:rsidR="004C558F" w:rsidRDefault="00461887">
      <w:pPr>
        <w:pStyle w:val="BodyText"/>
        <w:spacing w:before="36" w:line="276" w:lineRule="auto"/>
        <w:ind w:left="959" w:right="1034" w:firstLine="720"/>
      </w:pPr>
      <w:r>
        <w:t>The</w:t>
      </w:r>
      <w:r>
        <w:rPr>
          <w:spacing w:val="-3"/>
        </w:rPr>
        <w:t xml:space="preserve"> </w:t>
      </w:r>
      <w:r>
        <w:t>HPC</w:t>
      </w:r>
      <w:r>
        <w:rPr>
          <w:spacing w:val="-4"/>
        </w:rPr>
        <w:t xml:space="preserve"> </w:t>
      </w:r>
      <w:r>
        <w:t>examined</w:t>
      </w:r>
      <w:r>
        <w:rPr>
          <w:spacing w:val="-2"/>
        </w:rPr>
        <w:t xml:space="preserve"> </w:t>
      </w:r>
      <w:r>
        <w:t>whether</w:t>
      </w:r>
      <w:r>
        <w:rPr>
          <w:spacing w:val="-4"/>
        </w:rPr>
        <w:t xml:space="preserve"> </w:t>
      </w:r>
      <w:r>
        <w:t>the</w:t>
      </w:r>
      <w:r>
        <w:rPr>
          <w:spacing w:val="-3"/>
        </w:rPr>
        <w:t xml:space="preserve"> </w:t>
      </w:r>
      <w:r>
        <w:t>parties’</w:t>
      </w:r>
      <w:r>
        <w:rPr>
          <w:spacing w:val="-3"/>
        </w:rPr>
        <w:t xml:space="preserve"> </w:t>
      </w:r>
      <w:r>
        <w:t>oncology</w:t>
      </w:r>
      <w:r>
        <w:rPr>
          <w:spacing w:val="-4"/>
        </w:rPr>
        <w:t xml:space="preserve"> </w:t>
      </w:r>
      <w:r>
        <w:t>inpatients</w:t>
      </w:r>
      <w:r>
        <w:rPr>
          <w:spacing w:val="-5"/>
        </w:rPr>
        <w:t xml:space="preserve"> </w:t>
      </w:r>
      <w:r>
        <w:t>come</w:t>
      </w:r>
      <w:r>
        <w:rPr>
          <w:spacing w:val="-3"/>
        </w:rPr>
        <w:t xml:space="preserve"> </w:t>
      </w:r>
      <w:r>
        <w:t>from</w:t>
      </w:r>
      <w:r>
        <w:rPr>
          <w:spacing w:val="-3"/>
        </w:rPr>
        <w:t xml:space="preserve"> </w:t>
      </w:r>
      <w:r>
        <w:t>communities</w:t>
      </w:r>
      <w:r>
        <w:rPr>
          <w:spacing w:val="-3"/>
        </w:rPr>
        <w:t xml:space="preserve"> </w:t>
      </w:r>
      <w:r>
        <w:t>with greater indicia of social need compared to statewide and comparator hospitals.</w:t>
      </w:r>
      <w:r>
        <w:rPr>
          <w:spacing w:val="-33"/>
        </w:rPr>
        <w:t xml:space="preserve"> </w:t>
      </w:r>
      <w:r w:rsidR="00235CD2">
        <w:rPr>
          <w:rStyle w:val="FootnoteReference"/>
          <w:spacing w:val="-33"/>
        </w:rPr>
        <w:footnoteReference w:id="236"/>
      </w:r>
      <w:r>
        <w:t>The social determinant of health (</w:t>
      </w:r>
      <w:proofErr w:type="spellStart"/>
      <w:r>
        <w:t>SDoH</w:t>
      </w:r>
      <w:proofErr w:type="spellEnd"/>
      <w:r>
        <w:t>) metrics examined included per capita income, the proportion of households with limited English speaking, and the proportion of the population that was unemployed.</w:t>
      </w:r>
      <w:r w:rsidR="00235CD2">
        <w:rPr>
          <w:rStyle w:val="FootnoteReference"/>
        </w:rPr>
        <w:footnoteReference w:id="237"/>
      </w:r>
      <w:r>
        <w:rPr>
          <w:spacing w:val="-33"/>
        </w:rPr>
        <w:t xml:space="preserve"> </w:t>
      </w:r>
      <w:r>
        <w:t xml:space="preserve">As shown in Figure III.C.5, we found that DFCI’s oncology patients on average reside in areas with a lesser </w:t>
      </w:r>
      <w:proofErr w:type="spellStart"/>
      <w:r>
        <w:t>SDoH</w:t>
      </w:r>
      <w:proofErr w:type="spellEnd"/>
      <w:r>
        <w:t xml:space="preserve"> burden than the statewide average and a lesser burden than BIDMC, while BIDMC oncology patients tended to come from communities with a higher proportion of households with limited English speaking and a higher unemployment rate.</w:t>
      </w:r>
    </w:p>
    <w:p w14:paraId="1C34EAEC" w14:textId="77777777" w:rsidR="004C558F" w:rsidRDefault="004C558F">
      <w:pPr>
        <w:pStyle w:val="BodyText"/>
        <w:rPr>
          <w:sz w:val="20"/>
        </w:rPr>
      </w:pPr>
    </w:p>
    <w:p w14:paraId="1C34EAED" w14:textId="77777777" w:rsidR="004C558F" w:rsidRDefault="004C558F">
      <w:pPr>
        <w:pStyle w:val="BodyText"/>
        <w:rPr>
          <w:sz w:val="20"/>
        </w:rPr>
      </w:pPr>
    </w:p>
    <w:p w14:paraId="1C34EAEE" w14:textId="77777777" w:rsidR="004C558F" w:rsidRDefault="004C558F">
      <w:pPr>
        <w:pStyle w:val="BodyText"/>
        <w:rPr>
          <w:sz w:val="20"/>
        </w:rPr>
      </w:pPr>
    </w:p>
    <w:p w14:paraId="1C34EAEF" w14:textId="77777777" w:rsidR="004C558F" w:rsidRDefault="004C558F">
      <w:pPr>
        <w:pStyle w:val="BodyText"/>
        <w:rPr>
          <w:sz w:val="20"/>
        </w:rPr>
      </w:pPr>
    </w:p>
    <w:p w14:paraId="1C34EAF0" w14:textId="77777777" w:rsidR="004C558F" w:rsidRDefault="004C558F">
      <w:pPr>
        <w:pStyle w:val="BodyText"/>
        <w:rPr>
          <w:sz w:val="20"/>
        </w:rPr>
      </w:pPr>
    </w:p>
    <w:p w14:paraId="1C34EAF1" w14:textId="77777777" w:rsidR="004C558F" w:rsidRDefault="004C558F">
      <w:pPr>
        <w:pStyle w:val="BodyText"/>
        <w:rPr>
          <w:sz w:val="20"/>
        </w:rPr>
      </w:pPr>
    </w:p>
    <w:p w14:paraId="1C34EAF2" w14:textId="77777777" w:rsidR="004C558F" w:rsidRDefault="004C558F">
      <w:pPr>
        <w:pStyle w:val="BodyText"/>
        <w:rPr>
          <w:sz w:val="20"/>
        </w:rPr>
      </w:pPr>
    </w:p>
    <w:p w14:paraId="1C34EAF3" w14:textId="51CB19E8" w:rsidR="004C558F" w:rsidRDefault="004C558F">
      <w:pPr>
        <w:pStyle w:val="BodyText"/>
        <w:spacing w:before="34"/>
        <w:rPr>
          <w:sz w:val="20"/>
        </w:rPr>
      </w:pPr>
    </w:p>
    <w:p w14:paraId="1C34EAF6" w14:textId="77777777" w:rsidR="004C558F" w:rsidRDefault="004C558F">
      <w:pPr>
        <w:jc w:val="both"/>
        <w:rPr>
          <w:sz w:val="20"/>
        </w:rPr>
        <w:sectPr w:rsidR="004C558F">
          <w:pgSz w:w="12240" w:h="15840"/>
          <w:pgMar w:top="1360" w:right="740" w:bottom="720" w:left="480" w:header="0" w:footer="521" w:gutter="0"/>
          <w:cols w:space="720"/>
        </w:sectPr>
      </w:pPr>
      <w:bookmarkStart w:id="213" w:name="_bookmark269"/>
      <w:bookmarkEnd w:id="213"/>
    </w:p>
    <w:p w14:paraId="1C34EAF7" w14:textId="77777777" w:rsidR="004C558F" w:rsidRDefault="00461887">
      <w:pPr>
        <w:pStyle w:val="BodyText"/>
        <w:spacing w:before="80" w:line="276" w:lineRule="auto"/>
        <w:ind w:left="3345" w:right="702" w:hanging="2019"/>
      </w:pPr>
      <w:r>
        <w:lastRenderedPageBreak/>
        <w:t>Figure</w:t>
      </w:r>
      <w:r>
        <w:rPr>
          <w:spacing w:val="-2"/>
        </w:rPr>
        <w:t xml:space="preserve"> </w:t>
      </w:r>
      <w:r>
        <w:t>III.C.5:</w:t>
      </w:r>
      <w:r>
        <w:rPr>
          <w:spacing w:val="-2"/>
        </w:rPr>
        <w:t xml:space="preserve"> </w:t>
      </w:r>
      <w:r>
        <w:t>Select</w:t>
      </w:r>
      <w:r>
        <w:rPr>
          <w:spacing w:val="-3"/>
        </w:rPr>
        <w:t xml:space="preserve"> </w:t>
      </w:r>
      <w:proofErr w:type="spellStart"/>
      <w:r>
        <w:t>SDoH</w:t>
      </w:r>
      <w:proofErr w:type="spellEnd"/>
      <w:r>
        <w:rPr>
          <w:spacing w:val="-5"/>
        </w:rPr>
        <w:t xml:space="preserve"> </w:t>
      </w:r>
      <w:r>
        <w:t>Measures</w:t>
      </w:r>
      <w:r>
        <w:rPr>
          <w:spacing w:val="-2"/>
        </w:rPr>
        <w:t xml:space="preserve"> </w:t>
      </w:r>
      <w:r>
        <w:t>for</w:t>
      </w:r>
      <w:r>
        <w:rPr>
          <w:spacing w:val="-6"/>
        </w:rPr>
        <w:t xml:space="preserve"> </w:t>
      </w:r>
      <w:r>
        <w:t>Medical</w:t>
      </w:r>
      <w:r>
        <w:rPr>
          <w:spacing w:val="-5"/>
        </w:rPr>
        <w:t xml:space="preserve"> </w:t>
      </w:r>
      <w:r>
        <w:t>and</w:t>
      </w:r>
      <w:r>
        <w:rPr>
          <w:spacing w:val="-1"/>
        </w:rPr>
        <w:t xml:space="preserve"> </w:t>
      </w:r>
      <w:r>
        <w:t>Surgical</w:t>
      </w:r>
      <w:r>
        <w:rPr>
          <w:spacing w:val="-3"/>
        </w:rPr>
        <w:t xml:space="preserve"> </w:t>
      </w:r>
      <w:r>
        <w:t>Oncology</w:t>
      </w:r>
      <w:r>
        <w:rPr>
          <w:spacing w:val="-3"/>
        </w:rPr>
        <w:t xml:space="preserve"> </w:t>
      </w:r>
      <w:r>
        <w:t>Inpatients</w:t>
      </w:r>
      <w:r>
        <w:rPr>
          <w:spacing w:val="-2"/>
        </w:rPr>
        <w:t xml:space="preserve"> </w:t>
      </w:r>
      <w:r>
        <w:t>of</w:t>
      </w:r>
      <w:r>
        <w:rPr>
          <w:spacing w:val="-1"/>
        </w:rPr>
        <w:t xml:space="preserve"> </w:t>
      </w:r>
      <w:r>
        <w:t>Party Hospitals, Comparators, and Statewide (2023)</w:t>
      </w:r>
    </w:p>
    <w:tbl>
      <w:tblPr>
        <w:tblW w:w="0" w:type="auto"/>
        <w:tblInd w:w="97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2882"/>
        <w:gridCol w:w="4905"/>
        <w:gridCol w:w="1291"/>
      </w:tblGrid>
      <w:tr w:rsidR="004C558F" w14:paraId="1C34EAFB" w14:textId="77777777" w:rsidTr="001604AD">
        <w:trPr>
          <w:cantSplit/>
          <w:trHeight w:val="297"/>
          <w:tblHeader/>
        </w:trPr>
        <w:tc>
          <w:tcPr>
            <w:tcW w:w="2882" w:type="dxa"/>
            <w:tcBorders>
              <w:bottom w:val="single" w:sz="4" w:space="0" w:color="DBDBDB"/>
            </w:tcBorders>
            <w:shd w:val="clear" w:color="auto" w:fill="084875"/>
          </w:tcPr>
          <w:p w14:paraId="1C34EAF8" w14:textId="77777777" w:rsidR="004C558F" w:rsidRDefault="004C558F">
            <w:pPr>
              <w:pStyle w:val="TableParagraph"/>
              <w:spacing w:before="0"/>
              <w:jc w:val="left"/>
              <w:rPr>
                <w:rFonts w:ascii="Times New Roman"/>
                <w:sz w:val="20"/>
              </w:rPr>
            </w:pPr>
          </w:p>
        </w:tc>
        <w:tc>
          <w:tcPr>
            <w:tcW w:w="4905" w:type="dxa"/>
            <w:shd w:val="clear" w:color="auto" w:fill="084875"/>
          </w:tcPr>
          <w:p w14:paraId="1C34EAF9" w14:textId="77777777" w:rsidR="004C558F" w:rsidRDefault="00461887">
            <w:pPr>
              <w:pStyle w:val="TableParagraph"/>
              <w:spacing w:before="4"/>
              <w:ind w:left="4"/>
              <w:jc w:val="center"/>
              <w:rPr>
                <w:rFonts w:ascii="Franklin Gothic Medium Cond"/>
              </w:rPr>
            </w:pPr>
            <w:r>
              <w:rPr>
                <w:rFonts w:ascii="Franklin Gothic Medium Cond"/>
                <w:color w:val="FFFFFF"/>
                <w:spacing w:val="-2"/>
              </w:rPr>
              <w:t>Hospital</w:t>
            </w:r>
          </w:p>
        </w:tc>
        <w:tc>
          <w:tcPr>
            <w:tcW w:w="1291" w:type="dxa"/>
            <w:shd w:val="clear" w:color="auto" w:fill="084875"/>
          </w:tcPr>
          <w:p w14:paraId="1C34EAFA" w14:textId="77777777" w:rsidR="004C558F" w:rsidRDefault="00461887">
            <w:pPr>
              <w:pStyle w:val="TableParagraph"/>
              <w:spacing w:before="4"/>
              <w:ind w:right="66"/>
              <w:rPr>
                <w:rFonts w:ascii="Franklin Gothic Medium Cond"/>
              </w:rPr>
            </w:pPr>
            <w:r>
              <w:rPr>
                <w:rFonts w:ascii="Franklin Gothic Medium Cond"/>
                <w:color w:val="FFFFFF"/>
              </w:rPr>
              <w:t>Average</w:t>
            </w:r>
            <w:r>
              <w:rPr>
                <w:rFonts w:ascii="Franklin Gothic Medium Cond"/>
                <w:color w:val="FFFFFF"/>
                <w:spacing w:val="-4"/>
              </w:rPr>
              <w:t xml:space="preserve"> </w:t>
            </w:r>
            <w:r>
              <w:rPr>
                <w:rFonts w:ascii="Franklin Gothic Medium Cond"/>
                <w:color w:val="FFFFFF"/>
                <w:spacing w:val="-2"/>
              </w:rPr>
              <w:t>Value</w:t>
            </w:r>
          </w:p>
        </w:tc>
      </w:tr>
      <w:tr w:rsidR="004C558F" w14:paraId="1C34EB02" w14:textId="77777777" w:rsidTr="001604AD">
        <w:trPr>
          <w:cantSplit/>
          <w:trHeight w:val="270"/>
        </w:trPr>
        <w:tc>
          <w:tcPr>
            <w:tcW w:w="2882" w:type="dxa"/>
            <w:tcBorders>
              <w:bottom w:val="nil"/>
            </w:tcBorders>
            <w:shd w:val="clear" w:color="auto" w:fill="084875"/>
          </w:tcPr>
          <w:p w14:paraId="1C34EAFF" w14:textId="77777777" w:rsidR="004C558F" w:rsidRDefault="00461887">
            <w:pPr>
              <w:pStyle w:val="TableParagraph"/>
              <w:spacing w:before="1"/>
              <w:ind w:left="698"/>
              <w:jc w:val="left"/>
              <w:rPr>
                <w:rFonts w:ascii="Franklin Gothic Medium Cond"/>
              </w:rPr>
            </w:pPr>
            <w:r>
              <w:rPr>
                <w:rFonts w:ascii="Franklin Gothic Medium Cond"/>
                <w:color w:val="FFFFFF"/>
              </w:rPr>
              <w:t>Per</w:t>
            </w:r>
            <w:r>
              <w:rPr>
                <w:rFonts w:ascii="Franklin Gothic Medium Cond"/>
                <w:color w:val="FFFFFF"/>
                <w:spacing w:val="-4"/>
              </w:rPr>
              <w:t xml:space="preserve"> </w:t>
            </w:r>
            <w:r>
              <w:rPr>
                <w:rFonts w:ascii="Franklin Gothic Medium Cond"/>
                <w:color w:val="FFFFFF"/>
              </w:rPr>
              <w:t>Capita</w:t>
            </w:r>
            <w:r>
              <w:rPr>
                <w:rFonts w:ascii="Franklin Gothic Medium Cond"/>
                <w:color w:val="FFFFFF"/>
                <w:spacing w:val="-1"/>
              </w:rPr>
              <w:t xml:space="preserve"> </w:t>
            </w:r>
            <w:r>
              <w:rPr>
                <w:rFonts w:ascii="Franklin Gothic Medium Cond"/>
                <w:color w:val="FFFFFF"/>
                <w:spacing w:val="-2"/>
              </w:rPr>
              <w:t>Income</w:t>
            </w:r>
          </w:p>
        </w:tc>
        <w:tc>
          <w:tcPr>
            <w:tcW w:w="4905" w:type="dxa"/>
          </w:tcPr>
          <w:p w14:paraId="1C34EB00" w14:textId="77777777" w:rsidR="004C558F" w:rsidRDefault="00461887">
            <w:pPr>
              <w:pStyle w:val="TableParagraph"/>
              <w:spacing w:before="6"/>
              <w:ind w:left="5"/>
              <w:jc w:val="left"/>
              <w:rPr>
                <w:sz w:val="20"/>
              </w:rPr>
            </w:pPr>
            <w:r>
              <w:rPr>
                <w:sz w:val="20"/>
              </w:rPr>
              <w:t>UMass</w:t>
            </w:r>
            <w:r>
              <w:rPr>
                <w:spacing w:val="-7"/>
                <w:sz w:val="20"/>
              </w:rPr>
              <w:t xml:space="preserve"> </w:t>
            </w:r>
            <w:r>
              <w:rPr>
                <w:sz w:val="20"/>
              </w:rPr>
              <w:t>Memorial</w:t>
            </w:r>
            <w:r>
              <w:rPr>
                <w:spacing w:val="-8"/>
                <w:sz w:val="20"/>
              </w:rPr>
              <w:t xml:space="preserve"> </w:t>
            </w:r>
            <w:r>
              <w:rPr>
                <w:sz w:val="20"/>
              </w:rPr>
              <w:t>Medical</w:t>
            </w:r>
            <w:r>
              <w:rPr>
                <w:spacing w:val="-8"/>
                <w:sz w:val="20"/>
              </w:rPr>
              <w:t xml:space="preserve"> </w:t>
            </w:r>
            <w:r>
              <w:rPr>
                <w:spacing w:val="-2"/>
                <w:sz w:val="20"/>
              </w:rPr>
              <w:t>Center</w:t>
            </w:r>
          </w:p>
        </w:tc>
        <w:tc>
          <w:tcPr>
            <w:tcW w:w="1291" w:type="dxa"/>
          </w:tcPr>
          <w:p w14:paraId="1C34EB01" w14:textId="77777777" w:rsidR="004C558F" w:rsidRDefault="00461887">
            <w:pPr>
              <w:pStyle w:val="TableParagraph"/>
              <w:spacing w:before="6"/>
              <w:ind w:left="219"/>
              <w:jc w:val="left"/>
              <w:rPr>
                <w:sz w:val="20"/>
              </w:rPr>
            </w:pPr>
            <w:r>
              <w:rPr>
                <w:sz w:val="20"/>
              </w:rPr>
              <w:t>$</w:t>
            </w:r>
            <w:r>
              <w:rPr>
                <w:spacing w:val="74"/>
                <w:w w:val="150"/>
                <w:sz w:val="20"/>
              </w:rPr>
              <w:t xml:space="preserve"> </w:t>
            </w:r>
            <w:r>
              <w:rPr>
                <w:spacing w:val="-2"/>
                <w:sz w:val="20"/>
              </w:rPr>
              <w:t>38,853</w:t>
            </w:r>
          </w:p>
        </w:tc>
      </w:tr>
      <w:tr w:rsidR="005C21C5" w14:paraId="1C34EB06" w14:textId="77777777" w:rsidTr="001604AD">
        <w:trPr>
          <w:cantSplit/>
          <w:trHeight w:val="270"/>
        </w:trPr>
        <w:tc>
          <w:tcPr>
            <w:tcW w:w="2882" w:type="dxa"/>
            <w:tcBorders>
              <w:top w:val="nil"/>
              <w:bottom w:val="nil"/>
            </w:tcBorders>
            <w:shd w:val="clear" w:color="auto" w:fill="084875"/>
          </w:tcPr>
          <w:p w14:paraId="1C34EB03" w14:textId="72CB2C4F"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shd w:val="clear" w:color="auto" w:fill="BEBEBE"/>
          </w:tcPr>
          <w:p w14:paraId="1C34EB04" w14:textId="77777777" w:rsidR="005C21C5" w:rsidRDefault="005C21C5" w:rsidP="005C21C5">
            <w:pPr>
              <w:pStyle w:val="TableParagraph"/>
              <w:spacing w:before="6"/>
              <w:ind w:left="5"/>
              <w:jc w:val="left"/>
              <w:rPr>
                <w:sz w:val="20"/>
              </w:rPr>
            </w:pPr>
            <w:r>
              <w:rPr>
                <w:spacing w:val="-2"/>
                <w:sz w:val="20"/>
              </w:rPr>
              <w:t>Statewide</w:t>
            </w:r>
          </w:p>
        </w:tc>
        <w:tc>
          <w:tcPr>
            <w:tcW w:w="1291" w:type="dxa"/>
            <w:shd w:val="clear" w:color="auto" w:fill="BEBEBE"/>
          </w:tcPr>
          <w:p w14:paraId="1C34EB05"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45,350</w:t>
            </w:r>
          </w:p>
        </w:tc>
      </w:tr>
      <w:tr w:rsidR="005C21C5" w14:paraId="1C34EB0A" w14:textId="77777777" w:rsidTr="001604AD">
        <w:trPr>
          <w:cantSplit/>
          <w:trHeight w:val="270"/>
        </w:trPr>
        <w:tc>
          <w:tcPr>
            <w:tcW w:w="2882" w:type="dxa"/>
            <w:tcBorders>
              <w:top w:val="nil"/>
              <w:bottom w:val="nil"/>
            </w:tcBorders>
            <w:shd w:val="clear" w:color="auto" w:fill="084875"/>
          </w:tcPr>
          <w:p w14:paraId="1C34EB07" w14:textId="776FC64F"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tcPr>
          <w:p w14:paraId="1C34EB08" w14:textId="77777777" w:rsidR="005C21C5" w:rsidRDefault="005C21C5" w:rsidP="005C21C5">
            <w:pPr>
              <w:pStyle w:val="TableParagraph"/>
              <w:spacing w:before="6"/>
              <w:ind w:left="5"/>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291" w:type="dxa"/>
          </w:tcPr>
          <w:p w14:paraId="1C34EB09"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48,512</w:t>
            </w:r>
          </w:p>
        </w:tc>
      </w:tr>
      <w:tr w:rsidR="005C21C5" w14:paraId="1C34EB0E" w14:textId="77777777" w:rsidTr="001604AD">
        <w:trPr>
          <w:cantSplit/>
          <w:trHeight w:val="270"/>
        </w:trPr>
        <w:tc>
          <w:tcPr>
            <w:tcW w:w="2882" w:type="dxa"/>
            <w:tcBorders>
              <w:top w:val="nil"/>
              <w:bottom w:val="nil"/>
            </w:tcBorders>
            <w:shd w:val="clear" w:color="auto" w:fill="084875"/>
          </w:tcPr>
          <w:p w14:paraId="1C34EB0B" w14:textId="1617CF65"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tcPr>
          <w:p w14:paraId="1C34EB0C" w14:textId="77777777" w:rsidR="005C21C5" w:rsidRDefault="005C21C5" w:rsidP="005C21C5">
            <w:pPr>
              <w:pStyle w:val="TableParagraph"/>
              <w:spacing w:before="6"/>
              <w:ind w:left="5"/>
              <w:jc w:val="left"/>
              <w:rPr>
                <w:sz w:val="20"/>
              </w:rPr>
            </w:pPr>
            <w:r>
              <w:rPr>
                <w:sz w:val="20"/>
              </w:rPr>
              <w:t>South</w:t>
            </w:r>
            <w:r>
              <w:rPr>
                <w:spacing w:val="-6"/>
                <w:sz w:val="20"/>
              </w:rPr>
              <w:t xml:space="preserve"> </w:t>
            </w:r>
            <w:r>
              <w:rPr>
                <w:sz w:val="20"/>
              </w:rPr>
              <w:t>Shore</w:t>
            </w:r>
            <w:r>
              <w:rPr>
                <w:spacing w:val="-6"/>
                <w:sz w:val="20"/>
              </w:rPr>
              <w:t xml:space="preserve"> </w:t>
            </w:r>
            <w:r>
              <w:rPr>
                <w:spacing w:val="-2"/>
                <w:sz w:val="20"/>
              </w:rPr>
              <w:t>Hospital</w:t>
            </w:r>
          </w:p>
        </w:tc>
        <w:tc>
          <w:tcPr>
            <w:tcW w:w="1291" w:type="dxa"/>
          </w:tcPr>
          <w:p w14:paraId="1C34EB0D"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48,795</w:t>
            </w:r>
          </w:p>
        </w:tc>
      </w:tr>
      <w:tr w:rsidR="005C21C5" w14:paraId="1C34EB12" w14:textId="77777777" w:rsidTr="001604AD">
        <w:trPr>
          <w:cantSplit/>
          <w:trHeight w:val="270"/>
        </w:trPr>
        <w:tc>
          <w:tcPr>
            <w:tcW w:w="2882" w:type="dxa"/>
            <w:tcBorders>
              <w:top w:val="nil"/>
              <w:bottom w:val="nil"/>
            </w:tcBorders>
            <w:shd w:val="clear" w:color="auto" w:fill="084875"/>
          </w:tcPr>
          <w:p w14:paraId="1C34EB0F" w14:textId="2A7C1190"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shd w:val="clear" w:color="auto" w:fill="DAEDF3"/>
          </w:tcPr>
          <w:p w14:paraId="1C34EB10" w14:textId="77777777" w:rsidR="005C21C5" w:rsidRDefault="005C21C5" w:rsidP="005C21C5">
            <w:pPr>
              <w:pStyle w:val="TableParagraph"/>
              <w:spacing w:before="6"/>
              <w:ind w:left="5"/>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291" w:type="dxa"/>
            <w:shd w:val="clear" w:color="auto" w:fill="DAEDF3"/>
          </w:tcPr>
          <w:p w14:paraId="1C34EB11"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49,315</w:t>
            </w:r>
          </w:p>
        </w:tc>
      </w:tr>
      <w:tr w:rsidR="005C21C5" w14:paraId="1C34EB16" w14:textId="77777777" w:rsidTr="001604AD">
        <w:trPr>
          <w:cantSplit/>
          <w:trHeight w:val="270"/>
        </w:trPr>
        <w:tc>
          <w:tcPr>
            <w:tcW w:w="2882" w:type="dxa"/>
            <w:tcBorders>
              <w:top w:val="nil"/>
              <w:bottom w:val="nil"/>
            </w:tcBorders>
            <w:shd w:val="clear" w:color="auto" w:fill="084875"/>
          </w:tcPr>
          <w:p w14:paraId="1C34EB13" w14:textId="74BA79CE"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tcPr>
          <w:p w14:paraId="1C34EB14" w14:textId="77777777" w:rsidR="005C21C5" w:rsidRDefault="005C21C5" w:rsidP="005C21C5">
            <w:pPr>
              <w:pStyle w:val="TableParagraph"/>
              <w:spacing w:before="6"/>
              <w:ind w:left="5"/>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291" w:type="dxa"/>
          </w:tcPr>
          <w:p w14:paraId="1C34EB15"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49,671</w:t>
            </w:r>
          </w:p>
        </w:tc>
      </w:tr>
      <w:tr w:rsidR="005C21C5" w14:paraId="1C34EB1A" w14:textId="77777777" w:rsidTr="001604AD">
        <w:trPr>
          <w:cantSplit/>
          <w:trHeight w:val="270"/>
        </w:trPr>
        <w:tc>
          <w:tcPr>
            <w:tcW w:w="2882" w:type="dxa"/>
            <w:tcBorders>
              <w:top w:val="nil"/>
              <w:bottom w:val="nil"/>
            </w:tcBorders>
            <w:shd w:val="clear" w:color="auto" w:fill="084875"/>
          </w:tcPr>
          <w:p w14:paraId="1C34EB17" w14:textId="30DFD264"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shd w:val="clear" w:color="auto" w:fill="DAEDF3"/>
          </w:tcPr>
          <w:p w14:paraId="1C34EB18" w14:textId="77777777" w:rsidR="005C21C5" w:rsidRDefault="005C21C5" w:rsidP="005C21C5">
            <w:pPr>
              <w:pStyle w:val="TableParagraph"/>
              <w:spacing w:before="6"/>
              <w:ind w:left="5"/>
              <w:jc w:val="left"/>
              <w:rPr>
                <w:sz w:val="20"/>
              </w:rPr>
            </w:pPr>
            <w:r>
              <w:rPr>
                <w:sz w:val="20"/>
              </w:rPr>
              <w:t>Dana-Farber</w:t>
            </w:r>
            <w:r>
              <w:rPr>
                <w:spacing w:val="-10"/>
                <w:sz w:val="20"/>
              </w:rPr>
              <w:t xml:space="preserve"> </w:t>
            </w:r>
            <w:r>
              <w:rPr>
                <w:sz w:val="20"/>
              </w:rPr>
              <w:t>Cancer</w:t>
            </w:r>
            <w:r>
              <w:rPr>
                <w:spacing w:val="-9"/>
                <w:sz w:val="20"/>
              </w:rPr>
              <w:t xml:space="preserve"> </w:t>
            </w:r>
            <w:r>
              <w:rPr>
                <w:spacing w:val="-2"/>
                <w:sz w:val="20"/>
              </w:rPr>
              <w:t>Institute</w:t>
            </w:r>
          </w:p>
        </w:tc>
        <w:tc>
          <w:tcPr>
            <w:tcW w:w="1291" w:type="dxa"/>
            <w:shd w:val="clear" w:color="auto" w:fill="DAEDF3"/>
          </w:tcPr>
          <w:p w14:paraId="1C34EB19"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49,924</w:t>
            </w:r>
          </w:p>
        </w:tc>
      </w:tr>
      <w:tr w:rsidR="005C21C5" w14:paraId="1C34EB1E" w14:textId="77777777" w:rsidTr="001604AD">
        <w:trPr>
          <w:cantSplit/>
          <w:trHeight w:val="270"/>
        </w:trPr>
        <w:tc>
          <w:tcPr>
            <w:tcW w:w="2882" w:type="dxa"/>
            <w:tcBorders>
              <w:top w:val="nil"/>
              <w:bottom w:val="single" w:sz="4" w:space="0" w:color="DBDBDB"/>
            </w:tcBorders>
            <w:shd w:val="clear" w:color="auto" w:fill="084875"/>
          </w:tcPr>
          <w:p w14:paraId="1C34EB1B" w14:textId="1597183A" w:rsidR="005C21C5" w:rsidRPr="005C21C5" w:rsidRDefault="005C21C5" w:rsidP="005C21C5">
            <w:pPr>
              <w:rPr>
                <w:color w:val="1F497D" w:themeColor="text2"/>
                <w:sz w:val="2"/>
                <w:szCs w:val="2"/>
              </w:rPr>
            </w:pPr>
            <w:r w:rsidRPr="005C21C5">
              <w:rPr>
                <w:rFonts w:ascii="Franklin Gothic Medium Cond"/>
                <w:color w:val="1F497D" w:themeColor="text2"/>
              </w:rPr>
              <w:t>Per</w:t>
            </w:r>
            <w:r w:rsidRPr="005C21C5">
              <w:rPr>
                <w:rFonts w:ascii="Franklin Gothic Medium Cond"/>
                <w:color w:val="1F497D" w:themeColor="text2"/>
                <w:spacing w:val="-4"/>
              </w:rPr>
              <w:t xml:space="preserve"> </w:t>
            </w:r>
            <w:r w:rsidRPr="005C21C5">
              <w:rPr>
                <w:rFonts w:ascii="Franklin Gothic Medium Cond"/>
                <w:color w:val="1F497D" w:themeColor="text2"/>
              </w:rPr>
              <w:t>Capita</w:t>
            </w:r>
            <w:r w:rsidRPr="005C21C5">
              <w:rPr>
                <w:rFonts w:ascii="Franklin Gothic Medium Cond"/>
                <w:color w:val="1F497D" w:themeColor="text2"/>
                <w:spacing w:val="-1"/>
              </w:rPr>
              <w:t xml:space="preserve"> </w:t>
            </w:r>
            <w:r w:rsidRPr="005C21C5">
              <w:rPr>
                <w:rFonts w:ascii="Franklin Gothic Medium Cond"/>
                <w:color w:val="1F497D" w:themeColor="text2"/>
                <w:spacing w:val="-2"/>
              </w:rPr>
              <w:t>Income</w:t>
            </w:r>
          </w:p>
        </w:tc>
        <w:tc>
          <w:tcPr>
            <w:tcW w:w="4905" w:type="dxa"/>
          </w:tcPr>
          <w:p w14:paraId="1C34EB1C" w14:textId="77777777" w:rsidR="005C21C5" w:rsidRDefault="005C21C5" w:rsidP="005C21C5">
            <w:pPr>
              <w:pStyle w:val="TableParagraph"/>
              <w:spacing w:before="6"/>
              <w:ind w:left="5"/>
              <w:jc w:val="left"/>
              <w:rPr>
                <w:sz w:val="20"/>
              </w:rPr>
            </w:pPr>
            <w:r>
              <w:rPr>
                <w:sz w:val="20"/>
              </w:rPr>
              <w:t>Massachusetts</w:t>
            </w:r>
            <w:r>
              <w:rPr>
                <w:spacing w:val="-9"/>
                <w:sz w:val="20"/>
              </w:rPr>
              <w:t xml:space="preserve"> </w:t>
            </w:r>
            <w:r>
              <w:rPr>
                <w:sz w:val="20"/>
              </w:rPr>
              <w:t>General</w:t>
            </w:r>
            <w:r>
              <w:rPr>
                <w:spacing w:val="-10"/>
                <w:sz w:val="20"/>
              </w:rPr>
              <w:t xml:space="preserve"> </w:t>
            </w:r>
            <w:r>
              <w:rPr>
                <w:spacing w:val="-2"/>
                <w:sz w:val="20"/>
              </w:rPr>
              <w:t>Hospital</w:t>
            </w:r>
          </w:p>
        </w:tc>
        <w:tc>
          <w:tcPr>
            <w:tcW w:w="1291" w:type="dxa"/>
          </w:tcPr>
          <w:p w14:paraId="1C34EB1D" w14:textId="77777777" w:rsidR="005C21C5" w:rsidRDefault="005C21C5" w:rsidP="005C21C5">
            <w:pPr>
              <w:pStyle w:val="TableParagraph"/>
              <w:spacing w:before="6"/>
              <w:ind w:left="219"/>
              <w:jc w:val="left"/>
              <w:rPr>
                <w:sz w:val="20"/>
              </w:rPr>
            </w:pPr>
            <w:r>
              <w:rPr>
                <w:sz w:val="20"/>
              </w:rPr>
              <w:t>$</w:t>
            </w:r>
            <w:r>
              <w:rPr>
                <w:spacing w:val="74"/>
                <w:w w:val="150"/>
                <w:sz w:val="20"/>
              </w:rPr>
              <w:t xml:space="preserve"> </w:t>
            </w:r>
            <w:r>
              <w:rPr>
                <w:spacing w:val="-2"/>
                <w:sz w:val="20"/>
              </w:rPr>
              <w:t>50,629</w:t>
            </w:r>
          </w:p>
        </w:tc>
      </w:tr>
      <w:tr w:rsidR="004C558F" w14:paraId="1C34EB25" w14:textId="77777777" w:rsidTr="001604AD">
        <w:trPr>
          <w:cantSplit/>
          <w:trHeight w:val="270"/>
        </w:trPr>
        <w:tc>
          <w:tcPr>
            <w:tcW w:w="2882" w:type="dxa"/>
            <w:tcBorders>
              <w:bottom w:val="nil"/>
            </w:tcBorders>
            <w:shd w:val="clear" w:color="auto" w:fill="084875"/>
          </w:tcPr>
          <w:p w14:paraId="1C34EB22" w14:textId="77777777" w:rsidR="004C558F" w:rsidRDefault="00461887">
            <w:pPr>
              <w:pStyle w:val="TableParagraph"/>
              <w:spacing w:before="1" w:line="276" w:lineRule="auto"/>
              <w:ind w:left="1058" w:hanging="898"/>
              <w:jc w:val="left"/>
              <w:rPr>
                <w:rFonts w:ascii="Franklin Gothic Medium Cond"/>
              </w:rPr>
            </w:pPr>
            <w:r>
              <w:rPr>
                <w:rFonts w:ascii="Franklin Gothic Medium Cond"/>
                <w:color w:val="FFFFFF"/>
              </w:rPr>
              <w:t>Households</w:t>
            </w:r>
            <w:r>
              <w:rPr>
                <w:rFonts w:ascii="Franklin Gothic Medium Cond"/>
                <w:color w:val="FFFFFF"/>
                <w:spacing w:val="-11"/>
              </w:rPr>
              <w:t xml:space="preserve"> </w:t>
            </w:r>
            <w:r>
              <w:rPr>
                <w:rFonts w:ascii="Franklin Gothic Medium Cond"/>
                <w:color w:val="FFFFFF"/>
              </w:rPr>
              <w:t>with</w:t>
            </w:r>
            <w:r>
              <w:rPr>
                <w:rFonts w:ascii="Franklin Gothic Medium Cond"/>
                <w:color w:val="FFFFFF"/>
                <w:spacing w:val="-10"/>
              </w:rPr>
              <w:t xml:space="preserve"> </w:t>
            </w:r>
            <w:r>
              <w:rPr>
                <w:rFonts w:ascii="Franklin Gothic Medium Cond"/>
                <w:color w:val="FFFFFF"/>
              </w:rPr>
              <w:t>Limited</w:t>
            </w:r>
            <w:r>
              <w:rPr>
                <w:rFonts w:ascii="Franklin Gothic Medium Cond"/>
                <w:color w:val="FFFFFF"/>
                <w:spacing w:val="-10"/>
              </w:rPr>
              <w:t xml:space="preserve"> </w:t>
            </w:r>
            <w:r>
              <w:rPr>
                <w:rFonts w:ascii="Franklin Gothic Medium Cond"/>
                <w:color w:val="FFFFFF"/>
              </w:rPr>
              <w:t xml:space="preserve">English </w:t>
            </w:r>
            <w:r>
              <w:rPr>
                <w:rFonts w:ascii="Franklin Gothic Medium Cond"/>
                <w:color w:val="FFFFFF"/>
                <w:spacing w:val="-2"/>
              </w:rPr>
              <w:t>Speaking</w:t>
            </w:r>
          </w:p>
        </w:tc>
        <w:tc>
          <w:tcPr>
            <w:tcW w:w="4905" w:type="dxa"/>
          </w:tcPr>
          <w:p w14:paraId="1C34EB23" w14:textId="77777777" w:rsidR="004C558F" w:rsidRDefault="00461887">
            <w:pPr>
              <w:pStyle w:val="TableParagraph"/>
              <w:spacing w:before="6"/>
              <w:ind w:left="5"/>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291" w:type="dxa"/>
          </w:tcPr>
          <w:p w14:paraId="1C34EB24" w14:textId="77777777" w:rsidR="004C558F" w:rsidRDefault="00461887">
            <w:pPr>
              <w:pStyle w:val="TableParagraph"/>
              <w:spacing w:before="3"/>
              <w:ind w:right="-15"/>
              <w:rPr>
                <w:sz w:val="20"/>
              </w:rPr>
            </w:pPr>
            <w:r>
              <w:rPr>
                <w:spacing w:val="-4"/>
                <w:sz w:val="20"/>
              </w:rPr>
              <w:t>7.5%</w:t>
            </w:r>
          </w:p>
        </w:tc>
      </w:tr>
      <w:tr w:rsidR="00E64CF3" w14:paraId="1C34EB29" w14:textId="77777777" w:rsidTr="001604AD">
        <w:trPr>
          <w:cantSplit/>
          <w:trHeight w:val="270"/>
        </w:trPr>
        <w:tc>
          <w:tcPr>
            <w:tcW w:w="2882" w:type="dxa"/>
            <w:tcBorders>
              <w:top w:val="nil"/>
              <w:bottom w:val="nil"/>
            </w:tcBorders>
            <w:shd w:val="clear" w:color="auto" w:fill="084875"/>
          </w:tcPr>
          <w:p w14:paraId="1C34EB26" w14:textId="32C3DC35"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shd w:val="clear" w:color="auto" w:fill="DAEDF3"/>
          </w:tcPr>
          <w:p w14:paraId="1C34EB27" w14:textId="77777777" w:rsidR="00E64CF3" w:rsidRDefault="00E64CF3" w:rsidP="00E64CF3">
            <w:pPr>
              <w:pStyle w:val="TableParagraph"/>
              <w:spacing w:before="6"/>
              <w:ind w:left="5"/>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291" w:type="dxa"/>
            <w:shd w:val="clear" w:color="auto" w:fill="DAEDF3"/>
          </w:tcPr>
          <w:p w14:paraId="1C34EB28" w14:textId="77777777" w:rsidR="00E64CF3" w:rsidRDefault="00E64CF3" w:rsidP="00E64CF3">
            <w:pPr>
              <w:pStyle w:val="TableParagraph"/>
              <w:spacing w:before="3"/>
              <w:ind w:right="-15"/>
              <w:rPr>
                <w:sz w:val="20"/>
              </w:rPr>
            </w:pPr>
            <w:r>
              <w:rPr>
                <w:spacing w:val="-4"/>
                <w:sz w:val="20"/>
              </w:rPr>
              <w:t>6.5%</w:t>
            </w:r>
          </w:p>
        </w:tc>
      </w:tr>
      <w:tr w:rsidR="00E64CF3" w14:paraId="1C34EB2D" w14:textId="77777777" w:rsidTr="001604AD">
        <w:trPr>
          <w:cantSplit/>
          <w:trHeight w:val="270"/>
        </w:trPr>
        <w:tc>
          <w:tcPr>
            <w:tcW w:w="2882" w:type="dxa"/>
            <w:tcBorders>
              <w:top w:val="nil"/>
              <w:bottom w:val="nil"/>
            </w:tcBorders>
            <w:shd w:val="clear" w:color="auto" w:fill="084875"/>
          </w:tcPr>
          <w:p w14:paraId="1C34EB2A" w14:textId="1EE3A078"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tcPr>
          <w:p w14:paraId="1C34EB2B" w14:textId="77777777" w:rsidR="00E64CF3" w:rsidRDefault="00E64CF3" w:rsidP="00E64CF3">
            <w:pPr>
              <w:pStyle w:val="TableParagraph"/>
              <w:spacing w:before="6"/>
              <w:ind w:left="5"/>
              <w:jc w:val="left"/>
              <w:rPr>
                <w:sz w:val="20"/>
              </w:rPr>
            </w:pPr>
            <w:r>
              <w:rPr>
                <w:sz w:val="20"/>
              </w:rPr>
              <w:t>Massachusetts</w:t>
            </w:r>
            <w:r>
              <w:rPr>
                <w:spacing w:val="-9"/>
                <w:sz w:val="20"/>
              </w:rPr>
              <w:t xml:space="preserve"> </w:t>
            </w:r>
            <w:r>
              <w:rPr>
                <w:sz w:val="20"/>
              </w:rPr>
              <w:t>General</w:t>
            </w:r>
            <w:r>
              <w:rPr>
                <w:spacing w:val="-10"/>
                <w:sz w:val="20"/>
              </w:rPr>
              <w:t xml:space="preserve"> </w:t>
            </w:r>
            <w:r>
              <w:rPr>
                <w:spacing w:val="-2"/>
                <w:sz w:val="20"/>
              </w:rPr>
              <w:t>Hospital</w:t>
            </w:r>
          </w:p>
        </w:tc>
        <w:tc>
          <w:tcPr>
            <w:tcW w:w="1291" w:type="dxa"/>
          </w:tcPr>
          <w:p w14:paraId="1C34EB2C" w14:textId="77777777" w:rsidR="00E64CF3" w:rsidRDefault="00E64CF3" w:rsidP="00E64CF3">
            <w:pPr>
              <w:pStyle w:val="TableParagraph"/>
              <w:spacing w:before="3"/>
              <w:ind w:right="-15"/>
              <w:rPr>
                <w:sz w:val="20"/>
              </w:rPr>
            </w:pPr>
            <w:r>
              <w:rPr>
                <w:spacing w:val="-4"/>
                <w:sz w:val="20"/>
              </w:rPr>
              <w:t>6.1%</w:t>
            </w:r>
          </w:p>
        </w:tc>
      </w:tr>
      <w:tr w:rsidR="00E64CF3" w14:paraId="1C34EB31" w14:textId="77777777" w:rsidTr="001604AD">
        <w:trPr>
          <w:cantSplit/>
          <w:trHeight w:val="270"/>
        </w:trPr>
        <w:tc>
          <w:tcPr>
            <w:tcW w:w="2882" w:type="dxa"/>
            <w:tcBorders>
              <w:top w:val="nil"/>
              <w:bottom w:val="nil"/>
            </w:tcBorders>
            <w:shd w:val="clear" w:color="auto" w:fill="084875"/>
          </w:tcPr>
          <w:p w14:paraId="1C34EB2E" w14:textId="1D8FCC73"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shd w:val="clear" w:color="auto" w:fill="BEBEBE"/>
          </w:tcPr>
          <w:p w14:paraId="1C34EB2F" w14:textId="77777777" w:rsidR="00E64CF3" w:rsidRDefault="00E64CF3" w:rsidP="00E64CF3">
            <w:pPr>
              <w:pStyle w:val="TableParagraph"/>
              <w:spacing w:before="6"/>
              <w:ind w:left="5"/>
              <w:jc w:val="left"/>
              <w:rPr>
                <w:sz w:val="20"/>
              </w:rPr>
            </w:pPr>
            <w:r>
              <w:rPr>
                <w:spacing w:val="-2"/>
                <w:sz w:val="20"/>
              </w:rPr>
              <w:t>Statewide</w:t>
            </w:r>
          </w:p>
        </w:tc>
        <w:tc>
          <w:tcPr>
            <w:tcW w:w="1291" w:type="dxa"/>
            <w:shd w:val="clear" w:color="auto" w:fill="BEBEBE"/>
          </w:tcPr>
          <w:p w14:paraId="1C34EB30" w14:textId="77777777" w:rsidR="00E64CF3" w:rsidRDefault="00E64CF3" w:rsidP="00E64CF3">
            <w:pPr>
              <w:pStyle w:val="TableParagraph"/>
              <w:spacing w:before="3"/>
              <w:ind w:right="-15"/>
              <w:rPr>
                <w:sz w:val="20"/>
              </w:rPr>
            </w:pPr>
            <w:r>
              <w:rPr>
                <w:spacing w:val="-4"/>
                <w:sz w:val="20"/>
              </w:rPr>
              <w:t>5.2%</w:t>
            </w:r>
          </w:p>
        </w:tc>
      </w:tr>
      <w:tr w:rsidR="00E64CF3" w14:paraId="1C34EB35" w14:textId="77777777" w:rsidTr="001604AD">
        <w:trPr>
          <w:cantSplit/>
          <w:trHeight w:val="270"/>
        </w:trPr>
        <w:tc>
          <w:tcPr>
            <w:tcW w:w="2882" w:type="dxa"/>
            <w:tcBorders>
              <w:top w:val="nil"/>
              <w:bottom w:val="nil"/>
            </w:tcBorders>
            <w:shd w:val="clear" w:color="auto" w:fill="084875"/>
          </w:tcPr>
          <w:p w14:paraId="1C34EB32" w14:textId="30A31BBD"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tcPr>
          <w:p w14:paraId="1C34EB33" w14:textId="77777777" w:rsidR="00E64CF3" w:rsidRDefault="00E64CF3" w:rsidP="00E64CF3">
            <w:pPr>
              <w:pStyle w:val="TableParagraph"/>
              <w:spacing w:before="6"/>
              <w:ind w:left="5"/>
              <w:jc w:val="left"/>
              <w:rPr>
                <w:sz w:val="20"/>
              </w:rPr>
            </w:pPr>
            <w:r>
              <w:rPr>
                <w:sz w:val="20"/>
              </w:rPr>
              <w:t>UMass</w:t>
            </w:r>
            <w:r>
              <w:rPr>
                <w:spacing w:val="-7"/>
                <w:sz w:val="20"/>
              </w:rPr>
              <w:t xml:space="preserve"> </w:t>
            </w:r>
            <w:r>
              <w:rPr>
                <w:sz w:val="20"/>
              </w:rPr>
              <w:t>Memorial</w:t>
            </w:r>
            <w:r>
              <w:rPr>
                <w:spacing w:val="-8"/>
                <w:sz w:val="20"/>
              </w:rPr>
              <w:t xml:space="preserve"> </w:t>
            </w:r>
            <w:r>
              <w:rPr>
                <w:sz w:val="20"/>
              </w:rPr>
              <w:t>Medical</w:t>
            </w:r>
            <w:r>
              <w:rPr>
                <w:spacing w:val="-8"/>
                <w:sz w:val="20"/>
              </w:rPr>
              <w:t xml:space="preserve"> </w:t>
            </w:r>
            <w:r>
              <w:rPr>
                <w:spacing w:val="-2"/>
                <w:sz w:val="20"/>
              </w:rPr>
              <w:t>Center</w:t>
            </w:r>
          </w:p>
        </w:tc>
        <w:tc>
          <w:tcPr>
            <w:tcW w:w="1291" w:type="dxa"/>
          </w:tcPr>
          <w:p w14:paraId="1C34EB34" w14:textId="77777777" w:rsidR="00E64CF3" w:rsidRDefault="00E64CF3" w:rsidP="00E64CF3">
            <w:pPr>
              <w:pStyle w:val="TableParagraph"/>
              <w:spacing w:before="3"/>
              <w:ind w:right="-15"/>
              <w:rPr>
                <w:sz w:val="20"/>
              </w:rPr>
            </w:pPr>
            <w:r>
              <w:rPr>
                <w:spacing w:val="-4"/>
                <w:sz w:val="20"/>
              </w:rPr>
              <w:t>5.0%</w:t>
            </w:r>
          </w:p>
        </w:tc>
      </w:tr>
      <w:tr w:rsidR="00E64CF3" w14:paraId="1C34EB39" w14:textId="77777777" w:rsidTr="001604AD">
        <w:trPr>
          <w:cantSplit/>
          <w:trHeight w:val="270"/>
        </w:trPr>
        <w:tc>
          <w:tcPr>
            <w:tcW w:w="2882" w:type="dxa"/>
            <w:tcBorders>
              <w:top w:val="nil"/>
              <w:bottom w:val="nil"/>
            </w:tcBorders>
            <w:shd w:val="clear" w:color="auto" w:fill="084875"/>
          </w:tcPr>
          <w:p w14:paraId="1C34EB36" w14:textId="7C6BF1D4"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shd w:val="clear" w:color="auto" w:fill="DAEDF3"/>
          </w:tcPr>
          <w:p w14:paraId="1C34EB37" w14:textId="77777777" w:rsidR="00E64CF3" w:rsidRDefault="00E64CF3" w:rsidP="00E64CF3">
            <w:pPr>
              <w:pStyle w:val="TableParagraph"/>
              <w:spacing w:before="6"/>
              <w:ind w:left="5"/>
              <w:jc w:val="left"/>
              <w:rPr>
                <w:sz w:val="20"/>
              </w:rPr>
            </w:pPr>
            <w:r>
              <w:rPr>
                <w:sz w:val="20"/>
              </w:rPr>
              <w:t>Dana-Farber</w:t>
            </w:r>
            <w:r>
              <w:rPr>
                <w:spacing w:val="-10"/>
                <w:sz w:val="20"/>
              </w:rPr>
              <w:t xml:space="preserve"> </w:t>
            </w:r>
            <w:r>
              <w:rPr>
                <w:sz w:val="20"/>
              </w:rPr>
              <w:t>Cancer</w:t>
            </w:r>
            <w:r>
              <w:rPr>
                <w:spacing w:val="-9"/>
                <w:sz w:val="20"/>
              </w:rPr>
              <w:t xml:space="preserve"> </w:t>
            </w:r>
            <w:r>
              <w:rPr>
                <w:spacing w:val="-2"/>
                <w:sz w:val="20"/>
              </w:rPr>
              <w:t>Institute</w:t>
            </w:r>
          </w:p>
        </w:tc>
        <w:tc>
          <w:tcPr>
            <w:tcW w:w="1291" w:type="dxa"/>
            <w:shd w:val="clear" w:color="auto" w:fill="DAEDF3"/>
          </w:tcPr>
          <w:p w14:paraId="1C34EB38" w14:textId="77777777" w:rsidR="00E64CF3" w:rsidRDefault="00E64CF3" w:rsidP="00E64CF3">
            <w:pPr>
              <w:pStyle w:val="TableParagraph"/>
              <w:spacing w:before="3"/>
              <w:ind w:right="-15"/>
              <w:rPr>
                <w:sz w:val="20"/>
              </w:rPr>
            </w:pPr>
            <w:r>
              <w:rPr>
                <w:spacing w:val="-4"/>
                <w:sz w:val="20"/>
              </w:rPr>
              <w:t>4.8%</w:t>
            </w:r>
          </w:p>
        </w:tc>
      </w:tr>
      <w:tr w:rsidR="00E64CF3" w14:paraId="1C34EB3D" w14:textId="77777777" w:rsidTr="001604AD">
        <w:trPr>
          <w:cantSplit/>
          <w:trHeight w:val="270"/>
        </w:trPr>
        <w:tc>
          <w:tcPr>
            <w:tcW w:w="2882" w:type="dxa"/>
            <w:tcBorders>
              <w:top w:val="nil"/>
              <w:bottom w:val="nil"/>
            </w:tcBorders>
            <w:shd w:val="clear" w:color="auto" w:fill="084875"/>
          </w:tcPr>
          <w:p w14:paraId="1C34EB3A" w14:textId="54295FDB"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tcPr>
          <w:p w14:paraId="1C34EB3B" w14:textId="77777777" w:rsidR="00E64CF3" w:rsidRDefault="00E64CF3" w:rsidP="00E64CF3">
            <w:pPr>
              <w:pStyle w:val="TableParagraph"/>
              <w:spacing w:before="6"/>
              <w:ind w:left="5"/>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291" w:type="dxa"/>
          </w:tcPr>
          <w:p w14:paraId="1C34EB3C" w14:textId="77777777" w:rsidR="00E64CF3" w:rsidRDefault="00E64CF3" w:rsidP="00E64CF3">
            <w:pPr>
              <w:pStyle w:val="TableParagraph"/>
              <w:spacing w:before="3"/>
              <w:ind w:right="-15"/>
              <w:rPr>
                <w:sz w:val="20"/>
              </w:rPr>
            </w:pPr>
            <w:r>
              <w:rPr>
                <w:spacing w:val="-4"/>
                <w:sz w:val="20"/>
              </w:rPr>
              <w:t>4.7%</w:t>
            </w:r>
          </w:p>
        </w:tc>
      </w:tr>
      <w:tr w:rsidR="00E64CF3" w14:paraId="1C34EB41" w14:textId="77777777" w:rsidTr="001604AD">
        <w:trPr>
          <w:cantSplit/>
          <w:trHeight w:val="270"/>
        </w:trPr>
        <w:tc>
          <w:tcPr>
            <w:tcW w:w="2882" w:type="dxa"/>
            <w:tcBorders>
              <w:top w:val="nil"/>
              <w:bottom w:val="single" w:sz="4" w:space="0" w:color="DBDBDB"/>
            </w:tcBorders>
            <w:shd w:val="clear" w:color="auto" w:fill="084875"/>
          </w:tcPr>
          <w:p w14:paraId="1C34EB3E" w14:textId="524F288D" w:rsidR="00E64CF3" w:rsidRPr="00E64CF3" w:rsidRDefault="00E64CF3" w:rsidP="00E64CF3">
            <w:pPr>
              <w:rPr>
                <w:color w:val="1F497D" w:themeColor="text2"/>
                <w:sz w:val="18"/>
                <w:szCs w:val="18"/>
              </w:rPr>
            </w:pPr>
            <w:r w:rsidRPr="00E64CF3">
              <w:rPr>
                <w:rFonts w:ascii="Franklin Gothic Medium Cond"/>
                <w:color w:val="1F497D" w:themeColor="text2"/>
                <w:sz w:val="18"/>
                <w:szCs w:val="18"/>
              </w:rPr>
              <w:t>Households</w:t>
            </w:r>
            <w:r w:rsidRPr="00E64CF3">
              <w:rPr>
                <w:rFonts w:ascii="Franklin Gothic Medium Cond"/>
                <w:color w:val="1F497D" w:themeColor="text2"/>
                <w:spacing w:val="-11"/>
                <w:sz w:val="18"/>
                <w:szCs w:val="18"/>
              </w:rPr>
              <w:t xml:space="preserve"> </w:t>
            </w:r>
            <w:r w:rsidRPr="00E64CF3">
              <w:rPr>
                <w:rFonts w:ascii="Franklin Gothic Medium Cond"/>
                <w:color w:val="1F497D" w:themeColor="text2"/>
                <w:sz w:val="18"/>
                <w:szCs w:val="18"/>
              </w:rPr>
              <w:t>with</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Limited</w:t>
            </w:r>
            <w:r w:rsidRPr="00E64CF3">
              <w:rPr>
                <w:rFonts w:ascii="Franklin Gothic Medium Cond"/>
                <w:color w:val="1F497D" w:themeColor="text2"/>
                <w:spacing w:val="-10"/>
                <w:sz w:val="18"/>
                <w:szCs w:val="18"/>
              </w:rPr>
              <w:t xml:space="preserve"> </w:t>
            </w:r>
            <w:r w:rsidRPr="00E64CF3">
              <w:rPr>
                <w:rFonts w:ascii="Franklin Gothic Medium Cond"/>
                <w:color w:val="1F497D" w:themeColor="text2"/>
                <w:sz w:val="18"/>
                <w:szCs w:val="18"/>
              </w:rPr>
              <w:t xml:space="preserve">English </w:t>
            </w:r>
            <w:r w:rsidRPr="00E64CF3">
              <w:rPr>
                <w:rFonts w:ascii="Franklin Gothic Medium Cond"/>
                <w:color w:val="1F497D" w:themeColor="text2"/>
                <w:spacing w:val="-2"/>
                <w:sz w:val="18"/>
                <w:szCs w:val="18"/>
              </w:rPr>
              <w:t>Speaking</w:t>
            </w:r>
          </w:p>
        </w:tc>
        <w:tc>
          <w:tcPr>
            <w:tcW w:w="4905" w:type="dxa"/>
          </w:tcPr>
          <w:p w14:paraId="1C34EB3F" w14:textId="77777777" w:rsidR="00E64CF3" w:rsidRDefault="00E64CF3" w:rsidP="00E64CF3">
            <w:pPr>
              <w:pStyle w:val="TableParagraph"/>
              <w:spacing w:before="6"/>
              <w:ind w:left="5"/>
              <w:jc w:val="left"/>
              <w:rPr>
                <w:sz w:val="20"/>
              </w:rPr>
            </w:pPr>
            <w:r>
              <w:rPr>
                <w:sz w:val="20"/>
              </w:rPr>
              <w:t>South</w:t>
            </w:r>
            <w:r>
              <w:rPr>
                <w:spacing w:val="-6"/>
                <w:sz w:val="20"/>
              </w:rPr>
              <w:t xml:space="preserve"> </w:t>
            </w:r>
            <w:r>
              <w:rPr>
                <w:sz w:val="20"/>
              </w:rPr>
              <w:t>Shore</w:t>
            </w:r>
            <w:r>
              <w:rPr>
                <w:spacing w:val="-6"/>
                <w:sz w:val="20"/>
              </w:rPr>
              <w:t xml:space="preserve"> </w:t>
            </w:r>
            <w:r>
              <w:rPr>
                <w:spacing w:val="-2"/>
                <w:sz w:val="20"/>
              </w:rPr>
              <w:t>Hospital</w:t>
            </w:r>
          </w:p>
        </w:tc>
        <w:tc>
          <w:tcPr>
            <w:tcW w:w="1291" w:type="dxa"/>
          </w:tcPr>
          <w:p w14:paraId="1C34EB40" w14:textId="77777777" w:rsidR="00E64CF3" w:rsidRDefault="00E64CF3" w:rsidP="00E64CF3">
            <w:pPr>
              <w:pStyle w:val="TableParagraph"/>
              <w:spacing w:before="3"/>
              <w:ind w:right="-15"/>
              <w:rPr>
                <w:sz w:val="20"/>
              </w:rPr>
            </w:pPr>
            <w:r>
              <w:rPr>
                <w:spacing w:val="-4"/>
                <w:sz w:val="20"/>
              </w:rPr>
              <w:t>3.2%</w:t>
            </w:r>
          </w:p>
        </w:tc>
      </w:tr>
      <w:tr w:rsidR="004C558F" w14:paraId="1C34EB48" w14:textId="77777777" w:rsidTr="001604AD">
        <w:trPr>
          <w:cantSplit/>
          <w:trHeight w:val="270"/>
        </w:trPr>
        <w:tc>
          <w:tcPr>
            <w:tcW w:w="2882" w:type="dxa"/>
            <w:tcBorders>
              <w:bottom w:val="nil"/>
            </w:tcBorders>
            <w:shd w:val="clear" w:color="auto" w:fill="084875"/>
          </w:tcPr>
          <w:p w14:paraId="1C34EB45" w14:textId="77777777" w:rsidR="004C558F" w:rsidRDefault="00461887">
            <w:pPr>
              <w:pStyle w:val="TableParagraph"/>
              <w:spacing w:before="1" w:line="276" w:lineRule="auto"/>
              <w:ind w:left="995" w:hanging="862"/>
              <w:jc w:val="left"/>
              <w:rPr>
                <w:rFonts w:ascii="Franklin Gothic Medium Cond"/>
              </w:rPr>
            </w:pPr>
            <w:r>
              <w:rPr>
                <w:rFonts w:ascii="Franklin Gothic Medium Cond"/>
                <w:color w:val="FFFFFF"/>
              </w:rPr>
              <w:t>Population</w:t>
            </w:r>
            <w:r>
              <w:rPr>
                <w:rFonts w:ascii="Franklin Gothic Medium Cond"/>
                <w:color w:val="FFFFFF"/>
                <w:spacing w:val="-11"/>
              </w:rPr>
              <w:t xml:space="preserve"> </w:t>
            </w:r>
            <w:r>
              <w:rPr>
                <w:rFonts w:ascii="Franklin Gothic Medium Cond"/>
                <w:color w:val="FFFFFF"/>
              </w:rPr>
              <w:t>that</w:t>
            </w:r>
            <w:r>
              <w:rPr>
                <w:rFonts w:ascii="Franklin Gothic Medium Cond"/>
                <w:color w:val="FFFFFF"/>
                <w:spacing w:val="-10"/>
              </w:rPr>
              <w:t xml:space="preserve"> </w:t>
            </w:r>
            <w:r>
              <w:rPr>
                <w:rFonts w:ascii="Franklin Gothic Medium Cond"/>
                <w:color w:val="FFFFFF"/>
              </w:rPr>
              <w:t>was</w:t>
            </w:r>
            <w:r>
              <w:rPr>
                <w:rFonts w:ascii="Franklin Gothic Medium Cond"/>
                <w:color w:val="FFFFFF"/>
                <w:spacing w:val="-10"/>
              </w:rPr>
              <w:t xml:space="preserve"> </w:t>
            </w:r>
            <w:r>
              <w:rPr>
                <w:rFonts w:ascii="Franklin Gothic Medium Cond"/>
                <w:color w:val="FFFFFF"/>
              </w:rPr>
              <w:t>Unemployed (Ages</w:t>
            </w:r>
            <w:r>
              <w:rPr>
                <w:rFonts w:ascii="Franklin Gothic Medium Cond"/>
                <w:color w:val="FFFFFF"/>
                <w:spacing w:val="-2"/>
              </w:rPr>
              <w:t xml:space="preserve"> </w:t>
            </w:r>
            <w:r>
              <w:rPr>
                <w:rFonts w:ascii="Franklin Gothic Medium Cond"/>
                <w:color w:val="FFFFFF"/>
              </w:rPr>
              <w:t>16+)</w:t>
            </w:r>
          </w:p>
        </w:tc>
        <w:tc>
          <w:tcPr>
            <w:tcW w:w="4905" w:type="dxa"/>
          </w:tcPr>
          <w:p w14:paraId="1C34EB46" w14:textId="77777777" w:rsidR="004C558F" w:rsidRDefault="00461887">
            <w:pPr>
              <w:pStyle w:val="TableParagraph"/>
              <w:spacing w:before="6"/>
              <w:ind w:left="5"/>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291" w:type="dxa"/>
          </w:tcPr>
          <w:p w14:paraId="1C34EB47" w14:textId="77777777" w:rsidR="004C558F" w:rsidRDefault="00461887">
            <w:pPr>
              <w:pStyle w:val="TableParagraph"/>
              <w:spacing w:before="3"/>
              <w:ind w:right="-15"/>
              <w:rPr>
                <w:sz w:val="20"/>
              </w:rPr>
            </w:pPr>
            <w:r>
              <w:rPr>
                <w:spacing w:val="-4"/>
                <w:sz w:val="20"/>
              </w:rPr>
              <w:t>5.2%</w:t>
            </w:r>
          </w:p>
        </w:tc>
      </w:tr>
      <w:tr w:rsidR="00703E1E" w14:paraId="1C34EB4C" w14:textId="77777777" w:rsidTr="001604AD">
        <w:trPr>
          <w:cantSplit/>
          <w:trHeight w:val="270"/>
        </w:trPr>
        <w:tc>
          <w:tcPr>
            <w:tcW w:w="2882" w:type="dxa"/>
            <w:tcBorders>
              <w:top w:val="nil"/>
              <w:bottom w:val="nil"/>
            </w:tcBorders>
            <w:shd w:val="clear" w:color="auto" w:fill="084875"/>
          </w:tcPr>
          <w:p w14:paraId="1C34EB49" w14:textId="05C79930"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shd w:val="clear" w:color="auto" w:fill="DAEDF3"/>
          </w:tcPr>
          <w:p w14:paraId="1C34EB4A" w14:textId="77777777" w:rsidR="00703E1E" w:rsidRDefault="00703E1E" w:rsidP="00703E1E">
            <w:pPr>
              <w:pStyle w:val="TableParagraph"/>
              <w:spacing w:before="6"/>
              <w:ind w:left="5"/>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291" w:type="dxa"/>
            <w:shd w:val="clear" w:color="auto" w:fill="DAEDF3"/>
          </w:tcPr>
          <w:p w14:paraId="1C34EB4B" w14:textId="77777777" w:rsidR="00703E1E" w:rsidRDefault="00703E1E" w:rsidP="00703E1E">
            <w:pPr>
              <w:pStyle w:val="TableParagraph"/>
              <w:spacing w:before="3"/>
              <w:ind w:right="-15"/>
              <w:rPr>
                <w:sz w:val="20"/>
              </w:rPr>
            </w:pPr>
            <w:r>
              <w:rPr>
                <w:spacing w:val="-4"/>
                <w:sz w:val="20"/>
              </w:rPr>
              <w:t>5.1%</w:t>
            </w:r>
          </w:p>
        </w:tc>
      </w:tr>
      <w:tr w:rsidR="00703E1E" w14:paraId="1C34EB50" w14:textId="77777777" w:rsidTr="001604AD">
        <w:trPr>
          <w:cantSplit/>
          <w:trHeight w:val="270"/>
        </w:trPr>
        <w:tc>
          <w:tcPr>
            <w:tcW w:w="2882" w:type="dxa"/>
            <w:tcBorders>
              <w:top w:val="nil"/>
              <w:bottom w:val="nil"/>
            </w:tcBorders>
            <w:shd w:val="clear" w:color="auto" w:fill="084875"/>
          </w:tcPr>
          <w:p w14:paraId="1C34EB4D" w14:textId="554C702C"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shd w:val="clear" w:color="auto" w:fill="BEBEBE"/>
          </w:tcPr>
          <w:p w14:paraId="1C34EB4E" w14:textId="77777777" w:rsidR="00703E1E" w:rsidRDefault="00703E1E" w:rsidP="00703E1E">
            <w:pPr>
              <w:pStyle w:val="TableParagraph"/>
              <w:spacing w:before="6"/>
              <w:ind w:left="5"/>
              <w:jc w:val="left"/>
              <w:rPr>
                <w:sz w:val="20"/>
              </w:rPr>
            </w:pPr>
            <w:r>
              <w:rPr>
                <w:spacing w:val="-2"/>
                <w:sz w:val="20"/>
              </w:rPr>
              <w:t>Statewide</w:t>
            </w:r>
          </w:p>
        </w:tc>
        <w:tc>
          <w:tcPr>
            <w:tcW w:w="1291" w:type="dxa"/>
            <w:shd w:val="clear" w:color="auto" w:fill="BEBEBE"/>
          </w:tcPr>
          <w:p w14:paraId="1C34EB4F" w14:textId="77777777" w:rsidR="00703E1E" w:rsidRDefault="00703E1E" w:rsidP="00703E1E">
            <w:pPr>
              <w:pStyle w:val="TableParagraph"/>
              <w:spacing w:before="3"/>
              <w:ind w:right="-15"/>
              <w:rPr>
                <w:sz w:val="20"/>
              </w:rPr>
            </w:pPr>
            <w:r>
              <w:rPr>
                <w:spacing w:val="-4"/>
                <w:sz w:val="20"/>
              </w:rPr>
              <w:t>5.0%</w:t>
            </w:r>
          </w:p>
        </w:tc>
      </w:tr>
      <w:tr w:rsidR="00703E1E" w14:paraId="1C34EB54" w14:textId="77777777" w:rsidTr="001604AD">
        <w:trPr>
          <w:cantSplit/>
          <w:trHeight w:val="270"/>
        </w:trPr>
        <w:tc>
          <w:tcPr>
            <w:tcW w:w="2882" w:type="dxa"/>
            <w:tcBorders>
              <w:top w:val="nil"/>
              <w:bottom w:val="nil"/>
            </w:tcBorders>
            <w:shd w:val="clear" w:color="auto" w:fill="084875"/>
          </w:tcPr>
          <w:p w14:paraId="1C34EB51" w14:textId="7078287D"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tcPr>
          <w:p w14:paraId="1C34EB52" w14:textId="77777777" w:rsidR="00703E1E" w:rsidRDefault="00703E1E" w:rsidP="00703E1E">
            <w:pPr>
              <w:pStyle w:val="TableParagraph"/>
              <w:spacing w:before="6"/>
              <w:ind w:left="5"/>
              <w:jc w:val="left"/>
              <w:rPr>
                <w:sz w:val="20"/>
              </w:rPr>
            </w:pPr>
            <w:r>
              <w:rPr>
                <w:sz w:val="20"/>
              </w:rPr>
              <w:t>UMass</w:t>
            </w:r>
            <w:r>
              <w:rPr>
                <w:spacing w:val="-7"/>
                <w:sz w:val="20"/>
              </w:rPr>
              <w:t xml:space="preserve"> </w:t>
            </w:r>
            <w:r>
              <w:rPr>
                <w:sz w:val="20"/>
              </w:rPr>
              <w:t>Memorial</w:t>
            </w:r>
            <w:r>
              <w:rPr>
                <w:spacing w:val="-8"/>
                <w:sz w:val="20"/>
              </w:rPr>
              <w:t xml:space="preserve"> </w:t>
            </w:r>
            <w:r>
              <w:rPr>
                <w:sz w:val="20"/>
              </w:rPr>
              <w:t>Medical</w:t>
            </w:r>
            <w:r>
              <w:rPr>
                <w:spacing w:val="-8"/>
                <w:sz w:val="20"/>
              </w:rPr>
              <w:t xml:space="preserve"> </w:t>
            </w:r>
            <w:r>
              <w:rPr>
                <w:spacing w:val="-2"/>
                <w:sz w:val="20"/>
              </w:rPr>
              <w:t>Center</w:t>
            </w:r>
          </w:p>
        </w:tc>
        <w:tc>
          <w:tcPr>
            <w:tcW w:w="1291" w:type="dxa"/>
          </w:tcPr>
          <w:p w14:paraId="1C34EB53" w14:textId="77777777" w:rsidR="00703E1E" w:rsidRDefault="00703E1E" w:rsidP="00703E1E">
            <w:pPr>
              <w:pStyle w:val="TableParagraph"/>
              <w:spacing w:before="3"/>
              <w:ind w:right="-15"/>
              <w:rPr>
                <w:sz w:val="20"/>
              </w:rPr>
            </w:pPr>
            <w:r>
              <w:rPr>
                <w:spacing w:val="-4"/>
                <w:sz w:val="20"/>
              </w:rPr>
              <w:t>4.9%</w:t>
            </w:r>
          </w:p>
        </w:tc>
      </w:tr>
      <w:tr w:rsidR="00703E1E" w14:paraId="1C34EB58" w14:textId="77777777" w:rsidTr="001604AD">
        <w:trPr>
          <w:cantSplit/>
          <w:trHeight w:val="270"/>
        </w:trPr>
        <w:tc>
          <w:tcPr>
            <w:tcW w:w="2882" w:type="dxa"/>
            <w:tcBorders>
              <w:top w:val="nil"/>
              <w:bottom w:val="nil"/>
            </w:tcBorders>
            <w:shd w:val="clear" w:color="auto" w:fill="084875"/>
          </w:tcPr>
          <w:p w14:paraId="1C34EB55" w14:textId="4CB641D0"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shd w:val="clear" w:color="auto" w:fill="DAEDF3"/>
          </w:tcPr>
          <w:p w14:paraId="1C34EB56" w14:textId="77777777" w:rsidR="00703E1E" w:rsidRDefault="00703E1E" w:rsidP="00703E1E">
            <w:pPr>
              <w:pStyle w:val="TableParagraph"/>
              <w:spacing w:before="6"/>
              <w:ind w:left="5"/>
              <w:jc w:val="left"/>
              <w:rPr>
                <w:sz w:val="20"/>
              </w:rPr>
            </w:pPr>
            <w:r>
              <w:rPr>
                <w:sz w:val="20"/>
              </w:rPr>
              <w:t>Dana-Farber</w:t>
            </w:r>
            <w:r>
              <w:rPr>
                <w:spacing w:val="-10"/>
                <w:sz w:val="20"/>
              </w:rPr>
              <w:t xml:space="preserve"> </w:t>
            </w:r>
            <w:r>
              <w:rPr>
                <w:sz w:val="20"/>
              </w:rPr>
              <w:t>Cancer</w:t>
            </w:r>
            <w:r>
              <w:rPr>
                <w:spacing w:val="-9"/>
                <w:sz w:val="20"/>
              </w:rPr>
              <w:t xml:space="preserve"> </w:t>
            </w:r>
            <w:r>
              <w:rPr>
                <w:spacing w:val="-2"/>
                <w:sz w:val="20"/>
              </w:rPr>
              <w:t>Institute</w:t>
            </w:r>
          </w:p>
        </w:tc>
        <w:tc>
          <w:tcPr>
            <w:tcW w:w="1291" w:type="dxa"/>
            <w:shd w:val="clear" w:color="auto" w:fill="DAEDF3"/>
          </w:tcPr>
          <w:p w14:paraId="1C34EB57" w14:textId="77777777" w:rsidR="00703E1E" w:rsidRDefault="00703E1E" w:rsidP="00703E1E">
            <w:pPr>
              <w:pStyle w:val="TableParagraph"/>
              <w:spacing w:before="3"/>
              <w:ind w:right="-15"/>
              <w:rPr>
                <w:sz w:val="20"/>
              </w:rPr>
            </w:pPr>
            <w:r>
              <w:rPr>
                <w:spacing w:val="-4"/>
                <w:sz w:val="20"/>
              </w:rPr>
              <w:t>4.8%</w:t>
            </w:r>
          </w:p>
        </w:tc>
      </w:tr>
      <w:tr w:rsidR="00703E1E" w14:paraId="1C34EB5C" w14:textId="77777777" w:rsidTr="001604AD">
        <w:trPr>
          <w:cantSplit/>
          <w:trHeight w:val="270"/>
        </w:trPr>
        <w:tc>
          <w:tcPr>
            <w:tcW w:w="2882" w:type="dxa"/>
            <w:tcBorders>
              <w:top w:val="nil"/>
              <w:bottom w:val="nil"/>
            </w:tcBorders>
            <w:shd w:val="clear" w:color="auto" w:fill="084875"/>
          </w:tcPr>
          <w:p w14:paraId="1C34EB59" w14:textId="0707B2E4"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tcPr>
          <w:p w14:paraId="1C34EB5A" w14:textId="77777777" w:rsidR="00703E1E" w:rsidRDefault="00703E1E" w:rsidP="00703E1E">
            <w:pPr>
              <w:pStyle w:val="TableParagraph"/>
              <w:spacing w:before="6"/>
              <w:ind w:left="5"/>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291" w:type="dxa"/>
          </w:tcPr>
          <w:p w14:paraId="1C34EB5B" w14:textId="77777777" w:rsidR="00703E1E" w:rsidRDefault="00703E1E" w:rsidP="00703E1E">
            <w:pPr>
              <w:pStyle w:val="TableParagraph"/>
              <w:spacing w:before="3"/>
              <w:ind w:right="-15"/>
              <w:rPr>
                <w:sz w:val="20"/>
              </w:rPr>
            </w:pPr>
            <w:r>
              <w:rPr>
                <w:spacing w:val="-4"/>
                <w:sz w:val="20"/>
              </w:rPr>
              <w:t>4.8%</w:t>
            </w:r>
          </w:p>
        </w:tc>
      </w:tr>
      <w:tr w:rsidR="00703E1E" w14:paraId="1C34EB60" w14:textId="77777777" w:rsidTr="001604AD">
        <w:trPr>
          <w:cantSplit/>
          <w:trHeight w:val="270"/>
        </w:trPr>
        <w:tc>
          <w:tcPr>
            <w:tcW w:w="2882" w:type="dxa"/>
            <w:tcBorders>
              <w:top w:val="nil"/>
              <w:bottom w:val="nil"/>
            </w:tcBorders>
            <w:shd w:val="clear" w:color="auto" w:fill="084875"/>
          </w:tcPr>
          <w:p w14:paraId="1C34EB5D" w14:textId="4D667EA3"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tcPr>
          <w:p w14:paraId="1C34EB5E" w14:textId="77777777" w:rsidR="00703E1E" w:rsidRDefault="00703E1E" w:rsidP="00703E1E">
            <w:pPr>
              <w:pStyle w:val="TableParagraph"/>
              <w:spacing w:before="6"/>
              <w:ind w:left="5"/>
              <w:jc w:val="left"/>
              <w:rPr>
                <w:sz w:val="20"/>
              </w:rPr>
            </w:pPr>
            <w:r>
              <w:rPr>
                <w:sz w:val="20"/>
              </w:rPr>
              <w:t>Massachusetts</w:t>
            </w:r>
            <w:r>
              <w:rPr>
                <w:spacing w:val="-9"/>
                <w:sz w:val="20"/>
              </w:rPr>
              <w:t xml:space="preserve"> </w:t>
            </w:r>
            <w:r>
              <w:rPr>
                <w:sz w:val="20"/>
              </w:rPr>
              <w:t>General</w:t>
            </w:r>
            <w:r>
              <w:rPr>
                <w:spacing w:val="-10"/>
                <w:sz w:val="20"/>
              </w:rPr>
              <w:t xml:space="preserve"> </w:t>
            </w:r>
            <w:r>
              <w:rPr>
                <w:spacing w:val="-2"/>
                <w:sz w:val="20"/>
              </w:rPr>
              <w:t>Hospital</w:t>
            </w:r>
          </w:p>
        </w:tc>
        <w:tc>
          <w:tcPr>
            <w:tcW w:w="1291" w:type="dxa"/>
          </w:tcPr>
          <w:p w14:paraId="1C34EB5F" w14:textId="77777777" w:rsidR="00703E1E" w:rsidRDefault="00703E1E" w:rsidP="00703E1E">
            <w:pPr>
              <w:pStyle w:val="TableParagraph"/>
              <w:spacing w:before="3"/>
              <w:ind w:right="-15"/>
              <w:rPr>
                <w:sz w:val="20"/>
              </w:rPr>
            </w:pPr>
            <w:r>
              <w:rPr>
                <w:spacing w:val="-4"/>
                <w:sz w:val="20"/>
              </w:rPr>
              <w:t>4.8%</w:t>
            </w:r>
          </w:p>
        </w:tc>
      </w:tr>
      <w:tr w:rsidR="00703E1E" w14:paraId="1C34EB64" w14:textId="77777777" w:rsidTr="001604AD">
        <w:trPr>
          <w:cantSplit/>
          <w:trHeight w:val="270"/>
        </w:trPr>
        <w:tc>
          <w:tcPr>
            <w:tcW w:w="2882" w:type="dxa"/>
            <w:tcBorders>
              <w:top w:val="nil"/>
            </w:tcBorders>
            <w:shd w:val="clear" w:color="auto" w:fill="084875"/>
          </w:tcPr>
          <w:p w14:paraId="1C34EB61" w14:textId="70151AB0" w:rsidR="00703E1E" w:rsidRPr="00703E1E" w:rsidRDefault="00703E1E" w:rsidP="00703E1E">
            <w:pPr>
              <w:rPr>
                <w:color w:val="1F497D" w:themeColor="text2"/>
                <w:sz w:val="16"/>
                <w:szCs w:val="16"/>
              </w:rPr>
            </w:pPr>
            <w:r w:rsidRPr="00703E1E">
              <w:rPr>
                <w:rFonts w:ascii="Franklin Gothic Medium Cond"/>
                <w:color w:val="1F497D" w:themeColor="text2"/>
                <w:sz w:val="16"/>
                <w:szCs w:val="16"/>
              </w:rPr>
              <w:t>Population</w:t>
            </w:r>
            <w:r w:rsidRPr="00703E1E">
              <w:rPr>
                <w:rFonts w:ascii="Franklin Gothic Medium Cond"/>
                <w:color w:val="1F497D" w:themeColor="text2"/>
                <w:spacing w:val="-11"/>
                <w:sz w:val="16"/>
                <w:szCs w:val="16"/>
              </w:rPr>
              <w:t xml:space="preserve"> </w:t>
            </w:r>
            <w:r w:rsidRPr="00703E1E">
              <w:rPr>
                <w:rFonts w:ascii="Franklin Gothic Medium Cond"/>
                <w:color w:val="1F497D" w:themeColor="text2"/>
                <w:sz w:val="16"/>
                <w:szCs w:val="16"/>
              </w:rPr>
              <w:t>that</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was</w:t>
            </w:r>
            <w:r w:rsidRPr="00703E1E">
              <w:rPr>
                <w:rFonts w:ascii="Franklin Gothic Medium Cond"/>
                <w:color w:val="1F497D" w:themeColor="text2"/>
                <w:spacing w:val="-10"/>
                <w:sz w:val="16"/>
                <w:szCs w:val="16"/>
              </w:rPr>
              <w:t xml:space="preserve"> </w:t>
            </w:r>
            <w:r w:rsidRPr="00703E1E">
              <w:rPr>
                <w:rFonts w:ascii="Franklin Gothic Medium Cond"/>
                <w:color w:val="1F497D" w:themeColor="text2"/>
                <w:sz w:val="16"/>
                <w:szCs w:val="16"/>
              </w:rPr>
              <w:t>Unemployed (Ages</w:t>
            </w:r>
            <w:r w:rsidRPr="00703E1E">
              <w:rPr>
                <w:rFonts w:ascii="Franklin Gothic Medium Cond"/>
                <w:color w:val="1F497D" w:themeColor="text2"/>
                <w:spacing w:val="-2"/>
                <w:sz w:val="16"/>
                <w:szCs w:val="16"/>
              </w:rPr>
              <w:t xml:space="preserve"> </w:t>
            </w:r>
            <w:r w:rsidRPr="00703E1E">
              <w:rPr>
                <w:rFonts w:ascii="Franklin Gothic Medium Cond"/>
                <w:color w:val="1F497D" w:themeColor="text2"/>
                <w:sz w:val="16"/>
                <w:szCs w:val="16"/>
              </w:rPr>
              <w:t>16+)</w:t>
            </w:r>
          </w:p>
        </w:tc>
        <w:tc>
          <w:tcPr>
            <w:tcW w:w="4905" w:type="dxa"/>
          </w:tcPr>
          <w:p w14:paraId="1C34EB62" w14:textId="77777777" w:rsidR="00703E1E" w:rsidRDefault="00703E1E" w:rsidP="00703E1E">
            <w:pPr>
              <w:pStyle w:val="TableParagraph"/>
              <w:spacing w:before="6"/>
              <w:ind w:left="5"/>
              <w:jc w:val="left"/>
              <w:rPr>
                <w:sz w:val="20"/>
              </w:rPr>
            </w:pPr>
            <w:r>
              <w:rPr>
                <w:sz w:val="20"/>
              </w:rPr>
              <w:t>South</w:t>
            </w:r>
            <w:r>
              <w:rPr>
                <w:spacing w:val="-6"/>
                <w:sz w:val="20"/>
              </w:rPr>
              <w:t xml:space="preserve"> </w:t>
            </w:r>
            <w:r>
              <w:rPr>
                <w:sz w:val="20"/>
              </w:rPr>
              <w:t>Shore</w:t>
            </w:r>
            <w:r>
              <w:rPr>
                <w:spacing w:val="-6"/>
                <w:sz w:val="20"/>
              </w:rPr>
              <w:t xml:space="preserve"> </w:t>
            </w:r>
            <w:r>
              <w:rPr>
                <w:spacing w:val="-2"/>
                <w:sz w:val="20"/>
              </w:rPr>
              <w:t>Hospital</w:t>
            </w:r>
          </w:p>
        </w:tc>
        <w:tc>
          <w:tcPr>
            <w:tcW w:w="1291" w:type="dxa"/>
          </w:tcPr>
          <w:p w14:paraId="1C34EB63" w14:textId="77777777" w:rsidR="00703E1E" w:rsidRDefault="00703E1E" w:rsidP="00703E1E">
            <w:pPr>
              <w:pStyle w:val="TableParagraph"/>
              <w:spacing w:before="3"/>
              <w:ind w:right="-15"/>
              <w:rPr>
                <w:sz w:val="20"/>
              </w:rPr>
            </w:pPr>
            <w:r>
              <w:rPr>
                <w:spacing w:val="-4"/>
                <w:sz w:val="20"/>
              </w:rPr>
              <w:t>4.7%</w:t>
            </w:r>
          </w:p>
        </w:tc>
      </w:tr>
    </w:tbl>
    <w:p w14:paraId="1C34EB65" w14:textId="45D4E9E2" w:rsidR="004C558F" w:rsidRPr="00E474B3" w:rsidRDefault="00461887">
      <w:pPr>
        <w:spacing w:before="20"/>
        <w:ind w:left="964"/>
        <w:rPr>
          <w:rStyle w:val="Hyperlink"/>
          <w:color w:val="000000" w:themeColor="text1"/>
          <w:sz w:val="16"/>
          <w:u w:val="none"/>
        </w:rPr>
      </w:pPr>
      <w:r>
        <w:rPr>
          <w:sz w:val="20"/>
        </w:rPr>
        <w:t>Source:</w:t>
      </w:r>
      <w:r>
        <w:rPr>
          <w:spacing w:val="-7"/>
          <w:sz w:val="20"/>
        </w:rPr>
        <w:t xml:space="preserve"> </w:t>
      </w:r>
      <w:r w:rsidR="00E474B3" w:rsidRPr="00E474B3">
        <w:rPr>
          <w:color w:val="000000" w:themeColor="text1"/>
          <w:sz w:val="20"/>
        </w:rPr>
        <w:fldChar w:fldCharType="begin"/>
      </w:r>
      <w:r w:rsidR="00E474B3" w:rsidRPr="00E474B3">
        <w:rPr>
          <w:color w:val="000000" w:themeColor="text1"/>
          <w:sz w:val="20"/>
        </w:rPr>
        <w:instrText>HYPERLINK "https://www.ahrq.gov/sdoh/data-analytics/sdoh-data.html"</w:instrText>
      </w:r>
      <w:r w:rsidR="00E474B3" w:rsidRPr="00E474B3">
        <w:rPr>
          <w:color w:val="000000" w:themeColor="text1"/>
          <w:sz w:val="20"/>
        </w:rPr>
      </w:r>
      <w:r w:rsidR="00E474B3" w:rsidRPr="00E474B3">
        <w:rPr>
          <w:color w:val="000000" w:themeColor="text1"/>
          <w:sz w:val="20"/>
        </w:rPr>
        <w:fldChar w:fldCharType="separate"/>
      </w:r>
      <w:r w:rsidRPr="00E474B3">
        <w:rPr>
          <w:rStyle w:val="Hyperlink"/>
          <w:color w:val="000000" w:themeColor="text1"/>
          <w:sz w:val="20"/>
          <w:u w:val="none"/>
        </w:rPr>
        <w:t>HPC</w:t>
      </w:r>
      <w:r w:rsidRPr="00E474B3">
        <w:rPr>
          <w:rStyle w:val="Hyperlink"/>
          <w:color w:val="000000" w:themeColor="text1"/>
          <w:spacing w:val="-7"/>
          <w:sz w:val="20"/>
          <w:u w:val="none"/>
        </w:rPr>
        <w:t xml:space="preserve"> </w:t>
      </w:r>
      <w:r w:rsidRPr="00E474B3">
        <w:rPr>
          <w:rStyle w:val="Hyperlink"/>
          <w:color w:val="000000" w:themeColor="text1"/>
          <w:sz w:val="20"/>
          <w:u w:val="none"/>
        </w:rPr>
        <w:t>analysis</w:t>
      </w:r>
      <w:r w:rsidRPr="00E474B3">
        <w:rPr>
          <w:rStyle w:val="Hyperlink"/>
          <w:color w:val="000000" w:themeColor="text1"/>
          <w:spacing w:val="-5"/>
          <w:sz w:val="20"/>
          <w:u w:val="none"/>
        </w:rPr>
        <w:t xml:space="preserve"> </w:t>
      </w:r>
      <w:r w:rsidRPr="00E474B3">
        <w:rPr>
          <w:rStyle w:val="Hyperlink"/>
          <w:color w:val="000000" w:themeColor="text1"/>
          <w:sz w:val="20"/>
          <w:u w:val="none"/>
        </w:rPr>
        <w:t>of</w:t>
      </w:r>
      <w:r w:rsidRPr="00E474B3">
        <w:rPr>
          <w:rStyle w:val="Hyperlink"/>
          <w:color w:val="000000" w:themeColor="text1"/>
          <w:spacing w:val="-6"/>
          <w:sz w:val="20"/>
          <w:u w:val="none"/>
        </w:rPr>
        <w:t xml:space="preserve"> </w:t>
      </w:r>
      <w:r w:rsidRPr="00E474B3">
        <w:rPr>
          <w:rStyle w:val="Hyperlink"/>
          <w:color w:val="000000" w:themeColor="text1"/>
          <w:sz w:val="20"/>
          <w:u w:val="none"/>
        </w:rPr>
        <w:t>A</w:t>
      </w:r>
      <w:r w:rsidRPr="00E474B3">
        <w:rPr>
          <w:rStyle w:val="Hyperlink"/>
          <w:color w:val="000000" w:themeColor="text1"/>
          <w:sz w:val="16"/>
          <w:u w:val="none"/>
        </w:rPr>
        <w:t>GENCY</w:t>
      </w:r>
      <w:r w:rsidRPr="00E474B3">
        <w:rPr>
          <w:rStyle w:val="Hyperlink"/>
          <w:color w:val="000000" w:themeColor="text1"/>
          <w:spacing w:val="-5"/>
          <w:sz w:val="16"/>
          <w:u w:val="none"/>
        </w:rPr>
        <w:t xml:space="preserve"> </w:t>
      </w:r>
      <w:r w:rsidRPr="00E474B3">
        <w:rPr>
          <w:rStyle w:val="Hyperlink"/>
          <w:color w:val="000000" w:themeColor="text1"/>
          <w:sz w:val="20"/>
          <w:u w:val="none"/>
        </w:rPr>
        <w:t>F</w:t>
      </w:r>
      <w:r w:rsidRPr="00E474B3">
        <w:rPr>
          <w:rStyle w:val="Hyperlink"/>
          <w:color w:val="000000" w:themeColor="text1"/>
          <w:sz w:val="16"/>
          <w:u w:val="none"/>
        </w:rPr>
        <w:t>OR</w:t>
      </w:r>
      <w:r w:rsidRPr="00E474B3">
        <w:rPr>
          <w:rStyle w:val="Hyperlink"/>
          <w:color w:val="000000" w:themeColor="text1"/>
          <w:spacing w:val="-5"/>
          <w:sz w:val="16"/>
          <w:u w:val="none"/>
        </w:rPr>
        <w:t xml:space="preserve"> </w:t>
      </w:r>
      <w:r w:rsidRPr="00E474B3">
        <w:rPr>
          <w:rStyle w:val="Hyperlink"/>
          <w:color w:val="000000" w:themeColor="text1"/>
          <w:sz w:val="20"/>
          <w:u w:val="none"/>
        </w:rPr>
        <w:t>H</w:t>
      </w:r>
      <w:r w:rsidRPr="00E474B3">
        <w:rPr>
          <w:rStyle w:val="Hyperlink"/>
          <w:color w:val="000000" w:themeColor="text1"/>
          <w:sz w:val="16"/>
          <w:u w:val="none"/>
        </w:rPr>
        <w:t>EALTHCARE</w:t>
      </w:r>
      <w:r w:rsidRPr="00E474B3">
        <w:rPr>
          <w:rStyle w:val="Hyperlink"/>
          <w:color w:val="000000" w:themeColor="text1"/>
          <w:spacing w:val="-6"/>
          <w:sz w:val="16"/>
          <w:u w:val="none"/>
        </w:rPr>
        <w:t xml:space="preserve"> </w:t>
      </w:r>
      <w:r w:rsidRPr="00E474B3">
        <w:rPr>
          <w:rStyle w:val="Hyperlink"/>
          <w:color w:val="000000" w:themeColor="text1"/>
          <w:sz w:val="20"/>
          <w:u w:val="none"/>
        </w:rPr>
        <w:t>R</w:t>
      </w:r>
      <w:r w:rsidRPr="00E474B3">
        <w:rPr>
          <w:rStyle w:val="Hyperlink"/>
          <w:color w:val="000000" w:themeColor="text1"/>
          <w:sz w:val="16"/>
          <w:u w:val="none"/>
        </w:rPr>
        <w:t>ESEARCH</w:t>
      </w:r>
      <w:r w:rsidRPr="00E474B3">
        <w:rPr>
          <w:rStyle w:val="Hyperlink"/>
          <w:color w:val="000000" w:themeColor="text1"/>
          <w:spacing w:val="-5"/>
          <w:sz w:val="16"/>
          <w:u w:val="none"/>
        </w:rPr>
        <w:t xml:space="preserve"> </w:t>
      </w:r>
      <w:r w:rsidRPr="00E474B3">
        <w:rPr>
          <w:rStyle w:val="Hyperlink"/>
          <w:color w:val="000000" w:themeColor="text1"/>
          <w:sz w:val="20"/>
          <w:u w:val="none"/>
        </w:rPr>
        <w:t>A</w:t>
      </w:r>
      <w:r w:rsidRPr="00E474B3">
        <w:rPr>
          <w:rStyle w:val="Hyperlink"/>
          <w:color w:val="000000" w:themeColor="text1"/>
          <w:sz w:val="16"/>
          <w:u w:val="none"/>
        </w:rPr>
        <w:t>ND</w:t>
      </w:r>
      <w:r w:rsidRPr="00E474B3">
        <w:rPr>
          <w:rStyle w:val="Hyperlink"/>
          <w:color w:val="000000" w:themeColor="text1"/>
          <w:spacing w:val="-6"/>
          <w:sz w:val="16"/>
          <w:u w:val="none"/>
        </w:rPr>
        <w:t xml:space="preserve"> </w:t>
      </w:r>
      <w:r w:rsidRPr="00E474B3">
        <w:rPr>
          <w:rStyle w:val="Hyperlink"/>
          <w:color w:val="000000" w:themeColor="text1"/>
          <w:sz w:val="20"/>
          <w:u w:val="none"/>
        </w:rPr>
        <w:t>Q</w:t>
      </w:r>
      <w:r w:rsidRPr="00E474B3">
        <w:rPr>
          <w:rStyle w:val="Hyperlink"/>
          <w:color w:val="000000" w:themeColor="text1"/>
          <w:sz w:val="16"/>
          <w:u w:val="none"/>
        </w:rPr>
        <w:t>UALITY</w:t>
      </w:r>
      <w:r w:rsidRPr="00E474B3">
        <w:rPr>
          <w:rStyle w:val="Hyperlink"/>
          <w:color w:val="000000" w:themeColor="text1"/>
          <w:sz w:val="20"/>
          <w:u w:val="none"/>
        </w:rPr>
        <w:t>,</w:t>
      </w:r>
      <w:r w:rsidRPr="00E474B3">
        <w:rPr>
          <w:rStyle w:val="Hyperlink"/>
          <w:color w:val="000000" w:themeColor="text1"/>
          <w:spacing w:val="-12"/>
          <w:sz w:val="20"/>
          <w:u w:val="none"/>
        </w:rPr>
        <w:t xml:space="preserve"> </w:t>
      </w:r>
      <w:r w:rsidRPr="00E474B3">
        <w:rPr>
          <w:rStyle w:val="Hyperlink"/>
          <w:color w:val="000000" w:themeColor="text1"/>
          <w:sz w:val="20"/>
          <w:u w:val="none"/>
        </w:rPr>
        <w:t>S</w:t>
      </w:r>
      <w:r w:rsidRPr="00E474B3">
        <w:rPr>
          <w:rStyle w:val="Hyperlink"/>
          <w:color w:val="000000" w:themeColor="text1"/>
          <w:sz w:val="16"/>
          <w:u w:val="none"/>
        </w:rPr>
        <w:t>OCIAL</w:t>
      </w:r>
      <w:r w:rsidRPr="00E474B3">
        <w:rPr>
          <w:rStyle w:val="Hyperlink"/>
          <w:color w:val="000000" w:themeColor="text1"/>
          <w:spacing w:val="-7"/>
          <w:sz w:val="16"/>
          <w:u w:val="none"/>
        </w:rPr>
        <w:t xml:space="preserve"> </w:t>
      </w:r>
      <w:r w:rsidRPr="00E474B3">
        <w:rPr>
          <w:rStyle w:val="Hyperlink"/>
          <w:color w:val="000000" w:themeColor="text1"/>
          <w:sz w:val="20"/>
          <w:u w:val="none"/>
        </w:rPr>
        <w:t>D</w:t>
      </w:r>
      <w:r w:rsidRPr="00E474B3">
        <w:rPr>
          <w:rStyle w:val="Hyperlink"/>
          <w:color w:val="000000" w:themeColor="text1"/>
          <w:sz w:val="16"/>
          <w:u w:val="none"/>
        </w:rPr>
        <w:t>ETERMINANTS</w:t>
      </w:r>
      <w:r w:rsidRPr="00E474B3">
        <w:rPr>
          <w:rStyle w:val="Hyperlink"/>
          <w:color w:val="000000" w:themeColor="text1"/>
          <w:spacing w:val="-5"/>
          <w:sz w:val="16"/>
          <w:u w:val="none"/>
        </w:rPr>
        <w:t xml:space="preserve"> </w:t>
      </w:r>
      <w:r w:rsidRPr="00E474B3">
        <w:rPr>
          <w:rStyle w:val="Hyperlink"/>
          <w:color w:val="000000" w:themeColor="text1"/>
          <w:sz w:val="20"/>
          <w:u w:val="none"/>
        </w:rPr>
        <w:t>O</w:t>
      </w:r>
      <w:r w:rsidRPr="00E474B3">
        <w:rPr>
          <w:rStyle w:val="Hyperlink"/>
          <w:color w:val="000000" w:themeColor="text1"/>
          <w:sz w:val="16"/>
          <w:u w:val="none"/>
        </w:rPr>
        <w:t>F</w:t>
      </w:r>
      <w:r w:rsidRPr="00E474B3">
        <w:rPr>
          <w:rStyle w:val="Hyperlink"/>
          <w:color w:val="000000" w:themeColor="text1"/>
          <w:spacing w:val="-5"/>
          <w:sz w:val="16"/>
          <w:u w:val="none"/>
        </w:rPr>
        <w:t xml:space="preserve"> </w:t>
      </w:r>
      <w:r w:rsidRPr="00E474B3">
        <w:rPr>
          <w:rStyle w:val="Hyperlink"/>
          <w:color w:val="000000" w:themeColor="text1"/>
          <w:spacing w:val="-2"/>
          <w:sz w:val="20"/>
          <w:u w:val="none"/>
        </w:rPr>
        <w:t>H</w:t>
      </w:r>
      <w:r w:rsidRPr="00E474B3">
        <w:rPr>
          <w:rStyle w:val="Hyperlink"/>
          <w:color w:val="000000" w:themeColor="text1"/>
          <w:spacing w:val="-2"/>
          <w:sz w:val="16"/>
          <w:u w:val="none"/>
        </w:rPr>
        <w:t>EALTH</w:t>
      </w:r>
    </w:p>
    <w:p w14:paraId="1C34EB66" w14:textId="77DC7BA7" w:rsidR="004C558F" w:rsidRDefault="00461887">
      <w:pPr>
        <w:spacing w:before="33"/>
        <w:ind w:left="964"/>
        <w:rPr>
          <w:sz w:val="20"/>
        </w:rPr>
      </w:pPr>
      <w:r w:rsidRPr="00E474B3">
        <w:rPr>
          <w:rStyle w:val="Hyperlink"/>
          <w:color w:val="000000" w:themeColor="text1"/>
          <w:spacing w:val="-2"/>
          <w:sz w:val="20"/>
          <w:u w:val="none"/>
        </w:rPr>
        <w:t>D</w:t>
      </w:r>
      <w:r w:rsidRPr="00E474B3">
        <w:rPr>
          <w:rStyle w:val="Hyperlink"/>
          <w:color w:val="000000" w:themeColor="text1"/>
          <w:spacing w:val="-2"/>
          <w:sz w:val="16"/>
          <w:u w:val="none"/>
        </w:rPr>
        <w:t>ATABASE</w:t>
      </w:r>
      <w:r w:rsidR="00E474B3" w:rsidRPr="00E474B3">
        <w:rPr>
          <w:color w:val="000000" w:themeColor="text1"/>
          <w:sz w:val="20"/>
        </w:rPr>
        <w:fldChar w:fldCharType="end"/>
      </w:r>
      <w:r w:rsidRPr="00E474B3">
        <w:rPr>
          <w:color w:val="000000" w:themeColor="text1"/>
          <w:spacing w:val="-2"/>
          <w:sz w:val="20"/>
        </w:rPr>
        <w:t>,</w:t>
      </w:r>
      <w:r w:rsidRPr="00E474B3">
        <w:rPr>
          <w:color w:val="000000" w:themeColor="text1"/>
          <w:spacing w:val="23"/>
          <w:sz w:val="20"/>
        </w:rPr>
        <w:t xml:space="preserve"> </w:t>
      </w:r>
      <w:r>
        <w:rPr>
          <w:spacing w:val="-2"/>
          <w:sz w:val="20"/>
        </w:rPr>
        <w:t>available</w:t>
      </w:r>
      <w:r>
        <w:rPr>
          <w:spacing w:val="20"/>
          <w:sz w:val="20"/>
        </w:rPr>
        <w:t xml:space="preserve"> </w:t>
      </w:r>
      <w:r>
        <w:rPr>
          <w:spacing w:val="-2"/>
          <w:sz w:val="20"/>
        </w:rPr>
        <w:t>at</w:t>
      </w:r>
      <w:r>
        <w:rPr>
          <w:spacing w:val="24"/>
          <w:sz w:val="20"/>
        </w:rPr>
        <w:t xml:space="preserve"> </w:t>
      </w:r>
      <w:hyperlink r:id="rId121">
        <w:r>
          <w:rPr>
            <w:color w:val="486794"/>
            <w:spacing w:val="-2"/>
            <w:sz w:val="20"/>
            <w:u w:val="single" w:color="486794"/>
          </w:rPr>
          <w:t>https://www.ahrq.gov/sdoh/data-analytics/sdoh-data.html</w:t>
        </w:r>
        <w:r>
          <w:rPr>
            <w:spacing w:val="-2"/>
            <w:sz w:val="20"/>
          </w:rPr>
          <w:t>.</w:t>
        </w:r>
      </w:hyperlink>
    </w:p>
    <w:p w14:paraId="1C34EB67" w14:textId="77777777" w:rsidR="004C558F" w:rsidRDefault="00461887">
      <w:pPr>
        <w:spacing w:before="34" w:line="276" w:lineRule="auto"/>
        <w:ind w:left="964" w:right="943"/>
        <w:rPr>
          <w:sz w:val="20"/>
        </w:rPr>
      </w:pPr>
      <w:r>
        <w:rPr>
          <w:sz w:val="20"/>
        </w:rPr>
        <w:t>Note: Measures include sum of households with limited English speaking, sum of population that was unemployed</w:t>
      </w:r>
      <w:r>
        <w:rPr>
          <w:spacing w:val="-1"/>
          <w:sz w:val="20"/>
        </w:rPr>
        <w:t xml:space="preserve"> </w:t>
      </w:r>
      <w:r>
        <w:rPr>
          <w:sz w:val="20"/>
        </w:rPr>
        <w:t>(age</w:t>
      </w:r>
      <w:r>
        <w:rPr>
          <w:spacing w:val="-4"/>
          <w:sz w:val="20"/>
        </w:rPr>
        <w:t xml:space="preserve"> </w:t>
      </w:r>
      <w:r>
        <w:rPr>
          <w:sz w:val="20"/>
        </w:rPr>
        <w:t>16</w:t>
      </w:r>
      <w:r>
        <w:rPr>
          <w:spacing w:val="-3"/>
          <w:sz w:val="20"/>
        </w:rPr>
        <w:t xml:space="preserve"> </w:t>
      </w:r>
      <w:r>
        <w:rPr>
          <w:sz w:val="20"/>
        </w:rPr>
        <w:t>years</w:t>
      </w:r>
      <w:r>
        <w:rPr>
          <w:spacing w:val="-3"/>
          <w:sz w:val="20"/>
        </w:rPr>
        <w:t xml:space="preserve"> </w:t>
      </w:r>
      <w:r>
        <w:rPr>
          <w:sz w:val="20"/>
        </w:rPr>
        <w:t>+),</w:t>
      </w:r>
      <w:r>
        <w:rPr>
          <w:spacing w:val="-3"/>
          <w:sz w:val="20"/>
        </w:rPr>
        <w:t xml:space="preserve"> </w:t>
      </w:r>
      <w:r>
        <w:rPr>
          <w:sz w:val="20"/>
        </w:rPr>
        <w:t>and</w:t>
      </w:r>
      <w:r>
        <w:rPr>
          <w:spacing w:val="-3"/>
          <w:sz w:val="20"/>
        </w:rPr>
        <w:t xml:space="preserve"> </w:t>
      </w:r>
      <w:r>
        <w:rPr>
          <w:sz w:val="20"/>
        </w:rPr>
        <w:t>sum</w:t>
      </w:r>
      <w:r>
        <w:rPr>
          <w:spacing w:val="-3"/>
          <w:sz w:val="20"/>
        </w:rPr>
        <w:t xml:space="preserve"> </w:t>
      </w:r>
      <w:r>
        <w:rPr>
          <w:sz w:val="20"/>
        </w:rPr>
        <w:t>of</w:t>
      </w:r>
      <w:r>
        <w:rPr>
          <w:spacing w:val="-3"/>
          <w:sz w:val="20"/>
        </w:rPr>
        <w:t xml:space="preserve"> </w:t>
      </w:r>
      <w:r>
        <w:rPr>
          <w:sz w:val="20"/>
        </w:rPr>
        <w:t>population</w:t>
      </w:r>
      <w:r>
        <w:rPr>
          <w:spacing w:val="-3"/>
          <w:sz w:val="20"/>
        </w:rPr>
        <w:t xml:space="preserve"> </w:t>
      </w:r>
      <w:r>
        <w:rPr>
          <w:sz w:val="20"/>
        </w:rPr>
        <w:t>with</w:t>
      </w:r>
      <w:r>
        <w:rPr>
          <w:spacing w:val="-1"/>
          <w:sz w:val="20"/>
        </w:rPr>
        <w:t xml:space="preserve"> </w:t>
      </w:r>
      <w:r>
        <w:rPr>
          <w:sz w:val="20"/>
        </w:rPr>
        <w:t>income</w:t>
      </w:r>
      <w:r>
        <w:rPr>
          <w:spacing w:val="-4"/>
          <w:sz w:val="20"/>
        </w:rPr>
        <w:t xml:space="preserve"> </w:t>
      </w:r>
      <w:r>
        <w:rPr>
          <w:sz w:val="20"/>
        </w:rPr>
        <w:t>to</w:t>
      </w:r>
      <w:r>
        <w:rPr>
          <w:spacing w:val="-3"/>
          <w:sz w:val="20"/>
        </w:rPr>
        <w:t xml:space="preserve"> </w:t>
      </w:r>
      <w:r>
        <w:rPr>
          <w:sz w:val="20"/>
        </w:rPr>
        <w:t>poverty</w:t>
      </w:r>
      <w:r>
        <w:rPr>
          <w:spacing w:val="-3"/>
          <w:sz w:val="20"/>
        </w:rPr>
        <w:t xml:space="preserve"> </w:t>
      </w:r>
      <w:r>
        <w:rPr>
          <w:sz w:val="20"/>
        </w:rPr>
        <w:t>ration</w:t>
      </w:r>
      <w:r>
        <w:rPr>
          <w:spacing w:val="-3"/>
          <w:sz w:val="20"/>
        </w:rPr>
        <w:t xml:space="preserve"> </w:t>
      </w:r>
      <w:r>
        <w:rPr>
          <w:sz w:val="20"/>
        </w:rPr>
        <w:t>&lt;</w:t>
      </w:r>
      <w:r>
        <w:rPr>
          <w:spacing w:val="-3"/>
          <w:sz w:val="20"/>
        </w:rPr>
        <w:t xml:space="preserve"> </w:t>
      </w:r>
      <w:r>
        <w:rPr>
          <w:sz w:val="20"/>
        </w:rPr>
        <w:t>1.24.</w:t>
      </w:r>
      <w:r>
        <w:rPr>
          <w:spacing w:val="-3"/>
          <w:sz w:val="20"/>
        </w:rPr>
        <w:t xml:space="preserve"> </w:t>
      </w:r>
      <w:r>
        <w:rPr>
          <w:sz w:val="20"/>
        </w:rPr>
        <w:t>Measures</w:t>
      </w:r>
      <w:r>
        <w:rPr>
          <w:spacing w:val="-3"/>
          <w:sz w:val="20"/>
        </w:rPr>
        <w:t xml:space="preserve"> </w:t>
      </w:r>
      <w:r>
        <w:rPr>
          <w:sz w:val="20"/>
        </w:rPr>
        <w:t>were calculated as the average score in the zip codes where a given hospital’s oncology patients resided, weighted by proportion of each hospital’s patients in each relevant zip code. Analysis limited to inpatient medical and surgical oncology discharges for Massachusetts residents aged 18+.</w:t>
      </w:r>
    </w:p>
    <w:p w14:paraId="1C34EB68" w14:textId="77777777" w:rsidR="004C558F" w:rsidRDefault="004C558F">
      <w:pPr>
        <w:pStyle w:val="BodyText"/>
        <w:spacing w:before="116"/>
      </w:pPr>
    </w:p>
    <w:p w14:paraId="1C34EB69" w14:textId="77777777" w:rsidR="004C558F" w:rsidRDefault="00461887">
      <w:pPr>
        <w:pStyle w:val="ListParagraph"/>
        <w:numPr>
          <w:ilvl w:val="3"/>
          <w:numId w:val="16"/>
        </w:numPr>
        <w:tabs>
          <w:tab w:val="left" w:pos="960"/>
        </w:tabs>
        <w:ind w:right="1399"/>
        <w:jc w:val="both"/>
      </w:pPr>
      <w:bookmarkStart w:id="214" w:name="c._DFCI_and_BIDMC_serve_a_greater_propor"/>
      <w:bookmarkEnd w:id="214"/>
      <w:r>
        <w:rPr>
          <w:color w:val="063656"/>
        </w:rPr>
        <w:t>DFCI</w:t>
      </w:r>
      <w:r>
        <w:rPr>
          <w:color w:val="063656"/>
          <w:spacing w:val="-2"/>
        </w:rPr>
        <w:t xml:space="preserve"> </w:t>
      </w:r>
      <w:r>
        <w:rPr>
          <w:color w:val="063656"/>
        </w:rPr>
        <w:t>and</w:t>
      </w:r>
      <w:r>
        <w:rPr>
          <w:color w:val="063656"/>
          <w:spacing w:val="-4"/>
        </w:rPr>
        <w:t xml:space="preserve"> </w:t>
      </w:r>
      <w:r>
        <w:rPr>
          <w:color w:val="063656"/>
        </w:rPr>
        <w:t>BIDMC</w:t>
      </w:r>
      <w:r>
        <w:rPr>
          <w:color w:val="063656"/>
          <w:spacing w:val="-5"/>
        </w:rPr>
        <w:t xml:space="preserve"> </w:t>
      </w:r>
      <w:r>
        <w:rPr>
          <w:color w:val="063656"/>
        </w:rPr>
        <w:t>serve</w:t>
      </w:r>
      <w:r>
        <w:rPr>
          <w:color w:val="063656"/>
          <w:spacing w:val="-2"/>
        </w:rPr>
        <w:t xml:space="preserve"> </w:t>
      </w:r>
      <w:r>
        <w:rPr>
          <w:color w:val="063656"/>
        </w:rPr>
        <w:t>a</w:t>
      </w:r>
      <w:r>
        <w:rPr>
          <w:color w:val="063656"/>
          <w:spacing w:val="-1"/>
        </w:rPr>
        <w:t xml:space="preserve"> </w:t>
      </w:r>
      <w:r>
        <w:rPr>
          <w:color w:val="063656"/>
        </w:rPr>
        <w:t>greater</w:t>
      </w:r>
      <w:r>
        <w:rPr>
          <w:color w:val="063656"/>
          <w:spacing w:val="-3"/>
        </w:rPr>
        <w:t xml:space="preserve"> </w:t>
      </w:r>
      <w:r>
        <w:rPr>
          <w:color w:val="063656"/>
        </w:rPr>
        <w:t>proportion</w:t>
      </w:r>
      <w:r>
        <w:rPr>
          <w:color w:val="063656"/>
          <w:spacing w:val="-2"/>
        </w:rPr>
        <w:t xml:space="preserve"> </w:t>
      </w:r>
      <w:r>
        <w:rPr>
          <w:color w:val="063656"/>
        </w:rPr>
        <w:t>of</w:t>
      </w:r>
      <w:r>
        <w:rPr>
          <w:color w:val="063656"/>
          <w:spacing w:val="-4"/>
        </w:rPr>
        <w:t xml:space="preserve"> </w:t>
      </w:r>
      <w:r>
        <w:rPr>
          <w:color w:val="063656"/>
        </w:rPr>
        <w:t>BIPOC</w:t>
      </w:r>
      <w:r>
        <w:rPr>
          <w:color w:val="063656"/>
          <w:spacing w:val="-5"/>
        </w:rPr>
        <w:t xml:space="preserve"> </w:t>
      </w:r>
      <w:r>
        <w:rPr>
          <w:color w:val="063656"/>
        </w:rPr>
        <w:t>and</w:t>
      </w:r>
      <w:r>
        <w:rPr>
          <w:color w:val="063656"/>
          <w:spacing w:val="-1"/>
        </w:rPr>
        <w:t xml:space="preserve"> </w:t>
      </w:r>
      <w:r>
        <w:rPr>
          <w:color w:val="063656"/>
        </w:rPr>
        <w:t>Hispanic</w:t>
      </w:r>
      <w:r>
        <w:rPr>
          <w:color w:val="063656"/>
          <w:spacing w:val="-2"/>
        </w:rPr>
        <w:t xml:space="preserve"> </w:t>
      </w:r>
      <w:r>
        <w:rPr>
          <w:color w:val="063656"/>
        </w:rPr>
        <w:t>oncology</w:t>
      </w:r>
      <w:r>
        <w:rPr>
          <w:color w:val="063656"/>
          <w:spacing w:val="-3"/>
        </w:rPr>
        <w:t xml:space="preserve"> </w:t>
      </w:r>
      <w:r>
        <w:rPr>
          <w:color w:val="063656"/>
        </w:rPr>
        <w:t>patients</w:t>
      </w:r>
      <w:r>
        <w:rPr>
          <w:color w:val="063656"/>
          <w:spacing w:val="-2"/>
        </w:rPr>
        <w:t xml:space="preserve"> </w:t>
      </w:r>
      <w:r>
        <w:rPr>
          <w:color w:val="063656"/>
        </w:rPr>
        <w:t>than</w:t>
      </w:r>
      <w:r>
        <w:rPr>
          <w:color w:val="063656"/>
          <w:spacing w:val="-2"/>
        </w:rPr>
        <w:t xml:space="preserve"> </w:t>
      </w:r>
      <w:r>
        <w:rPr>
          <w:color w:val="063656"/>
        </w:rPr>
        <w:t>the statewide average, with BIDMC</w:t>
      </w:r>
      <w:r>
        <w:rPr>
          <w:color w:val="063656"/>
          <w:spacing w:val="-1"/>
        </w:rPr>
        <w:t xml:space="preserve"> </w:t>
      </w:r>
      <w:r>
        <w:rPr>
          <w:color w:val="063656"/>
        </w:rPr>
        <w:t>serving a particularly high proportion of Black individuals who would likely shift to the new facility.</w:t>
      </w:r>
    </w:p>
    <w:p w14:paraId="1C34EB6A" w14:textId="77777777" w:rsidR="004C558F" w:rsidRDefault="00461887">
      <w:pPr>
        <w:pStyle w:val="BodyText"/>
        <w:spacing w:before="41" w:line="276" w:lineRule="auto"/>
        <w:ind w:left="959" w:right="994" w:firstLine="720"/>
        <w:jc w:val="both"/>
      </w:pPr>
      <w:r>
        <w:t>We</w:t>
      </w:r>
      <w:r>
        <w:rPr>
          <w:spacing w:val="-3"/>
        </w:rPr>
        <w:t xml:space="preserve"> </w:t>
      </w:r>
      <w:r>
        <w:t>examined</w:t>
      </w:r>
      <w:r>
        <w:rPr>
          <w:spacing w:val="-5"/>
        </w:rPr>
        <w:t xml:space="preserve"> </w:t>
      </w:r>
      <w:r>
        <w:t>data</w:t>
      </w:r>
      <w:r>
        <w:rPr>
          <w:spacing w:val="-2"/>
        </w:rPr>
        <w:t xml:space="preserve"> </w:t>
      </w:r>
      <w:r>
        <w:t>on</w:t>
      </w:r>
      <w:r>
        <w:rPr>
          <w:spacing w:val="-3"/>
        </w:rPr>
        <w:t xml:space="preserve"> </w:t>
      </w:r>
      <w:r>
        <w:t>the</w:t>
      </w:r>
      <w:r>
        <w:rPr>
          <w:spacing w:val="-5"/>
        </w:rPr>
        <w:t xml:space="preserve"> </w:t>
      </w:r>
      <w:r>
        <w:t>racial</w:t>
      </w:r>
      <w:r>
        <w:rPr>
          <w:spacing w:val="-6"/>
        </w:rPr>
        <w:t xml:space="preserve"> </w:t>
      </w:r>
      <w:r>
        <w:t>and</w:t>
      </w:r>
      <w:r>
        <w:rPr>
          <w:spacing w:val="-2"/>
        </w:rPr>
        <w:t xml:space="preserve"> </w:t>
      </w:r>
      <w:r>
        <w:t>ethnic</w:t>
      </w:r>
      <w:r>
        <w:rPr>
          <w:spacing w:val="-3"/>
        </w:rPr>
        <w:t xml:space="preserve"> </w:t>
      </w:r>
      <w:r>
        <w:t>demographics</w:t>
      </w:r>
      <w:r>
        <w:rPr>
          <w:spacing w:val="-5"/>
        </w:rPr>
        <w:t xml:space="preserve"> </w:t>
      </w:r>
      <w:r>
        <w:t>of</w:t>
      </w:r>
      <w:r>
        <w:rPr>
          <w:spacing w:val="-2"/>
        </w:rPr>
        <w:t xml:space="preserve"> </w:t>
      </w:r>
      <w:r>
        <w:t>the</w:t>
      </w:r>
      <w:r>
        <w:rPr>
          <w:spacing w:val="-3"/>
        </w:rPr>
        <w:t xml:space="preserve"> </w:t>
      </w:r>
      <w:r>
        <w:t>parties’</w:t>
      </w:r>
      <w:r>
        <w:rPr>
          <w:spacing w:val="-3"/>
        </w:rPr>
        <w:t xml:space="preserve"> </w:t>
      </w:r>
      <w:r>
        <w:t>medical</w:t>
      </w:r>
      <w:r>
        <w:rPr>
          <w:spacing w:val="-4"/>
        </w:rPr>
        <w:t xml:space="preserve"> </w:t>
      </w:r>
      <w:r>
        <w:t>oncology inpatients</w:t>
      </w:r>
      <w:r>
        <w:rPr>
          <w:spacing w:val="-2"/>
        </w:rPr>
        <w:t xml:space="preserve"> </w:t>
      </w:r>
      <w:r>
        <w:t>compared to</w:t>
      </w:r>
      <w:r>
        <w:rPr>
          <w:spacing w:val="-2"/>
        </w:rPr>
        <w:t xml:space="preserve"> </w:t>
      </w:r>
      <w:r>
        <w:t>statewide and</w:t>
      </w:r>
      <w:r>
        <w:rPr>
          <w:spacing w:val="-2"/>
        </w:rPr>
        <w:t xml:space="preserve"> </w:t>
      </w:r>
      <w:r>
        <w:t>other</w:t>
      </w:r>
      <w:r>
        <w:rPr>
          <w:spacing w:val="-1"/>
        </w:rPr>
        <w:t xml:space="preserve"> </w:t>
      </w:r>
      <w:r>
        <w:t>major</w:t>
      </w:r>
      <w:r>
        <w:rPr>
          <w:spacing w:val="-1"/>
        </w:rPr>
        <w:t xml:space="preserve"> </w:t>
      </w:r>
      <w:r>
        <w:t>cancer</w:t>
      </w:r>
      <w:r>
        <w:rPr>
          <w:spacing w:val="-3"/>
        </w:rPr>
        <w:t xml:space="preserve"> </w:t>
      </w:r>
      <w:r>
        <w:t>care providers.</w:t>
      </w:r>
      <w:r>
        <w:rPr>
          <w:spacing w:val="-3"/>
        </w:rPr>
        <w:t xml:space="preserve"> </w:t>
      </w:r>
      <w:r>
        <w:t>From 2019</w:t>
      </w:r>
      <w:r>
        <w:rPr>
          <w:spacing w:val="-3"/>
        </w:rPr>
        <w:t xml:space="preserve"> </w:t>
      </w:r>
      <w:r>
        <w:t>– 2023, the statewide share of medical oncology discharges for BIPOC patients increased slightly, while the</w:t>
      </w:r>
    </w:p>
    <w:p w14:paraId="1C34EB6B" w14:textId="77777777" w:rsidR="004C558F" w:rsidRDefault="004C558F">
      <w:pPr>
        <w:spacing w:line="276" w:lineRule="auto"/>
        <w:jc w:val="both"/>
        <w:sectPr w:rsidR="004C558F">
          <w:pgSz w:w="12240" w:h="15840"/>
          <w:pgMar w:top="1360" w:right="740" w:bottom="720" w:left="480" w:header="0" w:footer="521" w:gutter="0"/>
          <w:cols w:space="720"/>
        </w:sectPr>
      </w:pPr>
    </w:p>
    <w:p w14:paraId="1C34EB6C" w14:textId="730E1168" w:rsidR="004C558F" w:rsidRDefault="00461887">
      <w:pPr>
        <w:pStyle w:val="BodyText"/>
        <w:spacing w:before="80" w:line="276" w:lineRule="auto"/>
        <w:ind w:left="960" w:right="702" w:hanging="1"/>
        <w:rPr>
          <w:sz w:val="14"/>
        </w:rPr>
      </w:pPr>
      <w:r>
        <w:lastRenderedPageBreak/>
        <w:t>share</w:t>
      </w:r>
      <w:r>
        <w:rPr>
          <w:spacing w:val="-1"/>
        </w:rPr>
        <w:t xml:space="preserve"> </w:t>
      </w:r>
      <w:r>
        <w:t>of discharges</w:t>
      </w:r>
      <w:r>
        <w:rPr>
          <w:spacing w:val="-3"/>
        </w:rPr>
        <w:t xml:space="preserve"> </w:t>
      </w:r>
      <w:r>
        <w:t>for</w:t>
      </w:r>
      <w:r>
        <w:rPr>
          <w:spacing w:val="-2"/>
        </w:rPr>
        <w:t xml:space="preserve"> </w:t>
      </w:r>
      <w:r>
        <w:t>Hispanic</w:t>
      </w:r>
      <w:r>
        <w:rPr>
          <w:spacing w:val="-1"/>
        </w:rPr>
        <w:t xml:space="preserve"> </w:t>
      </w:r>
      <w:r>
        <w:t>patients</w:t>
      </w:r>
      <w:r>
        <w:rPr>
          <w:spacing w:val="-1"/>
        </w:rPr>
        <w:t xml:space="preserve"> </w:t>
      </w:r>
      <w:r>
        <w:t>was</w:t>
      </w:r>
      <w:r>
        <w:rPr>
          <w:spacing w:val="-1"/>
        </w:rPr>
        <w:t xml:space="preserve"> </w:t>
      </w:r>
      <w:r>
        <w:t>relatively</w:t>
      </w:r>
      <w:r>
        <w:rPr>
          <w:spacing w:val="-2"/>
        </w:rPr>
        <w:t xml:space="preserve"> </w:t>
      </w:r>
      <w:r>
        <w:t>constant</w:t>
      </w:r>
      <w:r>
        <w:rPr>
          <w:spacing w:val="-2"/>
        </w:rPr>
        <w:t xml:space="preserve"> </w:t>
      </w:r>
      <w:r>
        <w:t>at</w:t>
      </w:r>
      <w:r>
        <w:rPr>
          <w:spacing w:val="-4"/>
        </w:rPr>
        <w:t xml:space="preserve"> </w:t>
      </w:r>
      <w:r>
        <w:t>approximately</w:t>
      </w:r>
      <w:r>
        <w:rPr>
          <w:spacing w:val="-2"/>
        </w:rPr>
        <w:t xml:space="preserve"> </w:t>
      </w:r>
      <w:r>
        <w:t>6%.</w:t>
      </w:r>
      <w:r w:rsidR="005372F8">
        <w:rPr>
          <w:rStyle w:val="FootnoteReference"/>
        </w:rPr>
        <w:footnoteReference w:id="238"/>
      </w:r>
      <w:r>
        <w:rPr>
          <w:spacing w:val="19"/>
          <w:position w:val="5"/>
          <w:sz w:val="14"/>
        </w:rPr>
        <w:t xml:space="preserve"> </w:t>
      </w:r>
      <w:r>
        <w:t xml:space="preserve">These trends were </w:t>
      </w:r>
      <w:proofErr w:type="gramStart"/>
      <w:r>
        <w:t>similar to</w:t>
      </w:r>
      <w:proofErr w:type="gramEnd"/>
      <w:r>
        <w:t xml:space="preserve"> trends across all discharges statewide.</w:t>
      </w:r>
      <w:r>
        <w:rPr>
          <w:spacing w:val="-31"/>
        </w:rPr>
        <w:t xml:space="preserve"> </w:t>
      </w:r>
      <w:r w:rsidR="008E3E00">
        <w:rPr>
          <w:rStyle w:val="FootnoteReference"/>
          <w:spacing w:val="-31"/>
        </w:rPr>
        <w:footnoteReference w:id="239"/>
      </w:r>
    </w:p>
    <w:p w14:paraId="1C34EB6D" w14:textId="77777777" w:rsidR="004C558F" w:rsidRDefault="004C558F">
      <w:pPr>
        <w:pStyle w:val="BodyText"/>
        <w:spacing w:before="38"/>
      </w:pPr>
    </w:p>
    <w:p w14:paraId="1C34EB6E" w14:textId="427D54A6" w:rsidR="004C558F" w:rsidRDefault="00461887">
      <w:pPr>
        <w:pStyle w:val="BodyText"/>
        <w:spacing w:line="276" w:lineRule="auto"/>
        <w:ind w:left="959" w:right="991" w:firstLine="720"/>
      </w:pPr>
      <w:r>
        <w:t>The</w:t>
      </w:r>
      <w:r>
        <w:rPr>
          <w:spacing w:val="-3"/>
        </w:rPr>
        <w:t xml:space="preserve"> </w:t>
      </w:r>
      <w:r>
        <w:t>parties</w:t>
      </w:r>
      <w:r>
        <w:rPr>
          <w:spacing w:val="-4"/>
        </w:rPr>
        <w:t xml:space="preserve"> </w:t>
      </w:r>
      <w:r>
        <w:t>serve</w:t>
      </w:r>
      <w:r>
        <w:rPr>
          <w:spacing w:val="-3"/>
        </w:rPr>
        <w:t xml:space="preserve"> </w:t>
      </w:r>
      <w:r>
        <w:t>a</w:t>
      </w:r>
      <w:r>
        <w:rPr>
          <w:spacing w:val="-4"/>
        </w:rPr>
        <w:t xml:space="preserve"> </w:t>
      </w:r>
      <w:r>
        <w:t>greater</w:t>
      </w:r>
      <w:r>
        <w:rPr>
          <w:spacing w:val="-3"/>
        </w:rPr>
        <w:t xml:space="preserve"> </w:t>
      </w:r>
      <w:r>
        <w:t>proportion</w:t>
      </w:r>
      <w:r>
        <w:rPr>
          <w:spacing w:val="-3"/>
        </w:rPr>
        <w:t xml:space="preserve"> </w:t>
      </w:r>
      <w:r>
        <w:t>of</w:t>
      </w:r>
      <w:r>
        <w:rPr>
          <w:spacing w:val="-2"/>
        </w:rPr>
        <w:t xml:space="preserve"> </w:t>
      </w:r>
      <w:r>
        <w:t>BIPOC</w:t>
      </w:r>
      <w:r>
        <w:rPr>
          <w:spacing w:val="-5"/>
        </w:rPr>
        <w:t xml:space="preserve"> </w:t>
      </w:r>
      <w:r>
        <w:t>and</w:t>
      </w:r>
      <w:r>
        <w:rPr>
          <w:spacing w:val="-4"/>
        </w:rPr>
        <w:t xml:space="preserve"> </w:t>
      </w:r>
      <w:r>
        <w:t>Hispanic</w:t>
      </w:r>
      <w:r>
        <w:rPr>
          <w:spacing w:val="-3"/>
        </w:rPr>
        <w:t xml:space="preserve"> </w:t>
      </w:r>
      <w:r>
        <w:t>inpatient</w:t>
      </w:r>
      <w:r>
        <w:rPr>
          <w:spacing w:val="-3"/>
        </w:rPr>
        <w:t xml:space="preserve"> </w:t>
      </w:r>
      <w:r>
        <w:t>medical</w:t>
      </w:r>
      <w:r>
        <w:rPr>
          <w:spacing w:val="-3"/>
        </w:rPr>
        <w:t xml:space="preserve"> </w:t>
      </w:r>
      <w:r>
        <w:t>oncology discharges than the statewide average. DFCI’s share of BIPOC oncology discharges increased slightly</w:t>
      </w:r>
      <w:r>
        <w:rPr>
          <w:spacing w:val="-1"/>
        </w:rPr>
        <w:t xml:space="preserve"> </w:t>
      </w:r>
      <w:r>
        <w:t>from 2019 – 2023</w:t>
      </w:r>
      <w:r>
        <w:rPr>
          <w:spacing w:val="-3"/>
        </w:rPr>
        <w:t xml:space="preserve"> </w:t>
      </w:r>
      <w:r>
        <w:t>and was 2.7</w:t>
      </w:r>
      <w:r>
        <w:rPr>
          <w:spacing w:val="-3"/>
        </w:rPr>
        <w:t xml:space="preserve"> </w:t>
      </w:r>
      <w:r>
        <w:t>percentage</w:t>
      </w:r>
      <w:r>
        <w:rPr>
          <w:spacing w:val="-2"/>
        </w:rPr>
        <w:t xml:space="preserve"> </w:t>
      </w:r>
      <w:r>
        <w:t>points greater</w:t>
      </w:r>
      <w:r>
        <w:rPr>
          <w:spacing w:val="-1"/>
        </w:rPr>
        <w:t xml:space="preserve"> </w:t>
      </w:r>
      <w:r>
        <w:t>than statewide in</w:t>
      </w:r>
      <w:r>
        <w:rPr>
          <w:spacing w:val="-2"/>
        </w:rPr>
        <w:t xml:space="preserve"> </w:t>
      </w:r>
      <w:r>
        <w:t>2023.</w:t>
      </w:r>
      <w:r w:rsidR="0025168C">
        <w:rPr>
          <w:rStyle w:val="FootnoteReference"/>
        </w:rPr>
        <w:footnoteReference w:id="240"/>
      </w:r>
      <w:r>
        <w:rPr>
          <w:spacing w:val="20"/>
          <w:position w:val="5"/>
          <w:sz w:val="14"/>
        </w:rPr>
        <w:t xml:space="preserve"> </w:t>
      </w:r>
      <w:r>
        <w:t>In 2023, BIDMC had a significantly larger share of BIPOC oncology discharges, particularly discharges for Black patients, than the statewide average. DFCI and BIDMC both had a higher share of Hispanic oncology discharges than statewide in 2023, though DFCI’s share was higher than BIDMC’s.</w:t>
      </w:r>
    </w:p>
    <w:p w14:paraId="1C34EB6F" w14:textId="77777777" w:rsidR="004C558F" w:rsidRDefault="004C558F">
      <w:pPr>
        <w:pStyle w:val="BodyText"/>
        <w:spacing w:before="37"/>
      </w:pPr>
    </w:p>
    <w:p w14:paraId="1C34EB70" w14:textId="77777777" w:rsidR="004C558F" w:rsidRDefault="00461887">
      <w:pPr>
        <w:pStyle w:val="BodyText"/>
        <w:spacing w:line="273" w:lineRule="auto"/>
        <w:ind w:left="5181" w:right="702" w:hanging="4128"/>
      </w:pPr>
      <w:r>
        <w:t>Figure</w:t>
      </w:r>
      <w:r>
        <w:rPr>
          <w:spacing w:val="-2"/>
        </w:rPr>
        <w:t xml:space="preserve"> </w:t>
      </w:r>
      <w:r>
        <w:t>III.C.6:</w:t>
      </w:r>
      <w:r>
        <w:rPr>
          <w:spacing w:val="-2"/>
        </w:rPr>
        <w:t xml:space="preserve"> </w:t>
      </w:r>
      <w:r>
        <w:t>Inpatient</w:t>
      </w:r>
      <w:r>
        <w:rPr>
          <w:spacing w:val="-3"/>
        </w:rPr>
        <w:t xml:space="preserve"> </w:t>
      </w:r>
      <w:r>
        <w:t>Medical</w:t>
      </w:r>
      <w:r>
        <w:rPr>
          <w:spacing w:val="-3"/>
        </w:rPr>
        <w:t xml:space="preserve"> </w:t>
      </w:r>
      <w:r>
        <w:t>Oncology</w:t>
      </w:r>
      <w:r>
        <w:rPr>
          <w:spacing w:val="-5"/>
        </w:rPr>
        <w:t xml:space="preserve"> </w:t>
      </w:r>
      <w:r>
        <w:t>Discharges</w:t>
      </w:r>
      <w:r>
        <w:rPr>
          <w:spacing w:val="-4"/>
        </w:rPr>
        <w:t xml:space="preserve"> </w:t>
      </w:r>
      <w:r>
        <w:t>by Race</w:t>
      </w:r>
      <w:r>
        <w:rPr>
          <w:spacing w:val="-4"/>
        </w:rPr>
        <w:t xml:space="preserve"> </w:t>
      </w:r>
      <w:r>
        <w:t>for</w:t>
      </w:r>
      <w:r>
        <w:rPr>
          <w:spacing w:val="-3"/>
        </w:rPr>
        <w:t xml:space="preserve"> </w:t>
      </w:r>
      <w:r>
        <w:t>Select</w:t>
      </w:r>
      <w:r>
        <w:rPr>
          <w:spacing w:val="-3"/>
        </w:rPr>
        <w:t xml:space="preserve"> </w:t>
      </w:r>
      <w:r>
        <w:t>Hospitals</w:t>
      </w:r>
      <w:r>
        <w:rPr>
          <w:spacing w:val="-1"/>
        </w:rPr>
        <w:t xml:space="preserve"> </w:t>
      </w:r>
      <w:r>
        <w:t>and</w:t>
      </w:r>
      <w:r>
        <w:rPr>
          <w:spacing w:val="-1"/>
        </w:rPr>
        <w:t xml:space="preserve"> </w:t>
      </w:r>
      <w:r>
        <w:t xml:space="preserve">Statewide </w:t>
      </w:r>
      <w:r>
        <w:rPr>
          <w:spacing w:val="-2"/>
        </w:rPr>
        <w:t>(2023)</w:t>
      </w:r>
    </w:p>
    <w:p w14:paraId="1C34EB71" w14:textId="77777777" w:rsidR="004C558F" w:rsidRDefault="00461887">
      <w:pPr>
        <w:pStyle w:val="BodyText"/>
        <w:spacing w:before="32"/>
        <w:rPr>
          <w:sz w:val="20"/>
        </w:rPr>
      </w:pPr>
      <w:r>
        <w:rPr>
          <w:noProof/>
        </w:rPr>
        <mc:AlternateContent>
          <mc:Choice Requires="wpg">
            <w:drawing>
              <wp:anchor distT="0" distB="0" distL="0" distR="0" simplePos="0" relativeHeight="251696128" behindDoc="1" locked="0" layoutInCell="1" allowOverlap="1" wp14:anchorId="1C34F150" wp14:editId="6502E25B">
                <wp:simplePos x="0" y="0"/>
                <wp:positionH relativeFrom="page">
                  <wp:posOffset>909637</wp:posOffset>
                </wp:positionH>
                <wp:positionV relativeFrom="paragraph">
                  <wp:posOffset>180458</wp:posOffset>
                </wp:positionV>
                <wp:extent cx="5953125" cy="3502025"/>
                <wp:effectExtent l="0" t="0" r="9525" b="22225"/>
                <wp:wrapTopAndBottom/>
                <wp:docPr id="490" name="Group 490" descr="Bar graph for Inpatient Medical Oncology Discharges by Race for Select Hospitals and Statewide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502025"/>
                          <a:chOff x="0" y="0"/>
                          <a:chExt cx="5953125" cy="3502025"/>
                        </a:xfrm>
                      </wpg:grpSpPr>
                      <wps:wsp>
                        <wps:cNvPr id="491" name="Graphic 491"/>
                        <wps:cNvSpPr/>
                        <wps:spPr>
                          <a:xfrm>
                            <a:off x="534174" y="828802"/>
                            <a:ext cx="5274945" cy="1367155"/>
                          </a:xfrm>
                          <a:custGeom>
                            <a:avLst/>
                            <a:gdLst/>
                            <a:ahLst/>
                            <a:cxnLst/>
                            <a:rect l="l" t="t" r="r" b="b"/>
                            <a:pathLst>
                              <a:path w="5274945" h="1367155">
                                <a:moveTo>
                                  <a:pt x="0" y="1367027"/>
                                </a:moveTo>
                                <a:lnTo>
                                  <a:pt x="176199" y="1367027"/>
                                </a:lnTo>
                              </a:path>
                              <a:path w="5274945" h="1367155">
                                <a:moveTo>
                                  <a:pt x="878763" y="1367027"/>
                                </a:moveTo>
                                <a:lnTo>
                                  <a:pt x="1230807" y="1367027"/>
                                </a:lnTo>
                              </a:path>
                              <a:path w="5274945" h="1367155">
                                <a:moveTo>
                                  <a:pt x="1933371" y="1367027"/>
                                </a:moveTo>
                                <a:lnTo>
                                  <a:pt x="2285415" y="1367027"/>
                                </a:lnTo>
                              </a:path>
                              <a:path w="5274945" h="1367155">
                                <a:moveTo>
                                  <a:pt x="2989503" y="1367027"/>
                                </a:moveTo>
                                <a:lnTo>
                                  <a:pt x="3340023" y="1367027"/>
                                </a:lnTo>
                              </a:path>
                              <a:path w="5274945" h="1367155">
                                <a:moveTo>
                                  <a:pt x="4044111" y="1367027"/>
                                </a:moveTo>
                                <a:lnTo>
                                  <a:pt x="4396155" y="1367027"/>
                                </a:lnTo>
                              </a:path>
                              <a:path w="5274945" h="1367155">
                                <a:moveTo>
                                  <a:pt x="5098719" y="1367027"/>
                                </a:moveTo>
                                <a:lnTo>
                                  <a:pt x="5274487" y="1367027"/>
                                </a:lnTo>
                              </a:path>
                              <a:path w="5274945" h="1367155">
                                <a:moveTo>
                                  <a:pt x="4044111" y="682751"/>
                                </a:moveTo>
                                <a:lnTo>
                                  <a:pt x="4396155" y="682751"/>
                                </a:lnTo>
                              </a:path>
                              <a:path w="5274945" h="1367155">
                                <a:moveTo>
                                  <a:pt x="5098719" y="682751"/>
                                </a:moveTo>
                                <a:lnTo>
                                  <a:pt x="5274487" y="682751"/>
                                </a:lnTo>
                              </a:path>
                              <a:path w="5274945" h="1367155">
                                <a:moveTo>
                                  <a:pt x="1933371" y="682751"/>
                                </a:moveTo>
                                <a:lnTo>
                                  <a:pt x="2285415" y="682751"/>
                                </a:lnTo>
                              </a:path>
                              <a:path w="5274945" h="1367155">
                                <a:moveTo>
                                  <a:pt x="2989503" y="682751"/>
                                </a:moveTo>
                                <a:lnTo>
                                  <a:pt x="3340023" y="682751"/>
                                </a:lnTo>
                              </a:path>
                              <a:path w="5274945" h="1367155">
                                <a:moveTo>
                                  <a:pt x="878763" y="682751"/>
                                </a:moveTo>
                                <a:lnTo>
                                  <a:pt x="1230807" y="682751"/>
                                </a:lnTo>
                              </a:path>
                              <a:path w="5274945" h="1367155">
                                <a:moveTo>
                                  <a:pt x="0" y="682751"/>
                                </a:moveTo>
                                <a:lnTo>
                                  <a:pt x="176199" y="682751"/>
                                </a:lnTo>
                              </a:path>
                              <a:path w="5274945" h="1367155">
                                <a:moveTo>
                                  <a:pt x="2989503" y="0"/>
                                </a:moveTo>
                                <a:lnTo>
                                  <a:pt x="4396155" y="0"/>
                                </a:lnTo>
                              </a:path>
                              <a:path w="5274945" h="1367155">
                                <a:moveTo>
                                  <a:pt x="5098719" y="0"/>
                                </a:moveTo>
                                <a:lnTo>
                                  <a:pt x="5274487" y="0"/>
                                </a:lnTo>
                              </a:path>
                              <a:path w="5274945" h="1367155">
                                <a:moveTo>
                                  <a:pt x="1933371" y="0"/>
                                </a:moveTo>
                                <a:lnTo>
                                  <a:pt x="2285415" y="0"/>
                                </a:lnTo>
                              </a:path>
                              <a:path w="5274945" h="1367155">
                                <a:moveTo>
                                  <a:pt x="878763" y="0"/>
                                </a:moveTo>
                                <a:lnTo>
                                  <a:pt x="1230807" y="0"/>
                                </a:lnTo>
                              </a:path>
                              <a:path w="5274945" h="1367155">
                                <a:moveTo>
                                  <a:pt x="0" y="0"/>
                                </a:moveTo>
                                <a:lnTo>
                                  <a:pt x="176199" y="0"/>
                                </a:lnTo>
                              </a:path>
                            </a:pathLst>
                          </a:custGeom>
                          <a:ln w="9525">
                            <a:solidFill>
                              <a:srgbClr val="ECECEC"/>
                            </a:solidFill>
                            <a:prstDash val="solid"/>
                          </a:ln>
                        </wps:spPr>
                        <wps:bodyPr wrap="square" lIns="0" tIns="0" rIns="0" bIns="0" rtlCol="0">
                          <a:prstTxWarp prst="textNoShape">
                            <a:avLst/>
                          </a:prstTxWarp>
                          <a:noAutofit/>
                        </wps:bodyPr>
                      </wps:wsp>
                      <wps:wsp>
                        <wps:cNvPr id="492" name="Graphic 492"/>
                        <wps:cNvSpPr/>
                        <wps:spPr>
                          <a:xfrm>
                            <a:off x="534174" y="144462"/>
                            <a:ext cx="5274945" cy="1270"/>
                          </a:xfrm>
                          <a:custGeom>
                            <a:avLst/>
                            <a:gdLst/>
                            <a:ahLst/>
                            <a:cxnLst/>
                            <a:rect l="l" t="t" r="r" b="b"/>
                            <a:pathLst>
                              <a:path w="5274945">
                                <a:moveTo>
                                  <a:pt x="0" y="0"/>
                                </a:moveTo>
                                <a:lnTo>
                                  <a:pt x="5274487" y="0"/>
                                </a:lnTo>
                              </a:path>
                            </a:pathLst>
                          </a:custGeom>
                          <a:ln w="9525">
                            <a:solidFill>
                              <a:srgbClr val="ECECEC"/>
                            </a:solidFill>
                            <a:prstDash val="solid"/>
                          </a:ln>
                        </wps:spPr>
                        <wps:bodyPr wrap="square" lIns="0" tIns="0" rIns="0" bIns="0" rtlCol="0">
                          <a:prstTxWarp prst="textNoShape">
                            <a:avLst/>
                          </a:prstTxWarp>
                          <a:noAutofit/>
                        </wps:bodyPr>
                      </wps:wsp>
                      <wps:wsp>
                        <wps:cNvPr id="493" name="Graphic 493"/>
                        <wps:cNvSpPr/>
                        <wps:spPr>
                          <a:xfrm>
                            <a:off x="710374" y="639838"/>
                            <a:ext cx="4922520" cy="2240280"/>
                          </a:xfrm>
                          <a:custGeom>
                            <a:avLst/>
                            <a:gdLst/>
                            <a:ahLst/>
                            <a:cxnLst/>
                            <a:rect l="l" t="t" r="r" b="b"/>
                            <a:pathLst>
                              <a:path w="4922520" h="2240280">
                                <a:moveTo>
                                  <a:pt x="702564" y="364223"/>
                                </a:moveTo>
                                <a:lnTo>
                                  <a:pt x="0" y="364223"/>
                                </a:lnTo>
                                <a:lnTo>
                                  <a:pt x="0" y="2240115"/>
                                </a:lnTo>
                                <a:lnTo>
                                  <a:pt x="702564" y="2240115"/>
                                </a:lnTo>
                                <a:lnTo>
                                  <a:pt x="702564" y="364223"/>
                                </a:lnTo>
                                <a:close/>
                              </a:path>
                              <a:path w="4922520" h="2240280">
                                <a:moveTo>
                                  <a:pt x="1757172" y="91440"/>
                                </a:moveTo>
                                <a:lnTo>
                                  <a:pt x="1054608" y="91440"/>
                                </a:lnTo>
                                <a:lnTo>
                                  <a:pt x="1054608" y="2240115"/>
                                </a:lnTo>
                                <a:lnTo>
                                  <a:pt x="1757172" y="2240115"/>
                                </a:lnTo>
                                <a:lnTo>
                                  <a:pt x="1757172" y="91440"/>
                                </a:lnTo>
                                <a:close/>
                              </a:path>
                              <a:path w="4922520" h="2240280">
                                <a:moveTo>
                                  <a:pt x="2813304" y="73152"/>
                                </a:moveTo>
                                <a:lnTo>
                                  <a:pt x="2109216" y="73152"/>
                                </a:lnTo>
                                <a:lnTo>
                                  <a:pt x="2109216" y="2240115"/>
                                </a:lnTo>
                                <a:lnTo>
                                  <a:pt x="2813304" y="2240115"/>
                                </a:lnTo>
                                <a:lnTo>
                                  <a:pt x="2813304" y="73152"/>
                                </a:lnTo>
                                <a:close/>
                              </a:path>
                              <a:path w="4922520" h="2240280">
                                <a:moveTo>
                                  <a:pt x="3867912" y="188963"/>
                                </a:moveTo>
                                <a:lnTo>
                                  <a:pt x="3163824" y="188963"/>
                                </a:lnTo>
                                <a:lnTo>
                                  <a:pt x="3163824" y="2240115"/>
                                </a:lnTo>
                                <a:lnTo>
                                  <a:pt x="3867912" y="2240115"/>
                                </a:lnTo>
                                <a:lnTo>
                                  <a:pt x="3867912" y="188963"/>
                                </a:lnTo>
                                <a:close/>
                              </a:path>
                              <a:path w="4922520" h="2240280">
                                <a:moveTo>
                                  <a:pt x="4922507" y="0"/>
                                </a:moveTo>
                                <a:lnTo>
                                  <a:pt x="4219956" y="0"/>
                                </a:lnTo>
                                <a:lnTo>
                                  <a:pt x="4219956" y="2240115"/>
                                </a:lnTo>
                                <a:lnTo>
                                  <a:pt x="4922507" y="2240115"/>
                                </a:lnTo>
                                <a:lnTo>
                                  <a:pt x="4922507" y="0"/>
                                </a:lnTo>
                                <a:close/>
                              </a:path>
                            </a:pathLst>
                          </a:custGeom>
                          <a:solidFill>
                            <a:srgbClr val="084875"/>
                          </a:solidFill>
                        </wps:spPr>
                        <wps:bodyPr wrap="square" lIns="0" tIns="0" rIns="0" bIns="0" rtlCol="0">
                          <a:prstTxWarp prst="textNoShape">
                            <a:avLst/>
                          </a:prstTxWarp>
                          <a:noAutofit/>
                        </wps:bodyPr>
                      </wps:wsp>
                      <wps:wsp>
                        <wps:cNvPr id="494" name="Graphic 494"/>
                        <wps:cNvSpPr/>
                        <wps:spPr>
                          <a:xfrm>
                            <a:off x="710374" y="536193"/>
                            <a:ext cx="4922520" cy="467995"/>
                          </a:xfrm>
                          <a:custGeom>
                            <a:avLst/>
                            <a:gdLst/>
                            <a:ahLst/>
                            <a:cxnLst/>
                            <a:rect l="l" t="t" r="r" b="b"/>
                            <a:pathLst>
                              <a:path w="4922520" h="467995">
                                <a:moveTo>
                                  <a:pt x="702564" y="300228"/>
                                </a:moveTo>
                                <a:lnTo>
                                  <a:pt x="0" y="300228"/>
                                </a:lnTo>
                                <a:lnTo>
                                  <a:pt x="0" y="467868"/>
                                </a:lnTo>
                                <a:lnTo>
                                  <a:pt x="702564" y="467868"/>
                                </a:lnTo>
                                <a:lnTo>
                                  <a:pt x="702564" y="300228"/>
                                </a:lnTo>
                                <a:close/>
                              </a:path>
                              <a:path w="4922520" h="467995">
                                <a:moveTo>
                                  <a:pt x="1757172" y="50292"/>
                                </a:moveTo>
                                <a:lnTo>
                                  <a:pt x="1054608" y="50292"/>
                                </a:lnTo>
                                <a:lnTo>
                                  <a:pt x="1054608" y="195072"/>
                                </a:lnTo>
                                <a:lnTo>
                                  <a:pt x="1757172" y="195072"/>
                                </a:lnTo>
                                <a:lnTo>
                                  <a:pt x="1757172" y="50292"/>
                                </a:lnTo>
                                <a:close/>
                              </a:path>
                              <a:path w="4922520" h="467995">
                                <a:moveTo>
                                  <a:pt x="2813304" y="50292"/>
                                </a:moveTo>
                                <a:lnTo>
                                  <a:pt x="2109216" y="50292"/>
                                </a:lnTo>
                                <a:lnTo>
                                  <a:pt x="2109216" y="176784"/>
                                </a:lnTo>
                                <a:lnTo>
                                  <a:pt x="2813304" y="176784"/>
                                </a:lnTo>
                                <a:lnTo>
                                  <a:pt x="2813304" y="50292"/>
                                </a:lnTo>
                                <a:close/>
                              </a:path>
                              <a:path w="4922520" h="467995">
                                <a:moveTo>
                                  <a:pt x="3867912" y="140208"/>
                                </a:moveTo>
                                <a:lnTo>
                                  <a:pt x="3163824" y="140208"/>
                                </a:lnTo>
                                <a:lnTo>
                                  <a:pt x="3163824" y="292608"/>
                                </a:lnTo>
                                <a:lnTo>
                                  <a:pt x="3867912" y="292608"/>
                                </a:lnTo>
                                <a:lnTo>
                                  <a:pt x="3867912" y="140208"/>
                                </a:lnTo>
                                <a:close/>
                              </a:path>
                              <a:path w="4922520" h="467995">
                                <a:moveTo>
                                  <a:pt x="4922507" y="0"/>
                                </a:moveTo>
                                <a:lnTo>
                                  <a:pt x="4219956" y="0"/>
                                </a:lnTo>
                                <a:lnTo>
                                  <a:pt x="4219956" y="103632"/>
                                </a:lnTo>
                                <a:lnTo>
                                  <a:pt x="4922507" y="103632"/>
                                </a:lnTo>
                                <a:lnTo>
                                  <a:pt x="4922507" y="0"/>
                                </a:lnTo>
                                <a:close/>
                              </a:path>
                            </a:pathLst>
                          </a:custGeom>
                          <a:solidFill>
                            <a:srgbClr val="F1682A"/>
                          </a:solidFill>
                        </wps:spPr>
                        <wps:bodyPr wrap="square" lIns="0" tIns="0" rIns="0" bIns="0" rtlCol="0">
                          <a:prstTxWarp prst="textNoShape">
                            <a:avLst/>
                          </a:prstTxWarp>
                          <a:noAutofit/>
                        </wps:bodyPr>
                      </wps:wsp>
                      <wps:wsp>
                        <wps:cNvPr id="495" name="Graphic 495"/>
                        <wps:cNvSpPr/>
                        <wps:spPr>
                          <a:xfrm>
                            <a:off x="710374" y="321309"/>
                            <a:ext cx="4922520" cy="515620"/>
                          </a:xfrm>
                          <a:custGeom>
                            <a:avLst/>
                            <a:gdLst/>
                            <a:ahLst/>
                            <a:cxnLst/>
                            <a:rect l="l" t="t" r="r" b="b"/>
                            <a:pathLst>
                              <a:path w="4922520" h="515620">
                                <a:moveTo>
                                  <a:pt x="702564" y="77724"/>
                                </a:moveTo>
                                <a:lnTo>
                                  <a:pt x="0" y="77724"/>
                                </a:lnTo>
                                <a:lnTo>
                                  <a:pt x="0" y="515112"/>
                                </a:lnTo>
                                <a:lnTo>
                                  <a:pt x="702564" y="515112"/>
                                </a:lnTo>
                                <a:lnTo>
                                  <a:pt x="702564" y="77724"/>
                                </a:lnTo>
                                <a:close/>
                              </a:path>
                              <a:path w="4922520" h="515620">
                                <a:moveTo>
                                  <a:pt x="1757172" y="16764"/>
                                </a:moveTo>
                                <a:lnTo>
                                  <a:pt x="1054608" y="16764"/>
                                </a:lnTo>
                                <a:lnTo>
                                  <a:pt x="1054608" y="265176"/>
                                </a:lnTo>
                                <a:lnTo>
                                  <a:pt x="1757172" y="265176"/>
                                </a:lnTo>
                                <a:lnTo>
                                  <a:pt x="1757172" y="16764"/>
                                </a:lnTo>
                                <a:close/>
                              </a:path>
                              <a:path w="4922520" h="515620">
                                <a:moveTo>
                                  <a:pt x="2813304" y="82296"/>
                                </a:moveTo>
                                <a:lnTo>
                                  <a:pt x="2109216" y="82296"/>
                                </a:lnTo>
                                <a:lnTo>
                                  <a:pt x="2109216" y="265176"/>
                                </a:lnTo>
                                <a:lnTo>
                                  <a:pt x="2813304" y="265176"/>
                                </a:lnTo>
                                <a:lnTo>
                                  <a:pt x="2813304" y="82296"/>
                                </a:lnTo>
                                <a:close/>
                              </a:path>
                              <a:path w="4922520" h="515620">
                                <a:moveTo>
                                  <a:pt x="3867912" y="44196"/>
                                </a:moveTo>
                                <a:lnTo>
                                  <a:pt x="3163824" y="44196"/>
                                </a:lnTo>
                                <a:lnTo>
                                  <a:pt x="3163824" y="355092"/>
                                </a:lnTo>
                                <a:lnTo>
                                  <a:pt x="3867912" y="355092"/>
                                </a:lnTo>
                                <a:lnTo>
                                  <a:pt x="3867912" y="44196"/>
                                </a:lnTo>
                                <a:close/>
                              </a:path>
                              <a:path w="4922520" h="515620">
                                <a:moveTo>
                                  <a:pt x="4922507" y="0"/>
                                </a:moveTo>
                                <a:lnTo>
                                  <a:pt x="4219956" y="0"/>
                                </a:lnTo>
                                <a:lnTo>
                                  <a:pt x="4219956" y="214896"/>
                                </a:lnTo>
                                <a:lnTo>
                                  <a:pt x="4922507" y="214896"/>
                                </a:lnTo>
                                <a:lnTo>
                                  <a:pt x="4922507" y="0"/>
                                </a:lnTo>
                                <a:close/>
                              </a:path>
                            </a:pathLst>
                          </a:custGeom>
                          <a:solidFill>
                            <a:srgbClr val="339FC7"/>
                          </a:solidFill>
                        </wps:spPr>
                        <wps:bodyPr wrap="square" lIns="0" tIns="0" rIns="0" bIns="0" rtlCol="0">
                          <a:prstTxWarp prst="textNoShape">
                            <a:avLst/>
                          </a:prstTxWarp>
                          <a:noAutofit/>
                        </wps:bodyPr>
                      </wps:wsp>
                      <wps:wsp>
                        <wps:cNvPr id="496" name="Graphic 496"/>
                        <wps:cNvSpPr/>
                        <wps:spPr>
                          <a:xfrm>
                            <a:off x="710374" y="184149"/>
                            <a:ext cx="4922520" cy="219710"/>
                          </a:xfrm>
                          <a:custGeom>
                            <a:avLst/>
                            <a:gdLst/>
                            <a:ahLst/>
                            <a:cxnLst/>
                            <a:rect l="l" t="t" r="r" b="b"/>
                            <a:pathLst>
                              <a:path w="4922520" h="219710">
                                <a:moveTo>
                                  <a:pt x="702564" y="91440"/>
                                </a:moveTo>
                                <a:lnTo>
                                  <a:pt x="0" y="91440"/>
                                </a:lnTo>
                                <a:lnTo>
                                  <a:pt x="0" y="214896"/>
                                </a:lnTo>
                                <a:lnTo>
                                  <a:pt x="702564" y="214896"/>
                                </a:lnTo>
                                <a:lnTo>
                                  <a:pt x="702564" y="91440"/>
                                </a:lnTo>
                                <a:close/>
                              </a:path>
                              <a:path w="4922520" h="219710">
                                <a:moveTo>
                                  <a:pt x="1757172" y="0"/>
                                </a:moveTo>
                                <a:lnTo>
                                  <a:pt x="1054608" y="0"/>
                                </a:lnTo>
                                <a:lnTo>
                                  <a:pt x="1054608" y="153924"/>
                                </a:lnTo>
                                <a:lnTo>
                                  <a:pt x="1757172" y="153924"/>
                                </a:lnTo>
                                <a:lnTo>
                                  <a:pt x="1757172" y="0"/>
                                </a:lnTo>
                                <a:close/>
                              </a:path>
                              <a:path w="4922520" h="219710">
                                <a:moveTo>
                                  <a:pt x="2813304" y="3048"/>
                                </a:moveTo>
                                <a:lnTo>
                                  <a:pt x="2109216" y="3048"/>
                                </a:lnTo>
                                <a:lnTo>
                                  <a:pt x="2109216" y="219468"/>
                                </a:lnTo>
                                <a:lnTo>
                                  <a:pt x="2813304" y="219468"/>
                                </a:lnTo>
                                <a:lnTo>
                                  <a:pt x="2813304" y="3048"/>
                                </a:lnTo>
                                <a:close/>
                              </a:path>
                              <a:path w="4922520" h="219710">
                                <a:moveTo>
                                  <a:pt x="3867912" y="33528"/>
                                </a:moveTo>
                                <a:lnTo>
                                  <a:pt x="3163824" y="33528"/>
                                </a:lnTo>
                                <a:lnTo>
                                  <a:pt x="3163824" y="181356"/>
                                </a:lnTo>
                                <a:lnTo>
                                  <a:pt x="3867912" y="181356"/>
                                </a:lnTo>
                                <a:lnTo>
                                  <a:pt x="3867912" y="33528"/>
                                </a:lnTo>
                                <a:close/>
                              </a:path>
                              <a:path w="4922520" h="219710">
                                <a:moveTo>
                                  <a:pt x="4922507" y="16764"/>
                                </a:moveTo>
                                <a:lnTo>
                                  <a:pt x="4219956" y="16764"/>
                                </a:lnTo>
                                <a:lnTo>
                                  <a:pt x="4219956" y="137160"/>
                                </a:lnTo>
                                <a:lnTo>
                                  <a:pt x="4922507" y="137160"/>
                                </a:lnTo>
                                <a:lnTo>
                                  <a:pt x="4922507" y="16764"/>
                                </a:lnTo>
                                <a:close/>
                              </a:path>
                            </a:pathLst>
                          </a:custGeom>
                          <a:solidFill>
                            <a:srgbClr val="F9A720"/>
                          </a:solidFill>
                        </wps:spPr>
                        <wps:bodyPr wrap="square" lIns="0" tIns="0" rIns="0" bIns="0" rtlCol="0">
                          <a:prstTxWarp prst="textNoShape">
                            <a:avLst/>
                          </a:prstTxWarp>
                          <a:noAutofit/>
                        </wps:bodyPr>
                      </wps:wsp>
                      <wps:wsp>
                        <wps:cNvPr id="497" name="Graphic 497"/>
                        <wps:cNvSpPr/>
                        <wps:spPr>
                          <a:xfrm>
                            <a:off x="710374" y="144462"/>
                            <a:ext cx="4922520" cy="131445"/>
                          </a:xfrm>
                          <a:custGeom>
                            <a:avLst/>
                            <a:gdLst/>
                            <a:ahLst/>
                            <a:cxnLst/>
                            <a:rect l="l" t="t" r="r" b="b"/>
                            <a:pathLst>
                              <a:path w="4922520" h="131445">
                                <a:moveTo>
                                  <a:pt x="702564" y="0"/>
                                </a:moveTo>
                                <a:lnTo>
                                  <a:pt x="0" y="0"/>
                                </a:lnTo>
                                <a:lnTo>
                                  <a:pt x="0" y="131127"/>
                                </a:lnTo>
                                <a:lnTo>
                                  <a:pt x="702564" y="131127"/>
                                </a:lnTo>
                                <a:lnTo>
                                  <a:pt x="702564" y="0"/>
                                </a:lnTo>
                                <a:close/>
                              </a:path>
                              <a:path w="4922520" h="131445">
                                <a:moveTo>
                                  <a:pt x="1757172" y="0"/>
                                </a:moveTo>
                                <a:lnTo>
                                  <a:pt x="1054608" y="0"/>
                                </a:lnTo>
                                <a:lnTo>
                                  <a:pt x="1054608" y="39687"/>
                                </a:lnTo>
                                <a:lnTo>
                                  <a:pt x="1757172" y="39687"/>
                                </a:lnTo>
                                <a:lnTo>
                                  <a:pt x="1757172" y="0"/>
                                </a:lnTo>
                                <a:close/>
                              </a:path>
                              <a:path w="4922520" h="131445">
                                <a:moveTo>
                                  <a:pt x="2813304" y="0"/>
                                </a:moveTo>
                                <a:lnTo>
                                  <a:pt x="2109216" y="0"/>
                                </a:lnTo>
                                <a:lnTo>
                                  <a:pt x="2109216" y="42735"/>
                                </a:lnTo>
                                <a:lnTo>
                                  <a:pt x="2813304" y="42735"/>
                                </a:lnTo>
                                <a:lnTo>
                                  <a:pt x="2813304" y="0"/>
                                </a:lnTo>
                                <a:close/>
                              </a:path>
                              <a:path w="4922520" h="131445">
                                <a:moveTo>
                                  <a:pt x="3867912" y="12"/>
                                </a:moveTo>
                                <a:lnTo>
                                  <a:pt x="3163824" y="12"/>
                                </a:lnTo>
                                <a:lnTo>
                                  <a:pt x="3163824" y="73215"/>
                                </a:lnTo>
                                <a:lnTo>
                                  <a:pt x="3867912" y="73215"/>
                                </a:lnTo>
                                <a:lnTo>
                                  <a:pt x="3867912" y="12"/>
                                </a:lnTo>
                                <a:close/>
                              </a:path>
                              <a:path w="4922520" h="131445">
                                <a:moveTo>
                                  <a:pt x="4922507" y="0"/>
                                </a:moveTo>
                                <a:lnTo>
                                  <a:pt x="4219956" y="0"/>
                                </a:lnTo>
                                <a:lnTo>
                                  <a:pt x="4219956" y="56451"/>
                                </a:lnTo>
                                <a:lnTo>
                                  <a:pt x="4922507" y="56451"/>
                                </a:lnTo>
                                <a:lnTo>
                                  <a:pt x="4922507" y="0"/>
                                </a:lnTo>
                                <a:close/>
                              </a:path>
                            </a:pathLst>
                          </a:custGeom>
                          <a:solidFill>
                            <a:srgbClr val="53C0A4"/>
                          </a:solidFill>
                        </wps:spPr>
                        <wps:bodyPr wrap="square" lIns="0" tIns="0" rIns="0" bIns="0" rtlCol="0">
                          <a:prstTxWarp prst="textNoShape">
                            <a:avLst/>
                          </a:prstTxWarp>
                          <a:noAutofit/>
                        </wps:bodyPr>
                      </wps:wsp>
                      <wps:wsp>
                        <wps:cNvPr id="498" name="Graphic 498"/>
                        <wps:cNvSpPr/>
                        <wps:spPr>
                          <a:xfrm>
                            <a:off x="534174" y="2879951"/>
                            <a:ext cx="5274945" cy="1270"/>
                          </a:xfrm>
                          <a:custGeom>
                            <a:avLst/>
                            <a:gdLst/>
                            <a:ahLst/>
                            <a:cxnLst/>
                            <a:rect l="l" t="t" r="r" b="b"/>
                            <a:pathLst>
                              <a:path w="5274945">
                                <a:moveTo>
                                  <a:pt x="0" y="0"/>
                                </a:moveTo>
                                <a:lnTo>
                                  <a:pt x="5274487" y="0"/>
                                </a:lnTo>
                              </a:path>
                            </a:pathLst>
                          </a:custGeom>
                          <a:ln w="9525">
                            <a:solidFill>
                              <a:srgbClr val="D9D9D9"/>
                            </a:solidFill>
                            <a:prstDash val="solid"/>
                          </a:ln>
                        </wps:spPr>
                        <wps:bodyPr wrap="square" lIns="0" tIns="0" rIns="0" bIns="0" rtlCol="0">
                          <a:prstTxWarp prst="textNoShape">
                            <a:avLst/>
                          </a:prstTxWarp>
                          <a:noAutofit/>
                        </wps:bodyPr>
                      </wps:wsp>
                      <wps:wsp>
                        <wps:cNvPr id="499" name="Graphic 499"/>
                        <wps:cNvSpPr/>
                        <wps:spPr>
                          <a:xfrm>
                            <a:off x="1417091" y="3274110"/>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084875"/>
                          </a:solidFill>
                        </wps:spPr>
                        <wps:bodyPr wrap="square" lIns="0" tIns="0" rIns="0" bIns="0" rtlCol="0">
                          <a:prstTxWarp prst="textNoShape">
                            <a:avLst/>
                          </a:prstTxWarp>
                          <a:noAutofit/>
                        </wps:bodyPr>
                      </wps:wsp>
                      <wps:wsp>
                        <wps:cNvPr id="500" name="Graphic 500"/>
                        <wps:cNvSpPr/>
                        <wps:spPr>
                          <a:xfrm>
                            <a:off x="1969541" y="3274110"/>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1682A"/>
                          </a:solidFill>
                        </wps:spPr>
                        <wps:bodyPr wrap="square" lIns="0" tIns="0" rIns="0" bIns="0" rtlCol="0">
                          <a:prstTxWarp prst="textNoShape">
                            <a:avLst/>
                          </a:prstTxWarp>
                          <a:noAutofit/>
                        </wps:bodyPr>
                      </wps:wsp>
                      <wps:wsp>
                        <wps:cNvPr id="501" name="Graphic 501"/>
                        <wps:cNvSpPr/>
                        <wps:spPr>
                          <a:xfrm>
                            <a:off x="2506548" y="3274110"/>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339FC7"/>
                          </a:solidFill>
                        </wps:spPr>
                        <wps:bodyPr wrap="square" lIns="0" tIns="0" rIns="0" bIns="0" rtlCol="0">
                          <a:prstTxWarp prst="textNoShape">
                            <a:avLst/>
                          </a:prstTxWarp>
                          <a:noAutofit/>
                        </wps:bodyPr>
                      </wps:wsp>
                      <wps:wsp>
                        <wps:cNvPr id="502" name="Graphic 502"/>
                        <wps:cNvSpPr/>
                        <wps:spPr>
                          <a:xfrm>
                            <a:off x="3047555" y="3274110"/>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9A720"/>
                          </a:solidFill>
                        </wps:spPr>
                        <wps:bodyPr wrap="square" lIns="0" tIns="0" rIns="0" bIns="0" rtlCol="0">
                          <a:prstTxWarp prst="textNoShape">
                            <a:avLst/>
                          </a:prstTxWarp>
                          <a:noAutofit/>
                        </wps:bodyPr>
                      </wps:wsp>
                      <wps:wsp>
                        <wps:cNvPr id="503" name="Graphic 503"/>
                        <wps:cNvSpPr/>
                        <wps:spPr>
                          <a:xfrm>
                            <a:off x="3964749" y="3274110"/>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53C0A4"/>
                          </a:solidFill>
                        </wps:spPr>
                        <wps:bodyPr wrap="square" lIns="0" tIns="0" rIns="0" bIns="0" rtlCol="0">
                          <a:prstTxWarp prst="textNoShape">
                            <a:avLst/>
                          </a:prstTxWarp>
                          <a:noAutofit/>
                        </wps:bodyPr>
                      </wps:wsp>
                      <wps:wsp>
                        <wps:cNvPr id="504" name="Graphic 504"/>
                        <wps:cNvSpPr/>
                        <wps:spPr>
                          <a:xfrm>
                            <a:off x="4762" y="4762"/>
                            <a:ext cx="5943600" cy="3492500"/>
                          </a:xfrm>
                          <a:custGeom>
                            <a:avLst/>
                            <a:gdLst/>
                            <a:ahLst/>
                            <a:cxnLst/>
                            <a:rect l="l" t="t" r="r" b="b"/>
                            <a:pathLst>
                              <a:path w="5943600" h="3492500">
                                <a:moveTo>
                                  <a:pt x="0" y="0"/>
                                </a:moveTo>
                                <a:lnTo>
                                  <a:pt x="5943600" y="0"/>
                                </a:lnTo>
                                <a:lnTo>
                                  <a:pt x="5943600" y="3492500"/>
                                </a:lnTo>
                                <a:lnTo>
                                  <a:pt x="0" y="34925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05" name="Textbox 505"/>
                        <wps:cNvSpPr txBox="1"/>
                        <wps:spPr>
                          <a:xfrm>
                            <a:off x="87276" y="63550"/>
                            <a:ext cx="344805" cy="836294"/>
                          </a:xfrm>
                          <a:prstGeom prst="rect">
                            <a:avLst/>
                          </a:prstGeom>
                        </wps:spPr>
                        <wps:txbx>
                          <w:txbxContent>
                            <w:p w14:paraId="1C34F224" w14:textId="77777777" w:rsidR="004C558F" w:rsidRDefault="00461887">
                              <w:pPr>
                                <w:spacing w:before="1"/>
                                <w:ind w:right="20"/>
                                <w:jc w:val="right"/>
                                <w:rPr>
                                  <w:sz w:val="21"/>
                                </w:rPr>
                              </w:pPr>
                              <w:r>
                                <w:rPr>
                                  <w:color w:val="585858"/>
                                  <w:spacing w:val="-4"/>
                                  <w:sz w:val="21"/>
                                </w:rPr>
                                <w:t>100%</w:t>
                              </w:r>
                            </w:p>
                            <w:p w14:paraId="1C34F225" w14:textId="77777777" w:rsidR="004C558F" w:rsidRDefault="004C558F">
                              <w:pPr>
                                <w:rPr>
                                  <w:sz w:val="21"/>
                                </w:rPr>
                              </w:pPr>
                            </w:p>
                            <w:p w14:paraId="1C34F226" w14:textId="77777777" w:rsidR="004C558F" w:rsidRDefault="004C558F">
                              <w:pPr>
                                <w:rPr>
                                  <w:sz w:val="21"/>
                                </w:rPr>
                              </w:pPr>
                            </w:p>
                            <w:p w14:paraId="1C34F227" w14:textId="77777777" w:rsidR="004C558F" w:rsidRDefault="004C558F">
                              <w:pPr>
                                <w:spacing w:before="124"/>
                                <w:rPr>
                                  <w:sz w:val="21"/>
                                </w:rPr>
                              </w:pPr>
                            </w:p>
                            <w:p w14:paraId="1C34F228" w14:textId="77777777" w:rsidR="004C558F" w:rsidRDefault="00461887">
                              <w:pPr>
                                <w:ind w:right="18"/>
                                <w:jc w:val="right"/>
                                <w:rPr>
                                  <w:sz w:val="21"/>
                                </w:rPr>
                              </w:pPr>
                              <w:r>
                                <w:rPr>
                                  <w:color w:val="585858"/>
                                  <w:spacing w:val="-5"/>
                                  <w:sz w:val="21"/>
                                </w:rPr>
                                <w:t>75%</w:t>
                              </w:r>
                            </w:p>
                          </w:txbxContent>
                        </wps:txbx>
                        <wps:bodyPr wrap="square" lIns="0" tIns="0" rIns="0" bIns="0" rtlCol="0">
                          <a:noAutofit/>
                        </wps:bodyPr>
                      </wps:wsp>
                      <wps:wsp>
                        <wps:cNvPr id="506" name="Textbox 506"/>
                        <wps:cNvSpPr txBox="1"/>
                        <wps:spPr>
                          <a:xfrm>
                            <a:off x="877403" y="124058"/>
                            <a:ext cx="380365" cy="883285"/>
                          </a:xfrm>
                          <a:prstGeom prst="rect">
                            <a:avLst/>
                          </a:prstGeom>
                        </wps:spPr>
                        <wps:txbx>
                          <w:txbxContent>
                            <w:p w14:paraId="1C34F229" w14:textId="77777777" w:rsidR="004C558F" w:rsidRDefault="00461887">
                              <w:pPr>
                                <w:spacing w:line="236" w:lineRule="exact"/>
                                <w:ind w:left="57"/>
                                <w:rPr>
                                  <w:rFonts w:ascii="Franklin Gothic Medium Cond"/>
                                  <w:sz w:val="24"/>
                                </w:rPr>
                              </w:pPr>
                              <w:r>
                                <w:rPr>
                                  <w:rFonts w:ascii="Franklin Gothic Medium Cond"/>
                                  <w:spacing w:val="-4"/>
                                  <w:sz w:val="24"/>
                                </w:rPr>
                                <w:t>4.8%</w:t>
                              </w:r>
                            </w:p>
                            <w:p w14:paraId="1C34F22A" w14:textId="77777777" w:rsidR="004C558F" w:rsidRDefault="00461887">
                              <w:pPr>
                                <w:spacing w:line="236" w:lineRule="exact"/>
                                <w:ind w:left="57"/>
                                <w:rPr>
                                  <w:rFonts w:ascii="Franklin Gothic Medium Cond"/>
                                  <w:sz w:val="24"/>
                                </w:rPr>
                              </w:pPr>
                              <w:r>
                                <w:rPr>
                                  <w:rFonts w:ascii="Franklin Gothic Medium Cond"/>
                                  <w:spacing w:val="-4"/>
                                  <w:sz w:val="24"/>
                                </w:rPr>
                                <w:t>4.5%</w:t>
                              </w:r>
                            </w:p>
                            <w:p w14:paraId="1C34F22B" w14:textId="77777777" w:rsidR="004C558F" w:rsidRDefault="00461887">
                              <w:pPr>
                                <w:spacing w:before="169"/>
                                <w:rPr>
                                  <w:rFonts w:ascii="Franklin Gothic Medium Cond"/>
                                  <w:sz w:val="24"/>
                                </w:rPr>
                              </w:pPr>
                              <w:r>
                                <w:rPr>
                                  <w:rFonts w:ascii="Franklin Gothic Medium Cond"/>
                                  <w:spacing w:val="-2"/>
                                  <w:sz w:val="24"/>
                                </w:rPr>
                                <w:t>16.0%</w:t>
                              </w:r>
                            </w:p>
                            <w:p w14:paraId="1C34F22C" w14:textId="77777777" w:rsidR="004C558F" w:rsidRDefault="00461887">
                              <w:pPr>
                                <w:spacing w:before="205"/>
                                <w:ind w:left="62"/>
                                <w:rPr>
                                  <w:rFonts w:ascii="Franklin Gothic Medium Cond"/>
                                  <w:sz w:val="24"/>
                                </w:rPr>
                              </w:pPr>
                              <w:r>
                                <w:rPr>
                                  <w:rFonts w:ascii="Franklin Gothic Medium Cond"/>
                                  <w:spacing w:val="-4"/>
                                  <w:sz w:val="24"/>
                                </w:rPr>
                                <w:t>6.1%</w:t>
                              </w:r>
                            </w:p>
                          </w:txbxContent>
                        </wps:txbx>
                        <wps:bodyPr wrap="square" lIns="0" tIns="0" rIns="0" bIns="0" rtlCol="0">
                          <a:noAutofit/>
                        </wps:bodyPr>
                      </wps:wsp>
                      <wps:wsp>
                        <wps:cNvPr id="507" name="Textbox 507"/>
                        <wps:cNvSpPr txBox="1"/>
                        <wps:spPr>
                          <a:xfrm>
                            <a:off x="1968740" y="174959"/>
                            <a:ext cx="308610" cy="570865"/>
                          </a:xfrm>
                          <a:prstGeom prst="rect">
                            <a:avLst/>
                          </a:prstGeom>
                        </wps:spPr>
                        <wps:txbx>
                          <w:txbxContent>
                            <w:p w14:paraId="1C34F22D" w14:textId="77777777" w:rsidR="004C558F" w:rsidRDefault="00461887">
                              <w:pPr>
                                <w:rPr>
                                  <w:rFonts w:ascii="Franklin Gothic Medium Cond"/>
                                  <w:sz w:val="24"/>
                                </w:rPr>
                              </w:pPr>
                              <w:r>
                                <w:rPr>
                                  <w:rFonts w:ascii="Franklin Gothic Medium Cond"/>
                                  <w:spacing w:val="-4"/>
                                  <w:sz w:val="24"/>
                                </w:rPr>
                                <w:t>5.6%</w:t>
                              </w:r>
                            </w:p>
                            <w:p w14:paraId="1C34F22E" w14:textId="77777777" w:rsidR="004C558F" w:rsidRDefault="00461887">
                              <w:pPr>
                                <w:spacing w:before="45"/>
                                <w:ind w:left="5"/>
                                <w:rPr>
                                  <w:rFonts w:ascii="Franklin Gothic Medium Cond"/>
                                  <w:sz w:val="24"/>
                                </w:rPr>
                              </w:pPr>
                              <w:r>
                                <w:rPr>
                                  <w:rFonts w:ascii="Franklin Gothic Medium Cond"/>
                                  <w:spacing w:val="-4"/>
                                  <w:sz w:val="24"/>
                                </w:rPr>
                                <w:t>9.1%</w:t>
                              </w:r>
                            </w:p>
                            <w:p w14:paraId="1C34F22F" w14:textId="77777777" w:rsidR="004C558F" w:rsidRDefault="00461887">
                              <w:pPr>
                                <w:spacing w:before="37"/>
                                <w:rPr>
                                  <w:rFonts w:ascii="Franklin Gothic Medium Cond"/>
                                  <w:sz w:val="24"/>
                                </w:rPr>
                              </w:pPr>
                              <w:r>
                                <w:rPr>
                                  <w:rFonts w:ascii="Franklin Gothic Medium Cond"/>
                                  <w:spacing w:val="-4"/>
                                  <w:sz w:val="24"/>
                                </w:rPr>
                                <w:t>5.3%</w:t>
                              </w:r>
                            </w:p>
                          </w:txbxContent>
                        </wps:txbx>
                        <wps:bodyPr wrap="square" lIns="0" tIns="0" rIns="0" bIns="0" rtlCol="0">
                          <a:noAutofit/>
                        </wps:bodyPr>
                      </wps:wsp>
                      <wps:wsp>
                        <wps:cNvPr id="508" name="Textbox 508"/>
                        <wps:cNvSpPr txBox="1"/>
                        <wps:spPr>
                          <a:xfrm>
                            <a:off x="3023652" y="210011"/>
                            <a:ext cx="308610" cy="527685"/>
                          </a:xfrm>
                          <a:prstGeom prst="rect">
                            <a:avLst/>
                          </a:prstGeom>
                        </wps:spPr>
                        <wps:txbx>
                          <w:txbxContent>
                            <w:p w14:paraId="1C34F230" w14:textId="77777777" w:rsidR="004C558F" w:rsidRDefault="00461887">
                              <w:pPr>
                                <w:ind w:left="9"/>
                                <w:rPr>
                                  <w:rFonts w:ascii="Franklin Gothic Medium Cond"/>
                                  <w:sz w:val="24"/>
                                </w:rPr>
                              </w:pPr>
                              <w:r>
                                <w:rPr>
                                  <w:rFonts w:ascii="Franklin Gothic Medium Cond"/>
                                  <w:spacing w:val="-4"/>
                                  <w:sz w:val="24"/>
                                </w:rPr>
                                <w:t>7.9%</w:t>
                              </w:r>
                            </w:p>
                            <w:p w14:paraId="1C34F231" w14:textId="77777777" w:rsidR="004C558F" w:rsidRDefault="00461887">
                              <w:pPr>
                                <w:spacing w:before="42" w:line="258" w:lineRule="exact"/>
                                <w:rPr>
                                  <w:rFonts w:ascii="Franklin Gothic Medium Cond"/>
                                  <w:sz w:val="24"/>
                                </w:rPr>
                              </w:pPr>
                              <w:r>
                                <w:rPr>
                                  <w:rFonts w:ascii="Franklin Gothic Medium Cond"/>
                                  <w:spacing w:val="-4"/>
                                  <w:sz w:val="24"/>
                                </w:rPr>
                                <w:t>6.7%</w:t>
                              </w:r>
                            </w:p>
                            <w:p w14:paraId="1C34F232" w14:textId="77777777" w:rsidR="004C558F" w:rsidRDefault="00461887">
                              <w:pPr>
                                <w:spacing w:line="258" w:lineRule="exact"/>
                                <w:rPr>
                                  <w:rFonts w:ascii="Franklin Gothic Medium Cond"/>
                                  <w:sz w:val="24"/>
                                </w:rPr>
                              </w:pPr>
                              <w:r>
                                <w:rPr>
                                  <w:rFonts w:ascii="Franklin Gothic Medium Cond"/>
                                  <w:spacing w:val="-4"/>
                                  <w:sz w:val="24"/>
                                </w:rPr>
                                <w:t>4.6%</w:t>
                              </w:r>
                            </w:p>
                          </w:txbxContent>
                        </wps:txbx>
                        <wps:bodyPr wrap="square" lIns="0" tIns="0" rIns="0" bIns="0" rtlCol="0">
                          <a:noAutofit/>
                        </wps:bodyPr>
                      </wps:wsp>
                      <wps:wsp>
                        <wps:cNvPr id="509" name="Textbox 509"/>
                        <wps:cNvSpPr txBox="1"/>
                        <wps:spPr>
                          <a:xfrm>
                            <a:off x="4045189" y="206049"/>
                            <a:ext cx="375920" cy="633730"/>
                          </a:xfrm>
                          <a:prstGeom prst="rect">
                            <a:avLst/>
                          </a:prstGeom>
                        </wps:spPr>
                        <wps:txbx>
                          <w:txbxContent>
                            <w:p w14:paraId="1C34F233" w14:textId="77777777" w:rsidR="004C558F" w:rsidRDefault="00461887">
                              <w:pPr>
                                <w:ind w:left="52"/>
                                <w:rPr>
                                  <w:rFonts w:ascii="Franklin Gothic Medium Cond"/>
                                  <w:sz w:val="24"/>
                                </w:rPr>
                              </w:pPr>
                              <w:r>
                                <w:rPr>
                                  <w:rFonts w:ascii="Franklin Gothic Medium Cond"/>
                                  <w:spacing w:val="-4"/>
                                  <w:sz w:val="24"/>
                                </w:rPr>
                                <w:t>5.5%</w:t>
                              </w:r>
                            </w:p>
                            <w:p w14:paraId="1C34F234" w14:textId="77777777" w:rsidR="004C558F" w:rsidRDefault="00461887">
                              <w:pPr>
                                <w:spacing w:before="90"/>
                                <w:rPr>
                                  <w:rFonts w:ascii="Franklin Gothic Medium Cond"/>
                                  <w:sz w:val="24"/>
                                </w:rPr>
                              </w:pPr>
                              <w:r>
                                <w:rPr>
                                  <w:rFonts w:ascii="Franklin Gothic Medium Cond"/>
                                  <w:spacing w:val="-2"/>
                                  <w:sz w:val="24"/>
                                </w:rPr>
                                <w:t>11.4%</w:t>
                              </w:r>
                            </w:p>
                            <w:p w14:paraId="1C34F235" w14:textId="77777777" w:rsidR="004C558F" w:rsidRDefault="00461887">
                              <w:pPr>
                                <w:spacing w:before="91"/>
                                <w:ind w:left="52"/>
                                <w:rPr>
                                  <w:rFonts w:ascii="Franklin Gothic Medium Cond"/>
                                  <w:sz w:val="24"/>
                                </w:rPr>
                              </w:pPr>
                              <w:r>
                                <w:rPr>
                                  <w:rFonts w:ascii="Franklin Gothic Medium Cond"/>
                                  <w:spacing w:val="-4"/>
                                  <w:sz w:val="24"/>
                                </w:rPr>
                                <w:t>5.5%</w:t>
                              </w:r>
                            </w:p>
                          </w:txbxContent>
                        </wps:txbx>
                        <wps:bodyPr wrap="square" lIns="0" tIns="0" rIns="0" bIns="0" rtlCol="0">
                          <a:noAutofit/>
                        </wps:bodyPr>
                      </wps:wsp>
                      <wps:wsp>
                        <wps:cNvPr id="510" name="Textbox 510"/>
                        <wps:cNvSpPr txBox="1"/>
                        <wps:spPr>
                          <a:xfrm>
                            <a:off x="5133478" y="175264"/>
                            <a:ext cx="308610" cy="499745"/>
                          </a:xfrm>
                          <a:prstGeom prst="rect">
                            <a:avLst/>
                          </a:prstGeom>
                        </wps:spPr>
                        <wps:txbx>
                          <w:txbxContent>
                            <w:p w14:paraId="1C34F236" w14:textId="77777777" w:rsidR="004C558F" w:rsidRDefault="00461887">
                              <w:pPr>
                                <w:spacing w:line="268" w:lineRule="exact"/>
                                <w:rPr>
                                  <w:rFonts w:ascii="Franklin Gothic Medium Cond"/>
                                  <w:sz w:val="24"/>
                                </w:rPr>
                              </w:pPr>
                              <w:r>
                                <w:rPr>
                                  <w:rFonts w:ascii="Franklin Gothic Medium Cond"/>
                                  <w:spacing w:val="-4"/>
                                  <w:sz w:val="24"/>
                                </w:rPr>
                                <w:t>4.4%</w:t>
                              </w:r>
                            </w:p>
                            <w:p w14:paraId="1C34F237" w14:textId="77777777" w:rsidR="004C558F" w:rsidRDefault="00461887">
                              <w:pPr>
                                <w:spacing w:line="257" w:lineRule="exact"/>
                                <w:ind w:left="9"/>
                                <w:rPr>
                                  <w:rFonts w:ascii="Franklin Gothic Medium Cond"/>
                                  <w:sz w:val="24"/>
                                </w:rPr>
                              </w:pPr>
                              <w:r>
                                <w:rPr>
                                  <w:rFonts w:ascii="Franklin Gothic Medium Cond"/>
                                  <w:spacing w:val="-4"/>
                                  <w:sz w:val="24"/>
                                </w:rPr>
                                <w:t>7.9%</w:t>
                              </w:r>
                            </w:p>
                            <w:p w14:paraId="1C34F238" w14:textId="77777777" w:rsidR="004C558F" w:rsidRDefault="00461887">
                              <w:pPr>
                                <w:spacing w:line="261" w:lineRule="exact"/>
                                <w:rPr>
                                  <w:rFonts w:ascii="Franklin Gothic Medium Cond"/>
                                  <w:sz w:val="24"/>
                                </w:rPr>
                              </w:pPr>
                              <w:r>
                                <w:rPr>
                                  <w:rFonts w:ascii="Franklin Gothic Medium Cond"/>
                                  <w:spacing w:val="-4"/>
                                  <w:sz w:val="24"/>
                                </w:rPr>
                                <w:t>3.7%</w:t>
                              </w:r>
                            </w:p>
                          </w:txbxContent>
                        </wps:txbx>
                        <wps:bodyPr wrap="square" lIns="0" tIns="0" rIns="0" bIns="0" rtlCol="0">
                          <a:noAutofit/>
                        </wps:bodyPr>
                      </wps:wsp>
                      <wps:wsp>
                        <wps:cNvPr id="511" name="Textbox 511"/>
                        <wps:cNvSpPr txBox="1"/>
                        <wps:spPr>
                          <a:xfrm>
                            <a:off x="165463" y="1431224"/>
                            <a:ext cx="266700" cy="152400"/>
                          </a:xfrm>
                          <a:prstGeom prst="rect">
                            <a:avLst/>
                          </a:prstGeom>
                        </wps:spPr>
                        <wps:txbx>
                          <w:txbxContent>
                            <w:p w14:paraId="1C34F239" w14:textId="77777777" w:rsidR="004C558F" w:rsidRDefault="00461887">
                              <w:pPr>
                                <w:spacing w:before="1"/>
                                <w:rPr>
                                  <w:sz w:val="21"/>
                                </w:rPr>
                              </w:pPr>
                              <w:r>
                                <w:rPr>
                                  <w:color w:val="585858"/>
                                  <w:spacing w:val="-5"/>
                                  <w:sz w:val="21"/>
                                </w:rPr>
                                <w:t>50%</w:t>
                              </w:r>
                            </w:p>
                          </w:txbxContent>
                        </wps:txbx>
                        <wps:bodyPr wrap="square" lIns="0" tIns="0" rIns="0" bIns="0" rtlCol="0">
                          <a:noAutofit/>
                        </wps:bodyPr>
                      </wps:wsp>
                      <wps:wsp>
                        <wps:cNvPr id="512" name="Textbox 512"/>
                        <wps:cNvSpPr txBox="1"/>
                        <wps:spPr>
                          <a:xfrm>
                            <a:off x="779715" y="1811745"/>
                            <a:ext cx="575945" cy="259715"/>
                          </a:xfrm>
                          <a:prstGeom prst="rect">
                            <a:avLst/>
                          </a:prstGeom>
                        </wps:spPr>
                        <wps:txbx>
                          <w:txbxContent>
                            <w:p w14:paraId="1C34F23A" w14:textId="77777777" w:rsidR="004C558F" w:rsidRDefault="00461887">
                              <w:pPr>
                                <w:rPr>
                                  <w:rFonts w:ascii="Franklin Gothic Medium Cond"/>
                                  <w:sz w:val="36"/>
                                </w:rPr>
                              </w:pPr>
                              <w:r>
                                <w:rPr>
                                  <w:rFonts w:ascii="Franklin Gothic Medium Cond"/>
                                  <w:color w:val="FFFFFF"/>
                                  <w:spacing w:val="-2"/>
                                  <w:sz w:val="36"/>
                                </w:rPr>
                                <w:t>68.6%</w:t>
                              </w:r>
                            </w:p>
                          </w:txbxContent>
                        </wps:txbx>
                        <wps:bodyPr wrap="square" lIns="0" tIns="0" rIns="0" bIns="0" rtlCol="0">
                          <a:noAutofit/>
                        </wps:bodyPr>
                      </wps:wsp>
                      <wps:wsp>
                        <wps:cNvPr id="513" name="Textbox 513"/>
                        <wps:cNvSpPr txBox="1"/>
                        <wps:spPr>
                          <a:xfrm>
                            <a:off x="1834704" y="1675042"/>
                            <a:ext cx="575945" cy="259715"/>
                          </a:xfrm>
                          <a:prstGeom prst="rect">
                            <a:avLst/>
                          </a:prstGeom>
                        </wps:spPr>
                        <wps:txbx>
                          <w:txbxContent>
                            <w:p w14:paraId="1C34F23B" w14:textId="77777777" w:rsidR="004C558F" w:rsidRDefault="00461887">
                              <w:pPr>
                                <w:rPr>
                                  <w:rFonts w:ascii="Franklin Gothic Medium Cond"/>
                                  <w:sz w:val="36"/>
                                </w:rPr>
                              </w:pPr>
                              <w:r>
                                <w:rPr>
                                  <w:rFonts w:ascii="Franklin Gothic Medium Cond"/>
                                  <w:color w:val="FFFFFF"/>
                                  <w:spacing w:val="-2"/>
                                  <w:sz w:val="36"/>
                                </w:rPr>
                                <w:t>78.6%</w:t>
                              </w:r>
                            </w:p>
                          </w:txbxContent>
                        </wps:txbx>
                        <wps:bodyPr wrap="square" lIns="0" tIns="0" rIns="0" bIns="0" rtlCol="0">
                          <a:noAutofit/>
                        </wps:bodyPr>
                      </wps:wsp>
                      <wps:wsp>
                        <wps:cNvPr id="514" name="Textbox 514"/>
                        <wps:cNvSpPr txBox="1"/>
                        <wps:spPr>
                          <a:xfrm>
                            <a:off x="2889693" y="1666356"/>
                            <a:ext cx="575945" cy="259715"/>
                          </a:xfrm>
                          <a:prstGeom prst="rect">
                            <a:avLst/>
                          </a:prstGeom>
                        </wps:spPr>
                        <wps:txbx>
                          <w:txbxContent>
                            <w:p w14:paraId="1C34F23C" w14:textId="77777777" w:rsidR="004C558F" w:rsidRDefault="00461887">
                              <w:pPr>
                                <w:rPr>
                                  <w:rFonts w:ascii="Franklin Gothic Medium Cond"/>
                                  <w:sz w:val="36"/>
                                </w:rPr>
                              </w:pPr>
                              <w:r>
                                <w:rPr>
                                  <w:rFonts w:ascii="Franklin Gothic Medium Cond"/>
                                  <w:color w:val="FFFFFF"/>
                                  <w:spacing w:val="-2"/>
                                  <w:sz w:val="36"/>
                                </w:rPr>
                                <w:t>79.2%</w:t>
                              </w:r>
                            </w:p>
                          </w:txbxContent>
                        </wps:txbx>
                        <wps:bodyPr wrap="square" lIns="0" tIns="0" rIns="0" bIns="0" rtlCol="0">
                          <a:noAutofit/>
                        </wps:bodyPr>
                      </wps:wsp>
                      <wps:wsp>
                        <wps:cNvPr id="515" name="Textbox 515"/>
                        <wps:cNvSpPr txBox="1"/>
                        <wps:spPr>
                          <a:xfrm>
                            <a:off x="3944682" y="1723963"/>
                            <a:ext cx="575945" cy="259715"/>
                          </a:xfrm>
                          <a:prstGeom prst="rect">
                            <a:avLst/>
                          </a:prstGeom>
                        </wps:spPr>
                        <wps:txbx>
                          <w:txbxContent>
                            <w:p w14:paraId="1C34F23D" w14:textId="77777777" w:rsidR="004C558F" w:rsidRDefault="00461887">
                              <w:pPr>
                                <w:rPr>
                                  <w:rFonts w:ascii="Franklin Gothic Medium Cond"/>
                                  <w:sz w:val="36"/>
                                </w:rPr>
                              </w:pPr>
                              <w:r>
                                <w:rPr>
                                  <w:rFonts w:ascii="Franklin Gothic Medium Cond"/>
                                  <w:color w:val="FFFFFF"/>
                                  <w:spacing w:val="-2"/>
                                  <w:sz w:val="36"/>
                                </w:rPr>
                                <w:t>75.0%</w:t>
                              </w:r>
                            </w:p>
                          </w:txbxContent>
                        </wps:txbx>
                        <wps:bodyPr wrap="square" lIns="0" tIns="0" rIns="0" bIns="0" rtlCol="0">
                          <a:noAutofit/>
                        </wps:bodyPr>
                      </wps:wsp>
                      <wps:wsp>
                        <wps:cNvPr id="516" name="Textbox 516"/>
                        <wps:cNvSpPr txBox="1"/>
                        <wps:spPr>
                          <a:xfrm>
                            <a:off x="5007214" y="1629322"/>
                            <a:ext cx="561975" cy="259715"/>
                          </a:xfrm>
                          <a:prstGeom prst="rect">
                            <a:avLst/>
                          </a:prstGeom>
                        </wps:spPr>
                        <wps:txbx>
                          <w:txbxContent>
                            <w:p w14:paraId="1C34F23E" w14:textId="77777777" w:rsidR="004C558F" w:rsidRDefault="00461887">
                              <w:pPr>
                                <w:rPr>
                                  <w:rFonts w:ascii="Franklin Gothic Medium Cond"/>
                                  <w:sz w:val="36"/>
                                </w:rPr>
                              </w:pPr>
                              <w:r>
                                <w:rPr>
                                  <w:rFonts w:ascii="Franklin Gothic Medium Cond"/>
                                  <w:color w:val="FFFFFF"/>
                                  <w:spacing w:val="-2"/>
                                  <w:sz w:val="36"/>
                                </w:rPr>
                                <w:t>81.9%</w:t>
                              </w:r>
                            </w:p>
                          </w:txbxContent>
                        </wps:txbx>
                        <wps:bodyPr wrap="square" lIns="0" tIns="0" rIns="0" bIns="0" rtlCol="0">
                          <a:noAutofit/>
                        </wps:bodyPr>
                      </wps:wsp>
                      <wps:wsp>
                        <wps:cNvPr id="517" name="Textbox 517"/>
                        <wps:cNvSpPr txBox="1"/>
                        <wps:spPr>
                          <a:xfrm>
                            <a:off x="165463" y="2115061"/>
                            <a:ext cx="266700" cy="152400"/>
                          </a:xfrm>
                          <a:prstGeom prst="rect">
                            <a:avLst/>
                          </a:prstGeom>
                        </wps:spPr>
                        <wps:txbx>
                          <w:txbxContent>
                            <w:p w14:paraId="1C34F23F" w14:textId="77777777" w:rsidR="004C558F" w:rsidRDefault="00461887">
                              <w:pPr>
                                <w:spacing w:before="1"/>
                                <w:rPr>
                                  <w:sz w:val="21"/>
                                </w:rPr>
                              </w:pPr>
                              <w:r>
                                <w:rPr>
                                  <w:color w:val="585858"/>
                                  <w:spacing w:val="-5"/>
                                  <w:sz w:val="21"/>
                                </w:rPr>
                                <w:t>25%</w:t>
                              </w:r>
                            </w:p>
                          </w:txbxContent>
                        </wps:txbx>
                        <wps:bodyPr wrap="square" lIns="0" tIns="0" rIns="0" bIns="0" rtlCol="0">
                          <a:noAutofit/>
                        </wps:bodyPr>
                      </wps:wsp>
                      <wps:wsp>
                        <wps:cNvPr id="518" name="Textbox 518"/>
                        <wps:cNvSpPr txBox="1"/>
                        <wps:spPr>
                          <a:xfrm>
                            <a:off x="243650" y="2798898"/>
                            <a:ext cx="187325" cy="152400"/>
                          </a:xfrm>
                          <a:prstGeom prst="rect">
                            <a:avLst/>
                          </a:prstGeom>
                        </wps:spPr>
                        <wps:txbx>
                          <w:txbxContent>
                            <w:p w14:paraId="1C34F240" w14:textId="77777777" w:rsidR="004C558F" w:rsidRDefault="00461887">
                              <w:pPr>
                                <w:spacing w:before="1"/>
                                <w:rPr>
                                  <w:sz w:val="21"/>
                                </w:rPr>
                              </w:pPr>
                              <w:r>
                                <w:rPr>
                                  <w:color w:val="585858"/>
                                  <w:spacing w:val="-5"/>
                                  <w:sz w:val="21"/>
                                </w:rPr>
                                <w:t>0%</w:t>
                              </w:r>
                            </w:p>
                          </w:txbxContent>
                        </wps:txbx>
                        <wps:bodyPr wrap="square" lIns="0" tIns="0" rIns="0" bIns="0" rtlCol="0">
                          <a:noAutofit/>
                        </wps:bodyPr>
                      </wps:wsp>
                      <wps:wsp>
                        <wps:cNvPr id="519" name="Textbox 519"/>
                        <wps:cNvSpPr txBox="1"/>
                        <wps:spPr>
                          <a:xfrm>
                            <a:off x="868880" y="2960637"/>
                            <a:ext cx="398780" cy="152400"/>
                          </a:xfrm>
                          <a:prstGeom prst="rect">
                            <a:avLst/>
                          </a:prstGeom>
                        </wps:spPr>
                        <wps:txbx>
                          <w:txbxContent>
                            <w:p w14:paraId="1C34F241" w14:textId="77777777" w:rsidR="004C558F" w:rsidRDefault="00461887">
                              <w:pPr>
                                <w:spacing w:before="1"/>
                                <w:rPr>
                                  <w:sz w:val="21"/>
                                </w:rPr>
                              </w:pPr>
                              <w:r>
                                <w:rPr>
                                  <w:color w:val="585858"/>
                                  <w:spacing w:val="-2"/>
                                  <w:sz w:val="21"/>
                                </w:rPr>
                                <w:t>BIDMC</w:t>
                              </w:r>
                            </w:p>
                          </w:txbxContent>
                        </wps:txbx>
                        <wps:bodyPr wrap="square" lIns="0" tIns="0" rIns="0" bIns="0" rtlCol="0">
                          <a:noAutofit/>
                        </wps:bodyPr>
                      </wps:wsp>
                      <wps:wsp>
                        <wps:cNvPr id="520" name="Textbox 520"/>
                        <wps:cNvSpPr txBox="1"/>
                        <wps:spPr>
                          <a:xfrm>
                            <a:off x="1978925" y="2960637"/>
                            <a:ext cx="408305" cy="419100"/>
                          </a:xfrm>
                          <a:prstGeom prst="rect">
                            <a:avLst/>
                          </a:prstGeom>
                        </wps:spPr>
                        <wps:txbx>
                          <w:txbxContent>
                            <w:p w14:paraId="1C34F242" w14:textId="77777777" w:rsidR="004C558F" w:rsidRDefault="00461887">
                              <w:pPr>
                                <w:spacing w:before="1"/>
                                <w:rPr>
                                  <w:sz w:val="21"/>
                                </w:rPr>
                              </w:pPr>
                              <w:r>
                                <w:rPr>
                                  <w:color w:val="585858"/>
                                  <w:spacing w:val="-5"/>
                                  <w:sz w:val="21"/>
                                </w:rPr>
                                <w:t>BWH</w:t>
                              </w:r>
                            </w:p>
                            <w:p w14:paraId="1C34F243" w14:textId="77777777" w:rsidR="004C558F" w:rsidRDefault="00461887">
                              <w:pPr>
                                <w:spacing w:before="181"/>
                                <w:ind w:left="138"/>
                                <w:rPr>
                                  <w:sz w:val="21"/>
                                </w:rPr>
                              </w:pPr>
                              <w:r>
                                <w:rPr>
                                  <w:color w:val="585858"/>
                                  <w:spacing w:val="-2"/>
                                  <w:sz w:val="21"/>
                                </w:rPr>
                                <w:t>Asian</w:t>
                              </w:r>
                            </w:p>
                          </w:txbxContent>
                        </wps:txbx>
                        <wps:bodyPr wrap="square" lIns="0" tIns="0" rIns="0" bIns="0" rtlCol="0">
                          <a:noAutofit/>
                        </wps:bodyPr>
                      </wps:wsp>
                      <wps:wsp>
                        <wps:cNvPr id="521" name="Textbox 521"/>
                        <wps:cNvSpPr txBox="1"/>
                        <wps:spPr>
                          <a:xfrm>
                            <a:off x="3039215" y="2960637"/>
                            <a:ext cx="278765" cy="152400"/>
                          </a:xfrm>
                          <a:prstGeom prst="rect">
                            <a:avLst/>
                          </a:prstGeom>
                        </wps:spPr>
                        <wps:txbx>
                          <w:txbxContent>
                            <w:p w14:paraId="1C34F244" w14:textId="77777777" w:rsidR="004C558F" w:rsidRDefault="00461887">
                              <w:pPr>
                                <w:spacing w:before="1"/>
                                <w:rPr>
                                  <w:sz w:val="21"/>
                                </w:rPr>
                              </w:pPr>
                              <w:r>
                                <w:rPr>
                                  <w:color w:val="585858"/>
                                  <w:spacing w:val="-4"/>
                                  <w:sz w:val="21"/>
                                </w:rPr>
                                <w:t>DFCI</w:t>
                              </w:r>
                            </w:p>
                          </w:txbxContent>
                        </wps:txbx>
                        <wps:bodyPr wrap="square" lIns="0" tIns="0" rIns="0" bIns="0" rtlCol="0">
                          <a:noAutofit/>
                        </wps:bodyPr>
                      </wps:wsp>
                      <wps:wsp>
                        <wps:cNvPr id="522" name="Textbox 522"/>
                        <wps:cNvSpPr txBox="1"/>
                        <wps:spPr>
                          <a:xfrm>
                            <a:off x="3703203" y="2960637"/>
                            <a:ext cx="1871345" cy="152400"/>
                          </a:xfrm>
                          <a:prstGeom prst="rect">
                            <a:avLst/>
                          </a:prstGeom>
                        </wps:spPr>
                        <wps:txbx>
                          <w:txbxContent>
                            <w:p w14:paraId="1C34F245" w14:textId="77777777" w:rsidR="004C558F" w:rsidRDefault="00461887">
                              <w:pPr>
                                <w:tabs>
                                  <w:tab w:val="left" w:pos="2045"/>
                                </w:tabs>
                                <w:spacing w:before="1"/>
                                <w:rPr>
                                  <w:sz w:val="21"/>
                                </w:rPr>
                              </w:pPr>
                              <w:r>
                                <w:rPr>
                                  <w:color w:val="585858"/>
                                  <w:spacing w:val="-2"/>
                                  <w:sz w:val="21"/>
                                </w:rPr>
                                <w:t>DFCI/BWH/BIDMC</w:t>
                              </w:r>
                              <w:r>
                                <w:rPr>
                                  <w:color w:val="585858"/>
                                  <w:sz w:val="21"/>
                                </w:rPr>
                                <w:tab/>
                              </w:r>
                              <w:r>
                                <w:rPr>
                                  <w:color w:val="585858"/>
                                  <w:spacing w:val="-2"/>
                                  <w:sz w:val="21"/>
                                </w:rPr>
                                <w:t>Statewide</w:t>
                              </w:r>
                            </w:p>
                          </w:txbxContent>
                        </wps:txbx>
                        <wps:bodyPr wrap="square" lIns="0" tIns="0" rIns="0" bIns="0" rtlCol="0">
                          <a:noAutofit/>
                        </wps:bodyPr>
                      </wps:wsp>
                      <wps:wsp>
                        <wps:cNvPr id="523" name="Textbox 523"/>
                        <wps:cNvSpPr txBox="1"/>
                        <wps:spPr>
                          <a:xfrm>
                            <a:off x="1514389" y="3227075"/>
                            <a:ext cx="335915" cy="152400"/>
                          </a:xfrm>
                          <a:prstGeom prst="rect">
                            <a:avLst/>
                          </a:prstGeom>
                        </wps:spPr>
                        <wps:txbx>
                          <w:txbxContent>
                            <w:p w14:paraId="1C34F246" w14:textId="77777777" w:rsidR="004C558F" w:rsidRDefault="00461887">
                              <w:pPr>
                                <w:spacing w:before="1"/>
                                <w:rPr>
                                  <w:sz w:val="21"/>
                                </w:rPr>
                              </w:pPr>
                              <w:r>
                                <w:rPr>
                                  <w:color w:val="585858"/>
                                  <w:spacing w:val="-2"/>
                                  <w:sz w:val="21"/>
                                </w:rPr>
                                <w:t>White</w:t>
                              </w:r>
                            </w:p>
                          </w:txbxContent>
                        </wps:txbx>
                        <wps:bodyPr wrap="square" lIns="0" tIns="0" rIns="0" bIns="0" rtlCol="0">
                          <a:noAutofit/>
                        </wps:bodyPr>
                      </wps:wsp>
                      <wps:wsp>
                        <wps:cNvPr id="524" name="Textbox 524"/>
                        <wps:cNvSpPr txBox="1"/>
                        <wps:spPr>
                          <a:xfrm>
                            <a:off x="2603841" y="3227075"/>
                            <a:ext cx="323850" cy="152400"/>
                          </a:xfrm>
                          <a:prstGeom prst="rect">
                            <a:avLst/>
                          </a:prstGeom>
                        </wps:spPr>
                        <wps:txbx>
                          <w:txbxContent>
                            <w:p w14:paraId="1C34F247" w14:textId="77777777" w:rsidR="004C558F" w:rsidRDefault="00461887">
                              <w:pPr>
                                <w:spacing w:before="1"/>
                                <w:rPr>
                                  <w:sz w:val="21"/>
                                </w:rPr>
                              </w:pPr>
                              <w:r>
                                <w:rPr>
                                  <w:color w:val="585858"/>
                                  <w:spacing w:val="-2"/>
                                  <w:sz w:val="21"/>
                                </w:rPr>
                                <w:t>Black</w:t>
                              </w:r>
                            </w:p>
                          </w:txbxContent>
                        </wps:txbx>
                        <wps:bodyPr wrap="square" lIns="0" tIns="0" rIns="0" bIns="0" rtlCol="0">
                          <a:noAutofit/>
                        </wps:bodyPr>
                      </wps:wsp>
                      <wps:wsp>
                        <wps:cNvPr id="525" name="Textbox 525"/>
                        <wps:cNvSpPr txBox="1"/>
                        <wps:spPr>
                          <a:xfrm>
                            <a:off x="3144852" y="3227075"/>
                            <a:ext cx="700405" cy="152400"/>
                          </a:xfrm>
                          <a:prstGeom prst="rect">
                            <a:avLst/>
                          </a:prstGeom>
                        </wps:spPr>
                        <wps:txbx>
                          <w:txbxContent>
                            <w:p w14:paraId="1C34F248" w14:textId="77777777" w:rsidR="004C558F" w:rsidRDefault="00461887">
                              <w:pPr>
                                <w:spacing w:before="1"/>
                                <w:rPr>
                                  <w:sz w:val="21"/>
                                </w:rPr>
                              </w:pPr>
                              <w:r>
                                <w:rPr>
                                  <w:color w:val="585858"/>
                                  <w:sz w:val="21"/>
                                </w:rPr>
                                <w:t>Other</w:t>
                              </w:r>
                              <w:r>
                                <w:rPr>
                                  <w:color w:val="585858"/>
                                  <w:spacing w:val="-5"/>
                                  <w:sz w:val="21"/>
                                </w:rPr>
                                <w:t xml:space="preserve"> </w:t>
                              </w:r>
                              <w:r>
                                <w:rPr>
                                  <w:color w:val="585858"/>
                                  <w:spacing w:val="-2"/>
                                  <w:sz w:val="21"/>
                                </w:rPr>
                                <w:t>Group</w:t>
                              </w:r>
                            </w:p>
                          </w:txbxContent>
                        </wps:txbx>
                        <wps:bodyPr wrap="square" lIns="0" tIns="0" rIns="0" bIns="0" rtlCol="0">
                          <a:noAutofit/>
                        </wps:bodyPr>
                      </wps:wsp>
                      <wps:wsp>
                        <wps:cNvPr id="526" name="Textbox 526"/>
                        <wps:cNvSpPr txBox="1"/>
                        <wps:spPr>
                          <a:xfrm>
                            <a:off x="4062039" y="3227075"/>
                            <a:ext cx="535305" cy="152400"/>
                          </a:xfrm>
                          <a:prstGeom prst="rect">
                            <a:avLst/>
                          </a:prstGeom>
                        </wps:spPr>
                        <wps:txbx>
                          <w:txbxContent>
                            <w:p w14:paraId="1C34F249" w14:textId="77777777" w:rsidR="004C558F" w:rsidRDefault="00461887">
                              <w:pPr>
                                <w:spacing w:before="1"/>
                                <w:rPr>
                                  <w:sz w:val="21"/>
                                </w:rPr>
                              </w:pPr>
                              <w:r>
                                <w:rPr>
                                  <w:color w:val="585858"/>
                                  <w:spacing w:val="-2"/>
                                  <w:sz w:val="21"/>
                                </w:rPr>
                                <w:t>Unknown</w:t>
                              </w:r>
                            </w:p>
                          </w:txbxContent>
                        </wps:txbx>
                        <wps:bodyPr wrap="square" lIns="0" tIns="0" rIns="0" bIns="0" rtlCol="0">
                          <a:noAutofit/>
                        </wps:bodyPr>
                      </wps:wsp>
                    </wpg:wgp>
                  </a:graphicData>
                </a:graphic>
              </wp:anchor>
            </w:drawing>
          </mc:Choice>
          <mc:Fallback>
            <w:pict>
              <v:group w14:anchorId="1C34F150" id="Group 490" o:spid="_x0000_s1415" alt="Bar graph for Inpatient Medical Oncology Discharges by Race for Select Hospitals and Statewide (2023)" style="position:absolute;margin-left:71.6pt;margin-top:14.2pt;width:468.75pt;height:275.75pt;z-index:-251620352;mso-wrap-distance-left:0;mso-wrap-distance-right:0;mso-position-horizontal-relative:page;mso-position-vertical-relative:text" coordsize="59531,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">
                <v:shape id="Graphic 491" o:spid="_x0000_s1416" style="position:absolute;left:5341;top:8288;width:52750;height:13671;visibility:visible;mso-wrap-style:square;v-text-anchor:top" coordsize="527494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" path="m,1367027r176199,em878763,1367027r352044,em1933371,1367027r352044,em2989503,1367027r350520,em4044111,1367027r352044,em5098719,1367027r175768,em4044111,682751r352044,em5098719,682751r175768,em1933371,682751r352044,em2989503,682751r350520,em878763,682751r352044,em,682751r176199,em2989503,l4396155,em5098719,r175768,em1933371,r352044,em878763,r352044,em,l176199,e" filled="f" strokecolor="#ececec">
                  <v:path arrowok="t"/>
                </v:shape>
                <v:shape id="Graphic 492" o:spid="_x0000_s1417" style="position:absolute;left:5341;top:1444;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" path="m,l5274487,e" filled="f" strokecolor="#ececec">
                  <v:path arrowok="t"/>
                </v:shape>
                <v:shape id="Graphic 493" o:spid="_x0000_s1418" style="position:absolute;left:7103;top:6398;width:49225;height:22403;visibility:visible;mso-wrap-style:square;v-text-anchor:top" coordsize="492252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" path="m702564,364223l,364223,,2240115r702564,l702564,364223xem1757172,91440r-702564,l1054608,2240115r702564,l1757172,91440xem2813304,73152r-704088,l2109216,2240115r704088,l2813304,73152xem3867912,188963r-704088,l3163824,2240115r704088,l3867912,188963xem4922507,l4219956,r,2240115l4922507,2240115,4922507,xe" fillcolor="#084875" stroked="f">
                  <v:path arrowok="t"/>
                </v:shape>
                <v:shape id="Graphic 494" o:spid="_x0000_s1419" style="position:absolute;left:7103;top:5361;width:49225;height:4680;visibility:visible;mso-wrap-style:square;v-text-anchor:top" coordsize="492252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" path="m702564,300228l,300228,,467868r702564,l702564,300228xem1757172,50292r-702564,l1054608,195072r702564,l1757172,50292xem2813304,50292r-704088,l2109216,176784r704088,l2813304,50292xem3867912,140208r-704088,l3163824,292608r704088,l3867912,140208xem4922507,l4219956,r,103632l4922507,103632,4922507,xe" fillcolor="#f1682a" stroked="f">
                  <v:path arrowok="t"/>
                </v:shape>
                <v:shape id="Graphic 495" o:spid="_x0000_s1420" style="position:absolute;left:7103;top:3213;width:49225;height:5156;visibility:visible;mso-wrap-style:square;v-text-anchor:top" coordsize="492252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" path="m702564,77724l,77724,,515112r702564,l702564,77724xem1757172,16764r-702564,l1054608,265176r702564,l1757172,16764xem2813304,82296r-704088,l2109216,265176r704088,l2813304,82296xem3867912,44196r-704088,l3163824,355092r704088,l3867912,44196xem4922507,l4219956,r,214896l4922507,214896,4922507,xe" fillcolor="#339fc7" stroked="f">
                  <v:path arrowok="t"/>
                </v:shape>
                <v:shape id="Graphic 496" o:spid="_x0000_s1421" style="position:absolute;left:7103;top:1841;width:49225;height:2197;visibility:visible;mso-wrap-style:square;v-text-anchor:top" coordsize="49225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" path="m702564,91440l,91440,,214896r702564,l702564,91440xem1757172,l1054608,r,153924l1757172,153924,1757172,xem2813304,3048r-704088,l2109216,219468r704088,l2813304,3048xem3867912,33528r-704088,l3163824,181356r704088,l3867912,33528xem4922507,16764r-702551,l4219956,137160r702551,l4922507,16764xe" fillcolor="#f9a720" stroked="f">
                  <v:path arrowok="t"/>
                </v:shape>
                <v:shape id="Graphic 497" o:spid="_x0000_s1422" style="position:absolute;left:7103;top:1444;width:49225;height:1315;visibility:visible;mso-wrap-style:square;v-text-anchor:top" coordsize="492252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" path="m702564,l,,,131127r702564,l702564,xem1757172,l1054608,r,39687l1757172,39687r,-39687xem2813304,l2109216,r,42735l2813304,42735r,-42735xem3867912,12r-704088,l3163824,73215r704088,l3867912,12xem4922507,l4219956,r,56451l4922507,56451r,-56451xe" fillcolor="#53c0a4" stroked="f">
                  <v:path arrowok="t"/>
                </v:shape>
                <v:shape id="Graphic 498" o:spid="_x0000_s1423" style="position:absolute;left:5341;top:28799;width:52750;height:13;visibility:visible;mso-wrap-style:square;v-text-anchor:top" coordsize="527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" path="m,l5274487,e" filled="f" strokecolor="#d9d9d9">
                  <v:path arrowok="t"/>
                </v:shape>
                <v:shape id="Graphic 499" o:spid="_x0000_s1424" style="position:absolute;left:14170;top:32741;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" path="m68033,l,,,68033r68033,l68033,xe" fillcolor="#084875" stroked="f">
                  <v:path arrowok="t"/>
                </v:shape>
                <v:shape id="Graphic 500" o:spid="_x0000_s1425" style="position:absolute;left:19695;top:32741;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" path="m68033,l,,,68033r68033,l68033,xe" fillcolor="#f1682a" stroked="f">
                  <v:path arrowok="t"/>
                </v:shape>
                <v:shape id="Graphic 501" o:spid="_x0000_s1426" style="position:absolute;left:25065;top:32741;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" path="m68033,l,,,68033r68033,l68033,xe" fillcolor="#339fc7" stroked="f">
                  <v:path arrowok="t"/>
                </v:shape>
                <v:shape id="Graphic 502" o:spid="_x0000_s1427" style="position:absolute;left:30475;top:32741;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" path="m68033,l,,,68033r68033,l68033,xe" fillcolor="#f9a720" stroked="f">
                  <v:path arrowok="t"/>
                </v:shape>
                <v:shape id="Graphic 503" o:spid="_x0000_s1428" style="position:absolute;left:39647;top:32741;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" path="m68033,l,,,68033r68033,l68033,xe" fillcolor="#53c0a4" stroked="f">
                  <v:path arrowok="t"/>
                </v:shape>
                <v:shape id="Graphic 504" o:spid="_x0000_s1429" style="position:absolute;left:47;top:47;width:59436;height:34925;visibility:visible;mso-wrap-style:square;v-text-anchor:top" coordsize="5943600,34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" path="m,l5943600,r,3492500l,3492500,,xe" filled="f" strokecolor="#d9d9d9">
                  <v:path arrowok="t"/>
                </v:shape>
                <v:shape id="Textbox 505" o:spid="_x0000_s1430" type="#_x0000_t202" style="position:absolute;left:872;top:635;width:3448;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C34F224" w14:textId="77777777" w:rsidR="004C558F" w:rsidRDefault="00461887">
                        <w:pPr>
                          <w:spacing w:before="1"/>
                          <w:ind w:right="20"/>
                          <w:jc w:val="right"/>
                          <w:rPr>
                            <w:sz w:val="21"/>
                          </w:rPr>
                        </w:pPr>
                        <w:r>
                          <w:rPr>
                            <w:color w:val="585858"/>
                            <w:spacing w:val="-4"/>
                            <w:sz w:val="21"/>
                          </w:rPr>
                          <w:t>100%</w:t>
                        </w:r>
                      </w:p>
                      <w:p w14:paraId="1C34F225" w14:textId="77777777" w:rsidR="004C558F" w:rsidRDefault="004C558F">
                        <w:pPr>
                          <w:rPr>
                            <w:sz w:val="21"/>
                          </w:rPr>
                        </w:pPr>
                      </w:p>
                      <w:p w14:paraId="1C34F226" w14:textId="77777777" w:rsidR="004C558F" w:rsidRDefault="004C558F">
                        <w:pPr>
                          <w:rPr>
                            <w:sz w:val="21"/>
                          </w:rPr>
                        </w:pPr>
                      </w:p>
                      <w:p w14:paraId="1C34F227" w14:textId="77777777" w:rsidR="004C558F" w:rsidRDefault="004C558F">
                        <w:pPr>
                          <w:spacing w:before="124"/>
                          <w:rPr>
                            <w:sz w:val="21"/>
                          </w:rPr>
                        </w:pPr>
                      </w:p>
                      <w:p w14:paraId="1C34F228" w14:textId="77777777" w:rsidR="004C558F" w:rsidRDefault="00461887">
                        <w:pPr>
                          <w:ind w:right="18"/>
                          <w:jc w:val="right"/>
                          <w:rPr>
                            <w:sz w:val="21"/>
                          </w:rPr>
                        </w:pPr>
                        <w:r>
                          <w:rPr>
                            <w:color w:val="585858"/>
                            <w:spacing w:val="-5"/>
                            <w:sz w:val="21"/>
                          </w:rPr>
                          <w:t>75%</w:t>
                        </w:r>
                      </w:p>
                    </w:txbxContent>
                  </v:textbox>
                </v:shape>
                <v:shape id="Textbox 506" o:spid="_x0000_s1431" type="#_x0000_t202" style="position:absolute;left:8774;top:1240;width:3803;height:8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1C34F229" w14:textId="77777777" w:rsidR="004C558F" w:rsidRDefault="00461887">
                        <w:pPr>
                          <w:spacing w:line="236" w:lineRule="exact"/>
                          <w:ind w:left="57"/>
                          <w:rPr>
                            <w:rFonts w:ascii="Franklin Gothic Medium Cond"/>
                            <w:sz w:val="24"/>
                          </w:rPr>
                        </w:pPr>
                        <w:r>
                          <w:rPr>
                            <w:rFonts w:ascii="Franklin Gothic Medium Cond"/>
                            <w:spacing w:val="-4"/>
                            <w:sz w:val="24"/>
                          </w:rPr>
                          <w:t>4.8%</w:t>
                        </w:r>
                      </w:p>
                      <w:p w14:paraId="1C34F22A" w14:textId="77777777" w:rsidR="004C558F" w:rsidRDefault="00461887">
                        <w:pPr>
                          <w:spacing w:line="236" w:lineRule="exact"/>
                          <w:ind w:left="57"/>
                          <w:rPr>
                            <w:rFonts w:ascii="Franklin Gothic Medium Cond"/>
                            <w:sz w:val="24"/>
                          </w:rPr>
                        </w:pPr>
                        <w:r>
                          <w:rPr>
                            <w:rFonts w:ascii="Franklin Gothic Medium Cond"/>
                            <w:spacing w:val="-4"/>
                            <w:sz w:val="24"/>
                          </w:rPr>
                          <w:t>4.5%</w:t>
                        </w:r>
                      </w:p>
                      <w:p w14:paraId="1C34F22B" w14:textId="77777777" w:rsidR="004C558F" w:rsidRDefault="00461887">
                        <w:pPr>
                          <w:spacing w:before="169"/>
                          <w:rPr>
                            <w:rFonts w:ascii="Franklin Gothic Medium Cond"/>
                            <w:sz w:val="24"/>
                          </w:rPr>
                        </w:pPr>
                        <w:r>
                          <w:rPr>
                            <w:rFonts w:ascii="Franklin Gothic Medium Cond"/>
                            <w:spacing w:val="-2"/>
                            <w:sz w:val="24"/>
                          </w:rPr>
                          <w:t>16.0%</w:t>
                        </w:r>
                      </w:p>
                      <w:p w14:paraId="1C34F22C" w14:textId="77777777" w:rsidR="004C558F" w:rsidRDefault="00461887">
                        <w:pPr>
                          <w:spacing w:before="205"/>
                          <w:ind w:left="62"/>
                          <w:rPr>
                            <w:rFonts w:ascii="Franklin Gothic Medium Cond"/>
                            <w:sz w:val="24"/>
                          </w:rPr>
                        </w:pPr>
                        <w:r>
                          <w:rPr>
                            <w:rFonts w:ascii="Franklin Gothic Medium Cond"/>
                            <w:spacing w:val="-4"/>
                            <w:sz w:val="24"/>
                          </w:rPr>
                          <w:t>6.1%</w:t>
                        </w:r>
                      </w:p>
                    </w:txbxContent>
                  </v:textbox>
                </v:shape>
                <v:shape id="Textbox 507" o:spid="_x0000_s1432" type="#_x0000_t202" style="position:absolute;left:19687;top:1749;width:308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C34F22D" w14:textId="77777777" w:rsidR="004C558F" w:rsidRDefault="00461887">
                        <w:pPr>
                          <w:rPr>
                            <w:rFonts w:ascii="Franklin Gothic Medium Cond"/>
                            <w:sz w:val="24"/>
                          </w:rPr>
                        </w:pPr>
                        <w:r>
                          <w:rPr>
                            <w:rFonts w:ascii="Franklin Gothic Medium Cond"/>
                            <w:spacing w:val="-4"/>
                            <w:sz w:val="24"/>
                          </w:rPr>
                          <w:t>5.6%</w:t>
                        </w:r>
                      </w:p>
                      <w:p w14:paraId="1C34F22E" w14:textId="77777777" w:rsidR="004C558F" w:rsidRDefault="00461887">
                        <w:pPr>
                          <w:spacing w:before="45"/>
                          <w:ind w:left="5"/>
                          <w:rPr>
                            <w:rFonts w:ascii="Franklin Gothic Medium Cond"/>
                            <w:sz w:val="24"/>
                          </w:rPr>
                        </w:pPr>
                        <w:r>
                          <w:rPr>
                            <w:rFonts w:ascii="Franklin Gothic Medium Cond"/>
                            <w:spacing w:val="-4"/>
                            <w:sz w:val="24"/>
                          </w:rPr>
                          <w:t>9.1%</w:t>
                        </w:r>
                      </w:p>
                      <w:p w14:paraId="1C34F22F" w14:textId="77777777" w:rsidR="004C558F" w:rsidRDefault="00461887">
                        <w:pPr>
                          <w:spacing w:before="37"/>
                          <w:rPr>
                            <w:rFonts w:ascii="Franklin Gothic Medium Cond"/>
                            <w:sz w:val="24"/>
                          </w:rPr>
                        </w:pPr>
                        <w:r>
                          <w:rPr>
                            <w:rFonts w:ascii="Franklin Gothic Medium Cond"/>
                            <w:spacing w:val="-4"/>
                            <w:sz w:val="24"/>
                          </w:rPr>
                          <w:t>5.3%</w:t>
                        </w:r>
                      </w:p>
                    </w:txbxContent>
                  </v:textbox>
                </v:shape>
                <v:shape id="Textbox 508" o:spid="_x0000_s1433" type="#_x0000_t202" style="position:absolute;left:30236;top:2100;width:3086;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C34F230" w14:textId="77777777" w:rsidR="004C558F" w:rsidRDefault="00461887">
                        <w:pPr>
                          <w:ind w:left="9"/>
                          <w:rPr>
                            <w:rFonts w:ascii="Franklin Gothic Medium Cond"/>
                            <w:sz w:val="24"/>
                          </w:rPr>
                        </w:pPr>
                        <w:r>
                          <w:rPr>
                            <w:rFonts w:ascii="Franklin Gothic Medium Cond"/>
                            <w:spacing w:val="-4"/>
                            <w:sz w:val="24"/>
                          </w:rPr>
                          <w:t>7.9%</w:t>
                        </w:r>
                      </w:p>
                      <w:p w14:paraId="1C34F231" w14:textId="77777777" w:rsidR="004C558F" w:rsidRDefault="00461887">
                        <w:pPr>
                          <w:spacing w:before="42" w:line="258" w:lineRule="exact"/>
                          <w:rPr>
                            <w:rFonts w:ascii="Franklin Gothic Medium Cond"/>
                            <w:sz w:val="24"/>
                          </w:rPr>
                        </w:pPr>
                        <w:r>
                          <w:rPr>
                            <w:rFonts w:ascii="Franklin Gothic Medium Cond"/>
                            <w:spacing w:val="-4"/>
                            <w:sz w:val="24"/>
                          </w:rPr>
                          <w:t>6.7%</w:t>
                        </w:r>
                      </w:p>
                      <w:p w14:paraId="1C34F232" w14:textId="77777777" w:rsidR="004C558F" w:rsidRDefault="00461887">
                        <w:pPr>
                          <w:spacing w:line="258" w:lineRule="exact"/>
                          <w:rPr>
                            <w:rFonts w:ascii="Franklin Gothic Medium Cond"/>
                            <w:sz w:val="24"/>
                          </w:rPr>
                        </w:pPr>
                        <w:r>
                          <w:rPr>
                            <w:rFonts w:ascii="Franklin Gothic Medium Cond"/>
                            <w:spacing w:val="-4"/>
                            <w:sz w:val="24"/>
                          </w:rPr>
                          <w:t>4.6%</w:t>
                        </w:r>
                      </w:p>
                    </w:txbxContent>
                  </v:textbox>
                </v:shape>
                <v:shape id="Textbox 509" o:spid="_x0000_s1434" type="#_x0000_t202" style="position:absolute;left:40451;top:2060;width:3760;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1C34F233" w14:textId="77777777" w:rsidR="004C558F" w:rsidRDefault="00461887">
                        <w:pPr>
                          <w:ind w:left="52"/>
                          <w:rPr>
                            <w:rFonts w:ascii="Franklin Gothic Medium Cond"/>
                            <w:sz w:val="24"/>
                          </w:rPr>
                        </w:pPr>
                        <w:r>
                          <w:rPr>
                            <w:rFonts w:ascii="Franklin Gothic Medium Cond"/>
                            <w:spacing w:val="-4"/>
                            <w:sz w:val="24"/>
                          </w:rPr>
                          <w:t>5.5%</w:t>
                        </w:r>
                      </w:p>
                      <w:p w14:paraId="1C34F234" w14:textId="77777777" w:rsidR="004C558F" w:rsidRDefault="00461887">
                        <w:pPr>
                          <w:spacing w:before="90"/>
                          <w:rPr>
                            <w:rFonts w:ascii="Franklin Gothic Medium Cond"/>
                            <w:sz w:val="24"/>
                          </w:rPr>
                        </w:pPr>
                        <w:r>
                          <w:rPr>
                            <w:rFonts w:ascii="Franklin Gothic Medium Cond"/>
                            <w:spacing w:val="-2"/>
                            <w:sz w:val="24"/>
                          </w:rPr>
                          <w:t>11.4%</w:t>
                        </w:r>
                      </w:p>
                      <w:p w14:paraId="1C34F235" w14:textId="77777777" w:rsidR="004C558F" w:rsidRDefault="00461887">
                        <w:pPr>
                          <w:spacing w:before="91"/>
                          <w:ind w:left="52"/>
                          <w:rPr>
                            <w:rFonts w:ascii="Franklin Gothic Medium Cond"/>
                            <w:sz w:val="24"/>
                          </w:rPr>
                        </w:pPr>
                        <w:r>
                          <w:rPr>
                            <w:rFonts w:ascii="Franklin Gothic Medium Cond"/>
                            <w:spacing w:val="-4"/>
                            <w:sz w:val="24"/>
                          </w:rPr>
                          <w:t>5.5%</w:t>
                        </w:r>
                      </w:p>
                    </w:txbxContent>
                  </v:textbox>
                </v:shape>
                <v:shape id="Textbox 510" o:spid="_x0000_s1435" type="#_x0000_t202" style="position:absolute;left:51334;top:1752;width:308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C34F236" w14:textId="77777777" w:rsidR="004C558F" w:rsidRDefault="00461887">
                        <w:pPr>
                          <w:spacing w:line="268" w:lineRule="exact"/>
                          <w:rPr>
                            <w:rFonts w:ascii="Franklin Gothic Medium Cond"/>
                            <w:sz w:val="24"/>
                          </w:rPr>
                        </w:pPr>
                        <w:r>
                          <w:rPr>
                            <w:rFonts w:ascii="Franklin Gothic Medium Cond"/>
                            <w:spacing w:val="-4"/>
                            <w:sz w:val="24"/>
                          </w:rPr>
                          <w:t>4.4%</w:t>
                        </w:r>
                      </w:p>
                      <w:p w14:paraId="1C34F237" w14:textId="77777777" w:rsidR="004C558F" w:rsidRDefault="00461887">
                        <w:pPr>
                          <w:spacing w:line="257" w:lineRule="exact"/>
                          <w:ind w:left="9"/>
                          <w:rPr>
                            <w:rFonts w:ascii="Franklin Gothic Medium Cond"/>
                            <w:sz w:val="24"/>
                          </w:rPr>
                        </w:pPr>
                        <w:r>
                          <w:rPr>
                            <w:rFonts w:ascii="Franklin Gothic Medium Cond"/>
                            <w:spacing w:val="-4"/>
                            <w:sz w:val="24"/>
                          </w:rPr>
                          <w:t>7.9%</w:t>
                        </w:r>
                      </w:p>
                      <w:p w14:paraId="1C34F238" w14:textId="77777777" w:rsidR="004C558F" w:rsidRDefault="00461887">
                        <w:pPr>
                          <w:spacing w:line="261" w:lineRule="exact"/>
                          <w:rPr>
                            <w:rFonts w:ascii="Franklin Gothic Medium Cond"/>
                            <w:sz w:val="24"/>
                          </w:rPr>
                        </w:pPr>
                        <w:r>
                          <w:rPr>
                            <w:rFonts w:ascii="Franklin Gothic Medium Cond"/>
                            <w:spacing w:val="-4"/>
                            <w:sz w:val="24"/>
                          </w:rPr>
                          <w:t>3.7%</w:t>
                        </w:r>
                      </w:p>
                    </w:txbxContent>
                  </v:textbox>
                </v:shape>
                <v:shape id="Textbox 511" o:spid="_x0000_s1436" type="#_x0000_t202" style="position:absolute;left:1654;top:14312;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C34F239" w14:textId="77777777" w:rsidR="004C558F" w:rsidRDefault="00461887">
                        <w:pPr>
                          <w:spacing w:before="1"/>
                          <w:rPr>
                            <w:sz w:val="21"/>
                          </w:rPr>
                        </w:pPr>
                        <w:r>
                          <w:rPr>
                            <w:color w:val="585858"/>
                            <w:spacing w:val="-5"/>
                            <w:sz w:val="21"/>
                          </w:rPr>
                          <w:t>50%</w:t>
                        </w:r>
                      </w:p>
                    </w:txbxContent>
                  </v:textbox>
                </v:shape>
                <v:shape id="Textbox 512" o:spid="_x0000_s1437" type="#_x0000_t202" style="position:absolute;left:7797;top:18117;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C34F23A" w14:textId="77777777" w:rsidR="004C558F" w:rsidRDefault="00461887">
                        <w:pPr>
                          <w:rPr>
                            <w:rFonts w:ascii="Franklin Gothic Medium Cond"/>
                            <w:sz w:val="36"/>
                          </w:rPr>
                        </w:pPr>
                        <w:r>
                          <w:rPr>
                            <w:rFonts w:ascii="Franklin Gothic Medium Cond"/>
                            <w:color w:val="FFFFFF"/>
                            <w:spacing w:val="-2"/>
                            <w:sz w:val="36"/>
                          </w:rPr>
                          <w:t>68.6%</w:t>
                        </w:r>
                      </w:p>
                    </w:txbxContent>
                  </v:textbox>
                </v:shape>
                <v:shape id="Textbox 513" o:spid="_x0000_s1438" type="#_x0000_t202" style="position:absolute;left:18347;top:16750;width:57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C34F23B" w14:textId="77777777" w:rsidR="004C558F" w:rsidRDefault="00461887">
                        <w:pPr>
                          <w:rPr>
                            <w:rFonts w:ascii="Franklin Gothic Medium Cond"/>
                            <w:sz w:val="36"/>
                          </w:rPr>
                        </w:pPr>
                        <w:r>
                          <w:rPr>
                            <w:rFonts w:ascii="Franklin Gothic Medium Cond"/>
                            <w:color w:val="FFFFFF"/>
                            <w:spacing w:val="-2"/>
                            <w:sz w:val="36"/>
                          </w:rPr>
                          <w:t>78.6%</w:t>
                        </w:r>
                      </w:p>
                    </w:txbxContent>
                  </v:textbox>
                </v:shape>
                <v:shape id="Textbox 514" o:spid="_x0000_s1439" type="#_x0000_t202" style="position:absolute;left:28896;top:16663;width:57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C34F23C" w14:textId="77777777" w:rsidR="004C558F" w:rsidRDefault="00461887">
                        <w:pPr>
                          <w:rPr>
                            <w:rFonts w:ascii="Franklin Gothic Medium Cond"/>
                            <w:sz w:val="36"/>
                          </w:rPr>
                        </w:pPr>
                        <w:r>
                          <w:rPr>
                            <w:rFonts w:ascii="Franklin Gothic Medium Cond"/>
                            <w:color w:val="FFFFFF"/>
                            <w:spacing w:val="-2"/>
                            <w:sz w:val="36"/>
                          </w:rPr>
                          <w:t>79.2%</w:t>
                        </w:r>
                      </w:p>
                    </w:txbxContent>
                  </v:textbox>
                </v:shape>
                <v:shape id="Textbox 515" o:spid="_x0000_s1440" type="#_x0000_t202" style="position:absolute;left:39446;top:17239;width:57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C34F23D" w14:textId="77777777" w:rsidR="004C558F" w:rsidRDefault="00461887">
                        <w:pPr>
                          <w:rPr>
                            <w:rFonts w:ascii="Franklin Gothic Medium Cond"/>
                            <w:sz w:val="36"/>
                          </w:rPr>
                        </w:pPr>
                        <w:r>
                          <w:rPr>
                            <w:rFonts w:ascii="Franklin Gothic Medium Cond"/>
                            <w:color w:val="FFFFFF"/>
                            <w:spacing w:val="-2"/>
                            <w:sz w:val="36"/>
                          </w:rPr>
                          <w:t>75.0%</w:t>
                        </w:r>
                      </w:p>
                    </w:txbxContent>
                  </v:textbox>
                </v:shape>
                <v:shape id="Textbox 516" o:spid="_x0000_s1441" type="#_x0000_t202" style="position:absolute;left:50072;top:16293;width:561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C34F23E" w14:textId="77777777" w:rsidR="004C558F" w:rsidRDefault="00461887">
                        <w:pPr>
                          <w:rPr>
                            <w:rFonts w:ascii="Franklin Gothic Medium Cond"/>
                            <w:sz w:val="36"/>
                          </w:rPr>
                        </w:pPr>
                        <w:r>
                          <w:rPr>
                            <w:rFonts w:ascii="Franklin Gothic Medium Cond"/>
                            <w:color w:val="FFFFFF"/>
                            <w:spacing w:val="-2"/>
                            <w:sz w:val="36"/>
                          </w:rPr>
                          <w:t>81.9%</w:t>
                        </w:r>
                      </w:p>
                    </w:txbxContent>
                  </v:textbox>
                </v:shape>
                <v:shape id="Textbox 517" o:spid="_x0000_s1442" type="#_x0000_t202" style="position:absolute;left:1654;top:21150;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C34F23F" w14:textId="77777777" w:rsidR="004C558F" w:rsidRDefault="00461887">
                        <w:pPr>
                          <w:spacing w:before="1"/>
                          <w:rPr>
                            <w:sz w:val="21"/>
                          </w:rPr>
                        </w:pPr>
                        <w:r>
                          <w:rPr>
                            <w:color w:val="585858"/>
                            <w:spacing w:val="-5"/>
                            <w:sz w:val="21"/>
                          </w:rPr>
                          <w:t>25%</w:t>
                        </w:r>
                      </w:p>
                    </w:txbxContent>
                  </v:textbox>
                </v:shape>
                <v:shape id="Textbox 518" o:spid="_x0000_s1443" type="#_x0000_t202" style="position:absolute;left:2436;top:27988;width:1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C34F240" w14:textId="77777777" w:rsidR="004C558F" w:rsidRDefault="00461887">
                        <w:pPr>
                          <w:spacing w:before="1"/>
                          <w:rPr>
                            <w:sz w:val="21"/>
                          </w:rPr>
                        </w:pPr>
                        <w:r>
                          <w:rPr>
                            <w:color w:val="585858"/>
                            <w:spacing w:val="-5"/>
                            <w:sz w:val="21"/>
                          </w:rPr>
                          <w:t>0%</w:t>
                        </w:r>
                      </w:p>
                    </w:txbxContent>
                  </v:textbox>
                </v:shape>
                <v:shape id="Textbox 519" o:spid="_x0000_s1444" type="#_x0000_t202" style="position:absolute;left:8688;top:29606;width:39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1C34F241" w14:textId="77777777" w:rsidR="004C558F" w:rsidRDefault="00461887">
                        <w:pPr>
                          <w:spacing w:before="1"/>
                          <w:rPr>
                            <w:sz w:val="21"/>
                          </w:rPr>
                        </w:pPr>
                        <w:r>
                          <w:rPr>
                            <w:color w:val="585858"/>
                            <w:spacing w:val="-2"/>
                            <w:sz w:val="21"/>
                          </w:rPr>
                          <w:t>BIDMC</w:t>
                        </w:r>
                      </w:p>
                    </w:txbxContent>
                  </v:textbox>
                </v:shape>
                <v:shape id="Textbox 520" o:spid="_x0000_s1445" type="#_x0000_t202" style="position:absolute;left:19789;top:29606;width:40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C34F242" w14:textId="77777777" w:rsidR="004C558F" w:rsidRDefault="00461887">
                        <w:pPr>
                          <w:spacing w:before="1"/>
                          <w:rPr>
                            <w:sz w:val="21"/>
                          </w:rPr>
                        </w:pPr>
                        <w:r>
                          <w:rPr>
                            <w:color w:val="585858"/>
                            <w:spacing w:val="-5"/>
                            <w:sz w:val="21"/>
                          </w:rPr>
                          <w:t>BWH</w:t>
                        </w:r>
                      </w:p>
                      <w:p w14:paraId="1C34F243" w14:textId="77777777" w:rsidR="004C558F" w:rsidRDefault="00461887">
                        <w:pPr>
                          <w:spacing w:before="181"/>
                          <w:ind w:left="138"/>
                          <w:rPr>
                            <w:sz w:val="21"/>
                          </w:rPr>
                        </w:pPr>
                        <w:r>
                          <w:rPr>
                            <w:color w:val="585858"/>
                            <w:spacing w:val="-2"/>
                            <w:sz w:val="21"/>
                          </w:rPr>
                          <w:t>Asian</w:t>
                        </w:r>
                      </w:p>
                    </w:txbxContent>
                  </v:textbox>
                </v:shape>
                <v:shape id="Textbox 521" o:spid="_x0000_s1446" type="#_x0000_t202" style="position:absolute;left:30392;top:29606;width:27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1C34F244" w14:textId="77777777" w:rsidR="004C558F" w:rsidRDefault="00461887">
                        <w:pPr>
                          <w:spacing w:before="1"/>
                          <w:rPr>
                            <w:sz w:val="21"/>
                          </w:rPr>
                        </w:pPr>
                        <w:r>
                          <w:rPr>
                            <w:color w:val="585858"/>
                            <w:spacing w:val="-4"/>
                            <w:sz w:val="21"/>
                          </w:rPr>
                          <w:t>DFCI</w:t>
                        </w:r>
                      </w:p>
                    </w:txbxContent>
                  </v:textbox>
                </v:shape>
                <v:shape id="Textbox 522" o:spid="_x0000_s1447" type="#_x0000_t202" style="position:absolute;left:37032;top:29606;width:187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1C34F245" w14:textId="77777777" w:rsidR="004C558F" w:rsidRDefault="00461887">
                        <w:pPr>
                          <w:tabs>
                            <w:tab w:val="left" w:pos="2045"/>
                          </w:tabs>
                          <w:spacing w:before="1"/>
                          <w:rPr>
                            <w:sz w:val="21"/>
                          </w:rPr>
                        </w:pPr>
                        <w:r>
                          <w:rPr>
                            <w:color w:val="585858"/>
                            <w:spacing w:val="-2"/>
                            <w:sz w:val="21"/>
                          </w:rPr>
                          <w:t>DFCI/BWH/BIDMC</w:t>
                        </w:r>
                        <w:r>
                          <w:rPr>
                            <w:color w:val="585858"/>
                            <w:sz w:val="21"/>
                          </w:rPr>
                          <w:tab/>
                        </w:r>
                        <w:r>
                          <w:rPr>
                            <w:color w:val="585858"/>
                            <w:spacing w:val="-2"/>
                            <w:sz w:val="21"/>
                          </w:rPr>
                          <w:t>Statewide</w:t>
                        </w:r>
                      </w:p>
                    </w:txbxContent>
                  </v:textbox>
                </v:shape>
                <v:shape id="Textbox 523" o:spid="_x0000_s1448" type="#_x0000_t202" style="position:absolute;left:15143;top:32270;width:33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1C34F246" w14:textId="77777777" w:rsidR="004C558F" w:rsidRDefault="00461887">
                        <w:pPr>
                          <w:spacing w:before="1"/>
                          <w:rPr>
                            <w:sz w:val="21"/>
                          </w:rPr>
                        </w:pPr>
                        <w:r>
                          <w:rPr>
                            <w:color w:val="585858"/>
                            <w:spacing w:val="-2"/>
                            <w:sz w:val="21"/>
                          </w:rPr>
                          <w:t>White</w:t>
                        </w:r>
                      </w:p>
                    </w:txbxContent>
                  </v:textbox>
                </v:shape>
                <v:shape id="Textbox 524" o:spid="_x0000_s1449" type="#_x0000_t202" style="position:absolute;left:26038;top:32270;width:32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C34F247" w14:textId="77777777" w:rsidR="004C558F" w:rsidRDefault="00461887">
                        <w:pPr>
                          <w:spacing w:before="1"/>
                          <w:rPr>
                            <w:sz w:val="21"/>
                          </w:rPr>
                        </w:pPr>
                        <w:r>
                          <w:rPr>
                            <w:color w:val="585858"/>
                            <w:spacing w:val="-2"/>
                            <w:sz w:val="21"/>
                          </w:rPr>
                          <w:t>Black</w:t>
                        </w:r>
                      </w:p>
                    </w:txbxContent>
                  </v:textbox>
                </v:shape>
                <v:shape id="Textbox 525" o:spid="_x0000_s1450" type="#_x0000_t202" style="position:absolute;left:31448;top:32270;width:70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C34F248" w14:textId="77777777" w:rsidR="004C558F" w:rsidRDefault="00461887">
                        <w:pPr>
                          <w:spacing w:before="1"/>
                          <w:rPr>
                            <w:sz w:val="21"/>
                          </w:rPr>
                        </w:pPr>
                        <w:r>
                          <w:rPr>
                            <w:color w:val="585858"/>
                            <w:sz w:val="21"/>
                          </w:rPr>
                          <w:t>Other</w:t>
                        </w:r>
                        <w:r>
                          <w:rPr>
                            <w:color w:val="585858"/>
                            <w:spacing w:val="-5"/>
                            <w:sz w:val="21"/>
                          </w:rPr>
                          <w:t xml:space="preserve"> </w:t>
                        </w:r>
                        <w:r>
                          <w:rPr>
                            <w:color w:val="585858"/>
                            <w:spacing w:val="-2"/>
                            <w:sz w:val="21"/>
                          </w:rPr>
                          <w:t>Group</w:t>
                        </w:r>
                      </w:p>
                    </w:txbxContent>
                  </v:textbox>
                </v:shape>
                <v:shape id="Textbox 526" o:spid="_x0000_s1451" type="#_x0000_t202" style="position:absolute;left:40620;top:32270;width:53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C34F249" w14:textId="77777777" w:rsidR="004C558F" w:rsidRDefault="00461887">
                        <w:pPr>
                          <w:spacing w:before="1"/>
                          <w:rPr>
                            <w:sz w:val="21"/>
                          </w:rPr>
                        </w:pPr>
                        <w:r>
                          <w:rPr>
                            <w:color w:val="585858"/>
                            <w:spacing w:val="-2"/>
                            <w:sz w:val="21"/>
                          </w:rPr>
                          <w:t>Unknown</w:t>
                        </w:r>
                      </w:p>
                    </w:txbxContent>
                  </v:textbox>
                </v:shape>
                <w10:wrap type="topAndBottom" anchorx="page"/>
              </v:group>
            </w:pict>
          </mc:Fallback>
        </mc:AlternateContent>
      </w:r>
    </w:p>
    <w:p w14:paraId="1C34EB72" w14:textId="77777777" w:rsidR="004C558F" w:rsidRDefault="00461887">
      <w:pPr>
        <w:spacing w:before="51"/>
        <w:ind w:left="959"/>
        <w:rPr>
          <w:sz w:val="20"/>
        </w:rPr>
      </w:pPr>
      <w:r>
        <w:rPr>
          <w:sz w:val="20"/>
        </w:rPr>
        <w:t>Source:</w:t>
      </w:r>
      <w:r>
        <w:rPr>
          <w:spacing w:val="-7"/>
          <w:sz w:val="20"/>
        </w:rPr>
        <w:t xml:space="preserve"> </w:t>
      </w:r>
      <w:r>
        <w:rPr>
          <w:sz w:val="20"/>
        </w:rPr>
        <w:t>HPC</w:t>
      </w:r>
      <w:r>
        <w:rPr>
          <w:spacing w:val="-6"/>
          <w:sz w:val="20"/>
        </w:rPr>
        <w:t xml:space="preserve"> </w:t>
      </w:r>
      <w:r>
        <w:rPr>
          <w:sz w:val="20"/>
        </w:rPr>
        <w:t>analysis</w:t>
      </w:r>
      <w:r>
        <w:rPr>
          <w:spacing w:val="-7"/>
          <w:sz w:val="20"/>
        </w:rPr>
        <w:t xml:space="preserve"> </w:t>
      </w:r>
      <w:r>
        <w:rPr>
          <w:sz w:val="20"/>
        </w:rPr>
        <w:t>of</w:t>
      </w:r>
      <w:r>
        <w:rPr>
          <w:spacing w:val="-7"/>
          <w:sz w:val="20"/>
        </w:rPr>
        <w:t xml:space="preserve"> </w:t>
      </w:r>
      <w:r>
        <w:rPr>
          <w:sz w:val="20"/>
        </w:rPr>
        <w:t>CHIA</w:t>
      </w:r>
      <w:r>
        <w:rPr>
          <w:spacing w:val="-6"/>
          <w:sz w:val="20"/>
        </w:rPr>
        <w:t xml:space="preserve"> </w:t>
      </w:r>
      <w:r>
        <w:rPr>
          <w:sz w:val="20"/>
        </w:rPr>
        <w:t>Massachusetts</w:t>
      </w:r>
      <w:r>
        <w:rPr>
          <w:spacing w:val="-6"/>
          <w:sz w:val="20"/>
        </w:rPr>
        <w:t xml:space="preserve"> </w:t>
      </w:r>
      <w:r>
        <w:rPr>
          <w:sz w:val="20"/>
        </w:rPr>
        <w:t>Hospital</w:t>
      </w:r>
      <w:r>
        <w:rPr>
          <w:spacing w:val="-7"/>
          <w:sz w:val="20"/>
        </w:rPr>
        <w:t xml:space="preserve"> </w:t>
      </w:r>
      <w:r>
        <w:rPr>
          <w:sz w:val="20"/>
        </w:rPr>
        <w:t>Discharge</w:t>
      </w:r>
      <w:r>
        <w:rPr>
          <w:spacing w:val="-7"/>
          <w:sz w:val="20"/>
        </w:rPr>
        <w:t xml:space="preserve"> </w:t>
      </w:r>
      <w:r>
        <w:rPr>
          <w:sz w:val="20"/>
        </w:rPr>
        <w:t>Database</w:t>
      </w:r>
      <w:r>
        <w:rPr>
          <w:spacing w:val="-8"/>
          <w:sz w:val="20"/>
        </w:rPr>
        <w:t xml:space="preserve"> </w:t>
      </w:r>
      <w:r>
        <w:rPr>
          <w:spacing w:val="-2"/>
          <w:sz w:val="20"/>
        </w:rPr>
        <w:t>data.</w:t>
      </w:r>
    </w:p>
    <w:p w14:paraId="1C34EB73" w14:textId="77777777" w:rsidR="004C558F" w:rsidRDefault="00461887">
      <w:pPr>
        <w:spacing w:before="35" w:line="273" w:lineRule="auto"/>
        <w:ind w:left="959" w:right="799"/>
        <w:rPr>
          <w:sz w:val="20"/>
        </w:rPr>
      </w:pPr>
      <w:r>
        <w:rPr>
          <w:sz w:val="20"/>
        </w:rPr>
        <w:t>Note:</w:t>
      </w:r>
      <w:r>
        <w:rPr>
          <w:spacing w:val="-3"/>
          <w:sz w:val="20"/>
        </w:rPr>
        <w:t xml:space="preserve"> </w:t>
      </w:r>
      <w:r>
        <w:rPr>
          <w:sz w:val="20"/>
        </w:rPr>
        <w:t>Includes</w:t>
      </w:r>
      <w:r>
        <w:rPr>
          <w:spacing w:val="-3"/>
          <w:sz w:val="20"/>
        </w:rPr>
        <w:t xml:space="preserve"> </w:t>
      </w:r>
      <w:r>
        <w:rPr>
          <w:sz w:val="20"/>
        </w:rPr>
        <w:t>medical</w:t>
      </w:r>
      <w:r>
        <w:rPr>
          <w:spacing w:val="-4"/>
          <w:sz w:val="20"/>
        </w:rPr>
        <w:t xml:space="preserve"> </w:t>
      </w:r>
      <w:r>
        <w:rPr>
          <w:sz w:val="20"/>
        </w:rPr>
        <w:t>oncology</w:t>
      </w:r>
      <w:r>
        <w:rPr>
          <w:spacing w:val="-5"/>
          <w:sz w:val="20"/>
        </w:rPr>
        <w:t xml:space="preserve"> </w:t>
      </w:r>
      <w:r>
        <w:rPr>
          <w:sz w:val="20"/>
        </w:rPr>
        <w:t>discharges</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Massachusetts</w:t>
      </w:r>
      <w:r>
        <w:rPr>
          <w:spacing w:val="-3"/>
          <w:sz w:val="20"/>
        </w:rPr>
        <w:t xml:space="preserve"> </w:t>
      </w:r>
      <w:r>
        <w:rPr>
          <w:sz w:val="20"/>
        </w:rPr>
        <w:t>hospitals,</w:t>
      </w:r>
      <w:r>
        <w:rPr>
          <w:spacing w:val="-3"/>
          <w:sz w:val="20"/>
        </w:rPr>
        <w:t xml:space="preserve"> </w:t>
      </w:r>
      <w:r>
        <w:rPr>
          <w:sz w:val="20"/>
        </w:rPr>
        <w:t>excluding</w:t>
      </w:r>
      <w:r>
        <w:rPr>
          <w:spacing w:val="-4"/>
          <w:sz w:val="20"/>
        </w:rPr>
        <w:t xml:space="preserve"> </w:t>
      </w:r>
      <w:r>
        <w:rPr>
          <w:sz w:val="20"/>
        </w:rPr>
        <w:t>non-MA</w:t>
      </w:r>
      <w:r>
        <w:rPr>
          <w:spacing w:val="-5"/>
          <w:sz w:val="20"/>
        </w:rPr>
        <w:t xml:space="preserve"> </w:t>
      </w:r>
      <w:r>
        <w:rPr>
          <w:sz w:val="20"/>
        </w:rPr>
        <w:t>residents, normal newborns, and discharges for patients under 18 years of age.</w:t>
      </w:r>
    </w:p>
    <w:p w14:paraId="1C34EB74" w14:textId="77777777" w:rsidR="004C558F" w:rsidRDefault="004C558F">
      <w:pPr>
        <w:pStyle w:val="BodyText"/>
        <w:rPr>
          <w:sz w:val="20"/>
        </w:rPr>
      </w:pPr>
    </w:p>
    <w:p w14:paraId="1C34EB75" w14:textId="0487A6A7" w:rsidR="004C558F" w:rsidRDefault="004C558F">
      <w:pPr>
        <w:pStyle w:val="BodyText"/>
        <w:spacing w:before="209"/>
        <w:rPr>
          <w:sz w:val="20"/>
        </w:rPr>
      </w:pPr>
    </w:p>
    <w:p w14:paraId="1C34EB79" w14:textId="77777777" w:rsidR="004C558F" w:rsidRDefault="004C558F">
      <w:pPr>
        <w:rPr>
          <w:sz w:val="20"/>
        </w:rPr>
        <w:sectPr w:rsidR="004C558F">
          <w:pgSz w:w="12240" w:h="15840"/>
          <w:pgMar w:top="1360" w:right="740" w:bottom="720" w:left="480" w:header="0" w:footer="521" w:gutter="0"/>
          <w:cols w:space="720"/>
        </w:sectPr>
      </w:pPr>
      <w:bookmarkStart w:id="215" w:name="_bookmark271"/>
      <w:bookmarkStart w:id="216" w:name="_bookmark273"/>
      <w:bookmarkEnd w:id="215"/>
      <w:bookmarkEnd w:id="216"/>
    </w:p>
    <w:p w14:paraId="1C34EB7A" w14:textId="795782D3" w:rsidR="004C558F" w:rsidRDefault="00461887">
      <w:pPr>
        <w:pStyle w:val="BodyText"/>
        <w:spacing w:before="80" w:line="276" w:lineRule="auto"/>
        <w:ind w:left="959" w:right="943" w:firstLine="720"/>
        <w:rPr>
          <w:sz w:val="14"/>
        </w:rPr>
      </w:pPr>
      <w:r>
        <w:lastRenderedPageBreak/>
        <w:t>Given the parties’ expectation that BIDMC’s patients would begin receiving oncology services from DFCI and given BIDMC’s relatively large share of oncology discharges for BIPOC patients,</w:t>
      </w:r>
      <w:r>
        <w:rPr>
          <w:spacing w:val="-5"/>
        </w:rPr>
        <w:t xml:space="preserve"> </w:t>
      </w:r>
      <w:r>
        <w:t>DFCI</w:t>
      </w:r>
      <w:r>
        <w:rPr>
          <w:spacing w:val="-5"/>
        </w:rPr>
        <w:t xml:space="preserve"> </w:t>
      </w:r>
      <w:r>
        <w:t>would</w:t>
      </w:r>
      <w:r>
        <w:rPr>
          <w:spacing w:val="-1"/>
        </w:rPr>
        <w:t xml:space="preserve"> </w:t>
      </w:r>
      <w:r>
        <w:t>likely</w:t>
      </w:r>
      <w:r>
        <w:rPr>
          <w:spacing w:val="-5"/>
        </w:rPr>
        <w:t xml:space="preserve"> </w:t>
      </w:r>
      <w:r>
        <w:t>serve</w:t>
      </w:r>
      <w:r>
        <w:rPr>
          <w:spacing w:val="-2"/>
        </w:rPr>
        <w:t xml:space="preserve"> </w:t>
      </w:r>
      <w:r>
        <w:t>a</w:t>
      </w:r>
      <w:r>
        <w:rPr>
          <w:spacing w:val="-1"/>
        </w:rPr>
        <w:t xml:space="preserve"> </w:t>
      </w:r>
      <w:r>
        <w:t>greater</w:t>
      </w:r>
      <w:r>
        <w:rPr>
          <w:spacing w:val="-3"/>
        </w:rPr>
        <w:t xml:space="preserve"> </w:t>
      </w:r>
      <w:r>
        <w:t>share</w:t>
      </w:r>
      <w:r>
        <w:rPr>
          <w:spacing w:val="-4"/>
        </w:rPr>
        <w:t xml:space="preserve"> </w:t>
      </w:r>
      <w:r>
        <w:t>of</w:t>
      </w:r>
      <w:r>
        <w:rPr>
          <w:spacing w:val="-4"/>
        </w:rPr>
        <w:t xml:space="preserve"> </w:t>
      </w:r>
      <w:r>
        <w:t>BIPOC</w:t>
      </w:r>
      <w:r>
        <w:rPr>
          <w:spacing w:val="-3"/>
        </w:rPr>
        <w:t xml:space="preserve"> </w:t>
      </w:r>
      <w:r>
        <w:t>patients</w:t>
      </w:r>
      <w:r>
        <w:rPr>
          <w:spacing w:val="-4"/>
        </w:rPr>
        <w:t xml:space="preserve"> </w:t>
      </w:r>
      <w:r>
        <w:t>following</w:t>
      </w:r>
      <w:r>
        <w:rPr>
          <w:spacing w:val="-3"/>
        </w:rPr>
        <w:t xml:space="preserve"> </w:t>
      </w:r>
      <w:r>
        <w:t>the</w:t>
      </w:r>
      <w:r>
        <w:rPr>
          <w:spacing w:val="-2"/>
        </w:rPr>
        <w:t xml:space="preserve"> </w:t>
      </w:r>
      <w:r>
        <w:t>affiliation.</w:t>
      </w:r>
      <w:r>
        <w:rPr>
          <w:spacing w:val="-2"/>
        </w:rPr>
        <w:t xml:space="preserve"> </w:t>
      </w:r>
      <w:r>
        <w:t>To</w:t>
      </w:r>
      <w:r>
        <w:rPr>
          <w:spacing w:val="-2"/>
        </w:rPr>
        <w:t xml:space="preserve"> </w:t>
      </w:r>
      <w:r>
        <w:t>the extent that this occurs, the transaction would enhance equitable access to oncology services for traditionally underserved individuals facing disparities in cancer incidence, mortality, screening, and timely care.</w:t>
      </w:r>
      <w:r>
        <w:rPr>
          <w:spacing w:val="-24"/>
        </w:rPr>
        <w:t xml:space="preserve"> </w:t>
      </w:r>
      <w:r w:rsidR="003529EB">
        <w:rPr>
          <w:rStyle w:val="FootnoteReference"/>
          <w:spacing w:val="-24"/>
        </w:rPr>
        <w:footnoteReference w:id="241"/>
      </w:r>
    </w:p>
    <w:p w14:paraId="1C34EB7B" w14:textId="77777777" w:rsidR="004C558F" w:rsidRDefault="004C558F">
      <w:pPr>
        <w:pStyle w:val="BodyText"/>
        <w:spacing w:before="196"/>
      </w:pPr>
    </w:p>
    <w:p w14:paraId="1C34EB7C" w14:textId="77777777" w:rsidR="004C558F" w:rsidRDefault="00461887">
      <w:pPr>
        <w:pStyle w:val="ListParagraph"/>
        <w:numPr>
          <w:ilvl w:val="3"/>
          <w:numId w:val="16"/>
        </w:numPr>
        <w:tabs>
          <w:tab w:val="left" w:pos="960"/>
        </w:tabs>
        <w:ind w:right="1065"/>
      </w:pPr>
      <w:bookmarkStart w:id="217" w:name="d._DFCI_has_the_largest_proportion_of_on"/>
      <w:bookmarkEnd w:id="217"/>
      <w:r>
        <w:rPr>
          <w:color w:val="063656"/>
        </w:rPr>
        <w:t>DFCI has the largest proportion of oncology discharges from rural areas among major cancer providers</w:t>
      </w:r>
      <w:r>
        <w:rPr>
          <w:color w:val="063656"/>
          <w:spacing w:val="-2"/>
        </w:rPr>
        <w:t xml:space="preserve"> </w:t>
      </w:r>
      <w:r>
        <w:rPr>
          <w:color w:val="063656"/>
        </w:rPr>
        <w:t>in</w:t>
      </w:r>
      <w:r>
        <w:rPr>
          <w:color w:val="063656"/>
          <w:spacing w:val="-2"/>
        </w:rPr>
        <w:t xml:space="preserve"> </w:t>
      </w:r>
      <w:r>
        <w:rPr>
          <w:color w:val="063656"/>
        </w:rPr>
        <w:t>Boston</w:t>
      </w:r>
      <w:r>
        <w:rPr>
          <w:color w:val="063656"/>
          <w:spacing w:val="-2"/>
        </w:rPr>
        <w:t xml:space="preserve"> </w:t>
      </w:r>
      <w:r>
        <w:rPr>
          <w:color w:val="063656"/>
        </w:rPr>
        <w:t>and</w:t>
      </w:r>
      <w:r>
        <w:rPr>
          <w:color w:val="063656"/>
          <w:spacing w:val="-1"/>
        </w:rPr>
        <w:t xml:space="preserve"> </w:t>
      </w:r>
      <w:r>
        <w:rPr>
          <w:color w:val="063656"/>
        </w:rPr>
        <w:t>would</w:t>
      </w:r>
      <w:r>
        <w:rPr>
          <w:color w:val="063656"/>
          <w:spacing w:val="-1"/>
        </w:rPr>
        <w:t xml:space="preserve"> </w:t>
      </w:r>
      <w:r>
        <w:rPr>
          <w:color w:val="063656"/>
        </w:rPr>
        <w:t>likely</w:t>
      </w:r>
      <w:r>
        <w:rPr>
          <w:color w:val="063656"/>
          <w:spacing w:val="-3"/>
        </w:rPr>
        <w:t xml:space="preserve"> </w:t>
      </w:r>
      <w:r>
        <w:rPr>
          <w:color w:val="063656"/>
        </w:rPr>
        <w:t>serve</w:t>
      </w:r>
      <w:r>
        <w:rPr>
          <w:color w:val="063656"/>
          <w:spacing w:val="-2"/>
        </w:rPr>
        <w:t xml:space="preserve"> </w:t>
      </w:r>
      <w:r>
        <w:rPr>
          <w:color w:val="063656"/>
        </w:rPr>
        <w:t>a</w:t>
      </w:r>
      <w:r>
        <w:rPr>
          <w:color w:val="063656"/>
          <w:spacing w:val="-1"/>
        </w:rPr>
        <w:t xml:space="preserve"> </w:t>
      </w:r>
      <w:r>
        <w:rPr>
          <w:color w:val="063656"/>
        </w:rPr>
        <w:t>greater</w:t>
      </w:r>
      <w:r>
        <w:rPr>
          <w:color w:val="063656"/>
          <w:spacing w:val="-5"/>
        </w:rPr>
        <w:t xml:space="preserve"> </w:t>
      </w:r>
      <w:r>
        <w:rPr>
          <w:color w:val="063656"/>
        </w:rPr>
        <w:t>share</w:t>
      </w:r>
      <w:r>
        <w:rPr>
          <w:color w:val="063656"/>
          <w:spacing w:val="-4"/>
        </w:rPr>
        <w:t xml:space="preserve"> </w:t>
      </w:r>
      <w:r>
        <w:rPr>
          <w:color w:val="063656"/>
        </w:rPr>
        <w:t>of</w:t>
      </w:r>
      <w:r>
        <w:rPr>
          <w:color w:val="063656"/>
          <w:spacing w:val="-1"/>
        </w:rPr>
        <w:t xml:space="preserve"> </w:t>
      </w:r>
      <w:r>
        <w:rPr>
          <w:color w:val="063656"/>
        </w:rPr>
        <w:t>patients</w:t>
      </w:r>
      <w:r>
        <w:rPr>
          <w:color w:val="063656"/>
          <w:spacing w:val="-4"/>
        </w:rPr>
        <w:t xml:space="preserve"> </w:t>
      </w:r>
      <w:r>
        <w:rPr>
          <w:color w:val="063656"/>
        </w:rPr>
        <w:t>from</w:t>
      </w:r>
      <w:r>
        <w:rPr>
          <w:color w:val="063656"/>
          <w:spacing w:val="-2"/>
        </w:rPr>
        <w:t xml:space="preserve"> </w:t>
      </w:r>
      <w:r>
        <w:rPr>
          <w:color w:val="063656"/>
        </w:rPr>
        <w:t>nearby</w:t>
      </w:r>
      <w:r>
        <w:rPr>
          <w:color w:val="063656"/>
          <w:spacing w:val="-3"/>
        </w:rPr>
        <w:t xml:space="preserve"> </w:t>
      </w:r>
      <w:r>
        <w:rPr>
          <w:color w:val="063656"/>
        </w:rPr>
        <w:t>urban</w:t>
      </w:r>
      <w:r>
        <w:rPr>
          <w:color w:val="063656"/>
          <w:spacing w:val="-2"/>
        </w:rPr>
        <w:t xml:space="preserve"> </w:t>
      </w:r>
      <w:r>
        <w:rPr>
          <w:color w:val="063656"/>
        </w:rPr>
        <w:t>areas</w:t>
      </w:r>
      <w:r>
        <w:rPr>
          <w:color w:val="063656"/>
          <w:spacing w:val="-2"/>
        </w:rPr>
        <w:t xml:space="preserve"> </w:t>
      </w:r>
      <w:r>
        <w:rPr>
          <w:color w:val="063656"/>
        </w:rPr>
        <w:t>in the new facility.</w:t>
      </w:r>
    </w:p>
    <w:p w14:paraId="1C34EB7D" w14:textId="4AE41452" w:rsidR="004C558F" w:rsidRDefault="00461887">
      <w:pPr>
        <w:pStyle w:val="BodyText"/>
        <w:spacing w:before="42" w:line="276" w:lineRule="auto"/>
        <w:ind w:left="959" w:right="988" w:firstLine="720"/>
        <w:rPr>
          <w:sz w:val="14"/>
        </w:rPr>
      </w:pPr>
      <w:r>
        <w:t>From 2019 to 2023, the share of inpatient medical oncology discharges for patients from rural areas</w:t>
      </w:r>
      <w:r w:rsidR="002A518E">
        <w:rPr>
          <w:rStyle w:val="FootnoteReference"/>
        </w:rPr>
        <w:footnoteReference w:id="242"/>
      </w:r>
      <w:r>
        <w:rPr>
          <w:spacing w:val="31"/>
          <w:position w:val="5"/>
          <w:sz w:val="14"/>
        </w:rPr>
        <w:t xml:space="preserve"> </w:t>
      </w:r>
      <w:r>
        <w:t>did not substantially change statewide or for BIDMC.</w:t>
      </w:r>
      <w:r>
        <w:rPr>
          <w:spacing w:val="-33"/>
        </w:rPr>
        <w:t xml:space="preserve"> </w:t>
      </w:r>
      <w:r w:rsidR="003856E9">
        <w:rPr>
          <w:rStyle w:val="FootnoteReference"/>
          <w:spacing w:val="-33"/>
        </w:rPr>
        <w:footnoteReference w:id="243"/>
      </w:r>
      <w:r>
        <w:t>Over the same period, DFCI’s and BWH’s share of oncology inpatients from rural areas increased slightly.</w:t>
      </w:r>
      <w:r>
        <w:rPr>
          <w:spacing w:val="-34"/>
        </w:rPr>
        <w:t xml:space="preserve"> </w:t>
      </w:r>
      <w:r w:rsidR="00220B9A">
        <w:rPr>
          <w:rStyle w:val="FootnoteReference"/>
          <w:spacing w:val="-34"/>
        </w:rPr>
        <w:footnoteReference w:id="244"/>
      </w:r>
      <w:r>
        <w:t>In 2023, DFCI</w:t>
      </w:r>
      <w:r>
        <w:rPr>
          <w:spacing w:val="-5"/>
        </w:rPr>
        <w:t xml:space="preserve"> </w:t>
      </w:r>
      <w:r>
        <w:t>had</w:t>
      </w:r>
      <w:r>
        <w:rPr>
          <w:spacing w:val="-2"/>
        </w:rPr>
        <w:t xml:space="preserve"> </w:t>
      </w:r>
      <w:r>
        <w:t>the</w:t>
      </w:r>
      <w:r>
        <w:rPr>
          <w:spacing w:val="-2"/>
        </w:rPr>
        <w:t xml:space="preserve"> </w:t>
      </w:r>
      <w:r>
        <w:t>largest</w:t>
      </w:r>
      <w:r>
        <w:rPr>
          <w:spacing w:val="-3"/>
        </w:rPr>
        <w:t xml:space="preserve"> </w:t>
      </w:r>
      <w:r>
        <w:t>proportion</w:t>
      </w:r>
      <w:r>
        <w:rPr>
          <w:spacing w:val="-2"/>
        </w:rPr>
        <w:t xml:space="preserve"> </w:t>
      </w:r>
      <w:r>
        <w:t>of</w:t>
      </w:r>
      <w:r>
        <w:rPr>
          <w:spacing w:val="-2"/>
        </w:rPr>
        <w:t xml:space="preserve"> </w:t>
      </w:r>
      <w:r>
        <w:t>inpatient</w:t>
      </w:r>
      <w:r>
        <w:rPr>
          <w:spacing w:val="-3"/>
        </w:rPr>
        <w:t xml:space="preserve"> </w:t>
      </w:r>
      <w:r>
        <w:t>medical</w:t>
      </w:r>
      <w:r>
        <w:rPr>
          <w:spacing w:val="-5"/>
        </w:rPr>
        <w:t xml:space="preserve"> </w:t>
      </w:r>
      <w:r>
        <w:t>oncology</w:t>
      </w:r>
      <w:r>
        <w:rPr>
          <w:spacing w:val="-3"/>
        </w:rPr>
        <w:t xml:space="preserve"> </w:t>
      </w:r>
      <w:r>
        <w:t>discharges</w:t>
      </w:r>
      <w:r>
        <w:rPr>
          <w:spacing w:val="-2"/>
        </w:rPr>
        <w:t xml:space="preserve"> </w:t>
      </w:r>
      <w:r>
        <w:t>from</w:t>
      </w:r>
      <w:r>
        <w:rPr>
          <w:spacing w:val="-4"/>
        </w:rPr>
        <w:t xml:space="preserve"> </w:t>
      </w:r>
      <w:r>
        <w:t>rural</w:t>
      </w:r>
      <w:r>
        <w:rPr>
          <w:spacing w:val="-3"/>
        </w:rPr>
        <w:t xml:space="preserve"> </w:t>
      </w:r>
      <w:r>
        <w:t>areas</w:t>
      </w:r>
      <w:r>
        <w:rPr>
          <w:spacing w:val="-2"/>
        </w:rPr>
        <w:t xml:space="preserve"> </w:t>
      </w:r>
      <w:r>
        <w:t>(10.4%) among major cancer providers in Boston (BWH at 9.5%, MGH at 7.8%, BIDMC at 3.9%, and Tufts Medical Center at 3.3%), although a smaller proportion than the statewide average of 12%.</w:t>
      </w:r>
      <w:r w:rsidR="00220B9A">
        <w:rPr>
          <w:rStyle w:val="FootnoteReference"/>
        </w:rPr>
        <w:footnoteReference w:id="245"/>
      </w:r>
      <w:r>
        <w:rPr>
          <w:spacing w:val="40"/>
          <w:position w:val="5"/>
          <w:sz w:val="14"/>
        </w:rPr>
        <w:t xml:space="preserve"> </w:t>
      </w:r>
      <w:r>
        <w:t>DFCI’s relatively high rural mix may in part stem from its clinical partnerships with providers</w:t>
      </w:r>
      <w:r>
        <w:rPr>
          <w:spacing w:val="40"/>
        </w:rPr>
        <w:t xml:space="preserve"> </w:t>
      </w:r>
      <w:r>
        <w:t>across Massachusetts. For example, DFCI’s Cancer Care Collaborative, which includes UMass Memorial Hospital, Berkshire Medical Center, and Cape Cod Hospital, offers expedited access to DFCI services for member hospitals’ patients presenting with complex cancers.</w:t>
      </w:r>
      <w:r>
        <w:rPr>
          <w:spacing w:val="-33"/>
        </w:rPr>
        <w:t xml:space="preserve"> </w:t>
      </w:r>
      <w:r w:rsidR="00220B9A">
        <w:rPr>
          <w:rStyle w:val="FootnoteReference"/>
          <w:spacing w:val="-33"/>
        </w:rPr>
        <w:footnoteReference w:id="246"/>
      </w:r>
      <w:r>
        <w:t>DFCI also has community-based locations across Massachusetts and New Hampshire, though some of these locations are co-branded with BWH.</w:t>
      </w:r>
      <w:r w:rsidR="007E3BD9">
        <w:rPr>
          <w:rStyle w:val="FootnoteReference"/>
        </w:rPr>
        <w:footnoteReference w:id="247"/>
      </w:r>
      <w:r w:rsidR="007E3BD9">
        <w:rPr>
          <w:sz w:val="14"/>
        </w:rPr>
        <w:t xml:space="preserve"> </w:t>
      </w:r>
    </w:p>
    <w:p w14:paraId="1C34EB7E" w14:textId="77777777" w:rsidR="004C558F" w:rsidRDefault="004C558F">
      <w:pPr>
        <w:pStyle w:val="BodyText"/>
        <w:spacing w:before="37"/>
      </w:pPr>
    </w:p>
    <w:p w14:paraId="1C34EB7F" w14:textId="77777777" w:rsidR="004C558F" w:rsidRDefault="00461887">
      <w:pPr>
        <w:pStyle w:val="BodyText"/>
        <w:spacing w:line="276" w:lineRule="auto"/>
        <w:ind w:left="960" w:right="972" w:firstLine="720"/>
      </w:pPr>
      <w:r>
        <w:t>DFCI’s new facility would represent a significant expansion of inpatient medical oncology services in downtown Boston. After its construction, the facility would likely serve a greater share of</w:t>
      </w:r>
      <w:r>
        <w:rPr>
          <w:spacing w:val="-1"/>
        </w:rPr>
        <w:t xml:space="preserve"> </w:t>
      </w:r>
      <w:r>
        <w:t>patients</w:t>
      </w:r>
      <w:r>
        <w:rPr>
          <w:spacing w:val="-4"/>
        </w:rPr>
        <w:t xml:space="preserve"> </w:t>
      </w:r>
      <w:r>
        <w:t>from</w:t>
      </w:r>
      <w:r>
        <w:rPr>
          <w:spacing w:val="-4"/>
        </w:rPr>
        <w:t xml:space="preserve"> </w:t>
      </w:r>
      <w:r>
        <w:t>nearby</w:t>
      </w:r>
      <w:r>
        <w:rPr>
          <w:spacing w:val="-3"/>
        </w:rPr>
        <w:t xml:space="preserve"> </w:t>
      </w:r>
      <w:r>
        <w:t>urban</w:t>
      </w:r>
      <w:r>
        <w:rPr>
          <w:spacing w:val="-2"/>
        </w:rPr>
        <w:t xml:space="preserve"> </w:t>
      </w:r>
      <w:r>
        <w:t>areas,</w:t>
      </w:r>
      <w:r>
        <w:rPr>
          <w:spacing w:val="-2"/>
        </w:rPr>
        <w:t xml:space="preserve"> </w:t>
      </w:r>
      <w:r>
        <w:t>including</w:t>
      </w:r>
      <w:r>
        <w:rPr>
          <w:spacing w:val="-5"/>
        </w:rPr>
        <w:t xml:space="preserve"> </w:t>
      </w:r>
      <w:r>
        <w:t>BIDMC’s</w:t>
      </w:r>
      <w:r>
        <w:rPr>
          <w:spacing w:val="-2"/>
        </w:rPr>
        <w:t xml:space="preserve"> </w:t>
      </w:r>
      <w:r>
        <w:t>current</w:t>
      </w:r>
      <w:r>
        <w:rPr>
          <w:spacing w:val="-3"/>
        </w:rPr>
        <w:t xml:space="preserve"> </w:t>
      </w:r>
      <w:r>
        <w:t>patients,</w:t>
      </w:r>
      <w:r>
        <w:rPr>
          <w:spacing w:val="-2"/>
        </w:rPr>
        <w:t xml:space="preserve"> </w:t>
      </w:r>
      <w:r>
        <w:t>although</w:t>
      </w:r>
      <w:r>
        <w:rPr>
          <w:spacing w:val="-2"/>
        </w:rPr>
        <w:t xml:space="preserve"> </w:t>
      </w:r>
      <w:r>
        <w:t>the</w:t>
      </w:r>
      <w:r>
        <w:rPr>
          <w:spacing w:val="-4"/>
        </w:rPr>
        <w:t xml:space="preserve"> </w:t>
      </w:r>
      <w:r>
        <w:t>parties</w:t>
      </w:r>
      <w:r>
        <w:rPr>
          <w:spacing w:val="-4"/>
        </w:rPr>
        <w:t xml:space="preserve"> </w:t>
      </w:r>
      <w:r>
        <w:t>also</w:t>
      </w:r>
    </w:p>
    <w:p w14:paraId="1C34EB80" w14:textId="77777777" w:rsidR="004C558F" w:rsidRDefault="004C558F">
      <w:pPr>
        <w:pStyle w:val="BodyText"/>
        <w:rPr>
          <w:sz w:val="20"/>
        </w:rPr>
      </w:pPr>
    </w:p>
    <w:p w14:paraId="1C34EB88" w14:textId="4B8F53EC" w:rsidR="004C558F" w:rsidRDefault="004C558F" w:rsidP="007A361E">
      <w:pPr>
        <w:pStyle w:val="BodyText"/>
        <w:spacing w:before="69"/>
        <w:rPr>
          <w:sz w:val="20"/>
        </w:rPr>
      </w:pPr>
      <w:bookmarkStart w:id="218" w:name="_bookmark274"/>
      <w:bookmarkStart w:id="219" w:name="_bookmark279"/>
      <w:bookmarkEnd w:id="218"/>
      <w:bookmarkEnd w:id="219"/>
    </w:p>
    <w:p w14:paraId="1C34EB8A" w14:textId="77777777" w:rsidR="004C558F" w:rsidRDefault="004C558F">
      <w:pPr>
        <w:rPr>
          <w:sz w:val="20"/>
        </w:rPr>
        <w:sectPr w:rsidR="004C558F">
          <w:pgSz w:w="12240" w:h="15840"/>
          <w:pgMar w:top="1360" w:right="740" w:bottom="720" w:left="480" w:header="0" w:footer="521" w:gutter="0"/>
          <w:cols w:space="720"/>
        </w:sectPr>
      </w:pPr>
      <w:bookmarkStart w:id="220" w:name="_bookmark280"/>
      <w:bookmarkEnd w:id="220"/>
    </w:p>
    <w:p w14:paraId="1C34EB8B" w14:textId="7B5C82C1" w:rsidR="004C558F" w:rsidRDefault="00461887">
      <w:pPr>
        <w:pStyle w:val="BodyText"/>
        <w:spacing w:before="80" w:line="276" w:lineRule="auto"/>
        <w:ind w:left="959" w:right="1000"/>
      </w:pPr>
      <w:r>
        <w:lastRenderedPageBreak/>
        <w:t>expect</w:t>
      </w:r>
      <w:r>
        <w:rPr>
          <w:spacing w:val="-6"/>
        </w:rPr>
        <w:t xml:space="preserve"> </w:t>
      </w:r>
      <w:r>
        <w:t>DFCI</w:t>
      </w:r>
      <w:r>
        <w:rPr>
          <w:spacing w:val="-2"/>
        </w:rPr>
        <w:t xml:space="preserve"> </w:t>
      </w:r>
      <w:r>
        <w:t>will</w:t>
      </w:r>
      <w:r>
        <w:rPr>
          <w:spacing w:val="-3"/>
        </w:rPr>
        <w:t xml:space="preserve"> </w:t>
      </w:r>
      <w:r>
        <w:t>continue</w:t>
      </w:r>
      <w:r>
        <w:rPr>
          <w:spacing w:val="-2"/>
        </w:rPr>
        <w:t xml:space="preserve"> </w:t>
      </w:r>
      <w:r>
        <w:t>to</w:t>
      </w:r>
      <w:r>
        <w:rPr>
          <w:spacing w:val="-2"/>
        </w:rPr>
        <w:t xml:space="preserve"> </w:t>
      </w:r>
      <w:r>
        <w:t>attract</w:t>
      </w:r>
      <w:r>
        <w:rPr>
          <w:spacing w:val="-3"/>
        </w:rPr>
        <w:t xml:space="preserve"> </w:t>
      </w:r>
      <w:r>
        <w:t>patients</w:t>
      </w:r>
      <w:r>
        <w:rPr>
          <w:spacing w:val="-4"/>
        </w:rPr>
        <w:t xml:space="preserve"> </w:t>
      </w:r>
      <w:r>
        <w:t>from</w:t>
      </w:r>
      <w:r>
        <w:rPr>
          <w:spacing w:val="-4"/>
        </w:rPr>
        <w:t xml:space="preserve"> </w:t>
      </w:r>
      <w:r>
        <w:t>across</w:t>
      </w:r>
      <w:r>
        <w:rPr>
          <w:spacing w:val="-2"/>
        </w:rPr>
        <w:t xml:space="preserve"> </w:t>
      </w:r>
      <w:r>
        <w:t>the</w:t>
      </w:r>
      <w:r>
        <w:rPr>
          <w:spacing w:val="-2"/>
        </w:rPr>
        <w:t xml:space="preserve"> </w:t>
      </w:r>
      <w:r>
        <w:t>Commonwealth.</w:t>
      </w:r>
      <w:r>
        <w:rPr>
          <w:spacing w:val="-36"/>
        </w:rPr>
        <w:t xml:space="preserve"> </w:t>
      </w:r>
      <w:r w:rsidR="00DA59D7">
        <w:rPr>
          <w:rStyle w:val="FootnoteReference"/>
          <w:spacing w:val="-36"/>
        </w:rPr>
        <w:footnoteReference w:id="248"/>
      </w:r>
      <w:r>
        <w:t>DFCI</w:t>
      </w:r>
      <w:r>
        <w:rPr>
          <w:spacing w:val="-2"/>
        </w:rPr>
        <w:t xml:space="preserve"> </w:t>
      </w:r>
      <w:r>
        <w:t>also</w:t>
      </w:r>
      <w:r>
        <w:rPr>
          <w:spacing w:val="-2"/>
        </w:rPr>
        <w:t xml:space="preserve"> </w:t>
      </w:r>
      <w:r>
        <w:t>expects to hire 2,400 additional clinical and nonclinical staff,</w:t>
      </w:r>
      <w:r>
        <w:rPr>
          <w:spacing w:val="-33"/>
        </w:rPr>
        <w:t xml:space="preserve"> </w:t>
      </w:r>
      <w:r w:rsidR="00DA59D7">
        <w:rPr>
          <w:rStyle w:val="FootnoteReference"/>
          <w:spacing w:val="-33"/>
        </w:rPr>
        <w:footnoteReference w:id="249"/>
      </w:r>
      <w:r>
        <w:t>which would increase competition and therefore costs for other provider organizations providing oncology care. If DFCI opens its new hospital as planned, large and well-resourced providers like MGB would likely to be better positioned to respond competitively, with smaller and more financially vulnerable providers including</w:t>
      </w:r>
      <w:r>
        <w:rPr>
          <w:spacing w:val="-3"/>
        </w:rPr>
        <w:t xml:space="preserve"> </w:t>
      </w:r>
      <w:r>
        <w:t>community</w:t>
      </w:r>
      <w:r>
        <w:rPr>
          <w:spacing w:val="-3"/>
        </w:rPr>
        <w:t xml:space="preserve"> </w:t>
      </w:r>
      <w:r>
        <w:t>hospitals</w:t>
      </w:r>
      <w:r>
        <w:rPr>
          <w:spacing w:val="-2"/>
        </w:rPr>
        <w:t xml:space="preserve"> </w:t>
      </w:r>
      <w:r>
        <w:t>potentially</w:t>
      </w:r>
      <w:r>
        <w:rPr>
          <w:spacing w:val="-3"/>
        </w:rPr>
        <w:t xml:space="preserve"> </w:t>
      </w:r>
      <w:r>
        <w:t>facing</w:t>
      </w:r>
      <w:r>
        <w:rPr>
          <w:spacing w:val="-3"/>
        </w:rPr>
        <w:t xml:space="preserve"> </w:t>
      </w:r>
      <w:r>
        <w:t>both</w:t>
      </w:r>
      <w:r>
        <w:rPr>
          <w:spacing w:val="-2"/>
        </w:rPr>
        <w:t xml:space="preserve"> </w:t>
      </w:r>
      <w:r>
        <w:t>a</w:t>
      </w:r>
      <w:r>
        <w:rPr>
          <w:spacing w:val="-1"/>
        </w:rPr>
        <w:t xml:space="preserve"> </w:t>
      </w:r>
      <w:r>
        <w:t>loss</w:t>
      </w:r>
      <w:r>
        <w:rPr>
          <w:spacing w:val="-4"/>
        </w:rPr>
        <w:t xml:space="preserve"> </w:t>
      </w:r>
      <w:r>
        <w:t>of</w:t>
      </w:r>
      <w:r>
        <w:rPr>
          <w:spacing w:val="-4"/>
        </w:rPr>
        <w:t xml:space="preserve"> </w:t>
      </w:r>
      <w:r>
        <w:t>oncology</w:t>
      </w:r>
      <w:r>
        <w:rPr>
          <w:spacing w:val="-3"/>
        </w:rPr>
        <w:t xml:space="preserve"> </w:t>
      </w:r>
      <w:r>
        <w:t>patients</w:t>
      </w:r>
      <w:r>
        <w:rPr>
          <w:spacing w:val="-2"/>
        </w:rPr>
        <w:t xml:space="preserve"> </w:t>
      </w:r>
      <w:r>
        <w:t>and</w:t>
      </w:r>
      <w:r>
        <w:rPr>
          <w:spacing w:val="-1"/>
        </w:rPr>
        <w:t xml:space="preserve"> </w:t>
      </w:r>
      <w:r>
        <w:t>revenue</w:t>
      </w:r>
      <w:r>
        <w:rPr>
          <w:spacing w:val="-4"/>
        </w:rPr>
        <w:t xml:space="preserve"> </w:t>
      </w:r>
      <w:r>
        <w:t>and upward pressure on labor costs as DFCI staffs its new facility. To the extent these pressures destabilize or</w:t>
      </w:r>
      <w:r>
        <w:rPr>
          <w:spacing w:val="-3"/>
        </w:rPr>
        <w:t xml:space="preserve"> </w:t>
      </w:r>
      <w:r>
        <w:t>diminish the</w:t>
      </w:r>
      <w:r>
        <w:rPr>
          <w:spacing w:val="-2"/>
        </w:rPr>
        <w:t xml:space="preserve"> </w:t>
      </w:r>
      <w:r>
        <w:t>ability</w:t>
      </w:r>
      <w:r>
        <w:rPr>
          <w:spacing w:val="-1"/>
        </w:rPr>
        <w:t xml:space="preserve"> </w:t>
      </w:r>
      <w:r>
        <w:t>of other</w:t>
      </w:r>
      <w:r>
        <w:rPr>
          <w:spacing w:val="-1"/>
        </w:rPr>
        <w:t xml:space="preserve"> </w:t>
      </w:r>
      <w:r>
        <w:t>oncology</w:t>
      </w:r>
      <w:r>
        <w:rPr>
          <w:spacing w:val="-1"/>
        </w:rPr>
        <w:t xml:space="preserve"> </w:t>
      </w:r>
      <w:r>
        <w:t>providers to invest</w:t>
      </w:r>
      <w:r>
        <w:rPr>
          <w:spacing w:val="-1"/>
        </w:rPr>
        <w:t xml:space="preserve"> </w:t>
      </w:r>
      <w:r>
        <w:t>in</w:t>
      </w:r>
      <w:r>
        <w:rPr>
          <w:spacing w:val="-2"/>
        </w:rPr>
        <w:t xml:space="preserve"> </w:t>
      </w:r>
      <w:r>
        <w:t>or</w:t>
      </w:r>
      <w:r>
        <w:rPr>
          <w:spacing w:val="-1"/>
        </w:rPr>
        <w:t xml:space="preserve"> </w:t>
      </w:r>
      <w:r>
        <w:t>maintain facilities and staff, it would likely negatively impact health care equity and access as well as potentially</w:t>
      </w:r>
      <w:r>
        <w:rPr>
          <w:spacing w:val="40"/>
        </w:rPr>
        <w:t xml:space="preserve"> </w:t>
      </w:r>
      <w:r>
        <w:t>increase health care spending.</w:t>
      </w:r>
    </w:p>
    <w:p w14:paraId="1C34EB8C" w14:textId="77777777" w:rsidR="004C558F" w:rsidRDefault="004C558F">
      <w:pPr>
        <w:pStyle w:val="BodyText"/>
        <w:spacing w:before="37"/>
      </w:pPr>
    </w:p>
    <w:p w14:paraId="1C34EB8D" w14:textId="7EB04723" w:rsidR="004C558F" w:rsidRDefault="00461887">
      <w:pPr>
        <w:pStyle w:val="BodyText"/>
        <w:spacing w:line="276" w:lineRule="auto"/>
        <w:ind w:left="959" w:right="1004" w:firstLine="720"/>
      </w:pPr>
      <w:r>
        <w:t xml:space="preserve">The expansion of inpatient oncology services and subsequent competition for oncology healthcare workforce may further </w:t>
      </w:r>
      <w:proofErr w:type="gramStart"/>
      <w:r>
        <w:t>concentrate</w:t>
      </w:r>
      <w:proofErr w:type="gramEnd"/>
      <w:r>
        <w:t xml:space="preserve"> the provision of oncology care in Boston. While concentration of care at urban specialty hospitals could create economies of scale and ensure that patients receive care at sites with certain therapeutic technologies and from providers who are specialized in providing </w:t>
      </w:r>
      <w:proofErr w:type="gramStart"/>
      <w:r>
        <w:t>oncology</w:t>
      </w:r>
      <w:proofErr w:type="gramEnd"/>
      <w:r>
        <w:t xml:space="preserve"> care, it also may challenge access to care. As capacity becomes more concentrated in Boston, oncology patients might have </w:t>
      </w:r>
      <w:proofErr w:type="gramStart"/>
      <w:r>
        <w:t>travel</w:t>
      </w:r>
      <w:proofErr w:type="gramEnd"/>
      <w:r>
        <w:t xml:space="preserve"> an increased</w:t>
      </w:r>
      <w:r>
        <w:rPr>
          <w:spacing w:val="40"/>
        </w:rPr>
        <w:t xml:space="preserve"> </w:t>
      </w:r>
      <w:r>
        <w:t>distance to receive services, which has been shown to be associated with “more advanced disease at diagnosis, inappropriate treatment, a worse prognosis, and a worse quality of life.”</w:t>
      </w:r>
      <w:r>
        <w:rPr>
          <w:spacing w:val="-33"/>
        </w:rPr>
        <w:t xml:space="preserve"> </w:t>
      </w:r>
      <w:r w:rsidR="00DA59D7">
        <w:rPr>
          <w:rStyle w:val="FootnoteReference"/>
          <w:spacing w:val="-33"/>
        </w:rPr>
        <w:footnoteReference w:id="250"/>
      </w:r>
      <w:r>
        <w:t xml:space="preserve">Further, </w:t>
      </w:r>
      <w:proofErr w:type="gramStart"/>
      <w:r>
        <w:t>increased</w:t>
      </w:r>
      <w:proofErr w:type="gramEnd"/>
      <w:r>
        <w:t xml:space="preserve"> travel burden might impose financial hardships on patients who are likely already</w:t>
      </w:r>
      <w:r>
        <w:rPr>
          <w:spacing w:val="-4"/>
        </w:rPr>
        <w:t xml:space="preserve"> </w:t>
      </w:r>
      <w:r>
        <w:t>struggling</w:t>
      </w:r>
      <w:r>
        <w:rPr>
          <w:spacing w:val="-3"/>
        </w:rPr>
        <w:t xml:space="preserve"> </w:t>
      </w:r>
      <w:r>
        <w:t>with</w:t>
      </w:r>
      <w:r>
        <w:rPr>
          <w:spacing w:val="-1"/>
        </w:rPr>
        <w:t xml:space="preserve"> </w:t>
      </w:r>
      <w:r>
        <w:t>the</w:t>
      </w:r>
      <w:r>
        <w:rPr>
          <w:spacing w:val="-4"/>
        </w:rPr>
        <w:t xml:space="preserve"> </w:t>
      </w:r>
      <w:r>
        <w:t>expense</w:t>
      </w:r>
      <w:r>
        <w:rPr>
          <w:spacing w:val="-2"/>
        </w:rPr>
        <w:t xml:space="preserve"> </w:t>
      </w:r>
      <w:r>
        <w:t>of</w:t>
      </w:r>
      <w:r>
        <w:rPr>
          <w:spacing w:val="-1"/>
        </w:rPr>
        <w:t xml:space="preserve"> </w:t>
      </w:r>
      <w:r>
        <w:t>care.</w:t>
      </w:r>
      <w:r>
        <w:rPr>
          <w:spacing w:val="-36"/>
        </w:rPr>
        <w:t xml:space="preserve"> </w:t>
      </w:r>
      <w:r w:rsidR="00DA59D7">
        <w:rPr>
          <w:rStyle w:val="FootnoteReference"/>
          <w:spacing w:val="-36"/>
        </w:rPr>
        <w:footnoteReference w:id="251"/>
      </w:r>
      <w:r>
        <w:t>DFCI</w:t>
      </w:r>
      <w:r>
        <w:rPr>
          <w:spacing w:val="-2"/>
        </w:rPr>
        <w:t xml:space="preserve"> </w:t>
      </w:r>
      <w:r>
        <w:t>has</w:t>
      </w:r>
      <w:r>
        <w:rPr>
          <w:spacing w:val="-2"/>
        </w:rPr>
        <w:t xml:space="preserve"> </w:t>
      </w:r>
      <w:r>
        <w:t>confidentially</w:t>
      </w:r>
      <w:r>
        <w:rPr>
          <w:spacing w:val="-3"/>
        </w:rPr>
        <w:t xml:space="preserve"> </w:t>
      </w:r>
      <w:r>
        <w:t>indicated</w:t>
      </w:r>
      <w:r>
        <w:rPr>
          <w:spacing w:val="-1"/>
        </w:rPr>
        <w:t xml:space="preserve"> </w:t>
      </w:r>
      <w:r>
        <w:t>to</w:t>
      </w:r>
      <w:r>
        <w:rPr>
          <w:spacing w:val="-2"/>
        </w:rPr>
        <w:t xml:space="preserve"> </w:t>
      </w:r>
      <w:r>
        <w:t>the</w:t>
      </w:r>
      <w:r>
        <w:rPr>
          <w:spacing w:val="-2"/>
        </w:rPr>
        <w:t xml:space="preserve"> </w:t>
      </w:r>
      <w:r>
        <w:t>HPC</w:t>
      </w:r>
      <w:r>
        <w:rPr>
          <w:spacing w:val="-3"/>
        </w:rPr>
        <w:t xml:space="preserve"> </w:t>
      </w:r>
      <w:r>
        <w:t>that</w:t>
      </w:r>
      <w:r>
        <w:rPr>
          <w:spacing w:val="-3"/>
        </w:rPr>
        <w:t xml:space="preserve"> </w:t>
      </w:r>
      <w:r>
        <w:t>it expects to maintain its various clinical partnerships and would seek to preserve its community- based locations following the affiliation. If the transaction proceeds as planned, there will be a need for greater coordination between major oncology providers, including the parties, and community providers throughout the state to maintain and improve local access to care despite the significant investments in Boston-based capacity.</w:t>
      </w:r>
    </w:p>
    <w:p w14:paraId="1C34EB8E" w14:textId="77777777" w:rsidR="004C558F" w:rsidRDefault="004C558F">
      <w:pPr>
        <w:pStyle w:val="BodyText"/>
        <w:rPr>
          <w:sz w:val="20"/>
        </w:rPr>
      </w:pPr>
    </w:p>
    <w:p w14:paraId="1C34EB8F" w14:textId="77777777" w:rsidR="004C558F" w:rsidRDefault="004C558F">
      <w:pPr>
        <w:pStyle w:val="BodyText"/>
        <w:rPr>
          <w:sz w:val="20"/>
        </w:rPr>
      </w:pPr>
    </w:p>
    <w:p w14:paraId="1C34EB90" w14:textId="77777777" w:rsidR="004C558F" w:rsidRDefault="004C558F">
      <w:pPr>
        <w:pStyle w:val="BodyText"/>
        <w:rPr>
          <w:sz w:val="20"/>
        </w:rPr>
      </w:pPr>
    </w:p>
    <w:p w14:paraId="1C34EB91" w14:textId="77777777" w:rsidR="004C558F" w:rsidRDefault="004C558F">
      <w:pPr>
        <w:pStyle w:val="BodyText"/>
        <w:rPr>
          <w:sz w:val="20"/>
        </w:rPr>
      </w:pPr>
    </w:p>
    <w:p w14:paraId="1C34EB92" w14:textId="77777777" w:rsidR="004C558F" w:rsidRDefault="004C558F">
      <w:pPr>
        <w:pStyle w:val="BodyText"/>
        <w:rPr>
          <w:sz w:val="20"/>
        </w:rPr>
      </w:pPr>
    </w:p>
    <w:p w14:paraId="1C34EB93" w14:textId="77777777" w:rsidR="004C558F" w:rsidRDefault="004C558F">
      <w:pPr>
        <w:pStyle w:val="BodyText"/>
        <w:rPr>
          <w:sz w:val="20"/>
        </w:rPr>
      </w:pPr>
    </w:p>
    <w:p w14:paraId="1C34EB94" w14:textId="77777777" w:rsidR="004C558F" w:rsidRDefault="004C558F">
      <w:pPr>
        <w:pStyle w:val="BodyText"/>
        <w:rPr>
          <w:sz w:val="20"/>
        </w:rPr>
      </w:pPr>
    </w:p>
    <w:p w14:paraId="1C34EB95" w14:textId="77777777" w:rsidR="004C558F" w:rsidRDefault="004C558F">
      <w:pPr>
        <w:pStyle w:val="BodyText"/>
        <w:rPr>
          <w:sz w:val="20"/>
        </w:rPr>
      </w:pPr>
    </w:p>
    <w:p w14:paraId="1C34EB96" w14:textId="77777777" w:rsidR="004C558F" w:rsidRDefault="004C558F">
      <w:pPr>
        <w:pStyle w:val="BodyText"/>
        <w:rPr>
          <w:sz w:val="20"/>
        </w:rPr>
      </w:pPr>
    </w:p>
    <w:p w14:paraId="1C34EB97" w14:textId="38B308F4" w:rsidR="004C558F" w:rsidRDefault="004C558F">
      <w:pPr>
        <w:pStyle w:val="BodyText"/>
        <w:spacing w:before="157"/>
        <w:rPr>
          <w:sz w:val="20"/>
        </w:rPr>
      </w:pPr>
    </w:p>
    <w:p w14:paraId="1C34EB9C" w14:textId="77777777" w:rsidR="004C558F" w:rsidRDefault="004C558F">
      <w:pPr>
        <w:rPr>
          <w:sz w:val="20"/>
        </w:rPr>
        <w:sectPr w:rsidR="004C558F">
          <w:pgSz w:w="12240" w:h="15840"/>
          <w:pgMar w:top="1360" w:right="740" w:bottom="720" w:left="480" w:header="0" w:footer="521" w:gutter="0"/>
          <w:cols w:space="720"/>
        </w:sectPr>
      </w:pPr>
      <w:bookmarkStart w:id="221" w:name="_bookmark281"/>
      <w:bookmarkStart w:id="222" w:name="_bookmark284"/>
      <w:bookmarkEnd w:id="221"/>
      <w:bookmarkEnd w:id="222"/>
    </w:p>
    <w:p w14:paraId="1C34EB9D" w14:textId="77777777" w:rsidR="004C558F" w:rsidRDefault="00461887">
      <w:pPr>
        <w:pStyle w:val="Heading3"/>
        <w:numPr>
          <w:ilvl w:val="2"/>
          <w:numId w:val="16"/>
        </w:numPr>
        <w:tabs>
          <w:tab w:val="left" w:pos="959"/>
        </w:tabs>
        <w:spacing w:before="77"/>
        <w:ind w:left="959" w:right="972"/>
        <w:rPr>
          <w:color w:val="042339"/>
        </w:rPr>
      </w:pPr>
      <w:bookmarkStart w:id="223" w:name="3._The_parties_currently_engage_in_progr"/>
      <w:bookmarkEnd w:id="223"/>
      <w:r>
        <w:rPr>
          <w:color w:val="042339"/>
        </w:rPr>
        <w:lastRenderedPageBreak/>
        <w:t>The parties currently engage in programs designed to improve access and equitable care for oncology patients and state that they intend to collaborate on expanding</w:t>
      </w:r>
      <w:r>
        <w:rPr>
          <w:color w:val="042339"/>
          <w:spacing w:val="-5"/>
        </w:rPr>
        <w:t xml:space="preserve"> </w:t>
      </w:r>
      <w:r>
        <w:rPr>
          <w:color w:val="042339"/>
        </w:rPr>
        <w:t>these</w:t>
      </w:r>
      <w:r>
        <w:rPr>
          <w:color w:val="042339"/>
          <w:spacing w:val="-4"/>
        </w:rPr>
        <w:t xml:space="preserve"> </w:t>
      </w:r>
      <w:r>
        <w:rPr>
          <w:color w:val="042339"/>
        </w:rPr>
        <w:t>efforts,</w:t>
      </w:r>
      <w:r>
        <w:rPr>
          <w:color w:val="042339"/>
          <w:spacing w:val="-5"/>
        </w:rPr>
        <w:t xml:space="preserve"> </w:t>
      </w:r>
      <w:r>
        <w:rPr>
          <w:color w:val="042339"/>
        </w:rPr>
        <w:t>although</w:t>
      </w:r>
      <w:r>
        <w:rPr>
          <w:color w:val="042339"/>
          <w:spacing w:val="-4"/>
        </w:rPr>
        <w:t xml:space="preserve"> </w:t>
      </w:r>
      <w:r>
        <w:rPr>
          <w:color w:val="042339"/>
        </w:rPr>
        <w:t>their</w:t>
      </w:r>
      <w:r>
        <w:rPr>
          <w:color w:val="042339"/>
          <w:spacing w:val="-4"/>
        </w:rPr>
        <w:t xml:space="preserve"> </w:t>
      </w:r>
      <w:r>
        <w:rPr>
          <w:color w:val="042339"/>
        </w:rPr>
        <w:t>plans</w:t>
      </w:r>
      <w:r>
        <w:rPr>
          <w:color w:val="042339"/>
          <w:spacing w:val="-5"/>
        </w:rPr>
        <w:t xml:space="preserve"> </w:t>
      </w:r>
      <w:r>
        <w:rPr>
          <w:color w:val="042339"/>
        </w:rPr>
        <w:t>are</w:t>
      </w:r>
      <w:r>
        <w:rPr>
          <w:color w:val="042339"/>
          <w:spacing w:val="-4"/>
        </w:rPr>
        <w:t xml:space="preserve"> </w:t>
      </w:r>
      <w:r>
        <w:rPr>
          <w:color w:val="042339"/>
        </w:rPr>
        <w:t>not</w:t>
      </w:r>
      <w:r>
        <w:rPr>
          <w:color w:val="042339"/>
          <w:spacing w:val="-4"/>
        </w:rPr>
        <w:t xml:space="preserve"> </w:t>
      </w:r>
      <w:r>
        <w:rPr>
          <w:color w:val="042339"/>
        </w:rPr>
        <w:t>yet</w:t>
      </w:r>
      <w:r>
        <w:rPr>
          <w:color w:val="042339"/>
          <w:spacing w:val="-4"/>
        </w:rPr>
        <w:t xml:space="preserve"> </w:t>
      </w:r>
      <w:r>
        <w:rPr>
          <w:color w:val="042339"/>
        </w:rPr>
        <w:t>sufficiently</w:t>
      </w:r>
      <w:r>
        <w:rPr>
          <w:color w:val="042339"/>
          <w:spacing w:val="-4"/>
        </w:rPr>
        <w:t xml:space="preserve"> </w:t>
      </w:r>
      <w:r>
        <w:rPr>
          <w:color w:val="042339"/>
        </w:rPr>
        <w:t>developed</w:t>
      </w:r>
      <w:r>
        <w:rPr>
          <w:color w:val="042339"/>
          <w:spacing w:val="-5"/>
        </w:rPr>
        <w:t xml:space="preserve"> </w:t>
      </w:r>
      <w:r>
        <w:rPr>
          <w:color w:val="042339"/>
        </w:rPr>
        <w:t>for the HPC to evaluate the likelihood of any specific impacts.</w:t>
      </w:r>
    </w:p>
    <w:p w14:paraId="1C34EB9E" w14:textId="77777777" w:rsidR="004C558F" w:rsidRDefault="004C558F">
      <w:pPr>
        <w:pStyle w:val="BodyText"/>
        <w:spacing w:before="235"/>
        <w:rPr>
          <w:rFonts w:ascii="Franklin Gothic Medium"/>
          <w:sz w:val="26"/>
        </w:rPr>
      </w:pPr>
    </w:p>
    <w:p w14:paraId="1C34EB9F" w14:textId="24DA0A0F" w:rsidR="004C558F" w:rsidRDefault="00461887">
      <w:pPr>
        <w:pStyle w:val="BodyText"/>
        <w:spacing w:line="276" w:lineRule="auto"/>
        <w:ind w:left="959" w:right="943" w:firstLine="720"/>
      </w:pPr>
      <w:r>
        <w:t>The parties are each engaged in numerous efforts designed to increase equitable access to</w:t>
      </w:r>
      <w:r>
        <w:rPr>
          <w:spacing w:val="-2"/>
        </w:rPr>
        <w:t xml:space="preserve"> </w:t>
      </w:r>
      <w:r>
        <w:t>their</w:t>
      </w:r>
      <w:r>
        <w:rPr>
          <w:spacing w:val="-3"/>
        </w:rPr>
        <w:t xml:space="preserve"> </w:t>
      </w:r>
      <w:r>
        <w:t>oncology</w:t>
      </w:r>
      <w:r>
        <w:rPr>
          <w:spacing w:val="-5"/>
        </w:rPr>
        <w:t xml:space="preserve"> </w:t>
      </w:r>
      <w:r>
        <w:t>services.</w:t>
      </w:r>
      <w:r>
        <w:rPr>
          <w:spacing w:val="-5"/>
        </w:rPr>
        <w:t xml:space="preserve"> </w:t>
      </w:r>
      <w:r>
        <w:t>DFCI’s</w:t>
      </w:r>
      <w:r>
        <w:rPr>
          <w:spacing w:val="-2"/>
        </w:rPr>
        <w:t xml:space="preserve"> </w:t>
      </w:r>
      <w:r>
        <w:t>current</w:t>
      </w:r>
      <w:r>
        <w:rPr>
          <w:spacing w:val="-3"/>
        </w:rPr>
        <w:t xml:space="preserve"> </w:t>
      </w:r>
      <w:r>
        <w:t>initiatives</w:t>
      </w:r>
      <w:r>
        <w:rPr>
          <w:spacing w:val="-2"/>
        </w:rPr>
        <w:t xml:space="preserve"> </w:t>
      </w:r>
      <w:r>
        <w:t>include</w:t>
      </w:r>
      <w:r>
        <w:rPr>
          <w:spacing w:val="-2"/>
        </w:rPr>
        <w:t xml:space="preserve"> </w:t>
      </w:r>
      <w:r>
        <w:t>its</w:t>
      </w:r>
      <w:r>
        <w:rPr>
          <w:spacing w:val="-2"/>
        </w:rPr>
        <w:t xml:space="preserve"> </w:t>
      </w:r>
      <w:r>
        <w:t>Cancer</w:t>
      </w:r>
      <w:r>
        <w:rPr>
          <w:spacing w:val="-3"/>
        </w:rPr>
        <w:t xml:space="preserve"> </w:t>
      </w:r>
      <w:r>
        <w:t>Care</w:t>
      </w:r>
      <w:r>
        <w:rPr>
          <w:spacing w:val="-2"/>
        </w:rPr>
        <w:t xml:space="preserve"> </w:t>
      </w:r>
      <w:r>
        <w:t>Equity</w:t>
      </w:r>
      <w:r>
        <w:rPr>
          <w:spacing w:val="-3"/>
        </w:rPr>
        <w:t xml:space="preserve"> </w:t>
      </w:r>
      <w:r>
        <w:t>Program,</w:t>
      </w:r>
      <w:r>
        <w:rPr>
          <w:spacing w:val="-2"/>
        </w:rPr>
        <w:t xml:space="preserve"> </w:t>
      </w:r>
      <w:r>
        <w:t>which offers patient navigation services,</w:t>
      </w:r>
      <w:r>
        <w:rPr>
          <w:spacing w:val="-32"/>
        </w:rPr>
        <w:t xml:space="preserve"> </w:t>
      </w:r>
      <w:r w:rsidR="007C591B">
        <w:rPr>
          <w:rStyle w:val="FootnoteReference"/>
          <w:spacing w:val="-32"/>
        </w:rPr>
        <w:footnoteReference w:id="252"/>
      </w:r>
      <w:r>
        <w:t>co-location of screening clinics at community health centers,</w:t>
      </w:r>
      <w:r w:rsidR="0060734F">
        <w:rPr>
          <w:rStyle w:val="FootnoteReference"/>
        </w:rPr>
        <w:footnoteReference w:id="253"/>
      </w:r>
      <w:r>
        <w:rPr>
          <w:spacing w:val="37"/>
          <w:position w:val="5"/>
          <w:sz w:val="14"/>
        </w:rPr>
        <w:t xml:space="preserve"> </w:t>
      </w:r>
      <w:r>
        <w:t>and efforts to “[increase] minority representation in clinical trials.”</w:t>
      </w:r>
      <w:r w:rsidR="009F5253">
        <w:rPr>
          <w:rStyle w:val="FootnoteReference"/>
        </w:rPr>
        <w:footnoteReference w:id="254"/>
      </w:r>
      <w:r>
        <w:rPr>
          <w:spacing w:val="37"/>
          <w:position w:val="5"/>
          <w:sz w:val="14"/>
        </w:rPr>
        <w:t xml:space="preserve"> </w:t>
      </w:r>
      <w:r>
        <w:t>BIDMC’s</w:t>
      </w:r>
    </w:p>
    <w:p w14:paraId="1C34EBA0" w14:textId="52DAE9E6" w:rsidR="004C558F" w:rsidRDefault="00461887">
      <w:pPr>
        <w:pStyle w:val="BodyText"/>
        <w:spacing w:line="276" w:lineRule="auto"/>
        <w:ind w:left="959" w:right="980"/>
        <w:rPr>
          <w:sz w:val="14"/>
        </w:rPr>
      </w:pPr>
      <w:proofErr w:type="gramStart"/>
      <w:r>
        <w:t>oncology</w:t>
      </w:r>
      <w:proofErr w:type="gramEnd"/>
      <w:r>
        <w:t>-specific</w:t>
      </w:r>
      <w:r>
        <w:rPr>
          <w:spacing w:val="-5"/>
        </w:rPr>
        <w:t xml:space="preserve"> </w:t>
      </w:r>
      <w:r>
        <w:t>access</w:t>
      </w:r>
      <w:r>
        <w:rPr>
          <w:spacing w:val="-5"/>
        </w:rPr>
        <w:t xml:space="preserve"> </w:t>
      </w:r>
      <w:r>
        <w:t>and</w:t>
      </w:r>
      <w:r>
        <w:rPr>
          <w:spacing w:val="-2"/>
        </w:rPr>
        <w:t xml:space="preserve"> </w:t>
      </w:r>
      <w:r>
        <w:t>equity</w:t>
      </w:r>
      <w:r>
        <w:rPr>
          <w:spacing w:val="-4"/>
        </w:rPr>
        <w:t xml:space="preserve"> </w:t>
      </w:r>
      <w:r>
        <w:t>efforts</w:t>
      </w:r>
      <w:r>
        <w:rPr>
          <w:spacing w:val="-3"/>
        </w:rPr>
        <w:t xml:space="preserve"> </w:t>
      </w:r>
      <w:r>
        <w:t>include</w:t>
      </w:r>
      <w:r>
        <w:rPr>
          <w:spacing w:val="-3"/>
        </w:rPr>
        <w:t xml:space="preserve"> </w:t>
      </w:r>
      <w:r>
        <w:t>cancer</w:t>
      </w:r>
      <w:r>
        <w:rPr>
          <w:spacing w:val="-5"/>
        </w:rPr>
        <w:t xml:space="preserve"> </w:t>
      </w:r>
      <w:r>
        <w:t>screening</w:t>
      </w:r>
      <w:r>
        <w:rPr>
          <w:spacing w:val="-5"/>
        </w:rPr>
        <w:t xml:space="preserve"> </w:t>
      </w:r>
      <w:r>
        <w:t>and</w:t>
      </w:r>
      <w:r>
        <w:rPr>
          <w:spacing w:val="-2"/>
        </w:rPr>
        <w:t xml:space="preserve"> </w:t>
      </w:r>
      <w:r>
        <w:t>prevention</w:t>
      </w:r>
      <w:r>
        <w:rPr>
          <w:spacing w:val="-3"/>
        </w:rPr>
        <w:t xml:space="preserve"> </w:t>
      </w:r>
      <w:r>
        <w:t>programs</w:t>
      </w:r>
      <w:r>
        <w:rPr>
          <w:spacing w:val="-5"/>
        </w:rPr>
        <w:t xml:space="preserve"> </w:t>
      </w:r>
      <w:r>
        <w:t>run by BILH, a Multicultural Cancer Task Force, survivorship symposiums, and patient navigation programs, in addition to access-oriented programs available to all patients.</w:t>
      </w:r>
      <w:r w:rsidR="009639C2">
        <w:rPr>
          <w:rStyle w:val="FootnoteReference"/>
        </w:rPr>
        <w:footnoteReference w:id="255"/>
      </w:r>
      <w:r>
        <w:rPr>
          <w:spacing w:val="32"/>
          <w:position w:val="5"/>
          <w:sz w:val="14"/>
        </w:rPr>
        <w:t xml:space="preserve"> </w:t>
      </w:r>
      <w:r>
        <w:t>In addition, the parties have initiatives designed to support patients with behavioral health co-morbidities. For example,</w:t>
      </w:r>
      <w:r>
        <w:rPr>
          <w:spacing w:val="-1"/>
        </w:rPr>
        <w:t xml:space="preserve"> </w:t>
      </w:r>
      <w:r>
        <w:t>DFCI</w:t>
      </w:r>
      <w:r>
        <w:rPr>
          <w:spacing w:val="-1"/>
        </w:rPr>
        <w:t xml:space="preserve"> </w:t>
      </w:r>
      <w:r>
        <w:t>employs</w:t>
      </w:r>
      <w:r>
        <w:rPr>
          <w:spacing w:val="-3"/>
        </w:rPr>
        <w:t xml:space="preserve"> </w:t>
      </w:r>
      <w:r>
        <w:t>social</w:t>
      </w:r>
      <w:r>
        <w:rPr>
          <w:spacing w:val="-2"/>
        </w:rPr>
        <w:t xml:space="preserve"> </w:t>
      </w:r>
      <w:r>
        <w:t>workers</w:t>
      </w:r>
      <w:r>
        <w:rPr>
          <w:spacing w:val="-1"/>
        </w:rPr>
        <w:t xml:space="preserve"> </w:t>
      </w:r>
      <w:r>
        <w:t>which</w:t>
      </w:r>
      <w:r>
        <w:rPr>
          <w:spacing w:val="-1"/>
        </w:rPr>
        <w:t xml:space="preserve"> </w:t>
      </w:r>
      <w:r>
        <w:t>provide</w:t>
      </w:r>
      <w:r>
        <w:rPr>
          <w:spacing w:val="-3"/>
        </w:rPr>
        <w:t xml:space="preserve"> </w:t>
      </w:r>
      <w:r>
        <w:t>psychosocial</w:t>
      </w:r>
      <w:r>
        <w:rPr>
          <w:spacing w:val="-4"/>
        </w:rPr>
        <w:t xml:space="preserve"> </w:t>
      </w:r>
      <w:r>
        <w:t>assessments</w:t>
      </w:r>
      <w:r>
        <w:rPr>
          <w:spacing w:val="-1"/>
        </w:rPr>
        <w:t xml:space="preserve"> </w:t>
      </w:r>
      <w:r>
        <w:t>and interventions to DFCI patients following a cancer diagnosis and which work to address concerns such as</w:t>
      </w:r>
      <w:r>
        <w:rPr>
          <w:spacing w:val="40"/>
        </w:rPr>
        <w:t xml:space="preserve"> </w:t>
      </w:r>
      <w:r>
        <w:t>anxiety, depression, substance use, and the impact of cancer on family, work, finances, etc.</w:t>
      </w:r>
      <w:r w:rsidR="009639C2">
        <w:rPr>
          <w:rStyle w:val="FootnoteReference"/>
        </w:rPr>
        <w:footnoteReference w:id="256"/>
      </w:r>
      <w:r w:rsidR="009639C2">
        <w:rPr>
          <w:sz w:val="14"/>
        </w:rPr>
        <w:t xml:space="preserve"> </w:t>
      </w:r>
    </w:p>
    <w:p w14:paraId="1C34EBA1" w14:textId="77777777" w:rsidR="004C558F" w:rsidRDefault="004C558F">
      <w:pPr>
        <w:pStyle w:val="BodyText"/>
        <w:spacing w:before="37"/>
      </w:pPr>
    </w:p>
    <w:p w14:paraId="1C34EBA2" w14:textId="5BCB020F" w:rsidR="004C558F" w:rsidRDefault="00461887">
      <w:pPr>
        <w:pStyle w:val="BodyText"/>
        <w:spacing w:line="276" w:lineRule="auto"/>
        <w:ind w:left="959" w:right="891" w:firstLine="720"/>
      </w:pPr>
      <w:r>
        <w:t>The parties</w:t>
      </w:r>
      <w:r>
        <w:rPr>
          <w:spacing w:val="-1"/>
        </w:rPr>
        <w:t xml:space="preserve"> </w:t>
      </w:r>
      <w:r>
        <w:t>also noted</w:t>
      </w:r>
      <w:r>
        <w:rPr>
          <w:spacing w:val="-1"/>
        </w:rPr>
        <w:t xml:space="preserve"> </w:t>
      </w:r>
      <w:r>
        <w:t>a variety of</w:t>
      </w:r>
      <w:r>
        <w:rPr>
          <w:spacing w:val="-1"/>
        </w:rPr>
        <w:t xml:space="preserve"> </w:t>
      </w:r>
      <w:r>
        <w:t>efforts that they</w:t>
      </w:r>
      <w:r>
        <w:rPr>
          <w:spacing w:val="-2"/>
        </w:rPr>
        <w:t xml:space="preserve"> </w:t>
      </w:r>
      <w:r>
        <w:t>have undertaken to increase access to their services for MassHealth patients. Recently,</w:t>
      </w:r>
      <w:r>
        <w:rPr>
          <w:spacing w:val="-1"/>
        </w:rPr>
        <w:t xml:space="preserve"> </w:t>
      </w:r>
      <w:r>
        <w:t>DFCI expanded its MassHealth MCO</w:t>
      </w:r>
      <w:r>
        <w:rPr>
          <w:spacing w:val="-1"/>
        </w:rPr>
        <w:t xml:space="preserve"> </w:t>
      </w:r>
      <w:r>
        <w:t>contracting, raising the percentage of MassHealth members in Massachusetts who were enrolled in a health plan that offered access to DFCI services from 67% to 88%.</w:t>
      </w:r>
      <w:r>
        <w:rPr>
          <w:spacing w:val="-33"/>
        </w:rPr>
        <w:t xml:space="preserve"> </w:t>
      </w:r>
      <w:r w:rsidR="009639C2">
        <w:rPr>
          <w:rStyle w:val="FootnoteReference"/>
          <w:spacing w:val="-33"/>
        </w:rPr>
        <w:footnoteReference w:id="257"/>
      </w:r>
      <w:r>
        <w:rPr>
          <w:spacing w:val="29"/>
          <w:position w:val="5"/>
          <w:sz w:val="14"/>
        </w:rPr>
        <w:t xml:space="preserve"> </w:t>
      </w:r>
      <w:r>
        <w:t>DFCI also has several programs designed to reach patients covered by MassHealth and other underserved populations, including screenings at Whittier Street Health Center and through DFCI’s Mammography Van;</w:t>
      </w:r>
      <w:r>
        <w:rPr>
          <w:spacing w:val="-32"/>
        </w:rPr>
        <w:t xml:space="preserve"> </w:t>
      </w:r>
      <w:r w:rsidR="000A0B3D">
        <w:rPr>
          <w:rStyle w:val="FootnoteReference"/>
          <w:spacing w:val="-32"/>
        </w:rPr>
        <w:footnoteReference w:id="258"/>
      </w:r>
      <w:r>
        <w:t>financial counseling services, including assistance with Medicaid applications and answering questions about</w:t>
      </w:r>
      <w:r>
        <w:rPr>
          <w:spacing w:val="-5"/>
        </w:rPr>
        <w:t xml:space="preserve"> </w:t>
      </w:r>
      <w:r>
        <w:t>insurance</w:t>
      </w:r>
      <w:r>
        <w:rPr>
          <w:spacing w:val="-5"/>
        </w:rPr>
        <w:t xml:space="preserve"> </w:t>
      </w:r>
      <w:r>
        <w:t>coverage;</w:t>
      </w:r>
      <w:r>
        <w:rPr>
          <w:spacing w:val="-36"/>
        </w:rPr>
        <w:t xml:space="preserve"> </w:t>
      </w:r>
      <w:r w:rsidR="000A0B3D">
        <w:rPr>
          <w:rStyle w:val="FootnoteReference"/>
          <w:spacing w:val="-36"/>
        </w:rPr>
        <w:footnoteReference w:id="259"/>
      </w:r>
      <w:r>
        <w:t>and</w:t>
      </w:r>
      <w:r>
        <w:rPr>
          <w:spacing w:val="-2"/>
        </w:rPr>
        <w:t xml:space="preserve"> </w:t>
      </w:r>
      <w:r>
        <w:t>community</w:t>
      </w:r>
      <w:r>
        <w:rPr>
          <w:spacing w:val="-4"/>
        </w:rPr>
        <w:t xml:space="preserve"> </w:t>
      </w:r>
      <w:r>
        <w:t>benefits</w:t>
      </w:r>
      <w:r>
        <w:rPr>
          <w:spacing w:val="-7"/>
        </w:rPr>
        <w:t xml:space="preserve"> </w:t>
      </w:r>
      <w:r>
        <w:t>work</w:t>
      </w:r>
      <w:r>
        <w:rPr>
          <w:spacing w:val="-4"/>
        </w:rPr>
        <w:t xml:space="preserve"> </w:t>
      </w:r>
      <w:r>
        <w:t>for</w:t>
      </w:r>
      <w:r>
        <w:rPr>
          <w:spacing w:val="-4"/>
        </w:rPr>
        <w:t xml:space="preserve"> </w:t>
      </w:r>
      <w:r>
        <w:t>certain</w:t>
      </w:r>
      <w:r>
        <w:rPr>
          <w:spacing w:val="-3"/>
        </w:rPr>
        <w:t xml:space="preserve"> </w:t>
      </w:r>
      <w:r>
        <w:t>priority</w:t>
      </w:r>
      <w:r>
        <w:rPr>
          <w:spacing w:val="-4"/>
        </w:rPr>
        <w:t xml:space="preserve"> </w:t>
      </w:r>
      <w:r>
        <w:t>neighborhoods</w:t>
      </w:r>
      <w:r>
        <w:rPr>
          <w:spacing w:val="-3"/>
        </w:rPr>
        <w:t xml:space="preserve"> </w:t>
      </w:r>
      <w:r>
        <w:t>that</w:t>
      </w:r>
    </w:p>
    <w:p w14:paraId="1C34EBA3" w14:textId="0B8AA70C" w:rsidR="004C558F" w:rsidRDefault="004C558F">
      <w:pPr>
        <w:pStyle w:val="BodyText"/>
        <w:spacing w:before="171"/>
        <w:rPr>
          <w:sz w:val="20"/>
        </w:rPr>
      </w:pPr>
    </w:p>
    <w:p w14:paraId="1C34EBAD" w14:textId="77777777" w:rsidR="004C558F" w:rsidRDefault="004C558F">
      <w:pPr>
        <w:rPr>
          <w:sz w:val="20"/>
        </w:rPr>
        <w:sectPr w:rsidR="004C558F">
          <w:pgSz w:w="12240" w:h="15840"/>
          <w:pgMar w:top="1360" w:right="740" w:bottom="720" w:left="480" w:header="0" w:footer="521" w:gutter="0"/>
          <w:cols w:space="720"/>
        </w:sectPr>
      </w:pPr>
      <w:bookmarkStart w:id="224" w:name="_bookmark285"/>
      <w:bookmarkStart w:id="225" w:name="_bookmark287"/>
      <w:bookmarkStart w:id="226" w:name="_bookmark289"/>
      <w:bookmarkStart w:id="227" w:name="_bookmark291"/>
      <w:bookmarkEnd w:id="224"/>
      <w:bookmarkEnd w:id="225"/>
      <w:bookmarkEnd w:id="226"/>
      <w:bookmarkEnd w:id="227"/>
    </w:p>
    <w:p w14:paraId="1C34EBAE" w14:textId="778A280C" w:rsidR="004C558F" w:rsidRDefault="00461887">
      <w:pPr>
        <w:pStyle w:val="BodyText"/>
        <w:spacing w:before="80" w:line="276" w:lineRule="auto"/>
        <w:ind w:left="959" w:right="891"/>
        <w:rPr>
          <w:sz w:val="14"/>
        </w:rPr>
      </w:pPr>
      <w:r>
        <w:lastRenderedPageBreak/>
        <w:t>have higher rates of Black and Hispanic patients, non-English speakers, unemployment, and MassHealth</w:t>
      </w:r>
      <w:r>
        <w:rPr>
          <w:spacing w:val="-5"/>
        </w:rPr>
        <w:t xml:space="preserve"> </w:t>
      </w:r>
      <w:r>
        <w:t>enrollment</w:t>
      </w:r>
      <w:r>
        <w:rPr>
          <w:spacing w:val="-4"/>
        </w:rPr>
        <w:t xml:space="preserve"> </w:t>
      </w:r>
      <w:r>
        <w:t>compared</w:t>
      </w:r>
      <w:r>
        <w:rPr>
          <w:spacing w:val="-2"/>
        </w:rPr>
        <w:t xml:space="preserve"> </w:t>
      </w:r>
      <w:r>
        <w:t>to</w:t>
      </w:r>
      <w:r>
        <w:rPr>
          <w:spacing w:val="-5"/>
        </w:rPr>
        <w:t xml:space="preserve"> </w:t>
      </w:r>
      <w:r>
        <w:t>DFCI’s</w:t>
      </w:r>
      <w:r>
        <w:rPr>
          <w:spacing w:val="-3"/>
        </w:rPr>
        <w:t xml:space="preserve"> </w:t>
      </w:r>
      <w:r>
        <w:t>average.</w:t>
      </w:r>
      <w:r>
        <w:rPr>
          <w:spacing w:val="-36"/>
        </w:rPr>
        <w:t xml:space="preserve"> </w:t>
      </w:r>
      <w:r w:rsidR="00873FE5">
        <w:rPr>
          <w:rStyle w:val="FootnoteReference"/>
          <w:spacing w:val="-36"/>
        </w:rPr>
        <w:footnoteReference w:id="260"/>
      </w:r>
      <w:r>
        <w:t>In</w:t>
      </w:r>
      <w:r>
        <w:rPr>
          <w:spacing w:val="-3"/>
        </w:rPr>
        <w:t xml:space="preserve"> </w:t>
      </w:r>
      <w:r>
        <w:t>recent</w:t>
      </w:r>
      <w:r>
        <w:rPr>
          <w:spacing w:val="-4"/>
        </w:rPr>
        <w:t xml:space="preserve"> </w:t>
      </w:r>
      <w:r>
        <w:t>years,</w:t>
      </w:r>
      <w:r>
        <w:rPr>
          <w:spacing w:val="-3"/>
        </w:rPr>
        <w:t xml:space="preserve"> </w:t>
      </w:r>
      <w:r>
        <w:t>the</w:t>
      </w:r>
      <w:r>
        <w:rPr>
          <w:spacing w:val="-3"/>
        </w:rPr>
        <w:t xml:space="preserve"> </w:t>
      </w:r>
      <w:r>
        <w:t>broader</w:t>
      </w:r>
      <w:r>
        <w:rPr>
          <w:spacing w:val="-4"/>
        </w:rPr>
        <w:t xml:space="preserve"> </w:t>
      </w:r>
      <w:r>
        <w:t>BILH</w:t>
      </w:r>
      <w:r>
        <w:rPr>
          <w:spacing w:val="-6"/>
        </w:rPr>
        <w:t xml:space="preserve"> </w:t>
      </w:r>
      <w:r>
        <w:t>system has expanded marketing and advertising to MassHealth patients in its service area.</w:t>
      </w:r>
      <w:r>
        <w:rPr>
          <w:spacing w:val="-32"/>
        </w:rPr>
        <w:t xml:space="preserve"> </w:t>
      </w:r>
      <w:r w:rsidR="00CF7D04">
        <w:rPr>
          <w:rStyle w:val="FootnoteReference"/>
          <w:spacing w:val="-32"/>
        </w:rPr>
        <w:footnoteReference w:id="261"/>
      </w:r>
    </w:p>
    <w:p w14:paraId="1C34EBAF" w14:textId="77777777" w:rsidR="004C558F" w:rsidRDefault="004C558F">
      <w:pPr>
        <w:pStyle w:val="BodyText"/>
        <w:spacing w:before="37"/>
      </w:pPr>
    </w:p>
    <w:p w14:paraId="1C34EBB0" w14:textId="5B1C9EF1" w:rsidR="004C558F" w:rsidRDefault="00461887">
      <w:pPr>
        <w:pStyle w:val="BodyText"/>
        <w:spacing w:line="276" w:lineRule="auto"/>
        <w:ind w:left="959" w:right="976" w:firstLine="720"/>
      </w:pPr>
      <w:r>
        <w:t xml:space="preserve">Following the transaction, the parties are likely at baseline to have inpatients </w:t>
      </w:r>
      <w:proofErr w:type="gramStart"/>
      <w:r>
        <w:t>similar to</w:t>
      </w:r>
      <w:proofErr w:type="gramEnd"/>
      <w:r>
        <w:rPr>
          <w:spacing w:val="40"/>
        </w:rPr>
        <w:t xml:space="preserve"> </w:t>
      </w:r>
      <w:r>
        <w:t>the</w:t>
      </w:r>
      <w:r>
        <w:rPr>
          <w:spacing w:val="-2"/>
        </w:rPr>
        <w:t xml:space="preserve"> </w:t>
      </w:r>
      <w:r>
        <w:t>legacy</w:t>
      </w:r>
      <w:r>
        <w:rPr>
          <w:spacing w:val="-2"/>
        </w:rPr>
        <w:t xml:space="preserve"> </w:t>
      </w:r>
      <w:r>
        <w:t>patient</w:t>
      </w:r>
      <w:r>
        <w:rPr>
          <w:spacing w:val="-2"/>
        </w:rPr>
        <w:t xml:space="preserve"> </w:t>
      </w:r>
      <w:r>
        <w:t>mix</w:t>
      </w:r>
      <w:r>
        <w:rPr>
          <w:spacing w:val="-4"/>
        </w:rPr>
        <w:t xml:space="preserve"> </w:t>
      </w:r>
      <w:r>
        <w:t>at</w:t>
      </w:r>
      <w:r>
        <w:rPr>
          <w:spacing w:val="-2"/>
        </w:rPr>
        <w:t xml:space="preserve"> </w:t>
      </w:r>
      <w:r>
        <w:t>BIDMC,</w:t>
      </w:r>
      <w:r>
        <w:rPr>
          <w:spacing w:val="-2"/>
        </w:rPr>
        <w:t xml:space="preserve"> </w:t>
      </w:r>
      <w:r>
        <w:t>DFCI,</w:t>
      </w:r>
      <w:r>
        <w:rPr>
          <w:spacing w:val="-2"/>
        </w:rPr>
        <w:t xml:space="preserve"> </w:t>
      </w:r>
      <w:r>
        <w:t>and</w:t>
      </w:r>
      <w:r>
        <w:rPr>
          <w:spacing w:val="-1"/>
        </w:rPr>
        <w:t xml:space="preserve"> </w:t>
      </w:r>
      <w:r>
        <w:t>the</w:t>
      </w:r>
      <w:r>
        <w:rPr>
          <w:spacing w:val="-3"/>
        </w:rPr>
        <w:t xml:space="preserve"> </w:t>
      </w:r>
      <w:r>
        <w:t>hospitals</w:t>
      </w:r>
      <w:r>
        <w:rPr>
          <w:spacing w:val="-2"/>
        </w:rPr>
        <w:t xml:space="preserve"> </w:t>
      </w:r>
      <w:r>
        <w:t>from</w:t>
      </w:r>
      <w:r>
        <w:rPr>
          <w:spacing w:val="-2"/>
        </w:rPr>
        <w:t xml:space="preserve"> </w:t>
      </w:r>
      <w:r>
        <w:t>which</w:t>
      </w:r>
      <w:r>
        <w:rPr>
          <w:spacing w:val="-3"/>
        </w:rPr>
        <w:t xml:space="preserve"> </w:t>
      </w:r>
      <w:r>
        <w:t>DFCI</w:t>
      </w:r>
      <w:r>
        <w:rPr>
          <w:spacing w:val="-2"/>
        </w:rPr>
        <w:t xml:space="preserve"> </w:t>
      </w:r>
      <w:r>
        <w:t>is</w:t>
      </w:r>
      <w:r>
        <w:rPr>
          <w:spacing w:val="-2"/>
        </w:rPr>
        <w:t xml:space="preserve"> </w:t>
      </w:r>
      <w:r>
        <w:t>likely</w:t>
      </w:r>
      <w:r>
        <w:rPr>
          <w:spacing w:val="-2"/>
        </w:rPr>
        <w:t xml:space="preserve"> </w:t>
      </w:r>
      <w:r>
        <w:t>to</w:t>
      </w:r>
      <w:r>
        <w:rPr>
          <w:spacing w:val="-2"/>
        </w:rPr>
        <w:t xml:space="preserve"> </w:t>
      </w:r>
      <w:r>
        <w:t>draw</w:t>
      </w:r>
      <w:r>
        <w:rPr>
          <w:spacing w:val="-2"/>
        </w:rPr>
        <w:t xml:space="preserve"> </w:t>
      </w:r>
      <w:r>
        <w:t>patients for its new facility, including BWH and MGH. However, the parties have stated that they intend to collaborate to expand “access to and affordability of cancer care”</w:t>
      </w:r>
      <w:r>
        <w:rPr>
          <w:spacing w:val="-33"/>
        </w:rPr>
        <w:t xml:space="preserve"> </w:t>
      </w:r>
      <w:r w:rsidR="00CF7D04">
        <w:rPr>
          <w:rStyle w:val="FootnoteReference"/>
          <w:spacing w:val="-33"/>
        </w:rPr>
        <w:footnoteReference w:id="262"/>
      </w:r>
      <w:r>
        <w:t>and have identified three priorities guiding the planning for their affiliation:</w:t>
      </w:r>
      <w:r>
        <w:rPr>
          <w:spacing w:val="-1"/>
        </w:rPr>
        <w:t xml:space="preserve"> </w:t>
      </w:r>
      <w:r>
        <w:t>expanding clinical</w:t>
      </w:r>
      <w:r>
        <w:rPr>
          <w:spacing w:val="-1"/>
        </w:rPr>
        <w:t xml:space="preserve"> </w:t>
      </w:r>
      <w:r>
        <w:t>access to the full spectrum of cancer services for historically marginalized communities, reducing cancer disparities in health outcomes within their diverse population of patients, and expanding investments in historically marginalized communities to close socio-economic disparities that impact health.</w:t>
      </w:r>
      <w:r w:rsidR="00D55048">
        <w:rPr>
          <w:rStyle w:val="FootnoteReference"/>
        </w:rPr>
        <w:footnoteReference w:id="263"/>
      </w:r>
      <w:r>
        <w:rPr>
          <w:spacing w:val="32"/>
          <w:position w:val="5"/>
          <w:sz w:val="14"/>
        </w:rPr>
        <w:t xml:space="preserve"> </w:t>
      </w:r>
      <w:r>
        <w:t>Further, the parties have jointly defined shorter- and longer-term</w:t>
      </w:r>
      <w:r>
        <w:rPr>
          <w:spacing w:val="-20"/>
        </w:rPr>
        <w:t xml:space="preserve"> </w:t>
      </w:r>
      <w:r>
        <w:t>clinical access and equity initiatives. Shorter- term priorities include sharing best practices and current program inventories; developing screening priorities for specific disease states with known disparities (e.g., colorectal screening</w:t>
      </w:r>
      <w:r>
        <w:rPr>
          <w:spacing w:val="40"/>
        </w:rPr>
        <w:t xml:space="preserve"> </w:t>
      </w:r>
      <w:r>
        <w:t>for Black patients); and exploring opportunities for programs in FQHCs and CHCs where DFCI/BIDMC have a shared presence. The parties’ longer-term plans include aligning financial assistance policies; broadening diagnostic pathways for cancer patients (with emphasis on removing barriers for vulnerable patient populations); developing an LGBTQ+ focused cancer program; developing a lung cancer screening program and tobacco cessation work; focusing on cancer-specific</w:t>
      </w:r>
      <w:r>
        <w:rPr>
          <w:spacing w:val="-5"/>
        </w:rPr>
        <w:t xml:space="preserve"> </w:t>
      </w:r>
      <w:r>
        <w:t>patient</w:t>
      </w:r>
      <w:r>
        <w:rPr>
          <w:spacing w:val="-6"/>
        </w:rPr>
        <w:t xml:space="preserve"> </w:t>
      </w:r>
      <w:r>
        <w:t>navigation</w:t>
      </w:r>
      <w:r>
        <w:rPr>
          <w:spacing w:val="-3"/>
        </w:rPr>
        <w:t xml:space="preserve"> </w:t>
      </w:r>
      <w:r>
        <w:t>programs;</w:t>
      </w:r>
      <w:r>
        <w:rPr>
          <w:spacing w:val="-6"/>
        </w:rPr>
        <w:t xml:space="preserve"> </w:t>
      </w:r>
      <w:r>
        <w:t>and</w:t>
      </w:r>
      <w:r>
        <w:rPr>
          <w:spacing w:val="-2"/>
        </w:rPr>
        <w:t xml:space="preserve"> </w:t>
      </w:r>
      <w:r>
        <w:t>developing</w:t>
      </w:r>
      <w:r>
        <w:rPr>
          <w:spacing w:val="-4"/>
        </w:rPr>
        <w:t xml:space="preserve"> </w:t>
      </w:r>
      <w:r>
        <w:t>and</w:t>
      </w:r>
      <w:r>
        <w:rPr>
          <w:spacing w:val="-2"/>
        </w:rPr>
        <w:t xml:space="preserve"> </w:t>
      </w:r>
      <w:r>
        <w:t>implementing</w:t>
      </w:r>
      <w:r>
        <w:rPr>
          <w:spacing w:val="-4"/>
        </w:rPr>
        <w:t xml:space="preserve"> </w:t>
      </w:r>
      <w:r>
        <w:t>equity</w:t>
      </w:r>
      <w:r>
        <w:rPr>
          <w:spacing w:val="-4"/>
        </w:rPr>
        <w:t xml:space="preserve"> </w:t>
      </w:r>
      <w:r>
        <w:t>dashboards and reporting.</w:t>
      </w:r>
      <w:r>
        <w:rPr>
          <w:spacing w:val="-33"/>
        </w:rPr>
        <w:t xml:space="preserve"> </w:t>
      </w:r>
      <w:r w:rsidR="00D55048">
        <w:rPr>
          <w:rStyle w:val="FootnoteReference"/>
          <w:spacing w:val="-33"/>
        </w:rPr>
        <w:footnoteReference w:id="264"/>
      </w:r>
      <w:r>
        <w:t>Finally, in confidential production to the HPC, the parties identified preliminary commitments to each other on certain performance metrics, including metrics related to timely access to care. If the parties follow through with collaboration and investment in these priority areas, they have the potential to improve equitable access to cancer care. However, because the parties have not yet moved substantially beyond identifying these priorities and exchanging information on their current efforts,</w:t>
      </w:r>
      <w:r w:rsidR="00124190">
        <w:rPr>
          <w:rStyle w:val="FootnoteReference"/>
        </w:rPr>
        <w:footnoteReference w:id="265"/>
      </w:r>
      <w:r>
        <w:rPr>
          <w:spacing w:val="30"/>
          <w:position w:val="5"/>
          <w:sz w:val="14"/>
        </w:rPr>
        <w:t xml:space="preserve"> </w:t>
      </w:r>
      <w:r>
        <w:t>the HPC is unable to evaluate the likelihood that specific potential benefits would be realized. Should the proposed affiliation proceed, regular public reporting</w:t>
      </w:r>
      <w:r>
        <w:rPr>
          <w:spacing w:val="-3"/>
        </w:rPr>
        <w:t xml:space="preserve"> </w:t>
      </w:r>
      <w:r>
        <w:t>on</w:t>
      </w:r>
      <w:r>
        <w:rPr>
          <w:spacing w:val="-2"/>
        </w:rPr>
        <w:t xml:space="preserve"> </w:t>
      </w:r>
      <w:r>
        <w:t>the</w:t>
      </w:r>
      <w:r>
        <w:rPr>
          <w:spacing w:val="-2"/>
        </w:rPr>
        <w:t xml:space="preserve"> </w:t>
      </w:r>
      <w:r>
        <w:t>implementation</w:t>
      </w:r>
      <w:r>
        <w:rPr>
          <w:spacing w:val="-4"/>
        </w:rPr>
        <w:t xml:space="preserve"> </w:t>
      </w:r>
      <w:r>
        <w:t>and</w:t>
      </w:r>
      <w:r>
        <w:rPr>
          <w:spacing w:val="-1"/>
        </w:rPr>
        <w:t xml:space="preserve"> </w:t>
      </w:r>
      <w:r>
        <w:t>results</w:t>
      </w:r>
      <w:r>
        <w:rPr>
          <w:spacing w:val="-2"/>
        </w:rPr>
        <w:t xml:space="preserve"> </w:t>
      </w:r>
      <w:r>
        <w:t>of</w:t>
      </w:r>
      <w:r>
        <w:rPr>
          <w:spacing w:val="-1"/>
        </w:rPr>
        <w:t xml:space="preserve"> </w:t>
      </w:r>
      <w:r>
        <w:t>the</w:t>
      </w:r>
      <w:r>
        <w:rPr>
          <w:spacing w:val="-7"/>
        </w:rPr>
        <w:t xml:space="preserve"> </w:t>
      </w:r>
      <w:r>
        <w:t>parties’</w:t>
      </w:r>
      <w:r>
        <w:rPr>
          <w:spacing w:val="-2"/>
        </w:rPr>
        <w:t xml:space="preserve"> </w:t>
      </w:r>
      <w:r>
        <w:t>proposed</w:t>
      </w:r>
      <w:r>
        <w:rPr>
          <w:spacing w:val="-4"/>
        </w:rPr>
        <w:t xml:space="preserve"> </w:t>
      </w:r>
      <w:r>
        <w:t>access</w:t>
      </w:r>
      <w:r>
        <w:rPr>
          <w:spacing w:val="-6"/>
        </w:rPr>
        <w:t xml:space="preserve"> </w:t>
      </w:r>
      <w:r>
        <w:t>and</w:t>
      </w:r>
      <w:r>
        <w:rPr>
          <w:spacing w:val="-4"/>
        </w:rPr>
        <w:t xml:space="preserve"> </w:t>
      </w:r>
      <w:r>
        <w:t>equity</w:t>
      </w:r>
      <w:r>
        <w:rPr>
          <w:spacing w:val="-3"/>
        </w:rPr>
        <w:t xml:space="preserve"> </w:t>
      </w:r>
      <w:r>
        <w:t>initiatives,</w:t>
      </w:r>
    </w:p>
    <w:p w14:paraId="1C34EBB1" w14:textId="133E4FD1" w:rsidR="004C558F" w:rsidRDefault="004C558F">
      <w:pPr>
        <w:pStyle w:val="BodyText"/>
        <w:rPr>
          <w:sz w:val="18"/>
        </w:rPr>
      </w:pPr>
    </w:p>
    <w:p w14:paraId="1C34EBB8" w14:textId="77777777" w:rsidR="004C558F" w:rsidRDefault="004C558F">
      <w:pPr>
        <w:rPr>
          <w:sz w:val="20"/>
        </w:rPr>
        <w:sectPr w:rsidR="004C558F">
          <w:pgSz w:w="12240" w:h="15840"/>
          <w:pgMar w:top="1360" w:right="740" w:bottom="720" w:left="480" w:header="0" w:footer="521" w:gutter="0"/>
          <w:cols w:space="720"/>
        </w:sectPr>
      </w:pPr>
      <w:bookmarkStart w:id="228" w:name="_bookmark293"/>
      <w:bookmarkStart w:id="229" w:name="_bookmark294"/>
      <w:bookmarkStart w:id="230" w:name="_bookmark298"/>
      <w:bookmarkEnd w:id="228"/>
      <w:bookmarkEnd w:id="229"/>
      <w:bookmarkEnd w:id="230"/>
    </w:p>
    <w:p w14:paraId="1C34EBB9" w14:textId="0A1C1155" w:rsidR="004C558F" w:rsidRDefault="00461887">
      <w:pPr>
        <w:pStyle w:val="BodyText"/>
        <w:spacing w:before="80" w:line="276" w:lineRule="auto"/>
        <w:ind w:left="960" w:right="943"/>
        <w:rPr>
          <w:sz w:val="14"/>
        </w:rPr>
      </w:pPr>
      <w:r>
        <w:lastRenderedPageBreak/>
        <w:t>including reporting on the parties’ mix of publicly insured patients and any continued efforts to expand</w:t>
      </w:r>
      <w:r>
        <w:rPr>
          <w:spacing w:val="-4"/>
        </w:rPr>
        <w:t xml:space="preserve"> </w:t>
      </w:r>
      <w:r>
        <w:t>access</w:t>
      </w:r>
      <w:r>
        <w:rPr>
          <w:spacing w:val="-4"/>
        </w:rPr>
        <w:t xml:space="preserve"> </w:t>
      </w:r>
      <w:r>
        <w:t>for</w:t>
      </w:r>
      <w:r>
        <w:rPr>
          <w:spacing w:val="-5"/>
        </w:rPr>
        <w:t xml:space="preserve"> </w:t>
      </w:r>
      <w:r>
        <w:t>MassHealth</w:t>
      </w:r>
      <w:r>
        <w:rPr>
          <w:spacing w:val="-2"/>
        </w:rPr>
        <w:t xml:space="preserve"> </w:t>
      </w:r>
      <w:r>
        <w:t>patients,</w:t>
      </w:r>
      <w:r>
        <w:rPr>
          <w:spacing w:val="-5"/>
        </w:rPr>
        <w:t xml:space="preserve"> </w:t>
      </w:r>
      <w:r>
        <w:t>as</w:t>
      </w:r>
      <w:r>
        <w:rPr>
          <w:spacing w:val="-4"/>
        </w:rPr>
        <w:t xml:space="preserve"> </w:t>
      </w:r>
      <w:r>
        <w:t>well</w:t>
      </w:r>
      <w:r>
        <w:rPr>
          <w:spacing w:val="-3"/>
        </w:rPr>
        <w:t xml:space="preserve"> </w:t>
      </w:r>
      <w:r>
        <w:t>as</w:t>
      </w:r>
      <w:r>
        <w:rPr>
          <w:spacing w:val="-4"/>
        </w:rPr>
        <w:t xml:space="preserve"> </w:t>
      </w:r>
      <w:r>
        <w:t>other</w:t>
      </w:r>
      <w:r>
        <w:rPr>
          <w:spacing w:val="-3"/>
        </w:rPr>
        <w:t xml:space="preserve"> </w:t>
      </w:r>
      <w:r>
        <w:t>efforts</w:t>
      </w:r>
      <w:r>
        <w:rPr>
          <w:spacing w:val="-2"/>
        </w:rPr>
        <w:t xml:space="preserve"> </w:t>
      </w:r>
      <w:r>
        <w:t>to</w:t>
      </w:r>
      <w:r>
        <w:rPr>
          <w:spacing w:val="-2"/>
        </w:rPr>
        <w:t xml:space="preserve"> </w:t>
      </w:r>
      <w:r>
        <w:t>expand</w:t>
      </w:r>
      <w:r>
        <w:rPr>
          <w:spacing w:val="-1"/>
        </w:rPr>
        <w:t xml:space="preserve"> </w:t>
      </w:r>
      <w:r>
        <w:t>access</w:t>
      </w:r>
      <w:r>
        <w:rPr>
          <w:spacing w:val="-2"/>
        </w:rPr>
        <w:t xml:space="preserve"> </w:t>
      </w:r>
      <w:r>
        <w:t>to</w:t>
      </w:r>
      <w:r>
        <w:rPr>
          <w:spacing w:val="-2"/>
        </w:rPr>
        <w:t xml:space="preserve"> </w:t>
      </w:r>
      <w:r>
        <w:t>services</w:t>
      </w:r>
      <w:r>
        <w:rPr>
          <w:spacing w:val="-4"/>
        </w:rPr>
        <w:t xml:space="preserve"> </w:t>
      </w:r>
      <w:r>
        <w:t>for vulnerable populations including patients with co-occurring behavioral health conditions, would allow the Commonwealth to assess whether and to what extent the transaction enhanced equitable access to oncology care. Annual reporting</w:t>
      </w:r>
      <w:r>
        <w:rPr>
          <w:spacing w:val="-1"/>
        </w:rPr>
        <w:t xml:space="preserve"> </w:t>
      </w:r>
      <w:r>
        <w:t xml:space="preserve">relevant to several of these areas has been proposed as part of the conditions for approval of DFCI’s </w:t>
      </w:r>
      <w:proofErr w:type="spellStart"/>
      <w:r>
        <w:t>DoN</w:t>
      </w:r>
      <w:proofErr w:type="spellEnd"/>
      <w:r>
        <w:t>.</w:t>
      </w:r>
      <w:r>
        <w:rPr>
          <w:spacing w:val="-32"/>
        </w:rPr>
        <w:t xml:space="preserve"> </w:t>
      </w:r>
      <w:r w:rsidR="00A264CB">
        <w:rPr>
          <w:rStyle w:val="FootnoteReference"/>
          <w:spacing w:val="-32"/>
        </w:rPr>
        <w:footnoteReference w:id="266"/>
      </w:r>
    </w:p>
    <w:p w14:paraId="1C34EBBA" w14:textId="77777777" w:rsidR="004C558F" w:rsidRDefault="004C558F">
      <w:pPr>
        <w:pStyle w:val="BodyText"/>
        <w:spacing w:before="38"/>
      </w:pPr>
    </w:p>
    <w:p w14:paraId="1C34EBBB" w14:textId="56A95654" w:rsidR="004C558F" w:rsidRDefault="00461887">
      <w:pPr>
        <w:pStyle w:val="BodyText"/>
        <w:spacing w:line="276" w:lineRule="auto"/>
        <w:ind w:left="959" w:right="891" w:firstLine="720"/>
        <w:rPr>
          <w:sz w:val="14"/>
        </w:rPr>
      </w:pPr>
      <w:r>
        <w:t>One notable plan on which the parties have made a specific public commitment is their plan to align financial assistance policies. As non-profit organizations, the parties are subject to federal tax code that requires hospitals to establish written financial assistance policies that include eligibility criteria for free and/or discounted care, basis for amounts charged to patients, process for</w:t>
      </w:r>
      <w:r>
        <w:rPr>
          <w:spacing w:val="-1"/>
        </w:rPr>
        <w:t xml:space="preserve"> </w:t>
      </w:r>
      <w:r>
        <w:t>applying</w:t>
      </w:r>
      <w:r>
        <w:rPr>
          <w:spacing w:val="-3"/>
        </w:rPr>
        <w:t xml:space="preserve"> </w:t>
      </w:r>
      <w:r>
        <w:t>for</w:t>
      </w:r>
      <w:r>
        <w:rPr>
          <w:spacing w:val="-3"/>
        </w:rPr>
        <w:t xml:space="preserve"> </w:t>
      </w:r>
      <w:r>
        <w:t>financial</w:t>
      </w:r>
      <w:r>
        <w:rPr>
          <w:spacing w:val="-1"/>
        </w:rPr>
        <w:t xml:space="preserve"> </w:t>
      </w:r>
      <w:r>
        <w:t>assistance,</w:t>
      </w:r>
      <w:r>
        <w:rPr>
          <w:spacing w:val="-3"/>
        </w:rPr>
        <w:t xml:space="preserve"> </w:t>
      </w:r>
      <w:r>
        <w:t>and potential</w:t>
      </w:r>
      <w:r>
        <w:rPr>
          <w:spacing w:val="-1"/>
        </w:rPr>
        <w:t xml:space="preserve"> </w:t>
      </w:r>
      <w:r>
        <w:t>consequences of</w:t>
      </w:r>
      <w:r>
        <w:rPr>
          <w:spacing w:val="-2"/>
        </w:rPr>
        <w:t xml:space="preserve"> </w:t>
      </w:r>
      <w:r>
        <w:t>nonpayment.</w:t>
      </w:r>
      <w:r w:rsidR="009C2995">
        <w:rPr>
          <w:rStyle w:val="FootnoteReference"/>
        </w:rPr>
        <w:footnoteReference w:id="267"/>
      </w:r>
      <w:r>
        <w:rPr>
          <w:spacing w:val="20"/>
          <w:position w:val="5"/>
          <w:sz w:val="14"/>
        </w:rPr>
        <w:t xml:space="preserve"> </w:t>
      </w:r>
      <w:r>
        <w:t>DFCI has</w:t>
      </w:r>
      <w:r>
        <w:rPr>
          <w:spacing w:val="-4"/>
        </w:rPr>
        <w:t xml:space="preserve"> </w:t>
      </w:r>
      <w:r>
        <w:t>stated</w:t>
      </w:r>
      <w:r>
        <w:rPr>
          <w:spacing w:val="-1"/>
        </w:rPr>
        <w:t xml:space="preserve"> </w:t>
      </w:r>
      <w:r>
        <w:t>in</w:t>
      </w:r>
      <w:r>
        <w:rPr>
          <w:spacing w:val="-4"/>
        </w:rPr>
        <w:t xml:space="preserve"> </w:t>
      </w:r>
      <w:r>
        <w:t>responses</w:t>
      </w:r>
      <w:r>
        <w:rPr>
          <w:spacing w:val="-2"/>
        </w:rPr>
        <w:t xml:space="preserve"> </w:t>
      </w:r>
      <w:r>
        <w:t>to</w:t>
      </w:r>
      <w:r>
        <w:rPr>
          <w:spacing w:val="-4"/>
        </w:rPr>
        <w:t xml:space="preserve"> </w:t>
      </w:r>
      <w:proofErr w:type="spellStart"/>
      <w:r>
        <w:t>DoN</w:t>
      </w:r>
      <w:proofErr w:type="spellEnd"/>
      <w:r>
        <w:rPr>
          <w:spacing w:val="-1"/>
        </w:rPr>
        <w:t xml:space="preserve"> </w:t>
      </w:r>
      <w:r>
        <w:t>inquiries</w:t>
      </w:r>
      <w:r>
        <w:rPr>
          <w:spacing w:val="-2"/>
        </w:rPr>
        <w:t xml:space="preserve"> </w:t>
      </w:r>
      <w:r>
        <w:t>that</w:t>
      </w:r>
      <w:r>
        <w:rPr>
          <w:spacing w:val="-3"/>
        </w:rPr>
        <w:t xml:space="preserve"> </w:t>
      </w:r>
      <w:r>
        <w:t>it</w:t>
      </w:r>
      <w:r>
        <w:rPr>
          <w:spacing w:val="-3"/>
        </w:rPr>
        <w:t xml:space="preserve"> </w:t>
      </w:r>
      <w:r>
        <w:t>will</w:t>
      </w:r>
      <w:r>
        <w:rPr>
          <w:spacing w:val="-3"/>
        </w:rPr>
        <w:t xml:space="preserve"> </w:t>
      </w:r>
      <w:r>
        <w:t>align</w:t>
      </w:r>
      <w:r>
        <w:rPr>
          <w:spacing w:val="-2"/>
        </w:rPr>
        <w:t xml:space="preserve"> </w:t>
      </w:r>
      <w:r>
        <w:t>its</w:t>
      </w:r>
      <w:r>
        <w:rPr>
          <w:spacing w:val="-2"/>
        </w:rPr>
        <w:t xml:space="preserve"> </w:t>
      </w:r>
      <w:r>
        <w:t>financial</w:t>
      </w:r>
      <w:r>
        <w:rPr>
          <w:spacing w:val="-3"/>
        </w:rPr>
        <w:t xml:space="preserve"> </w:t>
      </w:r>
      <w:r>
        <w:t>assistance</w:t>
      </w:r>
      <w:r>
        <w:rPr>
          <w:spacing w:val="-2"/>
        </w:rPr>
        <w:t xml:space="preserve"> </w:t>
      </w:r>
      <w:r>
        <w:t>policy</w:t>
      </w:r>
      <w:r>
        <w:rPr>
          <w:spacing w:val="-3"/>
        </w:rPr>
        <w:t xml:space="preserve"> </w:t>
      </w:r>
      <w:r>
        <w:t>with</w:t>
      </w:r>
      <w:r>
        <w:rPr>
          <w:spacing w:val="-2"/>
        </w:rPr>
        <w:t xml:space="preserve"> </w:t>
      </w:r>
      <w:r>
        <w:t>that</w:t>
      </w:r>
      <w:r>
        <w:rPr>
          <w:spacing w:val="-5"/>
        </w:rPr>
        <w:t xml:space="preserve"> </w:t>
      </w:r>
      <w:r>
        <w:t>of BIDMC.</w:t>
      </w:r>
      <w:r w:rsidR="009C2995">
        <w:rPr>
          <w:rStyle w:val="FootnoteReference"/>
        </w:rPr>
        <w:footnoteReference w:id="268"/>
      </w:r>
      <w:r>
        <w:rPr>
          <w:spacing w:val="32"/>
          <w:position w:val="5"/>
          <w:sz w:val="14"/>
        </w:rPr>
        <w:t xml:space="preserve"> </w:t>
      </w:r>
      <w:r>
        <w:t>This may improve affordability for patients with low incomes, as BIDMC’s financial assistance policy appears to be more generous than DFCI’s.</w:t>
      </w:r>
      <w:r>
        <w:rPr>
          <w:spacing w:val="-32"/>
        </w:rPr>
        <w:t xml:space="preserve"> </w:t>
      </w:r>
      <w:r w:rsidR="009C2995">
        <w:rPr>
          <w:rStyle w:val="FootnoteReference"/>
          <w:spacing w:val="-32"/>
        </w:rPr>
        <w:footnoteReference w:id="269"/>
      </w:r>
    </w:p>
    <w:p w14:paraId="1C34EBBC" w14:textId="77777777" w:rsidR="004C558F" w:rsidRDefault="004C558F">
      <w:pPr>
        <w:pStyle w:val="BodyText"/>
      </w:pPr>
    </w:p>
    <w:p w14:paraId="1C34EBBD" w14:textId="77777777" w:rsidR="004C558F" w:rsidRDefault="004C558F">
      <w:pPr>
        <w:pStyle w:val="BodyText"/>
        <w:spacing w:before="74"/>
      </w:pPr>
    </w:p>
    <w:p w14:paraId="1C34EBBE" w14:textId="77777777" w:rsidR="004C558F" w:rsidRDefault="00461887">
      <w:pPr>
        <w:ind w:left="5311"/>
      </w:pPr>
      <w:r>
        <w:rPr>
          <w:spacing w:val="-5"/>
        </w:rPr>
        <w:t>***</w:t>
      </w:r>
    </w:p>
    <w:p w14:paraId="1C34EBBF" w14:textId="77777777" w:rsidR="004C558F" w:rsidRDefault="00461887">
      <w:pPr>
        <w:pStyle w:val="BodyText"/>
        <w:spacing w:before="36" w:line="276" w:lineRule="auto"/>
        <w:ind w:left="959" w:right="943" w:firstLine="720"/>
      </w:pPr>
      <w:r>
        <w:t>In</w:t>
      </w:r>
      <w:r>
        <w:rPr>
          <w:spacing w:val="-3"/>
        </w:rPr>
        <w:t xml:space="preserve"> </w:t>
      </w:r>
      <w:r>
        <w:t>summary,</w:t>
      </w:r>
      <w:r>
        <w:rPr>
          <w:spacing w:val="-3"/>
        </w:rPr>
        <w:t xml:space="preserve"> </w:t>
      </w:r>
      <w:r>
        <w:t>although</w:t>
      </w:r>
      <w:r>
        <w:rPr>
          <w:spacing w:val="-5"/>
        </w:rPr>
        <w:t xml:space="preserve"> </w:t>
      </w:r>
      <w:r>
        <w:t>statewide</w:t>
      </w:r>
      <w:r>
        <w:rPr>
          <w:spacing w:val="-3"/>
        </w:rPr>
        <w:t xml:space="preserve"> </w:t>
      </w:r>
      <w:r>
        <w:t>inpatient</w:t>
      </w:r>
      <w:r>
        <w:rPr>
          <w:spacing w:val="-4"/>
        </w:rPr>
        <w:t xml:space="preserve"> </w:t>
      </w:r>
      <w:r>
        <w:t>oncology</w:t>
      </w:r>
      <w:r>
        <w:rPr>
          <w:spacing w:val="-6"/>
        </w:rPr>
        <w:t xml:space="preserve"> </w:t>
      </w:r>
      <w:r>
        <w:t>utilization</w:t>
      </w:r>
      <w:r>
        <w:rPr>
          <w:spacing w:val="-5"/>
        </w:rPr>
        <w:t xml:space="preserve"> </w:t>
      </w:r>
      <w:r>
        <w:t>may</w:t>
      </w:r>
      <w:r>
        <w:rPr>
          <w:spacing w:val="-4"/>
        </w:rPr>
        <w:t xml:space="preserve"> </w:t>
      </w:r>
      <w:r>
        <w:t>increase</w:t>
      </w:r>
      <w:r>
        <w:rPr>
          <w:spacing w:val="-5"/>
        </w:rPr>
        <w:t xml:space="preserve"> </w:t>
      </w:r>
      <w:r>
        <w:t>over</w:t>
      </w:r>
      <w:r>
        <w:rPr>
          <w:spacing w:val="-4"/>
        </w:rPr>
        <w:t xml:space="preserve"> </w:t>
      </w:r>
      <w:r>
        <w:t>time</w:t>
      </w:r>
      <w:r>
        <w:rPr>
          <w:spacing w:val="-3"/>
        </w:rPr>
        <w:t xml:space="preserve"> </w:t>
      </w:r>
      <w:r>
        <w:t>due to Massachusetts’ aging population, given the many factors that may impact future inpatient oncology utilization, the limits of statistical modeling, and the inability to fully assess other inpatient</w:t>
      </w:r>
      <w:r>
        <w:rPr>
          <w:spacing w:val="-2"/>
        </w:rPr>
        <w:t xml:space="preserve"> </w:t>
      </w:r>
      <w:r>
        <w:t>oncology</w:t>
      </w:r>
      <w:r>
        <w:rPr>
          <w:spacing w:val="-2"/>
        </w:rPr>
        <w:t xml:space="preserve"> </w:t>
      </w:r>
      <w:r>
        <w:t>capacity,</w:t>
      </w:r>
      <w:r>
        <w:rPr>
          <w:spacing w:val="-1"/>
        </w:rPr>
        <w:t xml:space="preserve"> </w:t>
      </w:r>
      <w:r>
        <w:t>it</w:t>
      </w:r>
      <w:r>
        <w:rPr>
          <w:spacing w:val="-2"/>
        </w:rPr>
        <w:t xml:space="preserve"> </w:t>
      </w:r>
      <w:r>
        <w:t>is</w:t>
      </w:r>
      <w:r>
        <w:rPr>
          <w:spacing w:val="-1"/>
        </w:rPr>
        <w:t xml:space="preserve"> </w:t>
      </w:r>
      <w:r>
        <w:t>unclear</w:t>
      </w:r>
      <w:r>
        <w:rPr>
          <w:spacing w:val="-2"/>
        </w:rPr>
        <w:t xml:space="preserve"> </w:t>
      </w:r>
      <w:r>
        <w:t>to</w:t>
      </w:r>
      <w:r>
        <w:rPr>
          <w:spacing w:val="-1"/>
        </w:rPr>
        <w:t xml:space="preserve"> </w:t>
      </w:r>
      <w:r>
        <w:t>what</w:t>
      </w:r>
      <w:r>
        <w:rPr>
          <w:spacing w:val="-4"/>
        </w:rPr>
        <w:t xml:space="preserve"> </w:t>
      </w:r>
      <w:r>
        <w:t>extent</w:t>
      </w:r>
      <w:r>
        <w:rPr>
          <w:spacing w:val="-2"/>
        </w:rPr>
        <w:t xml:space="preserve"> </w:t>
      </w:r>
      <w:r>
        <w:t>the</w:t>
      </w:r>
      <w:r>
        <w:rPr>
          <w:spacing w:val="-1"/>
        </w:rPr>
        <w:t xml:space="preserve"> </w:t>
      </w:r>
      <w:r>
        <w:t>parties’</w:t>
      </w:r>
      <w:r>
        <w:rPr>
          <w:spacing w:val="-4"/>
        </w:rPr>
        <w:t xml:space="preserve"> </w:t>
      </w:r>
      <w:r>
        <w:t>specific</w:t>
      </w:r>
      <w:r>
        <w:rPr>
          <w:spacing w:val="-1"/>
        </w:rPr>
        <w:t xml:space="preserve"> </w:t>
      </w:r>
      <w:r>
        <w:t>proposal</w:t>
      </w:r>
      <w:r>
        <w:rPr>
          <w:spacing w:val="-2"/>
        </w:rPr>
        <w:t xml:space="preserve"> </w:t>
      </w:r>
      <w:r>
        <w:t>is</w:t>
      </w:r>
      <w:r>
        <w:rPr>
          <w:spacing w:val="-3"/>
        </w:rPr>
        <w:t xml:space="preserve"> </w:t>
      </w:r>
      <w:r>
        <w:t>necessary or sufficient to ensure future access to inpatient oncology care.</w:t>
      </w:r>
    </w:p>
    <w:p w14:paraId="1C34EBC0" w14:textId="77777777" w:rsidR="004C558F" w:rsidRDefault="004C558F">
      <w:pPr>
        <w:pStyle w:val="BodyText"/>
        <w:spacing w:before="39"/>
      </w:pPr>
    </w:p>
    <w:p w14:paraId="1C34EBC1" w14:textId="77777777" w:rsidR="004C558F" w:rsidRDefault="00461887">
      <w:pPr>
        <w:pStyle w:val="BodyText"/>
        <w:spacing w:line="276" w:lineRule="auto"/>
        <w:ind w:left="960" w:right="1068" w:firstLine="719"/>
      </w:pPr>
      <w:r>
        <w:t>Regarding their role in serving traditionally underserved and government-payer populations, DFCI and BIDMC have a relatively large proportion of commercially insured and Medicaid-insured oncology patients, BIDMC’s oncology patients reside in areas with greater indicia of social need than DFCI’s patients, DFCI and BIDMC serve a greater proportion of BIPOC and Hispanic oncology inpatients than the statewide average, and DFCI has the largest share of oncology discharges from rural areas among other major cancer providers in Boston. DFCI’s patient</w:t>
      </w:r>
      <w:r>
        <w:rPr>
          <w:spacing w:val="-4"/>
        </w:rPr>
        <w:t xml:space="preserve"> </w:t>
      </w:r>
      <w:r>
        <w:t>population</w:t>
      </w:r>
      <w:r>
        <w:rPr>
          <w:spacing w:val="-5"/>
        </w:rPr>
        <w:t xml:space="preserve"> </w:t>
      </w:r>
      <w:r>
        <w:t>after</w:t>
      </w:r>
      <w:r>
        <w:rPr>
          <w:spacing w:val="-4"/>
        </w:rPr>
        <w:t xml:space="preserve"> </w:t>
      </w:r>
      <w:r>
        <w:t>the</w:t>
      </w:r>
      <w:r>
        <w:rPr>
          <w:spacing w:val="-3"/>
        </w:rPr>
        <w:t xml:space="preserve"> </w:t>
      </w:r>
      <w:r>
        <w:t>transaction</w:t>
      </w:r>
      <w:r>
        <w:rPr>
          <w:spacing w:val="-3"/>
        </w:rPr>
        <w:t xml:space="preserve"> </w:t>
      </w:r>
      <w:r>
        <w:t>would</w:t>
      </w:r>
      <w:r>
        <w:rPr>
          <w:spacing w:val="-2"/>
        </w:rPr>
        <w:t xml:space="preserve"> </w:t>
      </w:r>
      <w:r>
        <w:t>tend</w:t>
      </w:r>
      <w:r>
        <w:rPr>
          <w:spacing w:val="-2"/>
        </w:rPr>
        <w:t xml:space="preserve"> </w:t>
      </w:r>
      <w:r>
        <w:t>to</w:t>
      </w:r>
      <w:r>
        <w:rPr>
          <w:spacing w:val="-3"/>
        </w:rPr>
        <w:t xml:space="preserve"> </w:t>
      </w:r>
      <w:r>
        <w:t>resemble</w:t>
      </w:r>
      <w:r>
        <w:rPr>
          <w:spacing w:val="-3"/>
        </w:rPr>
        <w:t xml:space="preserve"> </w:t>
      </w:r>
      <w:r>
        <w:t>the</w:t>
      </w:r>
      <w:r>
        <w:rPr>
          <w:spacing w:val="-5"/>
        </w:rPr>
        <w:t xml:space="preserve"> </w:t>
      </w:r>
      <w:r>
        <w:t>characteristics</w:t>
      </w:r>
      <w:r>
        <w:rPr>
          <w:spacing w:val="-3"/>
        </w:rPr>
        <w:t xml:space="preserve"> </w:t>
      </w:r>
      <w:r>
        <w:t>of</w:t>
      </w:r>
      <w:r>
        <w:rPr>
          <w:spacing w:val="-5"/>
        </w:rPr>
        <w:t xml:space="preserve"> </w:t>
      </w:r>
      <w:r>
        <w:t>BIDMC</w:t>
      </w:r>
      <w:r>
        <w:rPr>
          <w:spacing w:val="-6"/>
        </w:rPr>
        <w:t xml:space="preserve"> </w:t>
      </w:r>
      <w:r>
        <w:t>and</w:t>
      </w:r>
    </w:p>
    <w:p w14:paraId="1C34EBC2" w14:textId="72BDFBD4" w:rsidR="004C558F" w:rsidRDefault="004C558F">
      <w:pPr>
        <w:pStyle w:val="BodyText"/>
        <w:spacing w:before="82"/>
        <w:rPr>
          <w:sz w:val="20"/>
        </w:rPr>
      </w:pPr>
    </w:p>
    <w:p w14:paraId="1C34EBC8" w14:textId="77777777" w:rsidR="004C558F" w:rsidRDefault="004C558F">
      <w:pPr>
        <w:rPr>
          <w:sz w:val="20"/>
        </w:rPr>
        <w:sectPr w:rsidR="004C558F">
          <w:pgSz w:w="12240" w:h="15840"/>
          <w:pgMar w:top="1360" w:right="740" w:bottom="720" w:left="480" w:header="0" w:footer="521" w:gutter="0"/>
          <w:cols w:space="720"/>
        </w:sectPr>
      </w:pPr>
      <w:bookmarkStart w:id="231" w:name="_bookmark299"/>
      <w:bookmarkStart w:id="232" w:name="_bookmark301"/>
      <w:bookmarkEnd w:id="231"/>
      <w:bookmarkEnd w:id="232"/>
    </w:p>
    <w:p w14:paraId="1C34EBC9" w14:textId="77777777" w:rsidR="004C558F" w:rsidRDefault="00461887">
      <w:pPr>
        <w:pStyle w:val="BodyText"/>
        <w:spacing w:before="80" w:line="276" w:lineRule="auto"/>
        <w:ind w:left="960" w:right="991"/>
      </w:pPr>
      <w:r>
        <w:lastRenderedPageBreak/>
        <w:t>other</w:t>
      </w:r>
      <w:r>
        <w:rPr>
          <w:spacing w:val="-2"/>
        </w:rPr>
        <w:t xml:space="preserve"> </w:t>
      </w:r>
      <w:r>
        <w:t>hospitals</w:t>
      </w:r>
      <w:r>
        <w:rPr>
          <w:spacing w:val="-1"/>
        </w:rPr>
        <w:t xml:space="preserve"> </w:t>
      </w:r>
      <w:r>
        <w:t>from</w:t>
      </w:r>
      <w:r>
        <w:rPr>
          <w:spacing w:val="-1"/>
        </w:rPr>
        <w:t xml:space="preserve"> </w:t>
      </w:r>
      <w:r>
        <w:t>which</w:t>
      </w:r>
      <w:r>
        <w:rPr>
          <w:spacing w:val="-1"/>
        </w:rPr>
        <w:t xml:space="preserve"> </w:t>
      </w:r>
      <w:r>
        <w:t>it</w:t>
      </w:r>
      <w:r>
        <w:rPr>
          <w:spacing w:val="-2"/>
        </w:rPr>
        <w:t xml:space="preserve"> </w:t>
      </w:r>
      <w:r>
        <w:t>would</w:t>
      </w:r>
      <w:r>
        <w:rPr>
          <w:spacing w:val="-3"/>
        </w:rPr>
        <w:t xml:space="preserve"> </w:t>
      </w:r>
      <w:r>
        <w:t>draw</w:t>
      </w:r>
      <w:r>
        <w:rPr>
          <w:spacing w:val="-2"/>
        </w:rPr>
        <w:t xml:space="preserve"> </w:t>
      </w:r>
      <w:r>
        <w:t>patients.</w:t>
      </w:r>
      <w:r>
        <w:rPr>
          <w:spacing w:val="-4"/>
        </w:rPr>
        <w:t xml:space="preserve"> </w:t>
      </w:r>
      <w:r>
        <w:t>The</w:t>
      </w:r>
      <w:r>
        <w:rPr>
          <w:spacing w:val="-1"/>
        </w:rPr>
        <w:t xml:space="preserve"> </w:t>
      </w:r>
      <w:r>
        <w:t>parties</w:t>
      </w:r>
      <w:r>
        <w:rPr>
          <w:spacing w:val="-1"/>
        </w:rPr>
        <w:t xml:space="preserve"> </w:t>
      </w:r>
      <w:r>
        <w:t>are</w:t>
      </w:r>
      <w:r>
        <w:rPr>
          <w:spacing w:val="-3"/>
        </w:rPr>
        <w:t xml:space="preserve"> </w:t>
      </w:r>
      <w:r>
        <w:t>currently</w:t>
      </w:r>
      <w:r>
        <w:rPr>
          <w:spacing w:val="-2"/>
        </w:rPr>
        <w:t xml:space="preserve"> </w:t>
      </w:r>
      <w:r>
        <w:t>engaged in</w:t>
      </w:r>
      <w:r>
        <w:rPr>
          <w:spacing w:val="-1"/>
        </w:rPr>
        <w:t xml:space="preserve"> </w:t>
      </w:r>
      <w:r>
        <w:t>programs designed to improve access and equitable care for their oncology patients and have developed plans to collaborate on expanding access and improving affordability for low-income patients following</w:t>
      </w:r>
      <w:r>
        <w:rPr>
          <w:spacing w:val="-5"/>
        </w:rPr>
        <w:t xml:space="preserve"> </w:t>
      </w:r>
      <w:r>
        <w:t>the</w:t>
      </w:r>
      <w:r>
        <w:rPr>
          <w:spacing w:val="-2"/>
        </w:rPr>
        <w:t xml:space="preserve"> </w:t>
      </w:r>
      <w:r>
        <w:t>transaction,</w:t>
      </w:r>
      <w:r>
        <w:rPr>
          <w:spacing w:val="-7"/>
        </w:rPr>
        <w:t xml:space="preserve"> </w:t>
      </w:r>
      <w:r>
        <w:t>but</w:t>
      </w:r>
      <w:r>
        <w:rPr>
          <w:spacing w:val="-3"/>
        </w:rPr>
        <w:t xml:space="preserve"> </w:t>
      </w:r>
      <w:r>
        <w:t>their</w:t>
      </w:r>
      <w:r>
        <w:rPr>
          <w:spacing w:val="-3"/>
        </w:rPr>
        <w:t xml:space="preserve"> </w:t>
      </w:r>
      <w:r>
        <w:t>plans</w:t>
      </w:r>
      <w:r>
        <w:rPr>
          <w:spacing w:val="-2"/>
        </w:rPr>
        <w:t xml:space="preserve"> </w:t>
      </w:r>
      <w:r>
        <w:t>are</w:t>
      </w:r>
      <w:r>
        <w:rPr>
          <w:spacing w:val="-2"/>
        </w:rPr>
        <w:t xml:space="preserve"> </w:t>
      </w:r>
      <w:r>
        <w:t>preliminary</w:t>
      </w:r>
      <w:r>
        <w:rPr>
          <w:spacing w:val="-3"/>
        </w:rPr>
        <w:t xml:space="preserve"> </w:t>
      </w:r>
      <w:r>
        <w:t>and</w:t>
      </w:r>
      <w:r>
        <w:rPr>
          <w:spacing w:val="-4"/>
        </w:rPr>
        <w:t xml:space="preserve"> </w:t>
      </w:r>
      <w:r>
        <w:t>do</w:t>
      </w:r>
      <w:r>
        <w:rPr>
          <w:spacing w:val="-4"/>
        </w:rPr>
        <w:t xml:space="preserve"> </w:t>
      </w:r>
      <w:r>
        <w:t>not</w:t>
      </w:r>
      <w:r>
        <w:rPr>
          <w:spacing w:val="-3"/>
        </w:rPr>
        <w:t xml:space="preserve"> </w:t>
      </w:r>
      <w:r>
        <w:t>yet</w:t>
      </w:r>
      <w:r>
        <w:rPr>
          <w:spacing w:val="-3"/>
        </w:rPr>
        <w:t xml:space="preserve"> </w:t>
      </w:r>
      <w:r>
        <w:t>include</w:t>
      </w:r>
      <w:r>
        <w:rPr>
          <w:spacing w:val="-2"/>
        </w:rPr>
        <w:t xml:space="preserve"> </w:t>
      </w:r>
      <w:r>
        <w:t>details</w:t>
      </w:r>
      <w:r>
        <w:rPr>
          <w:spacing w:val="-2"/>
        </w:rPr>
        <w:t xml:space="preserve"> </w:t>
      </w:r>
      <w:r>
        <w:t>necessary to assess the likelihood of specific potential access improvements.</w:t>
      </w:r>
    </w:p>
    <w:p w14:paraId="1C34EBCA" w14:textId="77777777" w:rsidR="004C558F" w:rsidRDefault="004C558F">
      <w:pPr>
        <w:pStyle w:val="BodyText"/>
        <w:spacing w:before="36"/>
      </w:pPr>
    </w:p>
    <w:p w14:paraId="1C34EBCB" w14:textId="77777777" w:rsidR="004C558F" w:rsidRDefault="00461887">
      <w:pPr>
        <w:pStyle w:val="BodyText"/>
        <w:spacing w:line="276" w:lineRule="auto"/>
        <w:ind w:left="959" w:right="991" w:firstLine="720"/>
      </w:pPr>
      <w:r>
        <w:t xml:space="preserve">Should the proposed affiliation proceed, regular public reporting on the implementation and results of the parties’ proposed access and equity initiatives, including reporting on the parties’ mix of publicly insured patients and any continued efforts to expand access for MassHealth patients, would allow the Commonwealth to assess whether and to what extent the transaction enhanced equitable access to </w:t>
      </w:r>
      <w:proofErr w:type="gramStart"/>
      <w:r>
        <w:t>oncology</w:t>
      </w:r>
      <w:proofErr w:type="gramEnd"/>
      <w:r>
        <w:t xml:space="preserve"> care. The proposed conditions of approval of DFCI’s</w:t>
      </w:r>
      <w:r>
        <w:rPr>
          <w:spacing w:val="-3"/>
        </w:rPr>
        <w:t xml:space="preserve"> </w:t>
      </w:r>
      <w:proofErr w:type="spellStart"/>
      <w:r>
        <w:t>DoN</w:t>
      </w:r>
      <w:proofErr w:type="spellEnd"/>
      <w:r>
        <w:rPr>
          <w:spacing w:val="-2"/>
        </w:rPr>
        <w:t xml:space="preserve"> </w:t>
      </w:r>
      <w:r>
        <w:t>include</w:t>
      </w:r>
      <w:r>
        <w:rPr>
          <w:spacing w:val="-3"/>
        </w:rPr>
        <w:t xml:space="preserve"> </w:t>
      </w:r>
      <w:r>
        <w:t>reporting</w:t>
      </w:r>
      <w:r>
        <w:rPr>
          <w:spacing w:val="-4"/>
        </w:rPr>
        <w:t xml:space="preserve"> </w:t>
      </w:r>
      <w:r>
        <w:t>of</w:t>
      </w:r>
      <w:r>
        <w:rPr>
          <w:spacing w:val="-2"/>
        </w:rPr>
        <w:t xml:space="preserve"> </w:t>
      </w:r>
      <w:r>
        <w:t>this</w:t>
      </w:r>
      <w:r>
        <w:rPr>
          <w:spacing w:val="-3"/>
        </w:rPr>
        <w:t xml:space="preserve"> </w:t>
      </w:r>
      <w:r>
        <w:t>kind.</w:t>
      </w:r>
      <w:r>
        <w:rPr>
          <w:spacing w:val="-6"/>
        </w:rPr>
        <w:t xml:space="preserve"> </w:t>
      </w:r>
      <w:r>
        <w:t>The</w:t>
      </w:r>
      <w:r>
        <w:rPr>
          <w:spacing w:val="-3"/>
        </w:rPr>
        <w:t xml:space="preserve"> </w:t>
      </w:r>
      <w:r>
        <w:t>Commonwealth</w:t>
      </w:r>
      <w:r>
        <w:rPr>
          <w:spacing w:val="-3"/>
        </w:rPr>
        <w:t xml:space="preserve"> </w:t>
      </w:r>
      <w:r>
        <w:t>must</w:t>
      </w:r>
      <w:r>
        <w:rPr>
          <w:spacing w:val="-6"/>
        </w:rPr>
        <w:t xml:space="preserve"> </w:t>
      </w:r>
      <w:r>
        <w:t>also</w:t>
      </w:r>
      <w:r>
        <w:rPr>
          <w:spacing w:val="-5"/>
        </w:rPr>
        <w:t xml:space="preserve"> </w:t>
      </w:r>
      <w:r>
        <w:t>consider</w:t>
      </w:r>
      <w:r>
        <w:rPr>
          <w:spacing w:val="-4"/>
        </w:rPr>
        <w:t xml:space="preserve"> </w:t>
      </w:r>
      <w:r>
        <w:t>the</w:t>
      </w:r>
      <w:r>
        <w:rPr>
          <w:spacing w:val="-3"/>
        </w:rPr>
        <w:t xml:space="preserve"> </w:t>
      </w:r>
      <w:r>
        <w:t>implications of continued significant investment in specialty care capacity in Boston for the accessibility of these services in other parts of the state, and the parties and other major oncology providers should commit to expanding coordination with community providers.</w:t>
      </w:r>
    </w:p>
    <w:p w14:paraId="1C34EBCC" w14:textId="77777777" w:rsidR="004C558F" w:rsidRDefault="004C558F">
      <w:pPr>
        <w:pStyle w:val="BodyText"/>
      </w:pPr>
    </w:p>
    <w:p w14:paraId="1C34EBCD" w14:textId="77777777" w:rsidR="004C558F" w:rsidRDefault="004C558F">
      <w:pPr>
        <w:pStyle w:val="BodyText"/>
        <w:spacing w:before="148"/>
      </w:pPr>
    </w:p>
    <w:p w14:paraId="1C34EBCE" w14:textId="77777777" w:rsidR="004C558F" w:rsidRDefault="00461887">
      <w:pPr>
        <w:pStyle w:val="Heading1"/>
        <w:numPr>
          <w:ilvl w:val="0"/>
          <w:numId w:val="16"/>
        </w:numPr>
        <w:tabs>
          <w:tab w:val="left" w:pos="959"/>
        </w:tabs>
        <w:spacing w:before="0"/>
        <w:ind w:left="959" w:hanging="712"/>
        <w:jc w:val="left"/>
      </w:pPr>
      <w:bookmarkStart w:id="233" w:name="IV._Conclusion"/>
      <w:bookmarkStart w:id="234" w:name="_bookmark303"/>
      <w:bookmarkEnd w:id="233"/>
      <w:bookmarkEnd w:id="234"/>
      <w:r>
        <w:rPr>
          <w:color w:val="084875"/>
          <w:spacing w:val="-2"/>
        </w:rPr>
        <w:t>CONCLUSION</w:t>
      </w:r>
    </w:p>
    <w:p w14:paraId="1C34EBCF" w14:textId="77777777" w:rsidR="004C558F" w:rsidRDefault="004C558F">
      <w:pPr>
        <w:pStyle w:val="BodyText"/>
        <w:spacing w:before="138"/>
        <w:rPr>
          <w:rFonts w:ascii="Franklin Gothic Demi"/>
          <w:b/>
          <w:sz w:val="32"/>
        </w:rPr>
      </w:pPr>
    </w:p>
    <w:p w14:paraId="1C34EBD0" w14:textId="77777777" w:rsidR="004C558F" w:rsidRDefault="00461887">
      <w:pPr>
        <w:pStyle w:val="BodyText"/>
        <w:spacing w:before="1"/>
        <w:ind w:left="960"/>
      </w:pPr>
      <w:r>
        <w:t>As</w:t>
      </w:r>
      <w:r>
        <w:rPr>
          <w:spacing w:val="-3"/>
        </w:rPr>
        <w:t xml:space="preserve"> </w:t>
      </w:r>
      <w:r>
        <w:t>described</w:t>
      </w:r>
      <w:r>
        <w:rPr>
          <w:spacing w:val="-2"/>
        </w:rPr>
        <w:t xml:space="preserve"> </w:t>
      </w:r>
      <w:r>
        <w:t>in</w:t>
      </w:r>
      <w:r>
        <w:rPr>
          <w:spacing w:val="-3"/>
        </w:rPr>
        <w:t xml:space="preserve"> </w:t>
      </w:r>
      <w:r>
        <w:t>Section</w:t>
      </w:r>
      <w:r>
        <w:rPr>
          <w:spacing w:val="-2"/>
        </w:rPr>
        <w:t xml:space="preserve"> </w:t>
      </w:r>
      <w:r>
        <w:t>III,</w:t>
      </w:r>
      <w:r>
        <w:rPr>
          <w:spacing w:val="-6"/>
        </w:rPr>
        <w:t xml:space="preserve"> </w:t>
      </w:r>
      <w:r>
        <w:t>the</w:t>
      </w:r>
      <w:r>
        <w:rPr>
          <w:spacing w:val="-3"/>
        </w:rPr>
        <w:t xml:space="preserve"> </w:t>
      </w:r>
      <w:r>
        <w:t>HPC</w:t>
      </w:r>
      <w:r>
        <w:rPr>
          <w:spacing w:val="-3"/>
        </w:rPr>
        <w:t xml:space="preserve"> </w:t>
      </w:r>
      <w:r>
        <w:rPr>
          <w:spacing w:val="-2"/>
        </w:rPr>
        <w:t>found:</w:t>
      </w:r>
    </w:p>
    <w:p w14:paraId="1C34EBD1" w14:textId="77777777" w:rsidR="004C558F" w:rsidRDefault="004C558F">
      <w:pPr>
        <w:pStyle w:val="BodyText"/>
        <w:spacing w:before="74"/>
      </w:pPr>
    </w:p>
    <w:p w14:paraId="1C34EBD2" w14:textId="77777777" w:rsidR="004C558F" w:rsidRDefault="00461887">
      <w:pPr>
        <w:pStyle w:val="ListParagraph"/>
        <w:numPr>
          <w:ilvl w:val="1"/>
          <w:numId w:val="16"/>
        </w:numPr>
        <w:tabs>
          <w:tab w:val="left" w:pos="1679"/>
        </w:tabs>
        <w:spacing w:line="276" w:lineRule="auto"/>
        <w:ind w:right="967"/>
      </w:pPr>
      <w:r>
        <w:t>Cost and Market: DFCI and BIDMC both serve patients primarily from eastern Massachusetts, and MGB (in conjunction with DFCI) and BILH are the two largest</w:t>
      </w:r>
      <w:r>
        <w:rPr>
          <w:spacing w:val="40"/>
        </w:rPr>
        <w:t xml:space="preserve"> </w:t>
      </w:r>
      <w:r>
        <w:t xml:space="preserve">providers of oncology services in their service areas and in the Commonwealth generally. DFCI and BIDMC commercial prices for </w:t>
      </w:r>
      <w:r>
        <w:rPr>
          <w:i/>
        </w:rPr>
        <w:t xml:space="preserve">inpatient </w:t>
      </w:r>
      <w:r>
        <w:t>medical and surgical oncology services, respectively,</w:t>
      </w:r>
      <w:r>
        <w:rPr>
          <w:spacing w:val="-2"/>
        </w:rPr>
        <w:t xml:space="preserve"> </w:t>
      </w:r>
      <w:r>
        <w:t>are</w:t>
      </w:r>
      <w:r>
        <w:rPr>
          <w:spacing w:val="-2"/>
        </w:rPr>
        <w:t xml:space="preserve"> </w:t>
      </w:r>
      <w:r>
        <w:t>generally</w:t>
      </w:r>
      <w:r>
        <w:rPr>
          <w:spacing w:val="-5"/>
        </w:rPr>
        <w:t xml:space="preserve"> </w:t>
      </w:r>
      <w:r>
        <w:t>lower</w:t>
      </w:r>
      <w:r>
        <w:rPr>
          <w:spacing w:val="-3"/>
        </w:rPr>
        <w:t xml:space="preserve"> </w:t>
      </w:r>
      <w:r>
        <w:t>than</w:t>
      </w:r>
      <w:r>
        <w:rPr>
          <w:spacing w:val="-2"/>
        </w:rPr>
        <w:t xml:space="preserve"> </w:t>
      </w:r>
      <w:r>
        <w:t>prices</w:t>
      </w:r>
      <w:r>
        <w:rPr>
          <w:spacing w:val="-2"/>
        </w:rPr>
        <w:t xml:space="preserve"> </w:t>
      </w:r>
      <w:r>
        <w:t>for</w:t>
      </w:r>
      <w:r>
        <w:rPr>
          <w:spacing w:val="-3"/>
        </w:rPr>
        <w:t xml:space="preserve"> </w:t>
      </w:r>
      <w:r>
        <w:t>the</w:t>
      </w:r>
      <w:r>
        <w:rPr>
          <w:spacing w:val="-4"/>
        </w:rPr>
        <w:t xml:space="preserve"> </w:t>
      </w:r>
      <w:r>
        <w:t>same</w:t>
      </w:r>
      <w:r>
        <w:rPr>
          <w:spacing w:val="-2"/>
        </w:rPr>
        <w:t xml:space="preserve"> </w:t>
      </w:r>
      <w:r>
        <w:t>services</w:t>
      </w:r>
      <w:r>
        <w:rPr>
          <w:spacing w:val="-4"/>
        </w:rPr>
        <w:t xml:space="preserve"> </w:t>
      </w:r>
      <w:r>
        <w:t>at</w:t>
      </w:r>
      <w:r>
        <w:rPr>
          <w:spacing w:val="-3"/>
        </w:rPr>
        <w:t xml:space="preserve"> </w:t>
      </w:r>
      <w:r>
        <w:t>BWH,</w:t>
      </w:r>
      <w:r>
        <w:rPr>
          <w:spacing w:val="-2"/>
        </w:rPr>
        <w:t xml:space="preserve"> </w:t>
      </w:r>
      <w:r>
        <w:t>but</w:t>
      </w:r>
      <w:r>
        <w:rPr>
          <w:spacing w:val="-3"/>
        </w:rPr>
        <w:t xml:space="preserve"> </w:t>
      </w:r>
      <w:r>
        <w:t>higher</w:t>
      </w:r>
      <w:r>
        <w:rPr>
          <w:spacing w:val="-3"/>
        </w:rPr>
        <w:t xml:space="preserve"> </w:t>
      </w:r>
      <w:r>
        <w:t xml:space="preserve">than those of some other hospitals. DFCI commercial </w:t>
      </w:r>
      <w:r>
        <w:rPr>
          <w:i/>
        </w:rPr>
        <w:t xml:space="preserve">outpatient </w:t>
      </w:r>
      <w:r>
        <w:t>prices are generally higher than outpatient oncology prices of other Massachusetts hospitals, while BIDMC’s are generally moderate.</w:t>
      </w:r>
    </w:p>
    <w:p w14:paraId="1C34EBD3" w14:textId="77777777" w:rsidR="004C558F" w:rsidRDefault="004C558F">
      <w:pPr>
        <w:pStyle w:val="BodyText"/>
        <w:spacing w:before="36"/>
      </w:pPr>
    </w:p>
    <w:p w14:paraId="1C34EBD4" w14:textId="77777777" w:rsidR="004C558F" w:rsidRDefault="00461887">
      <w:pPr>
        <w:pStyle w:val="BodyText"/>
        <w:spacing w:line="276" w:lineRule="auto"/>
        <w:ind w:left="1680" w:right="891"/>
      </w:pPr>
      <w:r>
        <w:t>The</w:t>
      </w:r>
      <w:r>
        <w:rPr>
          <w:spacing w:val="-2"/>
        </w:rPr>
        <w:t xml:space="preserve"> </w:t>
      </w:r>
      <w:r>
        <w:t>proposed</w:t>
      </w:r>
      <w:r>
        <w:rPr>
          <w:spacing w:val="-1"/>
        </w:rPr>
        <w:t xml:space="preserve"> </w:t>
      </w:r>
      <w:r>
        <w:t>transaction</w:t>
      </w:r>
      <w:r>
        <w:rPr>
          <w:spacing w:val="-4"/>
        </w:rPr>
        <w:t xml:space="preserve"> </w:t>
      </w:r>
      <w:r>
        <w:t>and</w:t>
      </w:r>
      <w:r>
        <w:rPr>
          <w:spacing w:val="-4"/>
        </w:rPr>
        <w:t xml:space="preserve"> </w:t>
      </w:r>
      <w:r>
        <w:t>the</w:t>
      </w:r>
      <w:r>
        <w:rPr>
          <w:spacing w:val="-2"/>
        </w:rPr>
        <w:t xml:space="preserve"> </w:t>
      </w:r>
      <w:r>
        <w:t>construction</w:t>
      </w:r>
      <w:r>
        <w:rPr>
          <w:spacing w:val="-4"/>
        </w:rPr>
        <w:t xml:space="preserve"> </w:t>
      </w:r>
      <w:r>
        <w:t>of</w:t>
      </w:r>
      <w:r>
        <w:rPr>
          <w:spacing w:val="-1"/>
        </w:rPr>
        <w:t xml:space="preserve"> </w:t>
      </w:r>
      <w:r>
        <w:t>the</w:t>
      </w:r>
      <w:r>
        <w:rPr>
          <w:spacing w:val="-2"/>
        </w:rPr>
        <w:t xml:space="preserve"> </w:t>
      </w:r>
      <w:r>
        <w:t>new</w:t>
      </w:r>
      <w:r>
        <w:rPr>
          <w:spacing w:val="-5"/>
        </w:rPr>
        <w:t xml:space="preserve"> </w:t>
      </w:r>
      <w:r>
        <w:t>DFCI</w:t>
      </w:r>
      <w:r>
        <w:rPr>
          <w:spacing w:val="-5"/>
        </w:rPr>
        <w:t xml:space="preserve"> </w:t>
      </w:r>
      <w:r>
        <w:t>facility</w:t>
      </w:r>
      <w:r>
        <w:rPr>
          <w:spacing w:val="-3"/>
        </w:rPr>
        <w:t xml:space="preserve"> </w:t>
      </w:r>
      <w:r>
        <w:t>would</w:t>
      </w:r>
      <w:r>
        <w:rPr>
          <w:spacing w:val="-1"/>
        </w:rPr>
        <w:t xml:space="preserve"> </w:t>
      </w:r>
      <w:r>
        <w:t>likely</w:t>
      </w:r>
      <w:r>
        <w:rPr>
          <w:spacing w:val="-3"/>
        </w:rPr>
        <w:t xml:space="preserve"> </w:t>
      </w:r>
      <w:r>
        <w:t>shift</w:t>
      </w:r>
      <w:r>
        <w:rPr>
          <w:spacing w:val="-3"/>
        </w:rPr>
        <w:t xml:space="preserve"> </w:t>
      </w:r>
      <w:r>
        <w:t>a large volume of oncology care from BIDMC, BWH, and other oncology providers to DFCI. BIDMC</w:t>
      </w:r>
      <w:r>
        <w:rPr>
          <w:spacing w:val="-2"/>
        </w:rPr>
        <w:t xml:space="preserve"> </w:t>
      </w:r>
      <w:r>
        <w:t>would</w:t>
      </w:r>
      <w:r>
        <w:rPr>
          <w:spacing w:val="-3"/>
        </w:rPr>
        <w:t xml:space="preserve"> </w:t>
      </w:r>
      <w:r>
        <w:t>also</w:t>
      </w:r>
      <w:r>
        <w:rPr>
          <w:spacing w:val="-1"/>
        </w:rPr>
        <w:t xml:space="preserve"> </w:t>
      </w:r>
      <w:r>
        <w:t>likely</w:t>
      </w:r>
      <w:r>
        <w:rPr>
          <w:spacing w:val="-2"/>
        </w:rPr>
        <w:t xml:space="preserve"> </w:t>
      </w:r>
      <w:r>
        <w:t>gain</w:t>
      </w:r>
      <w:r>
        <w:rPr>
          <w:spacing w:val="-1"/>
        </w:rPr>
        <w:t xml:space="preserve"> </w:t>
      </w:r>
      <w:r>
        <w:t>surgical</w:t>
      </w:r>
      <w:r>
        <w:rPr>
          <w:spacing w:val="-4"/>
        </w:rPr>
        <w:t xml:space="preserve"> </w:t>
      </w:r>
      <w:r>
        <w:t>oncology</w:t>
      </w:r>
      <w:r>
        <w:rPr>
          <w:spacing w:val="-2"/>
        </w:rPr>
        <w:t xml:space="preserve"> </w:t>
      </w:r>
      <w:r>
        <w:t>volume.</w:t>
      </w:r>
      <w:r>
        <w:rPr>
          <w:spacing w:val="-1"/>
        </w:rPr>
        <w:t xml:space="preserve"> </w:t>
      </w:r>
      <w:r>
        <w:t>BIDMC</w:t>
      </w:r>
      <w:r>
        <w:rPr>
          <w:spacing w:val="-2"/>
        </w:rPr>
        <w:t xml:space="preserve"> </w:t>
      </w:r>
      <w:r>
        <w:t>and</w:t>
      </w:r>
      <w:r>
        <w:rPr>
          <w:spacing w:val="-3"/>
        </w:rPr>
        <w:t xml:space="preserve"> </w:t>
      </w:r>
      <w:r>
        <w:t>BWH</w:t>
      </w:r>
      <w:r>
        <w:rPr>
          <w:spacing w:val="-4"/>
        </w:rPr>
        <w:t xml:space="preserve"> </w:t>
      </w:r>
      <w:r>
        <w:t>are</w:t>
      </w:r>
      <w:r>
        <w:rPr>
          <w:spacing w:val="-3"/>
        </w:rPr>
        <w:t xml:space="preserve"> </w:t>
      </w:r>
      <w:r>
        <w:t>also</w:t>
      </w:r>
      <w:r>
        <w:rPr>
          <w:spacing w:val="-1"/>
        </w:rPr>
        <w:t xml:space="preserve"> </w:t>
      </w:r>
      <w:r>
        <w:t>likely</w:t>
      </w:r>
      <w:r>
        <w:rPr>
          <w:spacing w:val="-2"/>
        </w:rPr>
        <w:t xml:space="preserve"> </w:t>
      </w:r>
      <w:r>
        <w:t>to backfill any volume that shifts to DFCI. Each of these volume shifts would impact health care spending.</w:t>
      </w:r>
    </w:p>
    <w:p w14:paraId="1C34EBD5" w14:textId="77777777" w:rsidR="004C558F" w:rsidRDefault="004C558F">
      <w:pPr>
        <w:pStyle w:val="BodyText"/>
        <w:spacing w:before="36"/>
      </w:pPr>
    </w:p>
    <w:p w14:paraId="1C34EBD6" w14:textId="77777777" w:rsidR="004C558F" w:rsidRDefault="00461887">
      <w:pPr>
        <w:pStyle w:val="BodyText"/>
        <w:spacing w:before="1" w:line="276" w:lineRule="auto"/>
        <w:ind w:left="1680" w:right="943"/>
      </w:pPr>
      <w:r>
        <w:t>For commercial insurers, shifts in inpatient care are likely to reduce spending at current price levels. Specifically, shifts in inpatient oncology care from BIDMC, BWH, and other oncology providers to DFCI would likely reduce annual commercial spending by approximately $18.5 million to $23 million at current prices. Backfill of newly available inpatient</w:t>
      </w:r>
      <w:r>
        <w:rPr>
          <w:spacing w:val="-4"/>
        </w:rPr>
        <w:t xml:space="preserve"> </w:t>
      </w:r>
      <w:r>
        <w:t>capacity</w:t>
      </w:r>
      <w:r>
        <w:rPr>
          <w:spacing w:val="-4"/>
        </w:rPr>
        <w:t xml:space="preserve"> </w:t>
      </w:r>
      <w:r>
        <w:t>at</w:t>
      </w:r>
      <w:r>
        <w:rPr>
          <w:spacing w:val="-6"/>
        </w:rPr>
        <w:t xml:space="preserve"> </w:t>
      </w:r>
      <w:r>
        <w:t>BIDMC</w:t>
      </w:r>
      <w:r>
        <w:rPr>
          <w:spacing w:val="-4"/>
        </w:rPr>
        <w:t xml:space="preserve"> </w:t>
      </w:r>
      <w:r>
        <w:t>would</w:t>
      </w:r>
      <w:r>
        <w:rPr>
          <w:spacing w:val="-2"/>
        </w:rPr>
        <w:t xml:space="preserve"> </w:t>
      </w:r>
      <w:r>
        <w:t>likely</w:t>
      </w:r>
      <w:r>
        <w:rPr>
          <w:spacing w:val="-4"/>
        </w:rPr>
        <w:t xml:space="preserve"> </w:t>
      </w:r>
      <w:r>
        <w:t>additionally</w:t>
      </w:r>
      <w:r>
        <w:rPr>
          <w:spacing w:val="-6"/>
        </w:rPr>
        <w:t xml:space="preserve"> </w:t>
      </w:r>
      <w:r>
        <w:t>reduce</w:t>
      </w:r>
      <w:r>
        <w:rPr>
          <w:spacing w:val="-3"/>
        </w:rPr>
        <w:t xml:space="preserve"> </w:t>
      </w:r>
      <w:r>
        <w:t>annual</w:t>
      </w:r>
      <w:r>
        <w:rPr>
          <w:spacing w:val="-4"/>
        </w:rPr>
        <w:t xml:space="preserve"> </w:t>
      </w:r>
      <w:r>
        <w:t>commercial</w:t>
      </w:r>
      <w:r>
        <w:rPr>
          <w:spacing w:val="-4"/>
        </w:rPr>
        <w:t xml:space="preserve"> </w:t>
      </w:r>
      <w:r>
        <w:t xml:space="preserve">spending by $3.5 million to $5.3 million at current prices, while backfill of capacity at BWH would likely increase annual commercial spending by $4.2 million to $15.9 million at current </w:t>
      </w:r>
      <w:r>
        <w:rPr>
          <w:spacing w:val="-2"/>
        </w:rPr>
        <w:t>prices.</w:t>
      </w:r>
    </w:p>
    <w:p w14:paraId="1C34EBD7" w14:textId="77777777" w:rsidR="004C558F" w:rsidRDefault="004C558F">
      <w:pPr>
        <w:spacing w:line="276" w:lineRule="auto"/>
        <w:sectPr w:rsidR="004C558F">
          <w:pgSz w:w="12240" w:h="15840"/>
          <w:pgMar w:top="1360" w:right="740" w:bottom="720" w:left="480" w:header="0" w:footer="521" w:gutter="0"/>
          <w:cols w:space="720"/>
        </w:sectPr>
      </w:pPr>
    </w:p>
    <w:p w14:paraId="1C34EBD8" w14:textId="77777777" w:rsidR="004C558F" w:rsidRDefault="00461887">
      <w:pPr>
        <w:pStyle w:val="BodyText"/>
        <w:spacing w:before="88" w:line="276" w:lineRule="auto"/>
        <w:ind w:left="1680" w:right="1014"/>
      </w:pPr>
      <w:r>
        <w:lastRenderedPageBreak/>
        <w:t xml:space="preserve">Most shifts in hospital outpatient care </w:t>
      </w:r>
      <w:proofErr w:type="gramStart"/>
      <w:r>
        <w:t>as a result of</w:t>
      </w:r>
      <w:proofErr w:type="gramEnd"/>
      <w:r>
        <w:t xml:space="preserve"> the transaction would likely increase commercial spending due to DFCI’s high commercial outpatient prices, especially for hospital-administered oncologic drugs. In total, shifts in outpatient oncology services that the HPC could quantify would likely increase annual commercial spending by approximately</w:t>
      </w:r>
      <w:r>
        <w:rPr>
          <w:spacing w:val="-4"/>
        </w:rPr>
        <w:t xml:space="preserve"> </w:t>
      </w:r>
      <w:r>
        <w:t>$39</w:t>
      </w:r>
      <w:r>
        <w:rPr>
          <w:spacing w:val="-3"/>
        </w:rPr>
        <w:t xml:space="preserve"> </w:t>
      </w:r>
      <w:r>
        <w:t>million;</w:t>
      </w:r>
      <w:r>
        <w:rPr>
          <w:spacing w:val="-3"/>
        </w:rPr>
        <w:t xml:space="preserve"> </w:t>
      </w:r>
      <w:r>
        <w:t>$26.5</w:t>
      </w:r>
      <w:r>
        <w:rPr>
          <w:spacing w:val="-6"/>
        </w:rPr>
        <w:t xml:space="preserve"> </w:t>
      </w:r>
      <w:r>
        <w:t>million</w:t>
      </w:r>
      <w:r>
        <w:rPr>
          <w:spacing w:val="-5"/>
        </w:rPr>
        <w:t xml:space="preserve"> </w:t>
      </w:r>
      <w:r>
        <w:t>of</w:t>
      </w:r>
      <w:r>
        <w:rPr>
          <w:spacing w:val="-2"/>
        </w:rPr>
        <w:t xml:space="preserve"> </w:t>
      </w:r>
      <w:r>
        <w:t>this</w:t>
      </w:r>
      <w:r>
        <w:rPr>
          <w:spacing w:val="-3"/>
        </w:rPr>
        <w:t xml:space="preserve"> </w:t>
      </w:r>
      <w:r>
        <w:t>spending</w:t>
      </w:r>
      <w:r>
        <w:rPr>
          <w:spacing w:val="-4"/>
        </w:rPr>
        <w:t xml:space="preserve"> </w:t>
      </w:r>
      <w:r>
        <w:t>increase</w:t>
      </w:r>
      <w:r>
        <w:rPr>
          <w:spacing w:val="-3"/>
        </w:rPr>
        <w:t xml:space="preserve"> </w:t>
      </w:r>
      <w:r>
        <w:t>would</w:t>
      </w:r>
      <w:r>
        <w:rPr>
          <w:spacing w:val="-2"/>
        </w:rPr>
        <w:t xml:space="preserve"> </w:t>
      </w:r>
      <w:r>
        <w:t>be</w:t>
      </w:r>
      <w:r>
        <w:rPr>
          <w:spacing w:val="-3"/>
        </w:rPr>
        <w:t xml:space="preserve"> </w:t>
      </w:r>
      <w:r>
        <w:t>due</w:t>
      </w:r>
      <w:r>
        <w:rPr>
          <w:spacing w:val="-3"/>
        </w:rPr>
        <w:t xml:space="preserve"> </w:t>
      </w:r>
      <w:r>
        <w:t>to</w:t>
      </w:r>
      <w:r>
        <w:rPr>
          <w:spacing w:val="-3"/>
        </w:rPr>
        <w:t xml:space="preserve"> </w:t>
      </w:r>
      <w:r>
        <w:t>higher commercial prices for oncologic drugs at DFCI.</w:t>
      </w:r>
    </w:p>
    <w:p w14:paraId="1C34EBD9" w14:textId="77777777" w:rsidR="004C558F" w:rsidRDefault="004C558F">
      <w:pPr>
        <w:pStyle w:val="BodyText"/>
        <w:spacing w:before="35"/>
      </w:pPr>
    </w:p>
    <w:p w14:paraId="1C34EBDA" w14:textId="77777777" w:rsidR="004C558F" w:rsidRDefault="00461887">
      <w:pPr>
        <w:pStyle w:val="BodyText"/>
        <w:spacing w:line="276" w:lineRule="auto"/>
        <w:ind w:left="1680" w:right="1034"/>
      </w:pPr>
      <w:r>
        <w:t xml:space="preserve">Medicare spending may also increase </w:t>
      </w:r>
      <w:proofErr w:type="gramStart"/>
      <w:r>
        <w:t>as a result of</w:t>
      </w:r>
      <w:proofErr w:type="gramEnd"/>
      <w:r>
        <w:t xml:space="preserve"> the transaction. At current rates, shifts of inpatient care to DFCI would reduce Medicare spending by approximately $5.7 million</w:t>
      </w:r>
      <w:r>
        <w:rPr>
          <w:spacing w:val="-3"/>
        </w:rPr>
        <w:t xml:space="preserve"> </w:t>
      </w:r>
      <w:r>
        <w:t>to</w:t>
      </w:r>
      <w:r>
        <w:rPr>
          <w:spacing w:val="-3"/>
        </w:rPr>
        <w:t xml:space="preserve"> </w:t>
      </w:r>
      <w:r>
        <w:t>$9.1</w:t>
      </w:r>
      <w:r>
        <w:rPr>
          <w:spacing w:val="-3"/>
        </w:rPr>
        <w:t xml:space="preserve"> </w:t>
      </w:r>
      <w:r>
        <w:t>million.</w:t>
      </w:r>
      <w:r>
        <w:rPr>
          <w:spacing w:val="-3"/>
        </w:rPr>
        <w:t xml:space="preserve"> </w:t>
      </w:r>
      <w:r>
        <w:t>However,</w:t>
      </w:r>
      <w:r>
        <w:rPr>
          <w:spacing w:val="-3"/>
        </w:rPr>
        <w:t xml:space="preserve"> </w:t>
      </w:r>
      <w:r>
        <w:t>DFCI’s</w:t>
      </w:r>
      <w:r>
        <w:rPr>
          <w:spacing w:val="-3"/>
        </w:rPr>
        <w:t xml:space="preserve"> </w:t>
      </w:r>
      <w:r>
        <w:t>inpatient</w:t>
      </w:r>
      <w:r>
        <w:rPr>
          <w:spacing w:val="-4"/>
        </w:rPr>
        <w:t xml:space="preserve"> </w:t>
      </w:r>
      <w:r>
        <w:t>reimbursement</w:t>
      </w:r>
      <w:r>
        <w:rPr>
          <w:spacing w:val="-4"/>
        </w:rPr>
        <w:t xml:space="preserve"> </w:t>
      </w:r>
      <w:r>
        <w:t>from</w:t>
      </w:r>
      <w:r>
        <w:rPr>
          <w:spacing w:val="-5"/>
        </w:rPr>
        <w:t xml:space="preserve"> </w:t>
      </w:r>
      <w:r>
        <w:t>Medicare</w:t>
      </w:r>
      <w:r>
        <w:rPr>
          <w:spacing w:val="-3"/>
        </w:rPr>
        <w:t xml:space="preserve"> </w:t>
      </w:r>
      <w:r>
        <w:t>is</w:t>
      </w:r>
      <w:r>
        <w:rPr>
          <w:spacing w:val="-3"/>
        </w:rPr>
        <w:t xml:space="preserve"> </w:t>
      </w:r>
      <w:r>
        <w:t>based on its costs per patient, meaning that, to the extent its costs per patient increase in the newly constructed hospital, its Medicare reimbursement rate would also increase, reducing any savings or potentially increasing spending. Shifts of outpatient Medicare volume</w:t>
      </w:r>
      <w:r>
        <w:rPr>
          <w:spacing w:val="-1"/>
        </w:rPr>
        <w:t xml:space="preserve"> </w:t>
      </w:r>
      <w:r>
        <w:t>to</w:t>
      </w:r>
      <w:r>
        <w:rPr>
          <w:spacing w:val="-3"/>
        </w:rPr>
        <w:t xml:space="preserve"> </w:t>
      </w:r>
      <w:r>
        <w:t>DFCI</w:t>
      </w:r>
      <w:r>
        <w:rPr>
          <w:spacing w:val="-1"/>
        </w:rPr>
        <w:t xml:space="preserve"> </w:t>
      </w:r>
      <w:r>
        <w:t>would increase</w:t>
      </w:r>
      <w:r>
        <w:rPr>
          <w:spacing w:val="-1"/>
        </w:rPr>
        <w:t xml:space="preserve"> </w:t>
      </w:r>
      <w:r>
        <w:t>annual</w:t>
      </w:r>
      <w:r>
        <w:rPr>
          <w:spacing w:val="-2"/>
        </w:rPr>
        <w:t xml:space="preserve"> </w:t>
      </w:r>
      <w:r>
        <w:t>Medicare</w:t>
      </w:r>
      <w:r>
        <w:rPr>
          <w:spacing w:val="-3"/>
        </w:rPr>
        <w:t xml:space="preserve"> </w:t>
      </w:r>
      <w:r>
        <w:t>spending,</w:t>
      </w:r>
      <w:r>
        <w:rPr>
          <w:spacing w:val="-1"/>
        </w:rPr>
        <w:t xml:space="preserve"> </w:t>
      </w:r>
      <w:r>
        <w:t>likely</w:t>
      </w:r>
      <w:r>
        <w:rPr>
          <w:spacing w:val="-2"/>
        </w:rPr>
        <w:t xml:space="preserve"> </w:t>
      </w:r>
      <w:proofErr w:type="gramStart"/>
      <w:r>
        <w:t>in</w:t>
      </w:r>
      <w:r>
        <w:rPr>
          <w:spacing w:val="-1"/>
        </w:rPr>
        <w:t xml:space="preserve"> </w:t>
      </w:r>
      <w:r>
        <w:t>excess</w:t>
      </w:r>
      <w:r>
        <w:rPr>
          <w:spacing w:val="-1"/>
        </w:rPr>
        <w:t xml:space="preserve"> </w:t>
      </w:r>
      <w:r>
        <w:t>of</w:t>
      </w:r>
      <w:proofErr w:type="gramEnd"/>
      <w:r>
        <w:t xml:space="preserve"> $10</w:t>
      </w:r>
      <w:r>
        <w:rPr>
          <w:spacing w:val="-1"/>
        </w:rPr>
        <w:t xml:space="preserve"> </w:t>
      </w:r>
      <w:r>
        <w:t xml:space="preserve">million </w:t>
      </w:r>
      <w:r>
        <w:rPr>
          <w:spacing w:val="-2"/>
        </w:rPr>
        <w:t>annually.</w:t>
      </w:r>
    </w:p>
    <w:p w14:paraId="1C34EBDB" w14:textId="77777777" w:rsidR="004C558F" w:rsidRDefault="004C558F">
      <w:pPr>
        <w:pStyle w:val="BodyText"/>
        <w:spacing w:before="37"/>
      </w:pPr>
    </w:p>
    <w:p w14:paraId="1C34EBDC" w14:textId="77777777" w:rsidR="004C558F" w:rsidRDefault="00461887">
      <w:pPr>
        <w:pStyle w:val="BodyText"/>
        <w:spacing w:line="276" w:lineRule="auto"/>
        <w:ind w:left="1680" w:right="702"/>
      </w:pPr>
      <w:r>
        <w:t>Any</w:t>
      </w:r>
      <w:r>
        <w:rPr>
          <w:spacing w:val="-4"/>
        </w:rPr>
        <w:t xml:space="preserve"> </w:t>
      </w:r>
      <w:r>
        <w:t>increases</w:t>
      </w:r>
      <w:r>
        <w:rPr>
          <w:spacing w:val="-3"/>
        </w:rPr>
        <w:t xml:space="preserve"> </w:t>
      </w:r>
      <w:r>
        <w:t>in</w:t>
      </w:r>
      <w:r>
        <w:rPr>
          <w:spacing w:val="-3"/>
        </w:rPr>
        <w:t xml:space="preserve"> </w:t>
      </w:r>
      <w:r>
        <w:t>the</w:t>
      </w:r>
      <w:r>
        <w:rPr>
          <w:spacing w:val="-3"/>
        </w:rPr>
        <w:t xml:space="preserve"> </w:t>
      </w:r>
      <w:r>
        <w:t>parties’</w:t>
      </w:r>
      <w:r>
        <w:rPr>
          <w:spacing w:val="-3"/>
        </w:rPr>
        <w:t xml:space="preserve"> </w:t>
      </w:r>
      <w:r>
        <w:t>prices</w:t>
      </w:r>
      <w:r>
        <w:rPr>
          <w:spacing w:val="-5"/>
        </w:rPr>
        <w:t xml:space="preserve"> </w:t>
      </w:r>
      <w:proofErr w:type="gramStart"/>
      <w:r>
        <w:t>as</w:t>
      </w:r>
      <w:r>
        <w:rPr>
          <w:spacing w:val="-3"/>
        </w:rPr>
        <w:t xml:space="preserve"> </w:t>
      </w:r>
      <w:r>
        <w:t>a</w:t>
      </w:r>
      <w:r>
        <w:rPr>
          <w:spacing w:val="-2"/>
        </w:rPr>
        <w:t xml:space="preserve"> </w:t>
      </w:r>
      <w:r>
        <w:t>result</w:t>
      </w:r>
      <w:r>
        <w:rPr>
          <w:spacing w:val="-4"/>
        </w:rPr>
        <w:t xml:space="preserve"> </w:t>
      </w:r>
      <w:r>
        <w:t>of</w:t>
      </w:r>
      <w:proofErr w:type="gramEnd"/>
      <w:r>
        <w:rPr>
          <w:spacing w:val="-2"/>
        </w:rPr>
        <w:t xml:space="preserve"> </w:t>
      </w:r>
      <w:r>
        <w:t>the</w:t>
      </w:r>
      <w:r>
        <w:rPr>
          <w:spacing w:val="-7"/>
        </w:rPr>
        <w:t xml:space="preserve"> </w:t>
      </w:r>
      <w:r>
        <w:t>proposed</w:t>
      </w:r>
      <w:r>
        <w:rPr>
          <w:spacing w:val="-2"/>
        </w:rPr>
        <w:t xml:space="preserve"> </w:t>
      </w:r>
      <w:r>
        <w:t>transaction</w:t>
      </w:r>
      <w:r>
        <w:rPr>
          <w:spacing w:val="-3"/>
        </w:rPr>
        <w:t xml:space="preserve"> </w:t>
      </w:r>
      <w:r>
        <w:t>would</w:t>
      </w:r>
      <w:r>
        <w:rPr>
          <w:spacing w:val="-2"/>
        </w:rPr>
        <w:t xml:space="preserve"> </w:t>
      </w:r>
      <w:r>
        <w:t>reduce savings</w:t>
      </w:r>
      <w:r>
        <w:rPr>
          <w:spacing w:val="-1"/>
        </w:rPr>
        <w:t xml:space="preserve"> </w:t>
      </w:r>
      <w:r>
        <w:t>or increase spending. Commitments</w:t>
      </w:r>
      <w:r>
        <w:rPr>
          <w:spacing w:val="-1"/>
        </w:rPr>
        <w:t xml:space="preserve"> </w:t>
      </w:r>
      <w:r>
        <w:t>to limit</w:t>
      </w:r>
      <w:r>
        <w:rPr>
          <w:spacing w:val="-2"/>
        </w:rPr>
        <w:t xml:space="preserve"> </w:t>
      </w:r>
      <w:r>
        <w:t>future inpatient</w:t>
      </w:r>
      <w:r>
        <w:rPr>
          <w:spacing w:val="-2"/>
        </w:rPr>
        <w:t xml:space="preserve"> </w:t>
      </w:r>
      <w:r>
        <w:t xml:space="preserve">and outpatient rate increases and address DFCI’s already high outpatient prices may help to mitigate these </w:t>
      </w:r>
      <w:r>
        <w:rPr>
          <w:spacing w:val="-2"/>
        </w:rPr>
        <w:t>concerns.</w:t>
      </w:r>
    </w:p>
    <w:p w14:paraId="1C34EBDD" w14:textId="77777777" w:rsidR="004C558F" w:rsidRDefault="004C558F">
      <w:pPr>
        <w:pStyle w:val="BodyText"/>
        <w:spacing w:before="38"/>
      </w:pPr>
    </w:p>
    <w:p w14:paraId="1C34EBDE" w14:textId="77777777" w:rsidR="004C558F" w:rsidRDefault="00461887">
      <w:pPr>
        <w:pStyle w:val="ListParagraph"/>
        <w:numPr>
          <w:ilvl w:val="1"/>
          <w:numId w:val="16"/>
        </w:numPr>
        <w:tabs>
          <w:tab w:val="left" w:pos="1677"/>
          <w:tab w:val="left" w:pos="1679"/>
        </w:tabs>
        <w:spacing w:line="276" w:lineRule="auto"/>
        <w:ind w:right="967"/>
      </w:pPr>
      <w:r>
        <w:t>Quality and Care Delivery: DFCI and BIDMC are internationally recognized for their oncology</w:t>
      </w:r>
      <w:r>
        <w:rPr>
          <w:spacing w:val="-4"/>
        </w:rPr>
        <w:t xml:space="preserve"> </w:t>
      </w:r>
      <w:r>
        <w:t>care</w:t>
      </w:r>
      <w:r>
        <w:rPr>
          <w:spacing w:val="-3"/>
        </w:rPr>
        <w:t xml:space="preserve"> </w:t>
      </w:r>
      <w:r>
        <w:t>and</w:t>
      </w:r>
      <w:r>
        <w:rPr>
          <w:spacing w:val="-5"/>
        </w:rPr>
        <w:t xml:space="preserve"> </w:t>
      </w:r>
      <w:r>
        <w:t>have</w:t>
      </w:r>
      <w:r>
        <w:rPr>
          <w:spacing w:val="-5"/>
        </w:rPr>
        <w:t xml:space="preserve"> </w:t>
      </w:r>
      <w:r>
        <w:t>historically</w:t>
      </w:r>
      <w:r>
        <w:rPr>
          <w:spacing w:val="-4"/>
        </w:rPr>
        <w:t xml:space="preserve"> </w:t>
      </w:r>
      <w:r>
        <w:t>generally</w:t>
      </w:r>
      <w:r>
        <w:rPr>
          <w:spacing w:val="-4"/>
        </w:rPr>
        <w:t xml:space="preserve"> </w:t>
      </w:r>
      <w:r>
        <w:t>performed</w:t>
      </w:r>
      <w:r>
        <w:rPr>
          <w:spacing w:val="-5"/>
        </w:rPr>
        <w:t xml:space="preserve"> </w:t>
      </w:r>
      <w:r>
        <w:t>comparably</w:t>
      </w:r>
      <w:r>
        <w:rPr>
          <w:spacing w:val="-4"/>
        </w:rPr>
        <w:t xml:space="preserve"> </w:t>
      </w:r>
      <w:r>
        <w:t>to</w:t>
      </w:r>
      <w:r>
        <w:rPr>
          <w:spacing w:val="-5"/>
        </w:rPr>
        <w:t xml:space="preserve"> </w:t>
      </w:r>
      <w:r>
        <w:t>statewide</w:t>
      </w:r>
      <w:r>
        <w:rPr>
          <w:spacing w:val="-3"/>
        </w:rPr>
        <w:t xml:space="preserve"> </w:t>
      </w:r>
      <w:r>
        <w:t>averages on available oncology care quality metrics. Research literature suggests hospitals with specialized oncology care offerings achieve superior outcomes for their patients, although these studies did not directly compare DFCI to other Commonwealth hospitals with specialized oncology</w:t>
      </w:r>
      <w:r>
        <w:rPr>
          <w:spacing w:val="-4"/>
        </w:rPr>
        <w:t xml:space="preserve"> </w:t>
      </w:r>
      <w:r>
        <w:t>care</w:t>
      </w:r>
      <w:r>
        <w:rPr>
          <w:spacing w:val="-3"/>
        </w:rPr>
        <w:t xml:space="preserve"> </w:t>
      </w:r>
      <w:r>
        <w:t>programs.</w:t>
      </w:r>
      <w:r>
        <w:rPr>
          <w:spacing w:val="-4"/>
        </w:rPr>
        <w:t xml:space="preserve"> </w:t>
      </w:r>
      <w:r>
        <w:t>The</w:t>
      </w:r>
      <w:r>
        <w:rPr>
          <w:spacing w:val="-1"/>
        </w:rPr>
        <w:t xml:space="preserve"> </w:t>
      </w:r>
      <w:r>
        <w:t>parties</w:t>
      </w:r>
      <w:r>
        <w:rPr>
          <w:spacing w:val="-1"/>
        </w:rPr>
        <w:t xml:space="preserve"> </w:t>
      </w:r>
      <w:r>
        <w:t>have</w:t>
      </w:r>
      <w:r>
        <w:rPr>
          <w:spacing w:val="-1"/>
        </w:rPr>
        <w:t xml:space="preserve"> </w:t>
      </w:r>
      <w:r>
        <w:t>emphasized several</w:t>
      </w:r>
      <w:r>
        <w:rPr>
          <w:spacing w:val="-2"/>
        </w:rPr>
        <w:t xml:space="preserve"> </w:t>
      </w:r>
      <w:r>
        <w:t>aspects</w:t>
      </w:r>
      <w:r>
        <w:rPr>
          <w:spacing w:val="-1"/>
        </w:rPr>
        <w:t xml:space="preserve"> </w:t>
      </w:r>
      <w:r>
        <w:t>of their plans designed to improve care quality, including their stated intention to integrate and expand existing care delivery initiatives, as well as quality benefits DFCI expects to realize by building its new facility. These plans have the potential to improve clinical quality over time but are not sufficiently developed for the HPC to be able to assess the likelihood of any specific impacts. In the short-term, it will be critical for the parties and other oncology providers to develop robust plans for care coordination and management to avoid disruptions in continuity of care as long-standing provider relationships shift.</w:t>
      </w:r>
    </w:p>
    <w:p w14:paraId="1C34EBDF" w14:textId="77777777" w:rsidR="004C558F" w:rsidRDefault="004C558F">
      <w:pPr>
        <w:pStyle w:val="BodyText"/>
        <w:spacing w:before="39"/>
      </w:pPr>
    </w:p>
    <w:p w14:paraId="1C34EBE0" w14:textId="77777777" w:rsidR="004C558F" w:rsidRDefault="00461887">
      <w:pPr>
        <w:pStyle w:val="ListParagraph"/>
        <w:numPr>
          <w:ilvl w:val="1"/>
          <w:numId w:val="16"/>
        </w:numPr>
        <w:tabs>
          <w:tab w:val="left" w:pos="1679"/>
        </w:tabs>
        <w:spacing w:line="276" w:lineRule="auto"/>
        <w:ind w:right="1010"/>
      </w:pPr>
      <w:r>
        <w:t>Access to and Equity of Care: In assessing the potential impacts of the proposed new cancer hospital on access to oncology care in the future, the HPC examined oncology utilization trends, demographic trends, technological changes, and other factors that could</w:t>
      </w:r>
      <w:r>
        <w:rPr>
          <w:spacing w:val="-2"/>
        </w:rPr>
        <w:t xml:space="preserve"> </w:t>
      </w:r>
      <w:r>
        <w:t>impact</w:t>
      </w:r>
      <w:r>
        <w:rPr>
          <w:spacing w:val="-4"/>
        </w:rPr>
        <w:t xml:space="preserve"> </w:t>
      </w:r>
      <w:r>
        <w:t>future</w:t>
      </w:r>
      <w:r>
        <w:rPr>
          <w:spacing w:val="-3"/>
        </w:rPr>
        <w:t xml:space="preserve"> </w:t>
      </w:r>
      <w:r>
        <w:t>need</w:t>
      </w:r>
      <w:r>
        <w:rPr>
          <w:spacing w:val="-5"/>
        </w:rPr>
        <w:t xml:space="preserve"> </w:t>
      </w:r>
      <w:r>
        <w:t>for</w:t>
      </w:r>
      <w:r>
        <w:rPr>
          <w:spacing w:val="-4"/>
        </w:rPr>
        <w:t xml:space="preserve"> </w:t>
      </w:r>
      <w:r>
        <w:t>additional</w:t>
      </w:r>
      <w:r>
        <w:rPr>
          <w:spacing w:val="-4"/>
        </w:rPr>
        <w:t xml:space="preserve"> </w:t>
      </w:r>
      <w:r>
        <w:t>inpatient</w:t>
      </w:r>
      <w:r>
        <w:rPr>
          <w:spacing w:val="-4"/>
        </w:rPr>
        <w:t xml:space="preserve"> </w:t>
      </w:r>
      <w:r>
        <w:t>oncology</w:t>
      </w:r>
      <w:r>
        <w:rPr>
          <w:spacing w:val="-4"/>
        </w:rPr>
        <w:t xml:space="preserve"> </w:t>
      </w:r>
      <w:r>
        <w:t>capacity.</w:t>
      </w:r>
      <w:r>
        <w:rPr>
          <w:spacing w:val="-3"/>
        </w:rPr>
        <w:t xml:space="preserve"> </w:t>
      </w:r>
      <w:r>
        <w:t>While</w:t>
      </w:r>
      <w:r>
        <w:rPr>
          <w:spacing w:val="-5"/>
        </w:rPr>
        <w:t xml:space="preserve"> </w:t>
      </w:r>
      <w:r>
        <w:t>Massachusetts’ aging population is likely to result in higher cancer rates in Massachusetts in the future, modeling based on demographic trends and current utilization rates is likely to overstate future need for inpatient oncology care. Ultimately, it is unclear to what extent the proposed transaction is either necessary or</w:t>
      </w:r>
      <w:r>
        <w:rPr>
          <w:spacing w:val="-1"/>
        </w:rPr>
        <w:t xml:space="preserve"> </w:t>
      </w:r>
      <w:r>
        <w:t xml:space="preserve">sufficient to ensure future access to oncology care. This assessment is based on </w:t>
      </w:r>
      <w:proofErr w:type="gramStart"/>
      <w:r>
        <w:t>a number of</w:t>
      </w:r>
      <w:proofErr w:type="gramEnd"/>
      <w:r>
        <w:t xml:space="preserve"> factors, including rapid advancements in</w:t>
      </w:r>
    </w:p>
    <w:p w14:paraId="1C34EBE1" w14:textId="77777777" w:rsidR="004C558F" w:rsidRDefault="004C558F">
      <w:pPr>
        <w:spacing w:line="276" w:lineRule="auto"/>
        <w:sectPr w:rsidR="004C558F">
          <w:pgSz w:w="12240" w:h="15840"/>
          <w:pgMar w:top="1640" w:right="740" w:bottom="720" w:left="480" w:header="0" w:footer="521" w:gutter="0"/>
          <w:cols w:space="720"/>
        </w:sectPr>
      </w:pPr>
    </w:p>
    <w:p w14:paraId="1C34EBE2" w14:textId="77777777" w:rsidR="004C558F" w:rsidRDefault="00461887">
      <w:pPr>
        <w:pStyle w:val="BodyText"/>
        <w:spacing w:before="80" w:line="276" w:lineRule="auto"/>
        <w:ind w:left="1680" w:right="1143"/>
        <w:jc w:val="both"/>
      </w:pPr>
      <w:r>
        <w:lastRenderedPageBreak/>
        <w:t>cancer</w:t>
      </w:r>
      <w:r>
        <w:rPr>
          <w:spacing w:val="-2"/>
        </w:rPr>
        <w:t xml:space="preserve"> </w:t>
      </w:r>
      <w:r>
        <w:t>treatment</w:t>
      </w:r>
      <w:r>
        <w:rPr>
          <w:spacing w:val="-2"/>
        </w:rPr>
        <w:t xml:space="preserve"> </w:t>
      </w:r>
      <w:r>
        <w:t>and</w:t>
      </w:r>
      <w:r>
        <w:rPr>
          <w:spacing w:val="-3"/>
        </w:rPr>
        <w:t xml:space="preserve"> </w:t>
      </w:r>
      <w:r>
        <w:t>other</w:t>
      </w:r>
      <w:r>
        <w:rPr>
          <w:spacing w:val="-2"/>
        </w:rPr>
        <w:t xml:space="preserve"> </w:t>
      </w:r>
      <w:r>
        <w:t>factors</w:t>
      </w:r>
      <w:r>
        <w:rPr>
          <w:spacing w:val="-1"/>
        </w:rPr>
        <w:t xml:space="preserve"> </w:t>
      </w:r>
      <w:r>
        <w:t>that</w:t>
      </w:r>
      <w:r>
        <w:rPr>
          <w:spacing w:val="-2"/>
        </w:rPr>
        <w:t xml:space="preserve"> </w:t>
      </w:r>
      <w:r>
        <w:t>may</w:t>
      </w:r>
      <w:r>
        <w:rPr>
          <w:spacing w:val="-2"/>
        </w:rPr>
        <w:t xml:space="preserve"> </w:t>
      </w:r>
      <w:r>
        <w:t>impact</w:t>
      </w:r>
      <w:r>
        <w:rPr>
          <w:spacing w:val="-4"/>
        </w:rPr>
        <w:t xml:space="preserve"> </w:t>
      </w:r>
      <w:r>
        <w:t>future</w:t>
      </w:r>
      <w:r>
        <w:rPr>
          <w:spacing w:val="-1"/>
        </w:rPr>
        <w:t xml:space="preserve"> </w:t>
      </w:r>
      <w:r>
        <w:t>inpatient</w:t>
      </w:r>
      <w:r>
        <w:rPr>
          <w:spacing w:val="-4"/>
        </w:rPr>
        <w:t xml:space="preserve"> </w:t>
      </w:r>
      <w:r>
        <w:t>oncology</w:t>
      </w:r>
      <w:r>
        <w:rPr>
          <w:spacing w:val="-4"/>
        </w:rPr>
        <w:t xml:space="preserve"> </w:t>
      </w:r>
      <w:r>
        <w:t>utilization, the</w:t>
      </w:r>
      <w:r>
        <w:rPr>
          <w:spacing w:val="-2"/>
        </w:rPr>
        <w:t xml:space="preserve"> </w:t>
      </w:r>
      <w:r>
        <w:t>limits</w:t>
      </w:r>
      <w:r>
        <w:rPr>
          <w:spacing w:val="-4"/>
        </w:rPr>
        <w:t xml:space="preserve"> </w:t>
      </w:r>
      <w:r>
        <w:t>of</w:t>
      </w:r>
      <w:r>
        <w:rPr>
          <w:spacing w:val="-4"/>
        </w:rPr>
        <w:t xml:space="preserve"> </w:t>
      </w:r>
      <w:r>
        <w:t>statistical</w:t>
      </w:r>
      <w:r>
        <w:rPr>
          <w:spacing w:val="-3"/>
        </w:rPr>
        <w:t xml:space="preserve"> </w:t>
      </w:r>
      <w:r>
        <w:t>modeling,</w:t>
      </w:r>
      <w:r>
        <w:rPr>
          <w:spacing w:val="-5"/>
        </w:rPr>
        <w:t xml:space="preserve"> </w:t>
      </w:r>
      <w:r>
        <w:t>and</w:t>
      </w:r>
      <w:r>
        <w:rPr>
          <w:spacing w:val="-1"/>
        </w:rPr>
        <w:t xml:space="preserve"> </w:t>
      </w:r>
      <w:r>
        <w:t>the</w:t>
      </w:r>
      <w:r>
        <w:rPr>
          <w:spacing w:val="-2"/>
        </w:rPr>
        <w:t xml:space="preserve"> </w:t>
      </w:r>
      <w:r>
        <w:t>inability</w:t>
      </w:r>
      <w:r>
        <w:rPr>
          <w:spacing w:val="-3"/>
        </w:rPr>
        <w:t xml:space="preserve"> </w:t>
      </w:r>
      <w:r>
        <w:t>to</w:t>
      </w:r>
      <w:r>
        <w:rPr>
          <w:spacing w:val="-4"/>
        </w:rPr>
        <w:t xml:space="preserve"> </w:t>
      </w:r>
      <w:r>
        <w:t>fully</w:t>
      </w:r>
      <w:r>
        <w:rPr>
          <w:spacing w:val="-3"/>
        </w:rPr>
        <w:t xml:space="preserve"> </w:t>
      </w:r>
      <w:r>
        <w:t>assess</w:t>
      </w:r>
      <w:r>
        <w:rPr>
          <w:spacing w:val="-4"/>
        </w:rPr>
        <w:t xml:space="preserve"> </w:t>
      </w:r>
      <w:r>
        <w:t>other</w:t>
      </w:r>
      <w:r>
        <w:rPr>
          <w:spacing w:val="-3"/>
        </w:rPr>
        <w:t xml:space="preserve"> </w:t>
      </w:r>
      <w:r>
        <w:t>inpatient</w:t>
      </w:r>
      <w:r>
        <w:rPr>
          <w:spacing w:val="-3"/>
        </w:rPr>
        <w:t xml:space="preserve"> </w:t>
      </w:r>
      <w:r>
        <w:t>oncology capacity with existing data resources.</w:t>
      </w:r>
    </w:p>
    <w:p w14:paraId="1C34EBE3" w14:textId="77777777" w:rsidR="004C558F" w:rsidRDefault="004C558F">
      <w:pPr>
        <w:pStyle w:val="BodyText"/>
        <w:spacing w:before="36"/>
      </w:pPr>
    </w:p>
    <w:p w14:paraId="1C34EBE4" w14:textId="77777777" w:rsidR="004C558F" w:rsidRDefault="00461887">
      <w:pPr>
        <w:pStyle w:val="BodyText"/>
        <w:spacing w:before="1" w:line="276" w:lineRule="auto"/>
        <w:ind w:left="1680" w:right="1005" w:hanging="1"/>
      </w:pPr>
      <w:r>
        <w:t>Regarding the parties’ role in serving traditionally underserved and government-payer populations, DFCI and BIDMC have relatively large proportions of commercially insured and Medicaid-insured oncology patients, BIDMC’s oncology patients reside in areas with relatively high indicia of social need,</w:t>
      </w:r>
      <w:r>
        <w:rPr>
          <w:spacing w:val="-1"/>
        </w:rPr>
        <w:t xml:space="preserve"> </w:t>
      </w:r>
      <w:r>
        <w:t>DFCI and BIDMC serve a greater proportion of BIPOC and Hispanic oncology inpatients than the statewide average, and DFCI has the largest share of oncology discharges from rural areas compared to other major cancer providers in</w:t>
      </w:r>
      <w:r>
        <w:rPr>
          <w:spacing w:val="-2"/>
        </w:rPr>
        <w:t xml:space="preserve"> </w:t>
      </w:r>
      <w:r>
        <w:t>Boston.</w:t>
      </w:r>
      <w:r>
        <w:rPr>
          <w:spacing w:val="-5"/>
        </w:rPr>
        <w:t xml:space="preserve"> </w:t>
      </w:r>
      <w:r>
        <w:t>The</w:t>
      </w:r>
      <w:r>
        <w:rPr>
          <w:spacing w:val="-2"/>
        </w:rPr>
        <w:t xml:space="preserve"> </w:t>
      </w:r>
      <w:r>
        <w:t>parties</w:t>
      </w:r>
      <w:r>
        <w:rPr>
          <w:spacing w:val="-3"/>
        </w:rPr>
        <w:t xml:space="preserve"> </w:t>
      </w:r>
      <w:r>
        <w:t>are</w:t>
      </w:r>
      <w:r>
        <w:rPr>
          <w:spacing w:val="-4"/>
        </w:rPr>
        <w:t xml:space="preserve"> </w:t>
      </w:r>
      <w:r>
        <w:t>also</w:t>
      </w:r>
      <w:r>
        <w:rPr>
          <w:spacing w:val="-4"/>
        </w:rPr>
        <w:t xml:space="preserve"> </w:t>
      </w:r>
      <w:r>
        <w:t>currently</w:t>
      </w:r>
      <w:r>
        <w:rPr>
          <w:spacing w:val="-3"/>
        </w:rPr>
        <w:t xml:space="preserve"> </w:t>
      </w:r>
      <w:r>
        <w:t>engaged</w:t>
      </w:r>
      <w:r>
        <w:rPr>
          <w:spacing w:val="-2"/>
        </w:rPr>
        <w:t xml:space="preserve"> </w:t>
      </w:r>
      <w:r>
        <w:t>in</w:t>
      </w:r>
      <w:r>
        <w:rPr>
          <w:spacing w:val="-4"/>
        </w:rPr>
        <w:t xml:space="preserve"> </w:t>
      </w:r>
      <w:r>
        <w:t>programs</w:t>
      </w:r>
      <w:r>
        <w:rPr>
          <w:spacing w:val="-4"/>
        </w:rPr>
        <w:t xml:space="preserve"> </w:t>
      </w:r>
      <w:r>
        <w:t>designed</w:t>
      </w:r>
      <w:r>
        <w:rPr>
          <w:spacing w:val="-2"/>
        </w:rPr>
        <w:t xml:space="preserve"> </w:t>
      </w:r>
      <w:r>
        <w:t>to</w:t>
      </w:r>
      <w:r>
        <w:rPr>
          <w:spacing w:val="-2"/>
        </w:rPr>
        <w:t xml:space="preserve"> </w:t>
      </w:r>
      <w:r>
        <w:t>improve</w:t>
      </w:r>
      <w:r>
        <w:rPr>
          <w:spacing w:val="-3"/>
        </w:rPr>
        <w:t xml:space="preserve"> </w:t>
      </w:r>
      <w:r>
        <w:t>access and</w:t>
      </w:r>
      <w:r>
        <w:rPr>
          <w:spacing w:val="-3"/>
        </w:rPr>
        <w:t xml:space="preserve"> </w:t>
      </w:r>
      <w:r>
        <w:t>equitable</w:t>
      </w:r>
      <w:r>
        <w:rPr>
          <w:spacing w:val="-3"/>
        </w:rPr>
        <w:t xml:space="preserve"> </w:t>
      </w:r>
      <w:r>
        <w:t>care</w:t>
      </w:r>
      <w:r>
        <w:rPr>
          <w:spacing w:val="-3"/>
        </w:rPr>
        <w:t xml:space="preserve"> </w:t>
      </w:r>
      <w:r>
        <w:t>for</w:t>
      </w:r>
      <w:r>
        <w:rPr>
          <w:spacing w:val="-2"/>
        </w:rPr>
        <w:t xml:space="preserve"> </w:t>
      </w:r>
      <w:r>
        <w:t>their</w:t>
      </w:r>
      <w:r>
        <w:rPr>
          <w:spacing w:val="-2"/>
        </w:rPr>
        <w:t xml:space="preserve"> </w:t>
      </w:r>
      <w:r>
        <w:t>oncology</w:t>
      </w:r>
      <w:r>
        <w:rPr>
          <w:spacing w:val="-2"/>
        </w:rPr>
        <w:t xml:space="preserve"> </w:t>
      </w:r>
      <w:r>
        <w:t>patients</w:t>
      </w:r>
      <w:r>
        <w:rPr>
          <w:spacing w:val="-1"/>
        </w:rPr>
        <w:t xml:space="preserve"> </w:t>
      </w:r>
      <w:r>
        <w:t>and</w:t>
      </w:r>
      <w:r>
        <w:rPr>
          <w:spacing w:val="-3"/>
        </w:rPr>
        <w:t xml:space="preserve"> </w:t>
      </w:r>
      <w:r>
        <w:t>have</w:t>
      </w:r>
      <w:r>
        <w:rPr>
          <w:spacing w:val="-1"/>
        </w:rPr>
        <w:t xml:space="preserve"> </w:t>
      </w:r>
      <w:r>
        <w:t>developed plans</w:t>
      </w:r>
      <w:r>
        <w:rPr>
          <w:spacing w:val="-1"/>
        </w:rPr>
        <w:t xml:space="preserve"> </w:t>
      </w:r>
      <w:r>
        <w:t>to</w:t>
      </w:r>
      <w:r>
        <w:rPr>
          <w:spacing w:val="-1"/>
        </w:rPr>
        <w:t xml:space="preserve"> </w:t>
      </w:r>
      <w:r>
        <w:t>collaborate</w:t>
      </w:r>
      <w:r>
        <w:rPr>
          <w:spacing w:val="-1"/>
        </w:rPr>
        <w:t xml:space="preserve"> </w:t>
      </w:r>
      <w:r>
        <w:t>on expanding access and improving affordability for low-income patients following the transaction. However, their plans are preliminary and do not yet include details necessary to assess the likelihood of specific potential access improvements.</w:t>
      </w:r>
    </w:p>
    <w:p w14:paraId="1C34EBE5" w14:textId="77777777" w:rsidR="004C558F" w:rsidRDefault="004C558F">
      <w:pPr>
        <w:pStyle w:val="BodyText"/>
        <w:spacing w:before="35"/>
      </w:pPr>
    </w:p>
    <w:p w14:paraId="1C34EBE6" w14:textId="77777777" w:rsidR="004C558F" w:rsidRDefault="00461887">
      <w:pPr>
        <w:pStyle w:val="BodyText"/>
        <w:spacing w:line="276" w:lineRule="auto"/>
        <w:ind w:left="1680" w:right="752"/>
      </w:pPr>
      <w:r>
        <w:t>DFCI’s new facility would significantly expand inpatient medical oncology services in downtown Boston. While concentration of care at urban specialty hospitals may create economies of scale</w:t>
      </w:r>
      <w:r>
        <w:rPr>
          <w:spacing w:val="-1"/>
        </w:rPr>
        <w:t xml:space="preserve"> </w:t>
      </w:r>
      <w:r>
        <w:t>and promote beneficial</w:t>
      </w:r>
      <w:r>
        <w:rPr>
          <w:spacing w:val="-2"/>
        </w:rPr>
        <w:t xml:space="preserve"> </w:t>
      </w:r>
      <w:r>
        <w:t>specialization, it also</w:t>
      </w:r>
      <w:r>
        <w:rPr>
          <w:spacing w:val="-1"/>
        </w:rPr>
        <w:t xml:space="preserve"> </w:t>
      </w:r>
      <w:r>
        <w:t>may</w:t>
      </w:r>
      <w:r>
        <w:rPr>
          <w:spacing w:val="-2"/>
        </w:rPr>
        <w:t xml:space="preserve"> </w:t>
      </w:r>
      <w:r>
        <w:t>challenge access to care, particularly for patients for whom travel presents a greater burden. If DFCI opens its new hospital as planned, large and well-resourced providers like MGB would likely to be better positioned to respond competitively, with smaller and more financially vulnerable providers</w:t>
      </w:r>
      <w:r>
        <w:rPr>
          <w:spacing w:val="-3"/>
        </w:rPr>
        <w:t xml:space="preserve"> </w:t>
      </w:r>
      <w:r>
        <w:t>including</w:t>
      </w:r>
      <w:r>
        <w:rPr>
          <w:spacing w:val="-4"/>
        </w:rPr>
        <w:t xml:space="preserve"> </w:t>
      </w:r>
      <w:r>
        <w:t>community</w:t>
      </w:r>
      <w:r>
        <w:rPr>
          <w:spacing w:val="-4"/>
        </w:rPr>
        <w:t xml:space="preserve"> </w:t>
      </w:r>
      <w:r>
        <w:t>hospitals</w:t>
      </w:r>
      <w:r>
        <w:rPr>
          <w:spacing w:val="-3"/>
        </w:rPr>
        <w:t xml:space="preserve"> </w:t>
      </w:r>
      <w:r>
        <w:t>potentially</w:t>
      </w:r>
      <w:r>
        <w:rPr>
          <w:spacing w:val="-6"/>
        </w:rPr>
        <w:t xml:space="preserve"> </w:t>
      </w:r>
      <w:r>
        <w:t>facing</w:t>
      </w:r>
      <w:r>
        <w:rPr>
          <w:spacing w:val="-4"/>
        </w:rPr>
        <w:t xml:space="preserve"> </w:t>
      </w:r>
      <w:r>
        <w:t>both</w:t>
      </w:r>
      <w:r>
        <w:rPr>
          <w:spacing w:val="-5"/>
        </w:rPr>
        <w:t xml:space="preserve"> </w:t>
      </w:r>
      <w:r>
        <w:t>a</w:t>
      </w:r>
      <w:r>
        <w:rPr>
          <w:spacing w:val="-2"/>
        </w:rPr>
        <w:t xml:space="preserve"> </w:t>
      </w:r>
      <w:r>
        <w:t>loss</w:t>
      </w:r>
      <w:r>
        <w:rPr>
          <w:spacing w:val="-3"/>
        </w:rPr>
        <w:t xml:space="preserve"> </w:t>
      </w:r>
      <w:r>
        <w:t>of</w:t>
      </w:r>
      <w:r>
        <w:rPr>
          <w:spacing w:val="-2"/>
        </w:rPr>
        <w:t xml:space="preserve"> </w:t>
      </w:r>
      <w:r>
        <w:t>oncology</w:t>
      </w:r>
      <w:r>
        <w:rPr>
          <w:spacing w:val="-4"/>
        </w:rPr>
        <w:t xml:space="preserve"> </w:t>
      </w:r>
      <w:r>
        <w:t>patients and revenue and upward pressure on labor costs as DFCI staffs its new facility. If these pressures destabilize or diminish the ability of other oncology providers to invest in or maintain facilities and staff, it is likely to impact health care equity and access as well as potentially increase health care spending.</w:t>
      </w:r>
    </w:p>
    <w:p w14:paraId="1C34EBE7" w14:textId="77777777" w:rsidR="004C558F" w:rsidRDefault="004C558F">
      <w:pPr>
        <w:pStyle w:val="BodyText"/>
        <w:spacing w:before="38"/>
      </w:pPr>
    </w:p>
    <w:p w14:paraId="1C34EBE8" w14:textId="77777777" w:rsidR="004C558F" w:rsidRDefault="00461887">
      <w:pPr>
        <w:pStyle w:val="BodyText"/>
        <w:spacing w:line="276" w:lineRule="auto"/>
        <w:ind w:left="960" w:right="991" w:firstLine="720"/>
      </w:pPr>
      <w:r>
        <w:t>Should the proposed affiliation proceed, commitments by the parties and public monitoring could help to address the cost and access concerns raised in this report. The parties should consider commitments regarding spending impacts, including DFCI’s high prices for outpatient services including oncologic drugs and future changes in DFCI’s commercial and Medicare reimbursement rates. In addition, the parties should consider commitments such as reporting on the development and implementation of plans to coordinate care among oncology providers and transition planning for current patients during and after the transition of DFCI’s affiliation from BWH to BIDMC, and the implementation and results of the parties’ proposed access and equity initiatives, including on the parties’ mix of publicly insured patients. Given the implications of continued significant investment in specialty care capacity in Boston for the accessibility</w:t>
      </w:r>
      <w:r>
        <w:rPr>
          <w:spacing w:val="-3"/>
        </w:rPr>
        <w:t xml:space="preserve"> </w:t>
      </w:r>
      <w:r>
        <w:t>of</w:t>
      </w:r>
      <w:r>
        <w:rPr>
          <w:spacing w:val="-1"/>
        </w:rPr>
        <w:t xml:space="preserve"> </w:t>
      </w:r>
      <w:r>
        <w:t>these</w:t>
      </w:r>
      <w:r>
        <w:rPr>
          <w:spacing w:val="-4"/>
        </w:rPr>
        <w:t xml:space="preserve"> </w:t>
      </w:r>
      <w:r>
        <w:t>services</w:t>
      </w:r>
      <w:r>
        <w:rPr>
          <w:spacing w:val="-4"/>
        </w:rPr>
        <w:t xml:space="preserve"> </w:t>
      </w:r>
      <w:r>
        <w:t>at</w:t>
      </w:r>
      <w:r>
        <w:rPr>
          <w:spacing w:val="-3"/>
        </w:rPr>
        <w:t xml:space="preserve"> </w:t>
      </w:r>
      <w:r>
        <w:t>other</w:t>
      </w:r>
      <w:r>
        <w:rPr>
          <w:spacing w:val="-3"/>
        </w:rPr>
        <w:t xml:space="preserve"> </w:t>
      </w:r>
      <w:r>
        <w:t>providers</w:t>
      </w:r>
      <w:r>
        <w:rPr>
          <w:spacing w:val="-4"/>
        </w:rPr>
        <w:t xml:space="preserve"> </w:t>
      </w:r>
      <w:r>
        <w:t>and</w:t>
      </w:r>
      <w:r>
        <w:rPr>
          <w:spacing w:val="-4"/>
        </w:rPr>
        <w:t xml:space="preserve"> </w:t>
      </w:r>
      <w:r>
        <w:t>in</w:t>
      </w:r>
      <w:r>
        <w:rPr>
          <w:spacing w:val="-2"/>
        </w:rPr>
        <w:t xml:space="preserve"> </w:t>
      </w:r>
      <w:r>
        <w:t>other</w:t>
      </w:r>
      <w:r>
        <w:rPr>
          <w:spacing w:val="-3"/>
        </w:rPr>
        <w:t xml:space="preserve"> </w:t>
      </w:r>
      <w:r>
        <w:t>parts</w:t>
      </w:r>
      <w:r>
        <w:rPr>
          <w:spacing w:val="-2"/>
        </w:rPr>
        <w:t xml:space="preserve"> </w:t>
      </w:r>
      <w:r>
        <w:t>of</w:t>
      </w:r>
      <w:r>
        <w:rPr>
          <w:spacing w:val="-1"/>
        </w:rPr>
        <w:t xml:space="preserve"> </w:t>
      </w:r>
      <w:r>
        <w:t>the</w:t>
      </w:r>
      <w:r>
        <w:rPr>
          <w:spacing w:val="-4"/>
        </w:rPr>
        <w:t xml:space="preserve"> </w:t>
      </w:r>
      <w:r>
        <w:t>state,</w:t>
      </w:r>
      <w:r>
        <w:rPr>
          <w:spacing w:val="-2"/>
        </w:rPr>
        <w:t xml:space="preserve"> </w:t>
      </w:r>
      <w:r>
        <w:t>the</w:t>
      </w:r>
      <w:r>
        <w:rPr>
          <w:spacing w:val="-2"/>
        </w:rPr>
        <w:t xml:space="preserve"> </w:t>
      </w:r>
      <w:r>
        <w:t>parties</w:t>
      </w:r>
      <w:r>
        <w:rPr>
          <w:spacing w:val="-2"/>
        </w:rPr>
        <w:t xml:space="preserve"> </w:t>
      </w:r>
      <w:r>
        <w:t>should commit to expanding coordination with community providers.</w:t>
      </w:r>
    </w:p>
    <w:p w14:paraId="1C34EBE9" w14:textId="77777777" w:rsidR="004C558F" w:rsidRDefault="004C558F">
      <w:pPr>
        <w:pStyle w:val="BodyText"/>
        <w:spacing w:before="35"/>
      </w:pPr>
    </w:p>
    <w:p w14:paraId="1C34EBEA" w14:textId="77777777" w:rsidR="004C558F" w:rsidRDefault="00461887">
      <w:pPr>
        <w:pStyle w:val="BodyText"/>
        <w:spacing w:line="276" w:lineRule="auto"/>
        <w:ind w:left="960" w:right="799" w:firstLine="720"/>
      </w:pPr>
      <w:r>
        <w:t>We</w:t>
      </w:r>
      <w:r>
        <w:rPr>
          <w:spacing w:val="-3"/>
        </w:rPr>
        <w:t xml:space="preserve"> </w:t>
      </w:r>
      <w:r>
        <w:t>invite</w:t>
      </w:r>
      <w:r>
        <w:rPr>
          <w:spacing w:val="-3"/>
        </w:rPr>
        <w:t xml:space="preserve"> </w:t>
      </w:r>
      <w:r>
        <w:t>the</w:t>
      </w:r>
      <w:r>
        <w:rPr>
          <w:spacing w:val="-3"/>
        </w:rPr>
        <w:t xml:space="preserve"> </w:t>
      </w:r>
      <w:r>
        <w:t>parties</w:t>
      </w:r>
      <w:r>
        <w:rPr>
          <w:spacing w:val="-3"/>
        </w:rPr>
        <w:t xml:space="preserve"> </w:t>
      </w:r>
      <w:r>
        <w:t>to</w:t>
      </w:r>
      <w:r>
        <w:rPr>
          <w:spacing w:val="-5"/>
        </w:rPr>
        <w:t xml:space="preserve"> </w:t>
      </w:r>
      <w:r>
        <w:t>address</w:t>
      </w:r>
      <w:r>
        <w:rPr>
          <w:spacing w:val="-3"/>
        </w:rPr>
        <w:t xml:space="preserve"> </w:t>
      </w:r>
      <w:proofErr w:type="gramStart"/>
      <w:r>
        <w:t>these</w:t>
      </w:r>
      <w:proofErr w:type="gramEnd"/>
      <w:r>
        <w:rPr>
          <w:spacing w:val="-5"/>
        </w:rPr>
        <w:t xml:space="preserve"> </w:t>
      </w:r>
      <w:r>
        <w:t>and</w:t>
      </w:r>
      <w:r>
        <w:rPr>
          <w:spacing w:val="-2"/>
        </w:rPr>
        <w:t xml:space="preserve"> </w:t>
      </w:r>
      <w:r>
        <w:t>other</w:t>
      </w:r>
      <w:r>
        <w:rPr>
          <w:spacing w:val="-4"/>
        </w:rPr>
        <w:t xml:space="preserve"> </w:t>
      </w:r>
      <w:r>
        <w:t>concerns</w:t>
      </w:r>
      <w:r>
        <w:rPr>
          <w:spacing w:val="-5"/>
        </w:rPr>
        <w:t xml:space="preserve"> </w:t>
      </w:r>
      <w:r>
        <w:t>documented</w:t>
      </w:r>
      <w:r>
        <w:rPr>
          <w:spacing w:val="-2"/>
        </w:rPr>
        <w:t xml:space="preserve"> </w:t>
      </w:r>
      <w:r>
        <w:t>throughout</w:t>
      </w:r>
      <w:r>
        <w:rPr>
          <w:spacing w:val="-4"/>
        </w:rPr>
        <w:t xml:space="preserve"> </w:t>
      </w:r>
      <w:r>
        <w:t>this report in their written response, including any commitments. Following the period for written response, we look forward to publishing our Final Report, including any referrals or recommendations to other state agencies.</w:t>
      </w:r>
    </w:p>
    <w:p w14:paraId="1C34EBEB" w14:textId="77777777" w:rsidR="004C558F" w:rsidRDefault="004C558F">
      <w:pPr>
        <w:spacing w:line="276" w:lineRule="auto"/>
        <w:sectPr w:rsidR="004C558F">
          <w:pgSz w:w="12240" w:h="15840"/>
          <w:pgMar w:top="1360" w:right="740" w:bottom="720" w:left="480" w:header="0" w:footer="521" w:gutter="0"/>
          <w:cols w:space="720"/>
        </w:sectPr>
      </w:pPr>
    </w:p>
    <w:p w14:paraId="1C34EBEC" w14:textId="77777777" w:rsidR="004C558F" w:rsidRDefault="00461887">
      <w:pPr>
        <w:pStyle w:val="Heading1"/>
      </w:pPr>
      <w:bookmarkStart w:id="235" w:name="Data_Appendix"/>
      <w:bookmarkStart w:id="236" w:name="_bookmark304"/>
      <w:bookmarkEnd w:id="235"/>
      <w:bookmarkEnd w:id="236"/>
      <w:r>
        <w:rPr>
          <w:color w:val="084875"/>
        </w:rPr>
        <w:lastRenderedPageBreak/>
        <w:t>DATA</w:t>
      </w:r>
      <w:r>
        <w:rPr>
          <w:color w:val="084875"/>
          <w:spacing w:val="-11"/>
        </w:rPr>
        <w:t xml:space="preserve"> </w:t>
      </w:r>
      <w:r>
        <w:rPr>
          <w:color w:val="084875"/>
          <w:spacing w:val="-2"/>
        </w:rPr>
        <w:t>APPENDIX</w:t>
      </w:r>
    </w:p>
    <w:p w14:paraId="1C34EBED" w14:textId="77777777" w:rsidR="004C558F" w:rsidRDefault="004C558F">
      <w:pPr>
        <w:pStyle w:val="BodyText"/>
        <w:spacing w:before="298"/>
        <w:rPr>
          <w:rFonts w:ascii="Franklin Gothic Demi"/>
          <w:b/>
          <w:sz w:val="32"/>
        </w:rPr>
      </w:pPr>
    </w:p>
    <w:p w14:paraId="1C34EBEE" w14:textId="77777777" w:rsidR="004C558F" w:rsidRDefault="00461887">
      <w:pPr>
        <w:pStyle w:val="ListParagraph"/>
        <w:numPr>
          <w:ilvl w:val="0"/>
          <w:numId w:val="7"/>
        </w:numPr>
        <w:tabs>
          <w:tab w:val="left" w:pos="958"/>
        </w:tabs>
        <w:ind w:left="958" w:hanging="358"/>
        <w:jc w:val="left"/>
        <w:rPr>
          <w:rFonts w:ascii="Franklin Gothic Medium"/>
          <w:sz w:val="28"/>
        </w:rPr>
      </w:pPr>
      <w:bookmarkStart w:id="237" w:name="A._Inpatient_Diversion_Model_and_Spendin"/>
      <w:bookmarkEnd w:id="237"/>
      <w:r>
        <w:rPr>
          <w:rFonts w:ascii="Franklin Gothic Medium"/>
          <w:color w:val="063656"/>
          <w:sz w:val="28"/>
        </w:rPr>
        <w:t>Inpatient</w:t>
      </w:r>
      <w:r>
        <w:rPr>
          <w:rFonts w:ascii="Franklin Gothic Medium"/>
          <w:color w:val="063656"/>
          <w:spacing w:val="-7"/>
          <w:sz w:val="28"/>
        </w:rPr>
        <w:t xml:space="preserve"> </w:t>
      </w:r>
      <w:r>
        <w:rPr>
          <w:rFonts w:ascii="Franklin Gothic Medium"/>
          <w:color w:val="063656"/>
          <w:sz w:val="28"/>
        </w:rPr>
        <w:t>Diversion</w:t>
      </w:r>
      <w:r>
        <w:rPr>
          <w:rFonts w:ascii="Franklin Gothic Medium"/>
          <w:color w:val="063656"/>
          <w:spacing w:val="-7"/>
          <w:sz w:val="28"/>
        </w:rPr>
        <w:t xml:space="preserve"> </w:t>
      </w:r>
      <w:r>
        <w:rPr>
          <w:rFonts w:ascii="Franklin Gothic Medium"/>
          <w:color w:val="063656"/>
          <w:sz w:val="28"/>
        </w:rPr>
        <w:t>Model</w:t>
      </w:r>
      <w:r>
        <w:rPr>
          <w:rFonts w:ascii="Franklin Gothic Medium"/>
          <w:color w:val="063656"/>
          <w:spacing w:val="-4"/>
          <w:sz w:val="28"/>
        </w:rPr>
        <w:t xml:space="preserve"> </w:t>
      </w:r>
      <w:r>
        <w:rPr>
          <w:rFonts w:ascii="Franklin Gothic Medium"/>
          <w:color w:val="063656"/>
          <w:sz w:val="28"/>
        </w:rPr>
        <w:t>and</w:t>
      </w:r>
      <w:r>
        <w:rPr>
          <w:rFonts w:ascii="Franklin Gothic Medium"/>
          <w:color w:val="063656"/>
          <w:spacing w:val="-6"/>
          <w:sz w:val="28"/>
        </w:rPr>
        <w:t xml:space="preserve"> </w:t>
      </w:r>
      <w:r>
        <w:rPr>
          <w:rFonts w:ascii="Franklin Gothic Medium"/>
          <w:color w:val="063656"/>
          <w:sz w:val="28"/>
        </w:rPr>
        <w:t>Spending</w:t>
      </w:r>
      <w:r>
        <w:rPr>
          <w:rFonts w:ascii="Franklin Gothic Medium"/>
          <w:color w:val="063656"/>
          <w:spacing w:val="-4"/>
          <w:sz w:val="28"/>
        </w:rPr>
        <w:t xml:space="preserve"> </w:t>
      </w:r>
      <w:r>
        <w:rPr>
          <w:rFonts w:ascii="Franklin Gothic Medium"/>
          <w:color w:val="063656"/>
          <w:spacing w:val="-2"/>
          <w:sz w:val="28"/>
        </w:rPr>
        <w:t>Impacts</w:t>
      </w:r>
    </w:p>
    <w:p w14:paraId="1C34EBEF" w14:textId="77777777" w:rsidR="004C558F" w:rsidRDefault="004C558F">
      <w:pPr>
        <w:pStyle w:val="BodyText"/>
        <w:spacing w:before="96"/>
        <w:rPr>
          <w:rFonts w:ascii="Franklin Gothic Medium"/>
          <w:sz w:val="28"/>
        </w:rPr>
      </w:pPr>
    </w:p>
    <w:p w14:paraId="1C34EBF0" w14:textId="77777777" w:rsidR="004C558F" w:rsidRDefault="00461887">
      <w:pPr>
        <w:pStyle w:val="BodyText"/>
        <w:spacing w:line="276" w:lineRule="auto"/>
        <w:ind w:left="959" w:right="972" w:firstLine="720"/>
      </w:pPr>
      <w:r>
        <w:t xml:space="preserve">The HPC used a multinomial logit hospital choice model to estimate the likelihood that </w:t>
      </w:r>
      <w:proofErr w:type="gramStart"/>
      <w:r>
        <w:t>particular patients</w:t>
      </w:r>
      <w:proofErr w:type="gramEnd"/>
      <w:r>
        <w:t xml:space="preserve"> would choose to receive inpatient oncology care at DFCI to fill the bed capacity of its new proposed facility or to backfill capacity at BWH or BIDMC that would be newly available as patients shift to DFCI. CHIA </w:t>
      </w:r>
      <w:proofErr w:type="gramStart"/>
      <w:r>
        <w:t>2022 hospital</w:t>
      </w:r>
      <w:proofErr w:type="gramEnd"/>
      <w:r>
        <w:t xml:space="preserve"> discharge data used in the estimation account for patient factors, including geographic origin, demographic information (age, gender, race), and clinical information (diagnosis, disease category, number of diagnoses, and number of procedures). These data are combined with indicator variables (fixed effects) for each Massachusetts hospital that capture the combined effect of each hospital’s attributes (e.g., location,</w:t>
      </w:r>
      <w:r>
        <w:rPr>
          <w:spacing w:val="-2"/>
        </w:rPr>
        <w:t xml:space="preserve"> </w:t>
      </w:r>
      <w:r>
        <w:t>teaching</w:t>
      </w:r>
      <w:r>
        <w:rPr>
          <w:spacing w:val="-5"/>
        </w:rPr>
        <w:t xml:space="preserve"> </w:t>
      </w:r>
      <w:r>
        <w:t>status,</w:t>
      </w:r>
      <w:r>
        <w:rPr>
          <w:spacing w:val="-5"/>
        </w:rPr>
        <w:t xml:space="preserve"> </w:t>
      </w:r>
      <w:r>
        <w:t>service</w:t>
      </w:r>
      <w:r>
        <w:rPr>
          <w:spacing w:val="-2"/>
        </w:rPr>
        <w:t xml:space="preserve"> </w:t>
      </w:r>
      <w:r>
        <w:t>offerings,</w:t>
      </w:r>
      <w:r>
        <w:rPr>
          <w:spacing w:val="-5"/>
        </w:rPr>
        <w:t xml:space="preserve"> </w:t>
      </w:r>
      <w:r>
        <w:t>etc.)</w:t>
      </w:r>
      <w:r>
        <w:rPr>
          <w:spacing w:val="-2"/>
        </w:rPr>
        <w:t xml:space="preserve"> </w:t>
      </w:r>
      <w:r>
        <w:t>to</w:t>
      </w:r>
      <w:r>
        <w:rPr>
          <w:spacing w:val="-4"/>
        </w:rPr>
        <w:t xml:space="preserve"> </w:t>
      </w:r>
      <w:r>
        <w:t>allow</w:t>
      </w:r>
      <w:r>
        <w:rPr>
          <w:spacing w:val="-3"/>
        </w:rPr>
        <w:t xml:space="preserve"> </w:t>
      </w:r>
      <w:r>
        <w:t>for</w:t>
      </w:r>
      <w:r>
        <w:rPr>
          <w:spacing w:val="-6"/>
        </w:rPr>
        <w:t xml:space="preserve"> </w:t>
      </w:r>
      <w:r>
        <w:t>an</w:t>
      </w:r>
      <w:r>
        <w:rPr>
          <w:spacing w:val="-2"/>
        </w:rPr>
        <w:t xml:space="preserve"> </w:t>
      </w:r>
      <w:r>
        <w:t>econometric</w:t>
      </w:r>
      <w:r>
        <w:rPr>
          <w:spacing w:val="-4"/>
        </w:rPr>
        <w:t xml:space="preserve"> </w:t>
      </w:r>
      <w:r>
        <w:t>analysis</w:t>
      </w:r>
      <w:r>
        <w:rPr>
          <w:spacing w:val="-2"/>
        </w:rPr>
        <w:t xml:space="preserve"> </w:t>
      </w:r>
      <w:r>
        <w:t>of</w:t>
      </w:r>
      <w:r>
        <w:rPr>
          <w:spacing w:val="-1"/>
        </w:rPr>
        <w:t xml:space="preserve"> </w:t>
      </w:r>
      <w:r>
        <w:t>the</w:t>
      </w:r>
      <w:r>
        <w:rPr>
          <w:spacing w:val="-4"/>
        </w:rPr>
        <w:t xml:space="preserve"> </w:t>
      </w:r>
      <w:r>
        <w:t>factors that,</w:t>
      </w:r>
      <w:r>
        <w:rPr>
          <w:spacing w:val="-1"/>
        </w:rPr>
        <w:t xml:space="preserve"> </w:t>
      </w:r>
      <w:r>
        <w:t>on</w:t>
      </w:r>
      <w:r>
        <w:rPr>
          <w:spacing w:val="-3"/>
        </w:rPr>
        <w:t xml:space="preserve"> </w:t>
      </w:r>
      <w:r>
        <w:t>average,</w:t>
      </w:r>
      <w:r>
        <w:rPr>
          <w:spacing w:val="-1"/>
        </w:rPr>
        <w:t xml:space="preserve"> </w:t>
      </w:r>
      <w:r>
        <w:t xml:space="preserve">lead </w:t>
      </w:r>
      <w:proofErr w:type="gramStart"/>
      <w:r>
        <w:t>particular</w:t>
      </w:r>
      <w:r>
        <w:rPr>
          <w:spacing w:val="-2"/>
        </w:rPr>
        <w:t xml:space="preserve"> </w:t>
      </w:r>
      <w:r>
        <w:t>types</w:t>
      </w:r>
      <w:proofErr w:type="gramEnd"/>
      <w:r>
        <w:rPr>
          <w:spacing w:val="-3"/>
        </w:rPr>
        <w:t xml:space="preserve"> </w:t>
      </w:r>
      <w:r>
        <w:t>of</w:t>
      </w:r>
      <w:r>
        <w:rPr>
          <w:spacing w:val="-3"/>
        </w:rPr>
        <w:t xml:space="preserve"> </w:t>
      </w:r>
      <w:r>
        <w:t>patients</w:t>
      </w:r>
      <w:r>
        <w:rPr>
          <w:spacing w:val="-1"/>
        </w:rPr>
        <w:t xml:space="preserve"> </w:t>
      </w:r>
      <w:r>
        <w:t>to</w:t>
      </w:r>
      <w:r>
        <w:rPr>
          <w:spacing w:val="-3"/>
        </w:rPr>
        <w:t xml:space="preserve"> </w:t>
      </w:r>
      <w:r>
        <w:t>choose</w:t>
      </w:r>
      <w:r>
        <w:rPr>
          <w:spacing w:val="-3"/>
        </w:rPr>
        <w:t xml:space="preserve"> </w:t>
      </w:r>
      <w:r>
        <w:t>a given</w:t>
      </w:r>
      <w:r>
        <w:rPr>
          <w:spacing w:val="-3"/>
        </w:rPr>
        <w:t xml:space="preserve"> </w:t>
      </w:r>
      <w:r>
        <w:t>hospital.</w:t>
      </w:r>
      <w:r>
        <w:rPr>
          <w:spacing w:val="-4"/>
        </w:rPr>
        <w:t xml:space="preserve"> </w:t>
      </w:r>
      <w:r>
        <w:t>The</w:t>
      </w:r>
      <w:r>
        <w:rPr>
          <w:spacing w:val="-1"/>
        </w:rPr>
        <w:t xml:space="preserve"> </w:t>
      </w:r>
      <w:r>
        <w:t>HPC</w:t>
      </w:r>
      <w:r>
        <w:rPr>
          <w:spacing w:val="-2"/>
        </w:rPr>
        <w:t xml:space="preserve"> </w:t>
      </w:r>
      <w:r>
        <w:t xml:space="preserve">focused the analysis </w:t>
      </w:r>
      <w:proofErr w:type="gramStart"/>
      <w:r>
        <w:t>to</w:t>
      </w:r>
      <w:proofErr w:type="gramEnd"/>
      <w:r>
        <w:t xml:space="preserve"> eastern Massachusetts adult cancer patients, defined as patients whose zip codes lie within a 60-minute drive-time radius from city hall. The HPC separately modeled patient choices for commercial and Medicare patients and for medical oncology, surgical oncology, and other general acute care patients.</w:t>
      </w:r>
    </w:p>
    <w:p w14:paraId="1C34EBF1" w14:textId="77777777" w:rsidR="004C558F" w:rsidRDefault="004C558F">
      <w:pPr>
        <w:pStyle w:val="BodyText"/>
        <w:spacing w:before="37"/>
      </w:pPr>
    </w:p>
    <w:p w14:paraId="1C34EBF2" w14:textId="77777777" w:rsidR="004C558F" w:rsidRDefault="00461887">
      <w:pPr>
        <w:pStyle w:val="BodyText"/>
        <w:spacing w:line="276" w:lineRule="auto"/>
        <w:ind w:left="959" w:right="984" w:firstLine="720"/>
      </w:pPr>
      <w:r>
        <w:t>The HPC then used 2022 APCD data (for shifts in oncology discharges) and CHIA 2022 hospital relative price data (for shifts in general acute care discharges) to estimate impacts on total spending and hospital revenues. Inpatient facility impacts were based on the payer mix- adjusted spending per discharge at DFCI and BIDMC compared to the hospitals at which the diversion</w:t>
      </w:r>
      <w:r>
        <w:rPr>
          <w:spacing w:val="-3"/>
        </w:rPr>
        <w:t xml:space="preserve"> </w:t>
      </w:r>
      <w:r>
        <w:t>model</w:t>
      </w:r>
      <w:r>
        <w:rPr>
          <w:spacing w:val="-6"/>
        </w:rPr>
        <w:t xml:space="preserve"> </w:t>
      </w:r>
      <w:r>
        <w:t>estimates</w:t>
      </w:r>
      <w:r>
        <w:rPr>
          <w:spacing w:val="-5"/>
        </w:rPr>
        <w:t xml:space="preserve"> </w:t>
      </w:r>
      <w:r>
        <w:t>patients</w:t>
      </w:r>
      <w:r>
        <w:rPr>
          <w:spacing w:val="-3"/>
        </w:rPr>
        <w:t xml:space="preserve"> </w:t>
      </w:r>
      <w:r>
        <w:t>would</w:t>
      </w:r>
      <w:r>
        <w:rPr>
          <w:spacing w:val="-2"/>
        </w:rPr>
        <w:t xml:space="preserve"> </w:t>
      </w:r>
      <w:r>
        <w:t>otherwise</w:t>
      </w:r>
      <w:r>
        <w:rPr>
          <w:spacing w:val="-5"/>
        </w:rPr>
        <w:t xml:space="preserve"> </w:t>
      </w:r>
      <w:r>
        <w:t>have</w:t>
      </w:r>
      <w:r>
        <w:rPr>
          <w:spacing w:val="-3"/>
        </w:rPr>
        <w:t xml:space="preserve"> </w:t>
      </w:r>
      <w:r>
        <w:t>received</w:t>
      </w:r>
      <w:r>
        <w:rPr>
          <w:spacing w:val="-5"/>
        </w:rPr>
        <w:t xml:space="preserve"> </w:t>
      </w:r>
      <w:r>
        <w:t>care.</w:t>
      </w:r>
      <w:r>
        <w:rPr>
          <w:spacing w:val="-3"/>
        </w:rPr>
        <w:t xml:space="preserve"> </w:t>
      </w:r>
      <w:r>
        <w:t>Spending</w:t>
      </w:r>
      <w:r>
        <w:rPr>
          <w:spacing w:val="-4"/>
        </w:rPr>
        <w:t xml:space="preserve"> </w:t>
      </w:r>
      <w:r>
        <w:t>estimates</w:t>
      </w:r>
      <w:r>
        <w:rPr>
          <w:spacing w:val="-5"/>
        </w:rPr>
        <w:t xml:space="preserve"> </w:t>
      </w:r>
      <w:r>
        <w:t>were adjusted for the predicted acuity (case mix) profile of patients likely to shift. The HPC estimated the physician component of revenue for shifting commercial care by applying the proportion of physician</w:t>
      </w:r>
      <w:r>
        <w:rPr>
          <w:spacing w:val="-2"/>
        </w:rPr>
        <w:t xml:space="preserve"> </w:t>
      </w:r>
      <w:r>
        <w:t>commercial</w:t>
      </w:r>
      <w:r>
        <w:rPr>
          <w:spacing w:val="-3"/>
        </w:rPr>
        <w:t xml:space="preserve"> </w:t>
      </w:r>
      <w:r>
        <w:t>revenue</w:t>
      </w:r>
      <w:r>
        <w:rPr>
          <w:spacing w:val="-2"/>
        </w:rPr>
        <w:t xml:space="preserve"> </w:t>
      </w:r>
      <w:r>
        <w:t>relative</w:t>
      </w:r>
      <w:r>
        <w:rPr>
          <w:spacing w:val="-2"/>
        </w:rPr>
        <w:t xml:space="preserve"> </w:t>
      </w:r>
      <w:r>
        <w:t>to</w:t>
      </w:r>
      <w:r>
        <w:rPr>
          <w:spacing w:val="-2"/>
        </w:rPr>
        <w:t xml:space="preserve"> </w:t>
      </w:r>
      <w:r>
        <w:t>facility</w:t>
      </w:r>
      <w:r>
        <w:rPr>
          <w:spacing w:val="-3"/>
        </w:rPr>
        <w:t xml:space="preserve"> </w:t>
      </w:r>
      <w:r>
        <w:t>revenue</w:t>
      </w:r>
      <w:r>
        <w:rPr>
          <w:spacing w:val="-4"/>
        </w:rPr>
        <w:t xml:space="preserve"> </w:t>
      </w:r>
      <w:r>
        <w:t>observed</w:t>
      </w:r>
      <w:r>
        <w:rPr>
          <w:spacing w:val="-1"/>
        </w:rPr>
        <w:t xml:space="preserve"> </w:t>
      </w:r>
      <w:r>
        <w:t>in</w:t>
      </w:r>
      <w:r>
        <w:rPr>
          <w:spacing w:val="-2"/>
        </w:rPr>
        <w:t xml:space="preserve"> </w:t>
      </w:r>
      <w:r>
        <w:t>the</w:t>
      </w:r>
      <w:r>
        <w:rPr>
          <w:spacing w:val="-2"/>
        </w:rPr>
        <w:t xml:space="preserve"> </w:t>
      </w:r>
      <w:r>
        <w:t>APCD,</w:t>
      </w:r>
      <w:r>
        <w:rPr>
          <w:spacing w:val="-2"/>
        </w:rPr>
        <w:t xml:space="preserve"> </w:t>
      </w:r>
      <w:r>
        <w:t>for</w:t>
      </w:r>
      <w:r>
        <w:rPr>
          <w:spacing w:val="-3"/>
        </w:rPr>
        <w:t xml:space="preserve"> </w:t>
      </w:r>
      <w:r>
        <w:t>both</w:t>
      </w:r>
      <w:r>
        <w:rPr>
          <w:spacing w:val="-2"/>
        </w:rPr>
        <w:t xml:space="preserve"> </w:t>
      </w:r>
      <w:r>
        <w:t>the</w:t>
      </w:r>
      <w:r>
        <w:rPr>
          <w:spacing w:val="-2"/>
        </w:rPr>
        <w:t xml:space="preserve"> </w:t>
      </w:r>
      <w:r>
        <w:t xml:space="preserve">origin and recipient hospital, to the estimate of shifting facility revenue. The applied professional to facility ratios were weighted by the </w:t>
      </w:r>
      <w:proofErr w:type="gramStart"/>
      <w:r>
        <w:t>origin</w:t>
      </w:r>
      <w:proofErr w:type="gramEnd"/>
      <w:r>
        <w:t xml:space="preserve"> hospital’s MDC mix and payer mix.</w:t>
      </w:r>
      <w:r>
        <w:rPr>
          <w:spacing w:val="40"/>
        </w:rPr>
        <w:t xml:space="preserve"> </w:t>
      </w:r>
      <w:r>
        <w:t>The sum of the difference in estimated professional spending between the origin and recipient hospitals produced an estimated impact of shifts in inpatient care on total commercial professional spending. Medicare spending impact estimates reflect facility revenue impacts only.</w:t>
      </w:r>
    </w:p>
    <w:p w14:paraId="1C34EBF3" w14:textId="77777777" w:rsidR="004C558F" w:rsidRDefault="004C558F">
      <w:pPr>
        <w:pStyle w:val="BodyText"/>
        <w:spacing w:before="199"/>
      </w:pPr>
    </w:p>
    <w:p w14:paraId="1C34EBF4" w14:textId="77777777" w:rsidR="004C558F" w:rsidRDefault="00461887">
      <w:pPr>
        <w:pStyle w:val="ListParagraph"/>
        <w:numPr>
          <w:ilvl w:val="0"/>
          <w:numId w:val="7"/>
        </w:numPr>
        <w:tabs>
          <w:tab w:val="left" w:pos="958"/>
        </w:tabs>
        <w:ind w:left="958" w:hanging="358"/>
        <w:jc w:val="left"/>
        <w:rPr>
          <w:rFonts w:ascii="Franklin Gothic Medium"/>
          <w:sz w:val="28"/>
        </w:rPr>
      </w:pPr>
      <w:bookmarkStart w:id="238" w:name="B._Outpatient_Market_Share_Analysis"/>
      <w:bookmarkEnd w:id="238"/>
      <w:r>
        <w:rPr>
          <w:rFonts w:ascii="Franklin Gothic Medium"/>
          <w:color w:val="063656"/>
          <w:sz w:val="28"/>
        </w:rPr>
        <w:t>Outpatient</w:t>
      </w:r>
      <w:r>
        <w:rPr>
          <w:rFonts w:ascii="Franklin Gothic Medium"/>
          <w:color w:val="063656"/>
          <w:spacing w:val="-8"/>
          <w:sz w:val="28"/>
        </w:rPr>
        <w:t xml:space="preserve"> </w:t>
      </w:r>
      <w:r>
        <w:rPr>
          <w:rFonts w:ascii="Franklin Gothic Medium"/>
          <w:color w:val="063656"/>
          <w:sz w:val="28"/>
        </w:rPr>
        <w:t>Market</w:t>
      </w:r>
      <w:r>
        <w:rPr>
          <w:rFonts w:ascii="Franklin Gothic Medium"/>
          <w:color w:val="063656"/>
          <w:spacing w:val="-5"/>
          <w:sz w:val="28"/>
        </w:rPr>
        <w:t xml:space="preserve"> </w:t>
      </w:r>
      <w:r>
        <w:rPr>
          <w:rFonts w:ascii="Franklin Gothic Medium"/>
          <w:color w:val="063656"/>
          <w:sz w:val="28"/>
        </w:rPr>
        <w:t>Share</w:t>
      </w:r>
      <w:r>
        <w:rPr>
          <w:rFonts w:ascii="Franklin Gothic Medium"/>
          <w:color w:val="063656"/>
          <w:spacing w:val="-6"/>
          <w:sz w:val="28"/>
        </w:rPr>
        <w:t xml:space="preserve"> </w:t>
      </w:r>
      <w:r>
        <w:rPr>
          <w:rFonts w:ascii="Franklin Gothic Medium"/>
          <w:color w:val="063656"/>
          <w:spacing w:val="-2"/>
          <w:sz w:val="28"/>
        </w:rPr>
        <w:t>Analysis</w:t>
      </w:r>
    </w:p>
    <w:p w14:paraId="1C34EBF5" w14:textId="77777777" w:rsidR="004C558F" w:rsidRDefault="004C558F">
      <w:pPr>
        <w:pStyle w:val="BodyText"/>
        <w:spacing w:before="97"/>
        <w:rPr>
          <w:rFonts w:ascii="Franklin Gothic Medium"/>
          <w:sz w:val="28"/>
        </w:rPr>
      </w:pPr>
    </w:p>
    <w:p w14:paraId="1C34EBF6" w14:textId="77777777" w:rsidR="004C558F" w:rsidRDefault="00461887">
      <w:pPr>
        <w:pStyle w:val="BodyText"/>
        <w:spacing w:line="276" w:lineRule="auto"/>
        <w:ind w:left="959" w:right="1034" w:firstLine="720"/>
      </w:pPr>
      <w:r>
        <w:t>To examine market shares in outpatient service lines relevant to the proposed transaction, the HPC defined clusters of Current Procedural Terminology (CPT) codes. For our market</w:t>
      </w:r>
      <w:r>
        <w:rPr>
          <w:spacing w:val="-3"/>
        </w:rPr>
        <w:t xml:space="preserve"> </w:t>
      </w:r>
      <w:r>
        <w:t>share</w:t>
      </w:r>
      <w:r>
        <w:rPr>
          <w:spacing w:val="-4"/>
        </w:rPr>
        <w:t xml:space="preserve"> </w:t>
      </w:r>
      <w:r>
        <w:t>analysis,</w:t>
      </w:r>
      <w:r>
        <w:rPr>
          <w:spacing w:val="-2"/>
        </w:rPr>
        <w:t xml:space="preserve"> </w:t>
      </w:r>
      <w:r>
        <w:t>we</w:t>
      </w:r>
      <w:r>
        <w:rPr>
          <w:spacing w:val="-4"/>
        </w:rPr>
        <w:t xml:space="preserve"> </w:t>
      </w:r>
      <w:r>
        <w:t>focused</w:t>
      </w:r>
      <w:r>
        <w:rPr>
          <w:spacing w:val="-1"/>
        </w:rPr>
        <w:t xml:space="preserve"> </w:t>
      </w:r>
      <w:r>
        <w:t>on</w:t>
      </w:r>
      <w:r>
        <w:rPr>
          <w:spacing w:val="-2"/>
        </w:rPr>
        <w:t xml:space="preserve"> </w:t>
      </w:r>
      <w:r>
        <w:t>service</w:t>
      </w:r>
      <w:r>
        <w:rPr>
          <w:spacing w:val="-2"/>
        </w:rPr>
        <w:t xml:space="preserve"> </w:t>
      </w:r>
      <w:r>
        <w:t>lines</w:t>
      </w:r>
      <w:r>
        <w:rPr>
          <w:spacing w:val="-2"/>
        </w:rPr>
        <w:t xml:space="preserve"> </w:t>
      </w:r>
      <w:r>
        <w:t>for</w:t>
      </w:r>
      <w:r>
        <w:rPr>
          <w:spacing w:val="-3"/>
        </w:rPr>
        <w:t xml:space="preserve"> </w:t>
      </w:r>
      <w:r>
        <w:t>which</w:t>
      </w:r>
      <w:r>
        <w:rPr>
          <w:spacing w:val="-2"/>
        </w:rPr>
        <w:t xml:space="preserve"> </w:t>
      </w:r>
      <w:r>
        <w:t>most</w:t>
      </w:r>
      <w:r>
        <w:rPr>
          <w:spacing w:val="-3"/>
        </w:rPr>
        <w:t xml:space="preserve"> </w:t>
      </w:r>
      <w:r>
        <w:t>services</w:t>
      </w:r>
      <w:r>
        <w:rPr>
          <w:spacing w:val="-2"/>
        </w:rPr>
        <w:t xml:space="preserve"> </w:t>
      </w:r>
      <w:r>
        <w:t>billed</w:t>
      </w:r>
      <w:r>
        <w:rPr>
          <w:spacing w:val="-4"/>
        </w:rPr>
        <w:t xml:space="preserve"> </w:t>
      </w:r>
      <w:r>
        <w:t>are</w:t>
      </w:r>
      <w:r>
        <w:rPr>
          <w:spacing w:val="-2"/>
        </w:rPr>
        <w:t xml:space="preserve"> </w:t>
      </w:r>
      <w:r>
        <w:t>expected</w:t>
      </w:r>
      <w:r>
        <w:rPr>
          <w:spacing w:val="-1"/>
        </w:rPr>
        <w:t xml:space="preserve"> </w:t>
      </w:r>
      <w:r>
        <w:t xml:space="preserve">to be </w:t>
      </w:r>
      <w:proofErr w:type="gramStart"/>
      <w:r>
        <w:t>oncology-related</w:t>
      </w:r>
      <w:proofErr w:type="gramEnd"/>
      <w:r>
        <w:t>.</w:t>
      </w:r>
    </w:p>
    <w:p w14:paraId="1C34EBF7" w14:textId="77777777" w:rsidR="004C558F" w:rsidRDefault="004C558F">
      <w:pPr>
        <w:pStyle w:val="BodyText"/>
        <w:spacing w:before="35"/>
      </w:pPr>
    </w:p>
    <w:p w14:paraId="1C34EBF8" w14:textId="77777777" w:rsidR="004C558F" w:rsidRDefault="00461887">
      <w:pPr>
        <w:pStyle w:val="BodyText"/>
        <w:spacing w:line="276" w:lineRule="auto"/>
        <w:ind w:left="959" w:right="702" w:firstLine="720"/>
      </w:pPr>
      <w:r>
        <w:t>The</w:t>
      </w:r>
      <w:r>
        <w:rPr>
          <w:spacing w:val="-3"/>
        </w:rPr>
        <w:t xml:space="preserve"> </w:t>
      </w:r>
      <w:r>
        <w:t>CPT</w:t>
      </w:r>
      <w:r>
        <w:rPr>
          <w:spacing w:val="-3"/>
        </w:rPr>
        <w:t xml:space="preserve"> </w:t>
      </w:r>
      <w:r>
        <w:t>Codebook</w:t>
      </w:r>
      <w:r>
        <w:rPr>
          <w:spacing w:val="-4"/>
        </w:rPr>
        <w:t xml:space="preserve"> </w:t>
      </w:r>
      <w:r>
        <w:t>published</w:t>
      </w:r>
      <w:r>
        <w:rPr>
          <w:spacing w:val="-3"/>
        </w:rPr>
        <w:t xml:space="preserve"> </w:t>
      </w:r>
      <w:r>
        <w:t>by</w:t>
      </w:r>
      <w:r>
        <w:rPr>
          <w:spacing w:val="-4"/>
        </w:rPr>
        <w:t xml:space="preserve"> </w:t>
      </w:r>
      <w:r>
        <w:t>the</w:t>
      </w:r>
      <w:r>
        <w:rPr>
          <w:spacing w:val="-3"/>
        </w:rPr>
        <w:t xml:space="preserve"> </w:t>
      </w:r>
      <w:r>
        <w:t>American</w:t>
      </w:r>
      <w:r>
        <w:rPr>
          <w:spacing w:val="-5"/>
        </w:rPr>
        <w:t xml:space="preserve"> </w:t>
      </w:r>
      <w:r>
        <w:t>Medical</w:t>
      </w:r>
      <w:r>
        <w:rPr>
          <w:spacing w:val="-4"/>
        </w:rPr>
        <w:t xml:space="preserve"> </w:t>
      </w:r>
      <w:r>
        <w:t>Association</w:t>
      </w:r>
      <w:r>
        <w:rPr>
          <w:spacing w:val="-3"/>
        </w:rPr>
        <w:t xml:space="preserve"> </w:t>
      </w:r>
      <w:r>
        <w:t>includes</w:t>
      </w:r>
      <w:r>
        <w:rPr>
          <w:spacing w:val="-3"/>
        </w:rPr>
        <w:t xml:space="preserve"> </w:t>
      </w:r>
      <w:r>
        <w:t>approximately 300 clinical categories, which the HPC aggregated into 42 categories that parallel major</w:t>
      </w:r>
    </w:p>
    <w:p w14:paraId="1C34EBF9" w14:textId="77777777" w:rsidR="004C558F" w:rsidRDefault="004C558F">
      <w:pPr>
        <w:spacing w:line="276" w:lineRule="auto"/>
        <w:sectPr w:rsidR="004C558F">
          <w:pgSz w:w="12240" w:h="15840"/>
          <w:pgMar w:top="1360" w:right="740" w:bottom="720" w:left="480" w:header="0" w:footer="521" w:gutter="0"/>
          <w:cols w:space="720"/>
        </w:sectPr>
      </w:pPr>
    </w:p>
    <w:p w14:paraId="1C34EBFA" w14:textId="77777777" w:rsidR="004C558F" w:rsidRDefault="00461887">
      <w:pPr>
        <w:pStyle w:val="BodyText"/>
        <w:spacing w:before="80" w:line="276" w:lineRule="auto"/>
        <w:ind w:left="960" w:right="702"/>
      </w:pPr>
      <w:r>
        <w:lastRenderedPageBreak/>
        <w:t>specialties</w:t>
      </w:r>
      <w:r>
        <w:rPr>
          <w:spacing w:val="-5"/>
        </w:rPr>
        <w:t xml:space="preserve"> </w:t>
      </w:r>
      <w:r>
        <w:t>and</w:t>
      </w:r>
      <w:r>
        <w:rPr>
          <w:spacing w:val="-2"/>
        </w:rPr>
        <w:t xml:space="preserve"> </w:t>
      </w:r>
      <w:r>
        <w:t>subspecialties</w:t>
      </w:r>
      <w:r>
        <w:rPr>
          <w:spacing w:val="-3"/>
        </w:rPr>
        <w:t xml:space="preserve"> </w:t>
      </w:r>
      <w:r>
        <w:t>in</w:t>
      </w:r>
      <w:r>
        <w:rPr>
          <w:spacing w:val="-3"/>
        </w:rPr>
        <w:t xml:space="preserve"> </w:t>
      </w:r>
      <w:r>
        <w:t>clinical</w:t>
      </w:r>
      <w:r>
        <w:rPr>
          <w:spacing w:val="-6"/>
        </w:rPr>
        <w:t xml:space="preserve"> </w:t>
      </w:r>
      <w:r>
        <w:t>care.</w:t>
      </w:r>
      <w:r>
        <w:rPr>
          <w:spacing w:val="-6"/>
        </w:rPr>
        <w:t xml:space="preserve"> </w:t>
      </w:r>
      <w:r>
        <w:t>The</w:t>
      </w:r>
      <w:r>
        <w:rPr>
          <w:spacing w:val="-3"/>
        </w:rPr>
        <w:t xml:space="preserve"> </w:t>
      </w:r>
      <w:r>
        <w:t>HPC</w:t>
      </w:r>
      <w:r>
        <w:rPr>
          <w:spacing w:val="-4"/>
        </w:rPr>
        <w:t xml:space="preserve"> </w:t>
      </w:r>
      <w:r>
        <w:t>then</w:t>
      </w:r>
      <w:r>
        <w:rPr>
          <w:spacing w:val="-3"/>
        </w:rPr>
        <w:t xml:space="preserve"> </w:t>
      </w:r>
      <w:r>
        <w:t>further</w:t>
      </w:r>
      <w:r>
        <w:rPr>
          <w:spacing w:val="-4"/>
        </w:rPr>
        <w:t xml:space="preserve"> </w:t>
      </w:r>
      <w:r>
        <w:t>refined</w:t>
      </w:r>
      <w:r>
        <w:rPr>
          <w:spacing w:val="-2"/>
        </w:rPr>
        <w:t xml:space="preserve"> </w:t>
      </w:r>
      <w:r>
        <w:t>these</w:t>
      </w:r>
      <w:r>
        <w:rPr>
          <w:spacing w:val="-3"/>
        </w:rPr>
        <w:t xml:space="preserve"> </w:t>
      </w:r>
      <w:r>
        <w:t>categories</w:t>
      </w:r>
      <w:r>
        <w:rPr>
          <w:spacing w:val="-3"/>
        </w:rPr>
        <w:t xml:space="preserve"> </w:t>
      </w:r>
      <w:r>
        <w:t>into relevant clusters based on descriptions of the proposed transaction and the guidance of clinical experts. The codes included in our market share analysis are as follows:</w:t>
      </w:r>
    </w:p>
    <w:p w14:paraId="1C34EBFB" w14:textId="77777777" w:rsidR="004C558F" w:rsidRDefault="004C558F">
      <w:pPr>
        <w:pStyle w:val="BodyText"/>
        <w:spacing w:before="36"/>
      </w:pPr>
    </w:p>
    <w:p w14:paraId="1C34EBFC" w14:textId="77777777" w:rsidR="004C558F" w:rsidRDefault="00461887">
      <w:pPr>
        <w:pStyle w:val="ListParagraph"/>
        <w:numPr>
          <w:ilvl w:val="1"/>
          <w:numId w:val="7"/>
        </w:numPr>
        <w:tabs>
          <w:tab w:val="left" w:pos="1679"/>
        </w:tabs>
        <w:ind w:left="1679" w:hanging="360"/>
      </w:pPr>
      <w:r>
        <w:t>Outpatient</w:t>
      </w:r>
      <w:r>
        <w:rPr>
          <w:spacing w:val="-7"/>
        </w:rPr>
        <w:t xml:space="preserve"> </w:t>
      </w:r>
      <w:r>
        <w:t>medical</w:t>
      </w:r>
      <w:r>
        <w:rPr>
          <w:spacing w:val="-7"/>
        </w:rPr>
        <w:t xml:space="preserve"> </w:t>
      </w:r>
      <w:r>
        <w:rPr>
          <w:spacing w:val="-2"/>
        </w:rPr>
        <w:t>oncology:</w:t>
      </w:r>
    </w:p>
    <w:p w14:paraId="1C34EBFD" w14:textId="77777777" w:rsidR="004C558F" w:rsidRDefault="00461887">
      <w:pPr>
        <w:pStyle w:val="BodyText"/>
        <w:spacing w:before="38"/>
        <w:ind w:left="2040"/>
      </w:pPr>
      <w:r>
        <w:rPr>
          <w:rFonts w:ascii="Courier New"/>
        </w:rPr>
        <w:t>o</w:t>
      </w:r>
      <w:r>
        <w:rPr>
          <w:rFonts w:ascii="Courier New"/>
          <w:spacing w:val="17"/>
          <w:w w:val="150"/>
        </w:rPr>
        <w:t xml:space="preserve"> </w:t>
      </w:r>
      <w:r>
        <w:t>Infusion</w:t>
      </w:r>
      <w:r>
        <w:rPr>
          <w:spacing w:val="-4"/>
        </w:rPr>
        <w:t xml:space="preserve"> </w:t>
      </w:r>
      <w:r>
        <w:t>administration:</w:t>
      </w:r>
      <w:r>
        <w:rPr>
          <w:spacing w:val="-6"/>
        </w:rPr>
        <w:t xml:space="preserve"> </w:t>
      </w:r>
      <w:r>
        <w:t>96413,</w:t>
      </w:r>
      <w:r>
        <w:rPr>
          <w:spacing w:val="-2"/>
        </w:rPr>
        <w:t xml:space="preserve"> </w:t>
      </w:r>
      <w:r>
        <w:t>96375,</w:t>
      </w:r>
      <w:r>
        <w:rPr>
          <w:spacing w:val="-6"/>
        </w:rPr>
        <w:t xml:space="preserve"> </w:t>
      </w:r>
      <w:r>
        <w:t>96417,</w:t>
      </w:r>
      <w:r>
        <w:rPr>
          <w:spacing w:val="-2"/>
        </w:rPr>
        <w:t xml:space="preserve"> </w:t>
      </w:r>
      <w:r>
        <w:t>96361,</w:t>
      </w:r>
      <w:r>
        <w:rPr>
          <w:spacing w:val="-3"/>
        </w:rPr>
        <w:t xml:space="preserve"> </w:t>
      </w:r>
      <w:r>
        <w:t>96411,</w:t>
      </w:r>
      <w:r>
        <w:rPr>
          <w:spacing w:val="-3"/>
        </w:rPr>
        <w:t xml:space="preserve"> </w:t>
      </w:r>
      <w:r>
        <w:t>96372,</w:t>
      </w:r>
      <w:r>
        <w:rPr>
          <w:spacing w:val="-3"/>
        </w:rPr>
        <w:t xml:space="preserve"> </w:t>
      </w:r>
      <w:r>
        <w:rPr>
          <w:spacing w:val="-2"/>
        </w:rPr>
        <w:t>96365,</w:t>
      </w:r>
    </w:p>
    <w:p w14:paraId="1C34EBFE" w14:textId="77777777" w:rsidR="004C558F" w:rsidRDefault="00461887">
      <w:pPr>
        <w:pStyle w:val="BodyText"/>
        <w:spacing w:before="18"/>
        <w:ind w:left="2400"/>
      </w:pPr>
      <w:r>
        <w:t>96415,</w:t>
      </w:r>
      <w:r>
        <w:rPr>
          <w:spacing w:val="-6"/>
        </w:rPr>
        <w:t xml:space="preserve"> </w:t>
      </w:r>
      <w:r>
        <w:t>96402,</w:t>
      </w:r>
      <w:r>
        <w:rPr>
          <w:spacing w:val="-3"/>
        </w:rPr>
        <w:t xml:space="preserve"> </w:t>
      </w:r>
      <w:r>
        <w:t>96367,</w:t>
      </w:r>
      <w:r>
        <w:rPr>
          <w:spacing w:val="-3"/>
        </w:rPr>
        <w:t xml:space="preserve"> </w:t>
      </w:r>
      <w:r>
        <w:t>96401,</w:t>
      </w:r>
      <w:r>
        <w:rPr>
          <w:spacing w:val="-3"/>
        </w:rPr>
        <w:t xml:space="preserve"> </w:t>
      </w:r>
      <w:r>
        <w:t>96409,</w:t>
      </w:r>
      <w:r>
        <w:rPr>
          <w:spacing w:val="-6"/>
        </w:rPr>
        <w:t xml:space="preserve"> </w:t>
      </w:r>
      <w:r>
        <w:t>96360,</w:t>
      </w:r>
      <w:r>
        <w:rPr>
          <w:spacing w:val="-3"/>
        </w:rPr>
        <w:t xml:space="preserve"> </w:t>
      </w:r>
      <w:r>
        <w:t>96416,</w:t>
      </w:r>
      <w:r>
        <w:rPr>
          <w:spacing w:val="-3"/>
        </w:rPr>
        <w:t xml:space="preserve"> </w:t>
      </w:r>
      <w:r>
        <w:t>96368,</w:t>
      </w:r>
      <w:r>
        <w:rPr>
          <w:spacing w:val="-3"/>
        </w:rPr>
        <w:t xml:space="preserve"> </w:t>
      </w:r>
      <w:r>
        <w:t>96374,</w:t>
      </w:r>
      <w:r>
        <w:rPr>
          <w:spacing w:val="-3"/>
        </w:rPr>
        <w:t xml:space="preserve"> </w:t>
      </w:r>
      <w:r>
        <w:rPr>
          <w:spacing w:val="-2"/>
        </w:rPr>
        <w:t>96366,</w:t>
      </w:r>
    </w:p>
    <w:p w14:paraId="1C34EBFF" w14:textId="77777777" w:rsidR="004C558F" w:rsidRDefault="00461887">
      <w:pPr>
        <w:pStyle w:val="BodyText"/>
        <w:spacing w:before="38"/>
        <w:ind w:left="2400"/>
      </w:pPr>
      <w:r>
        <w:t>96376,</w:t>
      </w:r>
      <w:r>
        <w:rPr>
          <w:spacing w:val="-6"/>
        </w:rPr>
        <w:t xml:space="preserve"> </w:t>
      </w:r>
      <w:r>
        <w:t>96450,</w:t>
      </w:r>
      <w:r>
        <w:rPr>
          <w:spacing w:val="-3"/>
        </w:rPr>
        <w:t xml:space="preserve"> </w:t>
      </w:r>
      <w:r>
        <w:t>96369,</w:t>
      </w:r>
      <w:r>
        <w:rPr>
          <w:spacing w:val="-2"/>
        </w:rPr>
        <w:t xml:space="preserve"> </w:t>
      </w:r>
      <w:r>
        <w:t>96370,</w:t>
      </w:r>
      <w:r>
        <w:rPr>
          <w:spacing w:val="-3"/>
        </w:rPr>
        <w:t xml:space="preserve"> </w:t>
      </w:r>
      <w:r>
        <w:t>96371,</w:t>
      </w:r>
      <w:r>
        <w:rPr>
          <w:spacing w:val="-6"/>
        </w:rPr>
        <w:t xml:space="preserve"> </w:t>
      </w:r>
      <w:r>
        <w:t>96377,</w:t>
      </w:r>
      <w:r>
        <w:rPr>
          <w:spacing w:val="-2"/>
        </w:rPr>
        <w:t xml:space="preserve"> </w:t>
      </w:r>
      <w:r>
        <w:t>96422,</w:t>
      </w:r>
      <w:r>
        <w:rPr>
          <w:spacing w:val="-3"/>
        </w:rPr>
        <w:t xml:space="preserve"> </w:t>
      </w:r>
      <w:r>
        <w:t>96423,</w:t>
      </w:r>
      <w:r>
        <w:rPr>
          <w:spacing w:val="-2"/>
        </w:rPr>
        <w:t xml:space="preserve"> 96425</w:t>
      </w:r>
    </w:p>
    <w:p w14:paraId="1C34EC00" w14:textId="77777777" w:rsidR="004C558F" w:rsidRDefault="00461887">
      <w:pPr>
        <w:pStyle w:val="BodyText"/>
        <w:spacing w:before="37" w:line="276" w:lineRule="auto"/>
        <w:ind w:left="2400" w:right="1290" w:hanging="361"/>
      </w:pPr>
      <w:r>
        <w:rPr>
          <w:rFonts w:ascii="Courier New"/>
        </w:rPr>
        <w:t>o</w:t>
      </w:r>
      <w:r>
        <w:rPr>
          <w:rFonts w:ascii="Courier New"/>
          <w:spacing w:val="40"/>
        </w:rPr>
        <w:t xml:space="preserve"> </w:t>
      </w:r>
      <w:r>
        <w:t>Oncologic</w:t>
      </w:r>
      <w:r>
        <w:rPr>
          <w:spacing w:val="-3"/>
        </w:rPr>
        <w:t xml:space="preserve"> </w:t>
      </w:r>
      <w:r>
        <w:t>drugs:</w:t>
      </w:r>
      <w:r>
        <w:rPr>
          <w:spacing w:val="-3"/>
        </w:rPr>
        <w:t xml:space="preserve"> </w:t>
      </w:r>
      <w:r>
        <w:t>J0129,</w:t>
      </w:r>
      <w:r>
        <w:rPr>
          <w:spacing w:val="-3"/>
        </w:rPr>
        <w:t xml:space="preserve"> </w:t>
      </w:r>
      <w:r>
        <w:t>J0135,</w:t>
      </w:r>
      <w:r>
        <w:rPr>
          <w:spacing w:val="-3"/>
        </w:rPr>
        <w:t xml:space="preserve"> </w:t>
      </w:r>
      <w:r>
        <w:t>J0178,</w:t>
      </w:r>
      <w:r>
        <w:rPr>
          <w:spacing w:val="-3"/>
        </w:rPr>
        <w:t xml:space="preserve"> </w:t>
      </w:r>
      <w:r>
        <w:t>J0215,</w:t>
      </w:r>
      <w:r>
        <w:rPr>
          <w:spacing w:val="-3"/>
        </w:rPr>
        <w:t xml:space="preserve"> </w:t>
      </w:r>
      <w:r>
        <w:t>J0480,</w:t>
      </w:r>
      <w:r>
        <w:rPr>
          <w:spacing w:val="-3"/>
        </w:rPr>
        <w:t xml:space="preserve"> </w:t>
      </w:r>
      <w:r>
        <w:t>J0485,</w:t>
      </w:r>
      <w:r>
        <w:rPr>
          <w:spacing w:val="-5"/>
        </w:rPr>
        <w:t xml:space="preserve"> </w:t>
      </w:r>
      <w:r>
        <w:t>J0490,</w:t>
      </w:r>
      <w:r>
        <w:rPr>
          <w:spacing w:val="-3"/>
        </w:rPr>
        <w:t xml:space="preserve"> </w:t>
      </w:r>
      <w:r>
        <w:t>J0594, J0638, J0717, J0718, J0894, J1300, J1438, J1440, J1441, J1442, J1446, J1595, J1602, J1675, J1745, J1826, J1830, J1950, J2323, J2355, J2504, J2505, J2562, J2793, J2820, J3262, J3315, J3357, J7308, J7309, J7315, J7500, J7501, J7502, J7504, J7505, J7507, J7508, J7511, J7513, J7515, J7516, J7517, J7518, J7520, J7525, J7527, J7599, J8510, J8520, J8521, J8530, J8560, J8561, J8562, J8565, J8600, J8610, J8700, J8705, J8999, J9000, J9001, J9002, J9010, J9015, J9017, J9019, J9020, J9025, J9027, J9031, J9033, J9035, J9040, J9041, J9042, J9043, J9045, J9047, J9050, J9055, J9060, J9065, J9070, J9098, J9100, J9120, J9130, J9150, J9151, J9155, J9160, J9171, J9178, J9179, J9181, J9185, J9190, J9200, J9201, J9202, J9206, J9207, J9208, J9211, J9212, J9213, J9214, J9215, J9216, J9217, J9218, J9219, J9225, J9226, J9228, J9230, J9245, J9250, J9260, J9261, J9262, J9263, J9264, J9265, J9266, J9267, J9268, J9270, J9280, J9293, J9300, J9301, J9302, J9303, J9305, J9306, J9307, J9310, J9315, J9320, J9328, J9330, J9340, J9351, J9354, J9355, J9357, J9360, J9370, J9371, J9390, J9395, J9400, J9600, J9999</w:t>
      </w:r>
    </w:p>
    <w:p w14:paraId="1C34EC01" w14:textId="77777777" w:rsidR="004C558F" w:rsidRDefault="00461887">
      <w:pPr>
        <w:pStyle w:val="ListParagraph"/>
        <w:numPr>
          <w:ilvl w:val="1"/>
          <w:numId w:val="7"/>
        </w:numPr>
        <w:tabs>
          <w:tab w:val="left" w:pos="1680"/>
        </w:tabs>
        <w:spacing w:line="250" w:lineRule="exact"/>
        <w:ind w:hanging="360"/>
      </w:pPr>
      <w:r>
        <w:t>Radiation</w:t>
      </w:r>
      <w:r>
        <w:rPr>
          <w:spacing w:val="-4"/>
        </w:rPr>
        <w:t xml:space="preserve"> </w:t>
      </w:r>
      <w:r>
        <w:t>oncology:</w:t>
      </w:r>
      <w:r>
        <w:rPr>
          <w:spacing w:val="-4"/>
        </w:rPr>
        <w:t xml:space="preserve"> </w:t>
      </w:r>
      <w:r>
        <w:t>55920,</w:t>
      </w:r>
      <w:r>
        <w:rPr>
          <w:spacing w:val="-4"/>
        </w:rPr>
        <w:t xml:space="preserve"> </w:t>
      </w:r>
      <w:r>
        <w:t>57155,</w:t>
      </w:r>
      <w:r>
        <w:rPr>
          <w:spacing w:val="-3"/>
        </w:rPr>
        <w:t xml:space="preserve"> </w:t>
      </w:r>
      <w:r>
        <w:t>57156,</w:t>
      </w:r>
      <w:r>
        <w:rPr>
          <w:spacing w:val="-4"/>
        </w:rPr>
        <w:t xml:space="preserve"> </w:t>
      </w:r>
      <w:r>
        <w:t>58346,</w:t>
      </w:r>
      <w:r>
        <w:rPr>
          <w:spacing w:val="-7"/>
        </w:rPr>
        <w:t xml:space="preserve"> </w:t>
      </w:r>
      <w:r>
        <w:t>64625,</w:t>
      </w:r>
      <w:r>
        <w:rPr>
          <w:spacing w:val="-6"/>
        </w:rPr>
        <w:t xml:space="preserve"> </w:t>
      </w:r>
      <w:r>
        <w:t>76145,</w:t>
      </w:r>
      <w:r>
        <w:rPr>
          <w:spacing w:val="-4"/>
        </w:rPr>
        <w:t xml:space="preserve"> </w:t>
      </w:r>
      <w:r>
        <w:t>76950,</w:t>
      </w:r>
      <w:r>
        <w:rPr>
          <w:spacing w:val="-3"/>
        </w:rPr>
        <w:t xml:space="preserve"> </w:t>
      </w:r>
      <w:r>
        <w:rPr>
          <w:spacing w:val="-2"/>
        </w:rPr>
        <w:t>77011,</w:t>
      </w:r>
    </w:p>
    <w:p w14:paraId="1C34EC02" w14:textId="77777777" w:rsidR="004C558F" w:rsidRDefault="00461887">
      <w:pPr>
        <w:pStyle w:val="BodyText"/>
        <w:spacing w:before="37"/>
        <w:ind w:left="1680"/>
      </w:pPr>
      <w:r>
        <w:t>77014,</w:t>
      </w:r>
      <w:r>
        <w:rPr>
          <w:spacing w:val="-6"/>
        </w:rPr>
        <w:t xml:space="preserve"> </w:t>
      </w:r>
      <w:r>
        <w:t>77261,</w:t>
      </w:r>
      <w:r>
        <w:rPr>
          <w:spacing w:val="-3"/>
        </w:rPr>
        <w:t xml:space="preserve"> </w:t>
      </w:r>
      <w:r>
        <w:t>77262,</w:t>
      </w:r>
      <w:r>
        <w:rPr>
          <w:spacing w:val="-3"/>
        </w:rPr>
        <w:t xml:space="preserve"> </w:t>
      </w:r>
      <w:r>
        <w:t>77263,</w:t>
      </w:r>
      <w:r>
        <w:rPr>
          <w:spacing w:val="-3"/>
        </w:rPr>
        <w:t xml:space="preserve"> </w:t>
      </w:r>
      <w:r>
        <w:t>77280,</w:t>
      </w:r>
      <w:r>
        <w:rPr>
          <w:spacing w:val="-6"/>
        </w:rPr>
        <w:t xml:space="preserve"> </w:t>
      </w:r>
      <w:r>
        <w:t>77285,</w:t>
      </w:r>
      <w:r>
        <w:rPr>
          <w:spacing w:val="-3"/>
        </w:rPr>
        <w:t xml:space="preserve"> </w:t>
      </w:r>
      <w:r>
        <w:t>77290,</w:t>
      </w:r>
      <w:r>
        <w:rPr>
          <w:spacing w:val="-3"/>
        </w:rPr>
        <w:t xml:space="preserve"> </w:t>
      </w:r>
      <w:r>
        <w:t>77293,</w:t>
      </w:r>
      <w:r>
        <w:rPr>
          <w:spacing w:val="-3"/>
        </w:rPr>
        <w:t xml:space="preserve"> </w:t>
      </w:r>
      <w:r>
        <w:t>77295,</w:t>
      </w:r>
      <w:r>
        <w:rPr>
          <w:spacing w:val="-3"/>
        </w:rPr>
        <w:t xml:space="preserve"> </w:t>
      </w:r>
      <w:r>
        <w:t>77299,</w:t>
      </w:r>
      <w:r>
        <w:rPr>
          <w:spacing w:val="-3"/>
        </w:rPr>
        <w:t xml:space="preserve"> </w:t>
      </w:r>
      <w:r>
        <w:rPr>
          <w:spacing w:val="-2"/>
        </w:rPr>
        <w:t>77300,</w:t>
      </w:r>
    </w:p>
    <w:p w14:paraId="1C34EC03" w14:textId="77777777" w:rsidR="004C558F" w:rsidRDefault="00461887">
      <w:pPr>
        <w:pStyle w:val="BodyText"/>
        <w:spacing w:before="37"/>
        <w:ind w:left="1680"/>
      </w:pPr>
      <w:r>
        <w:t>77301,</w:t>
      </w:r>
      <w:r>
        <w:rPr>
          <w:spacing w:val="-6"/>
        </w:rPr>
        <w:t xml:space="preserve"> </w:t>
      </w:r>
      <w:r>
        <w:t>77305,</w:t>
      </w:r>
      <w:r>
        <w:rPr>
          <w:spacing w:val="-3"/>
        </w:rPr>
        <w:t xml:space="preserve"> </w:t>
      </w:r>
      <w:r>
        <w:t>77306,</w:t>
      </w:r>
      <w:r>
        <w:rPr>
          <w:spacing w:val="-3"/>
        </w:rPr>
        <w:t xml:space="preserve"> </w:t>
      </w:r>
      <w:r>
        <w:t>77307,</w:t>
      </w:r>
      <w:r>
        <w:rPr>
          <w:spacing w:val="-3"/>
        </w:rPr>
        <w:t xml:space="preserve"> </w:t>
      </w:r>
      <w:r>
        <w:t>77310,</w:t>
      </w:r>
      <w:r>
        <w:rPr>
          <w:spacing w:val="-6"/>
        </w:rPr>
        <w:t xml:space="preserve"> </w:t>
      </w:r>
      <w:r>
        <w:t>77315,</w:t>
      </w:r>
      <w:r>
        <w:rPr>
          <w:spacing w:val="-3"/>
        </w:rPr>
        <w:t xml:space="preserve"> </w:t>
      </w:r>
      <w:r>
        <w:t>77316,</w:t>
      </w:r>
      <w:r>
        <w:rPr>
          <w:spacing w:val="-3"/>
        </w:rPr>
        <w:t xml:space="preserve"> </w:t>
      </w:r>
      <w:r>
        <w:t>77317,</w:t>
      </w:r>
      <w:r>
        <w:rPr>
          <w:spacing w:val="-3"/>
        </w:rPr>
        <w:t xml:space="preserve"> </w:t>
      </w:r>
      <w:r>
        <w:t>77318,</w:t>
      </w:r>
      <w:r>
        <w:rPr>
          <w:spacing w:val="-3"/>
        </w:rPr>
        <w:t xml:space="preserve"> </w:t>
      </w:r>
      <w:r>
        <w:t>77321,</w:t>
      </w:r>
      <w:r>
        <w:rPr>
          <w:spacing w:val="-3"/>
        </w:rPr>
        <w:t xml:space="preserve"> </w:t>
      </w:r>
      <w:r>
        <w:rPr>
          <w:spacing w:val="-2"/>
        </w:rPr>
        <w:t>77326,</w:t>
      </w:r>
    </w:p>
    <w:p w14:paraId="1C34EC04" w14:textId="77777777" w:rsidR="004C558F" w:rsidRDefault="00461887">
      <w:pPr>
        <w:pStyle w:val="BodyText"/>
        <w:spacing w:before="38"/>
        <w:ind w:left="1680"/>
      </w:pPr>
      <w:r>
        <w:t>77327,</w:t>
      </w:r>
      <w:r>
        <w:rPr>
          <w:spacing w:val="-6"/>
        </w:rPr>
        <w:t xml:space="preserve"> </w:t>
      </w:r>
      <w:r>
        <w:t>77328,</w:t>
      </w:r>
      <w:r>
        <w:rPr>
          <w:spacing w:val="-3"/>
        </w:rPr>
        <w:t xml:space="preserve"> </w:t>
      </w:r>
      <w:r>
        <w:t>77331,</w:t>
      </w:r>
      <w:r>
        <w:rPr>
          <w:spacing w:val="-3"/>
        </w:rPr>
        <w:t xml:space="preserve"> </w:t>
      </w:r>
      <w:r>
        <w:t>77332,</w:t>
      </w:r>
      <w:r>
        <w:rPr>
          <w:spacing w:val="-3"/>
        </w:rPr>
        <w:t xml:space="preserve"> </w:t>
      </w:r>
      <w:r>
        <w:t>77333,</w:t>
      </w:r>
      <w:r>
        <w:rPr>
          <w:spacing w:val="-6"/>
        </w:rPr>
        <w:t xml:space="preserve"> </w:t>
      </w:r>
      <w:r>
        <w:t>77334,</w:t>
      </w:r>
      <w:r>
        <w:rPr>
          <w:spacing w:val="-3"/>
        </w:rPr>
        <w:t xml:space="preserve"> </w:t>
      </w:r>
      <w:r>
        <w:t>77336,</w:t>
      </w:r>
      <w:r>
        <w:rPr>
          <w:spacing w:val="-3"/>
        </w:rPr>
        <w:t xml:space="preserve"> </w:t>
      </w:r>
      <w:r>
        <w:t>77338,</w:t>
      </w:r>
      <w:r>
        <w:rPr>
          <w:spacing w:val="-3"/>
        </w:rPr>
        <w:t xml:space="preserve"> </w:t>
      </w:r>
      <w:r>
        <w:t>77370,</w:t>
      </w:r>
      <w:r>
        <w:rPr>
          <w:spacing w:val="-3"/>
        </w:rPr>
        <w:t xml:space="preserve"> </w:t>
      </w:r>
      <w:r>
        <w:t>77371,</w:t>
      </w:r>
      <w:r>
        <w:rPr>
          <w:spacing w:val="-3"/>
        </w:rPr>
        <w:t xml:space="preserve"> </w:t>
      </w:r>
      <w:r>
        <w:rPr>
          <w:spacing w:val="-2"/>
        </w:rPr>
        <w:t>77372,</w:t>
      </w:r>
    </w:p>
    <w:p w14:paraId="1C34EC05" w14:textId="77777777" w:rsidR="004C558F" w:rsidRDefault="00461887">
      <w:pPr>
        <w:pStyle w:val="BodyText"/>
        <w:spacing w:before="36"/>
        <w:ind w:left="1680"/>
      </w:pPr>
      <w:r>
        <w:t>77373,</w:t>
      </w:r>
      <w:r>
        <w:rPr>
          <w:spacing w:val="-6"/>
        </w:rPr>
        <w:t xml:space="preserve"> </w:t>
      </w:r>
      <w:r>
        <w:t>77385,</w:t>
      </w:r>
      <w:r>
        <w:rPr>
          <w:spacing w:val="-3"/>
        </w:rPr>
        <w:t xml:space="preserve"> </w:t>
      </w:r>
      <w:r>
        <w:t>77386,</w:t>
      </w:r>
      <w:r>
        <w:rPr>
          <w:spacing w:val="-3"/>
        </w:rPr>
        <w:t xml:space="preserve"> </w:t>
      </w:r>
      <w:r>
        <w:t>77387,</w:t>
      </w:r>
      <w:r>
        <w:rPr>
          <w:spacing w:val="-3"/>
        </w:rPr>
        <w:t xml:space="preserve"> </w:t>
      </w:r>
      <w:r>
        <w:t>77399,</w:t>
      </w:r>
      <w:r>
        <w:rPr>
          <w:spacing w:val="-6"/>
        </w:rPr>
        <w:t xml:space="preserve"> </w:t>
      </w:r>
      <w:r>
        <w:t>77401,</w:t>
      </w:r>
      <w:r>
        <w:rPr>
          <w:spacing w:val="-3"/>
        </w:rPr>
        <w:t xml:space="preserve"> </w:t>
      </w:r>
      <w:r>
        <w:t>77402,</w:t>
      </w:r>
      <w:r>
        <w:rPr>
          <w:spacing w:val="-3"/>
        </w:rPr>
        <w:t xml:space="preserve"> </w:t>
      </w:r>
      <w:r>
        <w:t>77403,</w:t>
      </w:r>
      <w:r>
        <w:rPr>
          <w:spacing w:val="-3"/>
        </w:rPr>
        <w:t xml:space="preserve"> </w:t>
      </w:r>
      <w:r>
        <w:t>77404,</w:t>
      </w:r>
      <w:r>
        <w:rPr>
          <w:spacing w:val="-3"/>
        </w:rPr>
        <w:t xml:space="preserve"> </w:t>
      </w:r>
      <w:r>
        <w:t>77406,</w:t>
      </w:r>
      <w:r>
        <w:rPr>
          <w:spacing w:val="-3"/>
        </w:rPr>
        <w:t xml:space="preserve"> </w:t>
      </w:r>
      <w:r>
        <w:rPr>
          <w:spacing w:val="-2"/>
        </w:rPr>
        <w:t>77407,</w:t>
      </w:r>
    </w:p>
    <w:p w14:paraId="1C34EC06" w14:textId="77777777" w:rsidR="004C558F" w:rsidRDefault="00461887">
      <w:pPr>
        <w:pStyle w:val="BodyText"/>
        <w:spacing w:before="39"/>
        <w:ind w:left="1680"/>
      </w:pPr>
      <w:r>
        <w:t>77408,</w:t>
      </w:r>
      <w:r>
        <w:rPr>
          <w:spacing w:val="-6"/>
        </w:rPr>
        <w:t xml:space="preserve"> </w:t>
      </w:r>
      <w:r>
        <w:t>77409,</w:t>
      </w:r>
      <w:r>
        <w:rPr>
          <w:spacing w:val="-3"/>
        </w:rPr>
        <w:t xml:space="preserve"> </w:t>
      </w:r>
      <w:r>
        <w:t>77411,</w:t>
      </w:r>
      <w:r>
        <w:rPr>
          <w:spacing w:val="-3"/>
        </w:rPr>
        <w:t xml:space="preserve"> </w:t>
      </w:r>
      <w:r>
        <w:t>77412,</w:t>
      </w:r>
      <w:r>
        <w:rPr>
          <w:spacing w:val="-3"/>
        </w:rPr>
        <w:t xml:space="preserve"> </w:t>
      </w:r>
      <w:r>
        <w:t>77413,</w:t>
      </w:r>
      <w:r>
        <w:rPr>
          <w:spacing w:val="-6"/>
        </w:rPr>
        <w:t xml:space="preserve"> </w:t>
      </w:r>
      <w:r>
        <w:t>77414,</w:t>
      </w:r>
      <w:r>
        <w:rPr>
          <w:spacing w:val="-3"/>
        </w:rPr>
        <w:t xml:space="preserve"> </w:t>
      </w:r>
      <w:r>
        <w:t>77416,</w:t>
      </w:r>
      <w:r>
        <w:rPr>
          <w:spacing w:val="-3"/>
        </w:rPr>
        <w:t xml:space="preserve"> </w:t>
      </w:r>
      <w:r>
        <w:t>77417,</w:t>
      </w:r>
      <w:r>
        <w:rPr>
          <w:spacing w:val="-3"/>
        </w:rPr>
        <w:t xml:space="preserve"> </w:t>
      </w:r>
      <w:r>
        <w:t>77418,</w:t>
      </w:r>
      <w:r>
        <w:rPr>
          <w:spacing w:val="-3"/>
        </w:rPr>
        <w:t xml:space="preserve"> </w:t>
      </w:r>
      <w:r>
        <w:t>77421,</w:t>
      </w:r>
      <w:r>
        <w:rPr>
          <w:spacing w:val="-3"/>
        </w:rPr>
        <w:t xml:space="preserve"> </w:t>
      </w:r>
      <w:r>
        <w:rPr>
          <w:spacing w:val="-2"/>
        </w:rPr>
        <w:t>77422,</w:t>
      </w:r>
    </w:p>
    <w:p w14:paraId="1C34EC07" w14:textId="77777777" w:rsidR="004C558F" w:rsidRDefault="00461887">
      <w:pPr>
        <w:pStyle w:val="BodyText"/>
        <w:spacing w:before="36"/>
        <w:ind w:left="1680"/>
      </w:pPr>
      <w:r>
        <w:t>77423,</w:t>
      </w:r>
      <w:r>
        <w:rPr>
          <w:spacing w:val="-6"/>
        </w:rPr>
        <w:t xml:space="preserve"> </w:t>
      </w:r>
      <w:r>
        <w:t>77424,</w:t>
      </w:r>
      <w:r>
        <w:rPr>
          <w:spacing w:val="-3"/>
        </w:rPr>
        <w:t xml:space="preserve"> </w:t>
      </w:r>
      <w:r>
        <w:t>77425,</w:t>
      </w:r>
      <w:r>
        <w:rPr>
          <w:spacing w:val="-3"/>
        </w:rPr>
        <w:t xml:space="preserve"> </w:t>
      </w:r>
      <w:r>
        <w:t>77427,</w:t>
      </w:r>
      <w:r>
        <w:rPr>
          <w:spacing w:val="-3"/>
        </w:rPr>
        <w:t xml:space="preserve"> </w:t>
      </w:r>
      <w:r>
        <w:t>77431,</w:t>
      </w:r>
      <w:r>
        <w:rPr>
          <w:spacing w:val="-6"/>
        </w:rPr>
        <w:t xml:space="preserve"> </w:t>
      </w:r>
      <w:r>
        <w:t>77432,</w:t>
      </w:r>
      <w:r>
        <w:rPr>
          <w:spacing w:val="-3"/>
        </w:rPr>
        <w:t xml:space="preserve"> </w:t>
      </w:r>
      <w:r>
        <w:t>77435,</w:t>
      </w:r>
      <w:r>
        <w:rPr>
          <w:spacing w:val="-3"/>
        </w:rPr>
        <w:t xml:space="preserve"> </w:t>
      </w:r>
      <w:r>
        <w:t>77469,</w:t>
      </w:r>
      <w:r>
        <w:rPr>
          <w:spacing w:val="-3"/>
        </w:rPr>
        <w:t xml:space="preserve"> </w:t>
      </w:r>
      <w:r>
        <w:t>77470,</w:t>
      </w:r>
      <w:r>
        <w:rPr>
          <w:spacing w:val="-3"/>
        </w:rPr>
        <w:t xml:space="preserve"> </w:t>
      </w:r>
      <w:r>
        <w:t>77499,</w:t>
      </w:r>
      <w:r>
        <w:rPr>
          <w:spacing w:val="-3"/>
        </w:rPr>
        <w:t xml:space="preserve"> </w:t>
      </w:r>
      <w:r>
        <w:rPr>
          <w:spacing w:val="-2"/>
        </w:rPr>
        <w:t>77520,</w:t>
      </w:r>
    </w:p>
    <w:p w14:paraId="1C34EC08" w14:textId="77777777" w:rsidR="004C558F" w:rsidRDefault="00461887">
      <w:pPr>
        <w:pStyle w:val="BodyText"/>
        <w:spacing w:before="38"/>
        <w:ind w:left="1680"/>
      </w:pPr>
      <w:r>
        <w:t>77522,</w:t>
      </w:r>
      <w:r>
        <w:rPr>
          <w:spacing w:val="-6"/>
        </w:rPr>
        <w:t xml:space="preserve"> </w:t>
      </w:r>
      <w:r>
        <w:t>77523,</w:t>
      </w:r>
      <w:r>
        <w:rPr>
          <w:spacing w:val="-3"/>
        </w:rPr>
        <w:t xml:space="preserve"> </w:t>
      </w:r>
      <w:r>
        <w:t>77525,</w:t>
      </w:r>
      <w:r>
        <w:rPr>
          <w:spacing w:val="-3"/>
        </w:rPr>
        <w:t xml:space="preserve"> </w:t>
      </w:r>
      <w:r>
        <w:t>77600,</w:t>
      </w:r>
      <w:r>
        <w:rPr>
          <w:spacing w:val="-3"/>
        </w:rPr>
        <w:t xml:space="preserve"> </w:t>
      </w:r>
      <w:r>
        <w:t>77605,</w:t>
      </w:r>
      <w:r>
        <w:rPr>
          <w:spacing w:val="-6"/>
        </w:rPr>
        <w:t xml:space="preserve"> </w:t>
      </w:r>
      <w:r>
        <w:t>77610,</w:t>
      </w:r>
      <w:r>
        <w:rPr>
          <w:spacing w:val="-3"/>
        </w:rPr>
        <w:t xml:space="preserve"> </w:t>
      </w:r>
      <w:r>
        <w:t>77615,</w:t>
      </w:r>
      <w:r>
        <w:rPr>
          <w:spacing w:val="-3"/>
        </w:rPr>
        <w:t xml:space="preserve"> </w:t>
      </w:r>
      <w:r>
        <w:t>77620,</w:t>
      </w:r>
      <w:r>
        <w:rPr>
          <w:spacing w:val="-3"/>
        </w:rPr>
        <w:t xml:space="preserve"> </w:t>
      </w:r>
      <w:r>
        <w:t>77750,</w:t>
      </w:r>
      <w:r>
        <w:rPr>
          <w:spacing w:val="-3"/>
        </w:rPr>
        <w:t xml:space="preserve"> </w:t>
      </w:r>
      <w:r>
        <w:t>77761,</w:t>
      </w:r>
      <w:r>
        <w:rPr>
          <w:spacing w:val="-3"/>
        </w:rPr>
        <w:t xml:space="preserve"> </w:t>
      </w:r>
      <w:r>
        <w:rPr>
          <w:spacing w:val="-2"/>
        </w:rPr>
        <w:t>77762,</w:t>
      </w:r>
    </w:p>
    <w:p w14:paraId="1C34EC09" w14:textId="77777777" w:rsidR="004C558F" w:rsidRDefault="00461887">
      <w:pPr>
        <w:pStyle w:val="BodyText"/>
        <w:spacing w:before="36"/>
        <w:ind w:left="1680"/>
      </w:pPr>
      <w:r>
        <w:t>77763,</w:t>
      </w:r>
      <w:r>
        <w:rPr>
          <w:spacing w:val="-6"/>
        </w:rPr>
        <w:t xml:space="preserve"> </w:t>
      </w:r>
      <w:r>
        <w:t>77767,</w:t>
      </w:r>
      <w:r>
        <w:rPr>
          <w:spacing w:val="-3"/>
        </w:rPr>
        <w:t xml:space="preserve"> </w:t>
      </w:r>
      <w:r>
        <w:t>77768,</w:t>
      </w:r>
      <w:r>
        <w:rPr>
          <w:spacing w:val="-3"/>
        </w:rPr>
        <w:t xml:space="preserve"> </w:t>
      </w:r>
      <w:r>
        <w:t>77770,</w:t>
      </w:r>
      <w:r>
        <w:rPr>
          <w:spacing w:val="-3"/>
        </w:rPr>
        <w:t xml:space="preserve"> </w:t>
      </w:r>
      <w:r>
        <w:t>77771,</w:t>
      </w:r>
      <w:r>
        <w:rPr>
          <w:spacing w:val="-6"/>
        </w:rPr>
        <w:t xml:space="preserve"> </w:t>
      </w:r>
      <w:proofErr w:type="gramStart"/>
      <w:r>
        <w:t>77772,</w:t>
      </w:r>
      <w:r>
        <w:rPr>
          <w:spacing w:val="-3"/>
        </w:rPr>
        <w:t xml:space="preserve"> </w:t>
      </w:r>
      <w:r>
        <w:t>77776</w:t>
      </w:r>
      <w:proofErr w:type="gramEnd"/>
      <w:r>
        <w:t>,</w:t>
      </w:r>
      <w:r>
        <w:rPr>
          <w:spacing w:val="-3"/>
        </w:rPr>
        <w:t xml:space="preserve"> </w:t>
      </w:r>
      <w:r>
        <w:t>77777,</w:t>
      </w:r>
      <w:r>
        <w:rPr>
          <w:spacing w:val="-3"/>
        </w:rPr>
        <w:t xml:space="preserve"> </w:t>
      </w:r>
      <w:r>
        <w:t>77778,</w:t>
      </w:r>
      <w:r>
        <w:rPr>
          <w:spacing w:val="-3"/>
        </w:rPr>
        <w:t xml:space="preserve"> </w:t>
      </w:r>
      <w:r>
        <w:t>77785,</w:t>
      </w:r>
      <w:r>
        <w:rPr>
          <w:spacing w:val="-3"/>
        </w:rPr>
        <w:t xml:space="preserve"> </w:t>
      </w:r>
      <w:r>
        <w:rPr>
          <w:spacing w:val="-2"/>
        </w:rPr>
        <w:t>77786,</w:t>
      </w:r>
    </w:p>
    <w:p w14:paraId="1C34EC0A" w14:textId="77777777" w:rsidR="004C558F" w:rsidRDefault="00461887">
      <w:pPr>
        <w:pStyle w:val="BodyText"/>
        <w:spacing w:before="39"/>
        <w:ind w:left="1680"/>
      </w:pPr>
      <w:r>
        <w:t>77787,</w:t>
      </w:r>
      <w:r>
        <w:rPr>
          <w:spacing w:val="-6"/>
        </w:rPr>
        <w:t xml:space="preserve"> </w:t>
      </w:r>
      <w:r>
        <w:t>77789,</w:t>
      </w:r>
      <w:r>
        <w:rPr>
          <w:spacing w:val="-3"/>
        </w:rPr>
        <w:t xml:space="preserve"> </w:t>
      </w:r>
      <w:r>
        <w:t>77790,</w:t>
      </w:r>
      <w:r>
        <w:rPr>
          <w:spacing w:val="-3"/>
        </w:rPr>
        <w:t xml:space="preserve"> </w:t>
      </w:r>
      <w:r>
        <w:t>77799,</w:t>
      </w:r>
      <w:r>
        <w:rPr>
          <w:spacing w:val="-3"/>
        </w:rPr>
        <w:t xml:space="preserve"> </w:t>
      </w:r>
      <w:r>
        <w:t>79005,</w:t>
      </w:r>
      <w:r>
        <w:rPr>
          <w:spacing w:val="-6"/>
        </w:rPr>
        <w:t xml:space="preserve"> </w:t>
      </w:r>
      <w:r>
        <w:t>79101,</w:t>
      </w:r>
      <w:r>
        <w:rPr>
          <w:spacing w:val="-3"/>
        </w:rPr>
        <w:t xml:space="preserve"> </w:t>
      </w:r>
      <w:r>
        <w:t>79200,</w:t>
      </w:r>
      <w:r>
        <w:rPr>
          <w:spacing w:val="-3"/>
        </w:rPr>
        <w:t xml:space="preserve"> </w:t>
      </w:r>
      <w:r>
        <w:t>79300,</w:t>
      </w:r>
      <w:r>
        <w:rPr>
          <w:spacing w:val="-3"/>
        </w:rPr>
        <w:t xml:space="preserve"> </w:t>
      </w:r>
      <w:r>
        <w:t>79403,</w:t>
      </w:r>
      <w:r>
        <w:rPr>
          <w:spacing w:val="-3"/>
        </w:rPr>
        <w:t xml:space="preserve"> </w:t>
      </w:r>
      <w:r>
        <w:t>79440,</w:t>
      </w:r>
      <w:r>
        <w:rPr>
          <w:spacing w:val="-3"/>
        </w:rPr>
        <w:t xml:space="preserve"> </w:t>
      </w:r>
      <w:r>
        <w:rPr>
          <w:spacing w:val="-2"/>
        </w:rPr>
        <w:t>79445,</w:t>
      </w:r>
    </w:p>
    <w:p w14:paraId="1C34EC0B" w14:textId="77777777" w:rsidR="004C558F" w:rsidRDefault="00461887">
      <w:pPr>
        <w:pStyle w:val="BodyText"/>
        <w:spacing w:before="38" w:line="276" w:lineRule="auto"/>
        <w:ind w:left="1680" w:right="1034"/>
      </w:pPr>
      <w:r>
        <w:t>79999, 0073T, 0182T, 0190T, 0197T, 0394T, 0395T, 0735T, A9513, A9606, C1716, C1717, C1719, C2616, C2634, C2635, C2636, C2638, C2639, C2640, C2641, C2642, C2643,</w:t>
      </w:r>
      <w:r>
        <w:rPr>
          <w:spacing w:val="-3"/>
        </w:rPr>
        <w:t xml:space="preserve"> </w:t>
      </w:r>
      <w:r>
        <w:t>C2644,</w:t>
      </w:r>
      <w:r>
        <w:rPr>
          <w:spacing w:val="-3"/>
        </w:rPr>
        <w:t xml:space="preserve"> </w:t>
      </w:r>
      <w:r>
        <w:t>C2645,</w:t>
      </w:r>
      <w:r>
        <w:rPr>
          <w:spacing w:val="-3"/>
        </w:rPr>
        <w:t xml:space="preserve"> </w:t>
      </w:r>
      <w:r>
        <w:t>C2698,</w:t>
      </w:r>
      <w:r>
        <w:rPr>
          <w:spacing w:val="-3"/>
        </w:rPr>
        <w:t xml:space="preserve"> </w:t>
      </w:r>
      <w:r>
        <w:t>C2699,</w:t>
      </w:r>
      <w:r>
        <w:rPr>
          <w:spacing w:val="-3"/>
        </w:rPr>
        <w:t xml:space="preserve"> </w:t>
      </w:r>
      <w:r>
        <w:t>C9407,</w:t>
      </w:r>
      <w:r>
        <w:rPr>
          <w:spacing w:val="-3"/>
        </w:rPr>
        <w:t xml:space="preserve"> </w:t>
      </w:r>
      <w:r>
        <w:t>C9725,</w:t>
      </w:r>
      <w:r>
        <w:rPr>
          <w:spacing w:val="-3"/>
        </w:rPr>
        <w:t xml:space="preserve"> </w:t>
      </w:r>
      <w:r>
        <w:t>C9726,</w:t>
      </w:r>
      <w:r>
        <w:rPr>
          <w:spacing w:val="-3"/>
        </w:rPr>
        <w:t xml:space="preserve"> </w:t>
      </w:r>
      <w:r>
        <w:t>C9727,</w:t>
      </w:r>
      <w:r>
        <w:rPr>
          <w:spacing w:val="-6"/>
        </w:rPr>
        <w:t xml:space="preserve"> </w:t>
      </w:r>
      <w:r>
        <w:t>G0339,</w:t>
      </w:r>
      <w:r>
        <w:rPr>
          <w:spacing w:val="-3"/>
        </w:rPr>
        <w:t xml:space="preserve"> </w:t>
      </w:r>
      <w:r>
        <w:t>G0340, G3001, G6001, G6002, G6003, G6004, G6005, G6006, G6007, G6008, G6009, G6010, G6011, G6012, G6013, G6014, G6015, G6016, G6017, Q3001</w:t>
      </w:r>
    </w:p>
    <w:p w14:paraId="1C34EC0C" w14:textId="77777777" w:rsidR="004C558F" w:rsidRDefault="00461887">
      <w:pPr>
        <w:pStyle w:val="ListParagraph"/>
        <w:numPr>
          <w:ilvl w:val="1"/>
          <w:numId w:val="7"/>
        </w:numPr>
        <w:tabs>
          <w:tab w:val="left" w:pos="1680"/>
        </w:tabs>
        <w:spacing w:line="267" w:lineRule="exact"/>
        <w:ind w:hanging="360"/>
      </w:pPr>
      <w:r>
        <w:t>Mammography:</w:t>
      </w:r>
      <w:r>
        <w:rPr>
          <w:spacing w:val="-9"/>
        </w:rPr>
        <w:t xml:space="preserve"> </w:t>
      </w:r>
      <w:r>
        <w:t>77067,</w:t>
      </w:r>
      <w:r>
        <w:rPr>
          <w:spacing w:val="-4"/>
        </w:rPr>
        <w:t xml:space="preserve"> </w:t>
      </w:r>
      <w:r>
        <w:t>77063,</w:t>
      </w:r>
      <w:r>
        <w:rPr>
          <w:spacing w:val="-7"/>
        </w:rPr>
        <w:t xml:space="preserve"> </w:t>
      </w:r>
      <w:r>
        <w:t>G0279,</w:t>
      </w:r>
      <w:r>
        <w:rPr>
          <w:spacing w:val="-4"/>
        </w:rPr>
        <w:t xml:space="preserve"> </w:t>
      </w:r>
      <w:r>
        <w:t>77066,</w:t>
      </w:r>
      <w:r>
        <w:rPr>
          <w:spacing w:val="-6"/>
        </w:rPr>
        <w:t xml:space="preserve"> </w:t>
      </w:r>
      <w:r>
        <w:rPr>
          <w:spacing w:val="-2"/>
        </w:rPr>
        <w:t>77065</w:t>
      </w:r>
    </w:p>
    <w:p w14:paraId="1C34EC0D" w14:textId="77777777" w:rsidR="004C558F" w:rsidRDefault="004C558F">
      <w:pPr>
        <w:pStyle w:val="BodyText"/>
        <w:spacing w:before="74"/>
      </w:pPr>
    </w:p>
    <w:p w14:paraId="1C34EC0E" w14:textId="77777777" w:rsidR="004C558F" w:rsidRDefault="00461887">
      <w:pPr>
        <w:pStyle w:val="BodyText"/>
        <w:spacing w:line="276" w:lineRule="auto"/>
        <w:ind w:left="960" w:right="702" w:firstLine="720"/>
      </w:pPr>
      <w:r>
        <w:t>The HPC defined outpatient visits in the 2022 APCD within each clinical cluster as all outpatient facility claims with the same NPI for the same patient on the same day. Our analysis included</w:t>
      </w:r>
      <w:r>
        <w:rPr>
          <w:spacing w:val="-4"/>
        </w:rPr>
        <w:t xml:space="preserve"> </w:t>
      </w:r>
      <w:r>
        <w:t>hospital</w:t>
      </w:r>
      <w:r>
        <w:rPr>
          <w:spacing w:val="-5"/>
        </w:rPr>
        <w:t xml:space="preserve"> </w:t>
      </w:r>
      <w:r>
        <w:t>and</w:t>
      </w:r>
      <w:r>
        <w:rPr>
          <w:spacing w:val="-1"/>
        </w:rPr>
        <w:t xml:space="preserve"> </w:t>
      </w:r>
      <w:r>
        <w:t>ambulatory</w:t>
      </w:r>
      <w:r>
        <w:rPr>
          <w:spacing w:val="-3"/>
        </w:rPr>
        <w:t xml:space="preserve"> </w:t>
      </w:r>
      <w:r>
        <w:t>surgery</w:t>
      </w:r>
      <w:r>
        <w:rPr>
          <w:spacing w:val="-5"/>
        </w:rPr>
        <w:t xml:space="preserve"> </w:t>
      </w:r>
      <w:r>
        <w:t>center</w:t>
      </w:r>
      <w:r>
        <w:rPr>
          <w:spacing w:val="-6"/>
        </w:rPr>
        <w:t xml:space="preserve"> </w:t>
      </w:r>
      <w:r>
        <w:t>facility</w:t>
      </w:r>
      <w:r>
        <w:rPr>
          <w:spacing w:val="-3"/>
        </w:rPr>
        <w:t xml:space="preserve"> </w:t>
      </w:r>
      <w:r>
        <w:t>claims,</w:t>
      </w:r>
      <w:r>
        <w:rPr>
          <w:spacing w:val="-2"/>
        </w:rPr>
        <w:t xml:space="preserve"> </w:t>
      </w:r>
      <w:r>
        <w:t>defined</w:t>
      </w:r>
      <w:r>
        <w:rPr>
          <w:spacing w:val="-4"/>
        </w:rPr>
        <w:t xml:space="preserve"> </w:t>
      </w:r>
      <w:r>
        <w:t>as</w:t>
      </w:r>
      <w:r>
        <w:rPr>
          <w:spacing w:val="-4"/>
        </w:rPr>
        <w:t xml:space="preserve"> </w:t>
      </w:r>
      <w:r>
        <w:t>claims</w:t>
      </w:r>
      <w:r>
        <w:rPr>
          <w:spacing w:val="-2"/>
        </w:rPr>
        <w:t xml:space="preserve"> </w:t>
      </w:r>
      <w:r>
        <w:t>billed</w:t>
      </w:r>
      <w:r>
        <w:rPr>
          <w:spacing w:val="-1"/>
        </w:rPr>
        <w:t xml:space="preserve"> </w:t>
      </w:r>
      <w:r>
        <w:t>either</w:t>
      </w:r>
      <w:r>
        <w:rPr>
          <w:spacing w:val="-3"/>
        </w:rPr>
        <w:t xml:space="preserve"> </w:t>
      </w:r>
      <w:r>
        <w:t>on</w:t>
      </w:r>
    </w:p>
    <w:p w14:paraId="1C34EC0F" w14:textId="77777777" w:rsidR="004C558F" w:rsidRDefault="004C558F">
      <w:pPr>
        <w:spacing w:line="276" w:lineRule="auto"/>
        <w:sectPr w:rsidR="004C558F">
          <w:pgSz w:w="12240" w:h="15840"/>
          <w:pgMar w:top="1360" w:right="740" w:bottom="720" w:left="480" w:header="0" w:footer="521" w:gutter="0"/>
          <w:cols w:space="720"/>
        </w:sectPr>
      </w:pPr>
    </w:p>
    <w:p w14:paraId="1C34EC10" w14:textId="77777777" w:rsidR="004C558F" w:rsidRDefault="00461887">
      <w:pPr>
        <w:pStyle w:val="BodyText"/>
        <w:spacing w:before="80" w:line="276" w:lineRule="auto"/>
        <w:ind w:left="960" w:right="943" w:hanging="1"/>
      </w:pPr>
      <w:r>
        <w:lastRenderedPageBreak/>
        <w:t>a</w:t>
      </w:r>
      <w:r>
        <w:rPr>
          <w:spacing w:val="-1"/>
        </w:rPr>
        <w:t xml:space="preserve"> </w:t>
      </w:r>
      <w:r>
        <w:t>facility</w:t>
      </w:r>
      <w:r>
        <w:rPr>
          <w:spacing w:val="-3"/>
        </w:rPr>
        <w:t xml:space="preserve"> </w:t>
      </w:r>
      <w:r>
        <w:t>claim</w:t>
      </w:r>
      <w:r>
        <w:rPr>
          <w:spacing w:val="-2"/>
        </w:rPr>
        <w:t xml:space="preserve"> </w:t>
      </w:r>
      <w:r>
        <w:t>form</w:t>
      </w:r>
      <w:r>
        <w:rPr>
          <w:spacing w:val="-2"/>
        </w:rPr>
        <w:t xml:space="preserve"> </w:t>
      </w:r>
      <w:r>
        <w:t>or</w:t>
      </w:r>
      <w:r>
        <w:rPr>
          <w:spacing w:val="-5"/>
        </w:rPr>
        <w:t xml:space="preserve"> </w:t>
      </w:r>
      <w:r>
        <w:t>on</w:t>
      </w:r>
      <w:r>
        <w:rPr>
          <w:spacing w:val="-4"/>
        </w:rPr>
        <w:t xml:space="preserve"> </w:t>
      </w:r>
      <w:r>
        <w:t>a</w:t>
      </w:r>
      <w:r>
        <w:rPr>
          <w:spacing w:val="-1"/>
        </w:rPr>
        <w:t xml:space="preserve"> </w:t>
      </w:r>
      <w:r>
        <w:t>professional</w:t>
      </w:r>
      <w:r>
        <w:rPr>
          <w:spacing w:val="-3"/>
        </w:rPr>
        <w:t xml:space="preserve"> </w:t>
      </w:r>
      <w:r>
        <w:t>claim</w:t>
      </w:r>
      <w:r>
        <w:rPr>
          <w:spacing w:val="-2"/>
        </w:rPr>
        <w:t xml:space="preserve"> </w:t>
      </w:r>
      <w:r>
        <w:t>form</w:t>
      </w:r>
      <w:r>
        <w:rPr>
          <w:spacing w:val="-4"/>
        </w:rPr>
        <w:t xml:space="preserve"> </w:t>
      </w:r>
      <w:r>
        <w:t>with</w:t>
      </w:r>
      <w:r>
        <w:rPr>
          <w:spacing w:val="-2"/>
        </w:rPr>
        <w:t xml:space="preserve"> </w:t>
      </w:r>
      <w:r>
        <w:t>a</w:t>
      </w:r>
      <w:r>
        <w:rPr>
          <w:spacing w:val="-1"/>
        </w:rPr>
        <w:t xml:space="preserve"> </w:t>
      </w:r>
      <w:r>
        <w:t>non-person</w:t>
      </w:r>
      <w:r>
        <w:rPr>
          <w:spacing w:val="-4"/>
        </w:rPr>
        <w:t xml:space="preserve"> </w:t>
      </w:r>
      <w:r>
        <w:t>NPI</w:t>
      </w:r>
      <w:r>
        <w:rPr>
          <w:spacing w:val="-2"/>
        </w:rPr>
        <w:t xml:space="preserve"> </w:t>
      </w:r>
      <w:r>
        <w:t>(i.e.,</w:t>
      </w:r>
      <w:r>
        <w:rPr>
          <w:spacing w:val="-2"/>
        </w:rPr>
        <w:t xml:space="preserve"> </w:t>
      </w:r>
      <w:r>
        <w:t>an</w:t>
      </w:r>
      <w:r>
        <w:rPr>
          <w:spacing w:val="-2"/>
        </w:rPr>
        <w:t xml:space="preserve"> </w:t>
      </w:r>
      <w:r>
        <w:t>institutional</w:t>
      </w:r>
      <w:r>
        <w:rPr>
          <w:spacing w:val="-3"/>
        </w:rPr>
        <w:t xml:space="preserve"> </w:t>
      </w:r>
      <w:r>
        <w:t xml:space="preserve">or medical group provider rather than an individual). We limited our analysis to encounters for patients aged 18 years or older that contained at least one claim billed with a cancer diagnosis code, identified using the list of ICD-10 codes from DFCI’s </w:t>
      </w:r>
      <w:proofErr w:type="spellStart"/>
      <w:r>
        <w:t>DoN</w:t>
      </w:r>
      <w:proofErr w:type="spellEnd"/>
      <w:r>
        <w:t xml:space="preserve"> application.</w:t>
      </w:r>
    </w:p>
    <w:p w14:paraId="1C34EC11" w14:textId="77777777" w:rsidR="004C558F" w:rsidRDefault="004C558F">
      <w:pPr>
        <w:pStyle w:val="BodyText"/>
        <w:spacing w:before="37"/>
      </w:pPr>
    </w:p>
    <w:p w14:paraId="1C34EC12" w14:textId="739500D8" w:rsidR="004C558F" w:rsidRDefault="00461887">
      <w:pPr>
        <w:pStyle w:val="BodyText"/>
        <w:spacing w:before="1" w:line="276" w:lineRule="auto"/>
        <w:ind w:left="960" w:right="891" w:firstLine="720"/>
      </w:pPr>
      <w:r>
        <w:t>Our analysis included claims for BCBS, HPHC, THP, Health New England (HNE), Mass General</w:t>
      </w:r>
      <w:r>
        <w:rPr>
          <w:spacing w:val="-3"/>
        </w:rPr>
        <w:t xml:space="preserve"> </w:t>
      </w:r>
      <w:r>
        <w:t>Brigham</w:t>
      </w:r>
      <w:r>
        <w:rPr>
          <w:spacing w:val="-2"/>
        </w:rPr>
        <w:t xml:space="preserve"> </w:t>
      </w:r>
      <w:r>
        <w:t>Health</w:t>
      </w:r>
      <w:r>
        <w:rPr>
          <w:spacing w:val="-2"/>
        </w:rPr>
        <w:t xml:space="preserve"> </w:t>
      </w:r>
      <w:r>
        <w:t>Plan</w:t>
      </w:r>
      <w:r>
        <w:rPr>
          <w:spacing w:val="-2"/>
        </w:rPr>
        <w:t xml:space="preserve"> </w:t>
      </w:r>
      <w:r>
        <w:t>(MGBHP),</w:t>
      </w:r>
      <w:r>
        <w:rPr>
          <w:spacing w:val="-5"/>
        </w:rPr>
        <w:t xml:space="preserve"> </w:t>
      </w:r>
      <w:r>
        <w:t>and</w:t>
      </w:r>
      <w:r>
        <w:rPr>
          <w:spacing w:val="-1"/>
        </w:rPr>
        <w:t xml:space="preserve"> </w:t>
      </w:r>
      <w:r>
        <w:t>Anthem</w:t>
      </w:r>
      <w:r>
        <w:rPr>
          <w:spacing w:val="-4"/>
        </w:rPr>
        <w:t xml:space="preserve"> </w:t>
      </w:r>
      <w:r>
        <w:t>due</w:t>
      </w:r>
      <w:r>
        <w:rPr>
          <w:spacing w:val="-2"/>
        </w:rPr>
        <w:t xml:space="preserve"> </w:t>
      </w:r>
      <w:r>
        <w:t>to</w:t>
      </w:r>
      <w:r>
        <w:rPr>
          <w:spacing w:val="-2"/>
        </w:rPr>
        <w:t xml:space="preserve"> </w:t>
      </w:r>
      <w:r>
        <w:t>greater</w:t>
      </w:r>
      <w:r>
        <w:rPr>
          <w:spacing w:val="-3"/>
        </w:rPr>
        <w:t xml:space="preserve"> </w:t>
      </w:r>
      <w:r>
        <w:t>confidence</w:t>
      </w:r>
      <w:r>
        <w:rPr>
          <w:spacing w:val="-4"/>
        </w:rPr>
        <w:t xml:space="preserve"> </w:t>
      </w:r>
      <w:r>
        <w:t>in</w:t>
      </w:r>
      <w:r>
        <w:rPr>
          <w:spacing w:val="-2"/>
        </w:rPr>
        <w:t xml:space="preserve"> </w:t>
      </w:r>
      <w:r>
        <w:t>data</w:t>
      </w:r>
      <w:r>
        <w:rPr>
          <w:spacing w:val="-1"/>
        </w:rPr>
        <w:t xml:space="preserve"> </w:t>
      </w:r>
      <w:r>
        <w:t>integrity</w:t>
      </w:r>
      <w:r>
        <w:rPr>
          <w:spacing w:val="-3"/>
        </w:rPr>
        <w:t xml:space="preserve"> </w:t>
      </w:r>
      <w:r>
        <w:t>for these payers.</w:t>
      </w:r>
      <w:r w:rsidR="00BE6DF1">
        <w:rPr>
          <w:rStyle w:val="FootnoteReference"/>
        </w:rPr>
        <w:footnoteReference w:id="270"/>
      </w:r>
      <w:r>
        <w:rPr>
          <w:spacing w:val="32"/>
          <w:position w:val="5"/>
          <w:sz w:val="14"/>
        </w:rPr>
        <w:t xml:space="preserve"> </w:t>
      </w:r>
      <w:r>
        <w:t xml:space="preserve">However, one key limitation of this methodology is that some clinic-licensed providers bill for relevant services solely under individual provider identifiers rather than institutional identifiers for certain payers, making it impossible to distinguish anchor claims for visits from the professional component of a visit with the same CPT. For example, Atrius Health (Atrius) claims to BCBS for advanced imaging </w:t>
      </w:r>
      <w:proofErr w:type="gramStart"/>
      <w:r>
        <w:t>include</w:t>
      </w:r>
      <w:proofErr w:type="gramEnd"/>
      <w:r>
        <w:t xml:space="preserve"> non-person professional type claims, but Atrius imaging claims to HPHC and THP use individual professional type claims. Our models thus </w:t>
      </w:r>
      <w:proofErr w:type="gramStart"/>
      <w:r>
        <w:t>understates</w:t>
      </w:r>
      <w:proofErr w:type="gramEnd"/>
      <w:r>
        <w:t xml:space="preserve"> the share of services attributable to certain non-hospital providers for certain payers.</w:t>
      </w:r>
    </w:p>
    <w:p w14:paraId="1C34EC13" w14:textId="77777777" w:rsidR="004C558F" w:rsidRDefault="004C558F">
      <w:pPr>
        <w:pStyle w:val="BodyText"/>
        <w:spacing w:before="198"/>
      </w:pPr>
    </w:p>
    <w:p w14:paraId="1C34EC14" w14:textId="77777777" w:rsidR="004C558F" w:rsidRDefault="00461887">
      <w:pPr>
        <w:pStyle w:val="ListParagraph"/>
        <w:numPr>
          <w:ilvl w:val="0"/>
          <w:numId w:val="7"/>
        </w:numPr>
        <w:tabs>
          <w:tab w:val="left" w:pos="959"/>
        </w:tabs>
        <w:ind w:left="959" w:hanging="359"/>
        <w:jc w:val="left"/>
        <w:rPr>
          <w:rFonts w:ascii="Franklin Gothic Medium"/>
          <w:sz w:val="28"/>
        </w:rPr>
      </w:pPr>
      <w:bookmarkStart w:id="239" w:name="C._Outpatient_Price_and_Spending_Impact_"/>
      <w:bookmarkEnd w:id="239"/>
      <w:r>
        <w:rPr>
          <w:rFonts w:ascii="Franklin Gothic Medium"/>
          <w:color w:val="063656"/>
          <w:sz w:val="28"/>
        </w:rPr>
        <w:t>Outpatient</w:t>
      </w:r>
      <w:r>
        <w:rPr>
          <w:rFonts w:ascii="Franklin Gothic Medium"/>
          <w:color w:val="063656"/>
          <w:spacing w:val="-7"/>
          <w:sz w:val="28"/>
        </w:rPr>
        <w:t xml:space="preserve"> </w:t>
      </w:r>
      <w:r>
        <w:rPr>
          <w:rFonts w:ascii="Franklin Gothic Medium"/>
          <w:color w:val="063656"/>
          <w:sz w:val="28"/>
        </w:rPr>
        <w:t>Price</w:t>
      </w:r>
      <w:r>
        <w:rPr>
          <w:rFonts w:ascii="Franklin Gothic Medium"/>
          <w:color w:val="063656"/>
          <w:spacing w:val="-6"/>
          <w:sz w:val="28"/>
        </w:rPr>
        <w:t xml:space="preserve"> </w:t>
      </w:r>
      <w:r>
        <w:rPr>
          <w:rFonts w:ascii="Franklin Gothic Medium"/>
          <w:color w:val="063656"/>
          <w:sz w:val="28"/>
        </w:rPr>
        <w:t>and</w:t>
      </w:r>
      <w:r>
        <w:rPr>
          <w:rFonts w:ascii="Franklin Gothic Medium"/>
          <w:color w:val="063656"/>
          <w:spacing w:val="-5"/>
          <w:sz w:val="28"/>
        </w:rPr>
        <w:t xml:space="preserve"> </w:t>
      </w:r>
      <w:r>
        <w:rPr>
          <w:rFonts w:ascii="Franklin Gothic Medium"/>
          <w:color w:val="063656"/>
          <w:sz w:val="28"/>
        </w:rPr>
        <w:t>Spending</w:t>
      </w:r>
      <w:r>
        <w:rPr>
          <w:rFonts w:ascii="Franklin Gothic Medium"/>
          <w:color w:val="063656"/>
          <w:spacing w:val="-4"/>
          <w:sz w:val="28"/>
        </w:rPr>
        <w:t xml:space="preserve"> </w:t>
      </w:r>
      <w:r>
        <w:rPr>
          <w:rFonts w:ascii="Franklin Gothic Medium"/>
          <w:color w:val="063656"/>
          <w:sz w:val="28"/>
        </w:rPr>
        <w:t>Impact</w:t>
      </w:r>
      <w:r>
        <w:rPr>
          <w:rFonts w:ascii="Franklin Gothic Medium"/>
          <w:color w:val="063656"/>
          <w:spacing w:val="-7"/>
          <w:sz w:val="28"/>
        </w:rPr>
        <w:t xml:space="preserve"> </w:t>
      </w:r>
      <w:r>
        <w:rPr>
          <w:rFonts w:ascii="Franklin Gothic Medium"/>
          <w:color w:val="063656"/>
          <w:spacing w:val="-2"/>
          <w:sz w:val="28"/>
        </w:rPr>
        <w:t>Analysis</w:t>
      </w:r>
    </w:p>
    <w:p w14:paraId="1C34EC15" w14:textId="77777777" w:rsidR="004C558F" w:rsidRDefault="004C558F">
      <w:pPr>
        <w:pStyle w:val="BodyText"/>
        <w:spacing w:before="94"/>
        <w:rPr>
          <w:rFonts w:ascii="Franklin Gothic Medium"/>
          <w:sz w:val="28"/>
        </w:rPr>
      </w:pPr>
    </w:p>
    <w:p w14:paraId="1C34EC16" w14:textId="40C369FD" w:rsidR="004C558F" w:rsidRDefault="00461887">
      <w:pPr>
        <w:pStyle w:val="BodyText"/>
        <w:spacing w:line="276" w:lineRule="auto"/>
        <w:ind w:left="960" w:right="1290" w:firstLine="720"/>
        <w:rPr>
          <w:sz w:val="14"/>
        </w:rPr>
      </w:pPr>
      <w:r>
        <w:t>For</w:t>
      </w:r>
      <w:r>
        <w:rPr>
          <w:spacing w:val="-1"/>
        </w:rPr>
        <w:t xml:space="preserve"> </w:t>
      </w:r>
      <w:r>
        <w:t>our</w:t>
      </w:r>
      <w:r>
        <w:rPr>
          <w:spacing w:val="-4"/>
        </w:rPr>
        <w:t xml:space="preserve"> </w:t>
      </w:r>
      <w:r>
        <w:t>outpatient</w:t>
      </w:r>
      <w:r>
        <w:rPr>
          <w:spacing w:val="-1"/>
        </w:rPr>
        <w:t xml:space="preserve"> </w:t>
      </w:r>
      <w:r>
        <w:t>price</w:t>
      </w:r>
      <w:r>
        <w:rPr>
          <w:spacing w:val="-2"/>
        </w:rPr>
        <w:t xml:space="preserve"> </w:t>
      </w:r>
      <w:proofErr w:type="gramStart"/>
      <w:r>
        <w:t>analyses</w:t>
      </w:r>
      <w:proofErr w:type="gramEnd"/>
      <w:r>
        <w:t>, we expanded</w:t>
      </w:r>
      <w:r>
        <w:rPr>
          <w:spacing w:val="-2"/>
        </w:rPr>
        <w:t xml:space="preserve"> </w:t>
      </w:r>
      <w:r>
        <w:t>the</w:t>
      </w:r>
      <w:r>
        <w:rPr>
          <w:spacing w:val="-2"/>
        </w:rPr>
        <w:t xml:space="preserve"> </w:t>
      </w:r>
      <w:r>
        <w:t>set</w:t>
      </w:r>
      <w:r>
        <w:rPr>
          <w:spacing w:val="-1"/>
        </w:rPr>
        <w:t xml:space="preserve"> </w:t>
      </w:r>
      <w:r>
        <w:t>of focal</w:t>
      </w:r>
      <w:r>
        <w:rPr>
          <w:spacing w:val="-3"/>
        </w:rPr>
        <w:t xml:space="preserve"> </w:t>
      </w:r>
      <w:r>
        <w:t>service lines to include services that are often provided to cancer patients, but that are not exclusive to oncology. To narrow</w:t>
      </w:r>
      <w:r>
        <w:rPr>
          <w:spacing w:val="-3"/>
        </w:rPr>
        <w:t xml:space="preserve"> </w:t>
      </w:r>
      <w:r>
        <w:t>the</w:t>
      </w:r>
      <w:r>
        <w:rPr>
          <w:spacing w:val="-2"/>
        </w:rPr>
        <w:t xml:space="preserve"> </w:t>
      </w:r>
      <w:r>
        <w:t>scope</w:t>
      </w:r>
      <w:r>
        <w:rPr>
          <w:spacing w:val="-2"/>
        </w:rPr>
        <w:t xml:space="preserve"> </w:t>
      </w:r>
      <w:r>
        <w:t>to</w:t>
      </w:r>
      <w:r>
        <w:rPr>
          <w:spacing w:val="-4"/>
        </w:rPr>
        <w:t xml:space="preserve"> </w:t>
      </w:r>
      <w:r>
        <w:t>services</w:t>
      </w:r>
      <w:r>
        <w:rPr>
          <w:spacing w:val="-2"/>
        </w:rPr>
        <w:t xml:space="preserve"> </w:t>
      </w:r>
      <w:r>
        <w:t>that</w:t>
      </w:r>
      <w:r>
        <w:rPr>
          <w:spacing w:val="-3"/>
        </w:rPr>
        <w:t xml:space="preserve"> </w:t>
      </w:r>
      <w:r>
        <w:t>are</w:t>
      </w:r>
      <w:r>
        <w:rPr>
          <w:spacing w:val="-2"/>
        </w:rPr>
        <w:t xml:space="preserve"> </w:t>
      </w:r>
      <w:r>
        <w:t>likely</w:t>
      </w:r>
      <w:r>
        <w:rPr>
          <w:spacing w:val="-3"/>
        </w:rPr>
        <w:t xml:space="preserve"> </w:t>
      </w:r>
      <w:r>
        <w:t>to</w:t>
      </w:r>
      <w:r>
        <w:rPr>
          <w:spacing w:val="-2"/>
        </w:rPr>
        <w:t xml:space="preserve"> </w:t>
      </w:r>
      <w:r>
        <w:t>be</w:t>
      </w:r>
      <w:r>
        <w:rPr>
          <w:spacing w:val="-2"/>
        </w:rPr>
        <w:t xml:space="preserve"> </w:t>
      </w:r>
      <w:r>
        <w:t>most</w:t>
      </w:r>
      <w:r>
        <w:rPr>
          <w:spacing w:val="-3"/>
        </w:rPr>
        <w:t xml:space="preserve"> </w:t>
      </w:r>
      <w:r>
        <w:t>relevant</w:t>
      </w:r>
      <w:r>
        <w:rPr>
          <w:spacing w:val="-3"/>
        </w:rPr>
        <w:t xml:space="preserve"> </w:t>
      </w:r>
      <w:r>
        <w:t>to</w:t>
      </w:r>
      <w:r>
        <w:rPr>
          <w:spacing w:val="-4"/>
        </w:rPr>
        <w:t xml:space="preserve"> </w:t>
      </w:r>
      <w:r>
        <w:t>oncology,</w:t>
      </w:r>
      <w:r>
        <w:rPr>
          <w:spacing w:val="-2"/>
        </w:rPr>
        <w:t xml:space="preserve"> </w:t>
      </w:r>
      <w:r>
        <w:t>we</w:t>
      </w:r>
      <w:r>
        <w:rPr>
          <w:spacing w:val="-2"/>
        </w:rPr>
        <w:t xml:space="preserve"> </w:t>
      </w:r>
      <w:r>
        <w:t>selected</w:t>
      </w:r>
      <w:r>
        <w:rPr>
          <w:spacing w:val="-4"/>
        </w:rPr>
        <w:t xml:space="preserve"> </w:t>
      </w:r>
      <w:r>
        <w:t>codes within each service line with significant volume either at DFCI (for infusion administration, radiation oncology, diagnostic radiology, labs, and pathology), or at</w:t>
      </w:r>
      <w:r>
        <w:rPr>
          <w:spacing w:val="-1"/>
        </w:rPr>
        <w:t xml:space="preserve"> </w:t>
      </w:r>
      <w:r>
        <w:t>BILH</w:t>
      </w:r>
      <w:r>
        <w:rPr>
          <w:spacing w:val="-1"/>
        </w:rPr>
        <w:t xml:space="preserve"> </w:t>
      </w:r>
      <w:r>
        <w:t xml:space="preserve">and MGB’s AMCs (for surgical oncology). The codes we used in our outpatient price </w:t>
      </w:r>
      <w:proofErr w:type="gramStart"/>
      <w:r>
        <w:t>analyses</w:t>
      </w:r>
      <w:proofErr w:type="gramEnd"/>
      <w:r>
        <w:t xml:space="preserve"> are as follows:</w:t>
      </w:r>
      <w:r w:rsidR="004E0360">
        <w:rPr>
          <w:rStyle w:val="FootnoteReference"/>
        </w:rPr>
        <w:footnoteReference w:id="271"/>
      </w:r>
      <w:r w:rsidR="004E0360">
        <w:rPr>
          <w:sz w:val="14"/>
        </w:rPr>
        <w:t xml:space="preserve"> </w:t>
      </w:r>
    </w:p>
    <w:p w14:paraId="1C34EC17" w14:textId="77777777" w:rsidR="004C558F" w:rsidRDefault="004C558F">
      <w:pPr>
        <w:pStyle w:val="BodyText"/>
        <w:spacing w:before="38"/>
      </w:pPr>
    </w:p>
    <w:p w14:paraId="1C34EC18" w14:textId="77777777" w:rsidR="004C558F" w:rsidRDefault="00461887">
      <w:pPr>
        <w:pStyle w:val="ListParagraph"/>
        <w:numPr>
          <w:ilvl w:val="1"/>
          <w:numId w:val="7"/>
        </w:numPr>
        <w:tabs>
          <w:tab w:val="left" w:pos="1680"/>
        </w:tabs>
      </w:pPr>
      <w:r>
        <w:t>Infusion</w:t>
      </w:r>
      <w:r>
        <w:rPr>
          <w:spacing w:val="-8"/>
        </w:rPr>
        <w:t xml:space="preserve"> </w:t>
      </w:r>
      <w:r>
        <w:t>administration:</w:t>
      </w:r>
      <w:r>
        <w:rPr>
          <w:spacing w:val="-7"/>
        </w:rPr>
        <w:t xml:space="preserve"> </w:t>
      </w:r>
      <w:r>
        <w:t>96413,</w:t>
      </w:r>
      <w:r>
        <w:rPr>
          <w:spacing w:val="-4"/>
        </w:rPr>
        <w:t xml:space="preserve"> </w:t>
      </w:r>
      <w:r>
        <w:t>96375,</w:t>
      </w:r>
      <w:r>
        <w:rPr>
          <w:spacing w:val="-7"/>
        </w:rPr>
        <w:t xml:space="preserve"> </w:t>
      </w:r>
      <w:r>
        <w:t>96417,</w:t>
      </w:r>
      <w:r>
        <w:rPr>
          <w:spacing w:val="-4"/>
        </w:rPr>
        <w:t xml:space="preserve"> </w:t>
      </w:r>
      <w:r>
        <w:t>96361,</w:t>
      </w:r>
      <w:r>
        <w:rPr>
          <w:spacing w:val="-4"/>
        </w:rPr>
        <w:t xml:space="preserve"> </w:t>
      </w:r>
      <w:r>
        <w:t>96411,</w:t>
      </w:r>
      <w:r>
        <w:rPr>
          <w:spacing w:val="-4"/>
        </w:rPr>
        <w:t xml:space="preserve"> </w:t>
      </w:r>
      <w:r>
        <w:t>96372,</w:t>
      </w:r>
      <w:r>
        <w:rPr>
          <w:spacing w:val="-4"/>
        </w:rPr>
        <w:t xml:space="preserve"> </w:t>
      </w:r>
      <w:r>
        <w:t>96365,</w:t>
      </w:r>
      <w:r>
        <w:rPr>
          <w:spacing w:val="-3"/>
        </w:rPr>
        <w:t xml:space="preserve"> </w:t>
      </w:r>
      <w:r>
        <w:rPr>
          <w:spacing w:val="-2"/>
        </w:rPr>
        <w:t>96415,</w:t>
      </w:r>
    </w:p>
    <w:p w14:paraId="1C34EC19" w14:textId="77777777" w:rsidR="004C558F" w:rsidRDefault="00461887">
      <w:pPr>
        <w:pStyle w:val="BodyText"/>
        <w:spacing w:before="38"/>
        <w:ind w:left="1680"/>
      </w:pPr>
      <w:r>
        <w:t>96402,</w:t>
      </w:r>
      <w:r>
        <w:rPr>
          <w:spacing w:val="-8"/>
        </w:rPr>
        <w:t xml:space="preserve"> </w:t>
      </w:r>
      <w:r>
        <w:t>96367,</w:t>
      </w:r>
      <w:r>
        <w:rPr>
          <w:spacing w:val="-3"/>
        </w:rPr>
        <w:t xml:space="preserve"> </w:t>
      </w:r>
      <w:r>
        <w:t>96401,</w:t>
      </w:r>
      <w:r>
        <w:rPr>
          <w:spacing w:val="-2"/>
        </w:rPr>
        <w:t xml:space="preserve"> </w:t>
      </w:r>
      <w:r>
        <w:t>96409,</w:t>
      </w:r>
      <w:r>
        <w:rPr>
          <w:spacing w:val="-3"/>
        </w:rPr>
        <w:t xml:space="preserve"> </w:t>
      </w:r>
      <w:r>
        <w:t>96360,</w:t>
      </w:r>
      <w:r>
        <w:rPr>
          <w:spacing w:val="-5"/>
        </w:rPr>
        <w:t xml:space="preserve"> </w:t>
      </w:r>
      <w:r>
        <w:t>96416,</w:t>
      </w:r>
      <w:r>
        <w:rPr>
          <w:spacing w:val="-3"/>
        </w:rPr>
        <w:t xml:space="preserve"> </w:t>
      </w:r>
      <w:r>
        <w:t>96368,</w:t>
      </w:r>
      <w:r>
        <w:rPr>
          <w:spacing w:val="-2"/>
        </w:rPr>
        <w:t xml:space="preserve"> 96374</w:t>
      </w:r>
    </w:p>
    <w:p w14:paraId="1C34EC1A" w14:textId="77777777" w:rsidR="004C558F" w:rsidRDefault="00461887">
      <w:pPr>
        <w:pStyle w:val="ListParagraph"/>
        <w:numPr>
          <w:ilvl w:val="1"/>
          <w:numId w:val="7"/>
        </w:numPr>
        <w:tabs>
          <w:tab w:val="left" w:pos="1680"/>
        </w:tabs>
        <w:spacing w:before="36"/>
        <w:ind w:hanging="360"/>
      </w:pPr>
      <w:r>
        <w:t>Radiation</w:t>
      </w:r>
      <w:r>
        <w:rPr>
          <w:spacing w:val="-4"/>
        </w:rPr>
        <w:t xml:space="preserve"> </w:t>
      </w:r>
      <w:r>
        <w:t>oncology:</w:t>
      </w:r>
      <w:r>
        <w:rPr>
          <w:spacing w:val="-4"/>
        </w:rPr>
        <w:t xml:space="preserve"> </w:t>
      </w:r>
      <w:r>
        <w:t>77280,</w:t>
      </w:r>
      <w:r>
        <w:rPr>
          <w:spacing w:val="-4"/>
        </w:rPr>
        <w:t xml:space="preserve"> </w:t>
      </w:r>
      <w:r>
        <w:t>77300,</w:t>
      </w:r>
      <w:r>
        <w:rPr>
          <w:spacing w:val="-3"/>
        </w:rPr>
        <w:t xml:space="preserve"> </w:t>
      </w:r>
      <w:r>
        <w:t>77334,</w:t>
      </w:r>
      <w:r>
        <w:rPr>
          <w:spacing w:val="-4"/>
        </w:rPr>
        <w:t xml:space="preserve"> </w:t>
      </w:r>
      <w:r>
        <w:t>77336,</w:t>
      </w:r>
      <w:r>
        <w:rPr>
          <w:spacing w:val="-7"/>
        </w:rPr>
        <w:t xml:space="preserve"> </w:t>
      </w:r>
      <w:r>
        <w:t>77385,</w:t>
      </w:r>
      <w:r>
        <w:rPr>
          <w:spacing w:val="-6"/>
        </w:rPr>
        <w:t xml:space="preserve"> </w:t>
      </w:r>
      <w:r>
        <w:t>77386,</w:t>
      </w:r>
      <w:r>
        <w:rPr>
          <w:spacing w:val="-4"/>
        </w:rPr>
        <w:t xml:space="preserve"> </w:t>
      </w:r>
      <w:r>
        <w:t>77387,</w:t>
      </w:r>
      <w:r>
        <w:rPr>
          <w:spacing w:val="-3"/>
        </w:rPr>
        <w:t xml:space="preserve"> </w:t>
      </w:r>
      <w:r>
        <w:rPr>
          <w:spacing w:val="-2"/>
        </w:rPr>
        <w:t>77412,</w:t>
      </w:r>
    </w:p>
    <w:p w14:paraId="1C34EC1B" w14:textId="77777777" w:rsidR="004C558F" w:rsidRDefault="00461887">
      <w:pPr>
        <w:pStyle w:val="BodyText"/>
        <w:spacing w:before="38"/>
        <w:ind w:left="1680"/>
      </w:pPr>
      <w:r>
        <w:rPr>
          <w:spacing w:val="-2"/>
        </w:rPr>
        <w:t>77417</w:t>
      </w:r>
    </w:p>
    <w:p w14:paraId="1C34EC1C" w14:textId="77777777" w:rsidR="004C558F" w:rsidRDefault="00461887">
      <w:pPr>
        <w:pStyle w:val="ListParagraph"/>
        <w:numPr>
          <w:ilvl w:val="1"/>
          <w:numId w:val="7"/>
        </w:numPr>
        <w:tabs>
          <w:tab w:val="left" w:pos="1680"/>
        </w:tabs>
        <w:spacing w:before="36"/>
        <w:ind w:hanging="360"/>
      </w:pPr>
      <w:r>
        <w:t>Diagnostic</w:t>
      </w:r>
      <w:r>
        <w:rPr>
          <w:spacing w:val="-6"/>
        </w:rPr>
        <w:t xml:space="preserve"> </w:t>
      </w:r>
      <w:r>
        <w:rPr>
          <w:spacing w:val="-2"/>
        </w:rPr>
        <w:t>radiology:</w:t>
      </w:r>
    </w:p>
    <w:p w14:paraId="1C34EC1D" w14:textId="77777777" w:rsidR="004C558F" w:rsidRDefault="00461887">
      <w:pPr>
        <w:pStyle w:val="BodyText"/>
        <w:spacing w:before="37"/>
        <w:ind w:left="2040"/>
      </w:pPr>
      <w:r>
        <w:rPr>
          <w:rFonts w:ascii="Courier New"/>
        </w:rPr>
        <w:t>o</w:t>
      </w:r>
      <w:r>
        <w:rPr>
          <w:rFonts w:ascii="Courier New"/>
          <w:spacing w:val="23"/>
          <w:w w:val="150"/>
        </w:rPr>
        <w:t xml:space="preserve"> </w:t>
      </w:r>
      <w:r>
        <w:t>MRI:</w:t>
      </w:r>
      <w:r>
        <w:rPr>
          <w:spacing w:val="-1"/>
        </w:rPr>
        <w:t xml:space="preserve"> </w:t>
      </w:r>
      <w:r>
        <w:t>70553,</w:t>
      </w:r>
      <w:r>
        <w:rPr>
          <w:spacing w:val="-2"/>
        </w:rPr>
        <w:t xml:space="preserve"> </w:t>
      </w:r>
      <w:r>
        <w:t>74183,</w:t>
      </w:r>
      <w:r>
        <w:rPr>
          <w:spacing w:val="-4"/>
        </w:rPr>
        <w:t xml:space="preserve"> </w:t>
      </w:r>
      <w:r>
        <w:t>72197,</w:t>
      </w:r>
      <w:r>
        <w:rPr>
          <w:spacing w:val="-1"/>
        </w:rPr>
        <w:t xml:space="preserve"> </w:t>
      </w:r>
      <w:r>
        <w:t>77049,</w:t>
      </w:r>
      <w:r>
        <w:rPr>
          <w:spacing w:val="-2"/>
        </w:rPr>
        <w:t xml:space="preserve"> </w:t>
      </w:r>
      <w:r>
        <w:rPr>
          <w:spacing w:val="-4"/>
        </w:rPr>
        <w:t>72158</w:t>
      </w:r>
    </w:p>
    <w:p w14:paraId="1C34EC1E" w14:textId="77777777" w:rsidR="004C558F" w:rsidRDefault="00461887">
      <w:pPr>
        <w:pStyle w:val="BodyText"/>
        <w:spacing w:before="21"/>
        <w:ind w:left="2040"/>
      </w:pPr>
      <w:r>
        <w:rPr>
          <w:rFonts w:ascii="Courier New"/>
        </w:rPr>
        <w:t>o</w:t>
      </w:r>
      <w:r>
        <w:rPr>
          <w:rFonts w:ascii="Courier New"/>
          <w:spacing w:val="23"/>
          <w:w w:val="150"/>
        </w:rPr>
        <w:t xml:space="preserve"> </w:t>
      </w:r>
      <w:r>
        <w:t>CT:</w:t>
      </w:r>
      <w:r>
        <w:rPr>
          <w:spacing w:val="-2"/>
        </w:rPr>
        <w:t xml:space="preserve"> </w:t>
      </w:r>
      <w:r>
        <w:t>71260,</w:t>
      </w:r>
      <w:r>
        <w:rPr>
          <w:spacing w:val="-1"/>
        </w:rPr>
        <w:t xml:space="preserve"> </w:t>
      </w:r>
      <w:r>
        <w:t>74177,</w:t>
      </w:r>
      <w:r>
        <w:rPr>
          <w:spacing w:val="-5"/>
        </w:rPr>
        <w:t xml:space="preserve"> </w:t>
      </w:r>
      <w:r>
        <w:t>71250,</w:t>
      </w:r>
      <w:r>
        <w:rPr>
          <w:spacing w:val="-1"/>
        </w:rPr>
        <w:t xml:space="preserve"> </w:t>
      </w:r>
      <w:r>
        <w:t>70491,</w:t>
      </w:r>
      <w:r>
        <w:rPr>
          <w:spacing w:val="-2"/>
        </w:rPr>
        <w:t xml:space="preserve"> </w:t>
      </w:r>
      <w:r>
        <w:rPr>
          <w:spacing w:val="-4"/>
        </w:rPr>
        <w:t>74176</w:t>
      </w:r>
    </w:p>
    <w:p w14:paraId="1C34EC1F" w14:textId="77777777" w:rsidR="004C558F" w:rsidRDefault="00461887">
      <w:pPr>
        <w:pStyle w:val="BodyText"/>
        <w:spacing w:before="18"/>
        <w:ind w:left="2041"/>
      </w:pPr>
      <w:r>
        <w:rPr>
          <w:rFonts w:ascii="Courier New"/>
        </w:rPr>
        <w:t>o</w:t>
      </w:r>
      <w:r>
        <w:rPr>
          <w:rFonts w:ascii="Courier New"/>
          <w:spacing w:val="26"/>
          <w:w w:val="150"/>
        </w:rPr>
        <w:t xml:space="preserve"> </w:t>
      </w:r>
      <w:r>
        <w:t>PET: 78815,</w:t>
      </w:r>
      <w:r>
        <w:rPr>
          <w:spacing w:val="-4"/>
        </w:rPr>
        <w:t xml:space="preserve"> </w:t>
      </w:r>
      <w:r>
        <w:rPr>
          <w:spacing w:val="-2"/>
        </w:rPr>
        <w:t>78816</w:t>
      </w:r>
    </w:p>
    <w:p w14:paraId="1C34EC20" w14:textId="77777777" w:rsidR="004C558F" w:rsidRDefault="00461887">
      <w:pPr>
        <w:pStyle w:val="BodyText"/>
        <w:spacing w:before="20"/>
        <w:ind w:left="2041"/>
      </w:pPr>
      <w:r>
        <w:rPr>
          <w:rFonts w:ascii="Courier New"/>
        </w:rPr>
        <w:t>o</w:t>
      </w:r>
      <w:r>
        <w:rPr>
          <w:rFonts w:ascii="Courier New"/>
          <w:spacing w:val="20"/>
          <w:w w:val="150"/>
        </w:rPr>
        <w:t xml:space="preserve"> </w:t>
      </w:r>
      <w:r>
        <w:t>Mammography:</w:t>
      </w:r>
      <w:r>
        <w:rPr>
          <w:spacing w:val="-5"/>
        </w:rPr>
        <w:t xml:space="preserve"> </w:t>
      </w:r>
      <w:r>
        <w:t>77067,</w:t>
      </w:r>
      <w:r>
        <w:rPr>
          <w:spacing w:val="-2"/>
        </w:rPr>
        <w:t xml:space="preserve"> </w:t>
      </w:r>
      <w:r>
        <w:t>77063,</w:t>
      </w:r>
      <w:r>
        <w:rPr>
          <w:spacing w:val="-5"/>
        </w:rPr>
        <w:t xml:space="preserve"> </w:t>
      </w:r>
      <w:r>
        <w:t>G0279,</w:t>
      </w:r>
      <w:r>
        <w:rPr>
          <w:spacing w:val="-2"/>
        </w:rPr>
        <w:t xml:space="preserve"> </w:t>
      </w:r>
      <w:r>
        <w:t>77066,</w:t>
      </w:r>
      <w:r>
        <w:rPr>
          <w:spacing w:val="-6"/>
        </w:rPr>
        <w:t xml:space="preserve"> </w:t>
      </w:r>
      <w:r>
        <w:rPr>
          <w:spacing w:val="-2"/>
        </w:rPr>
        <w:t>77065</w:t>
      </w:r>
    </w:p>
    <w:p w14:paraId="1C34EC21" w14:textId="77777777" w:rsidR="004C558F" w:rsidRDefault="00461887">
      <w:pPr>
        <w:pStyle w:val="ListParagraph"/>
        <w:numPr>
          <w:ilvl w:val="1"/>
          <w:numId w:val="7"/>
        </w:numPr>
        <w:tabs>
          <w:tab w:val="left" w:pos="1681"/>
        </w:tabs>
        <w:spacing w:before="17"/>
        <w:ind w:left="1681" w:hanging="360"/>
      </w:pPr>
      <w:r>
        <w:t>Labs</w:t>
      </w:r>
      <w:r>
        <w:rPr>
          <w:spacing w:val="-4"/>
        </w:rPr>
        <w:t xml:space="preserve"> </w:t>
      </w:r>
      <w:r>
        <w:t>and</w:t>
      </w:r>
      <w:r>
        <w:rPr>
          <w:spacing w:val="-5"/>
        </w:rPr>
        <w:t xml:space="preserve"> </w:t>
      </w:r>
      <w:r>
        <w:t>pathology:</w:t>
      </w:r>
      <w:r>
        <w:rPr>
          <w:spacing w:val="-3"/>
        </w:rPr>
        <w:t xml:space="preserve"> </w:t>
      </w:r>
      <w:r>
        <w:t>88305,</w:t>
      </w:r>
      <w:r>
        <w:rPr>
          <w:spacing w:val="-3"/>
        </w:rPr>
        <w:t xml:space="preserve"> </w:t>
      </w:r>
      <w:r>
        <w:t>88184,</w:t>
      </w:r>
      <w:r>
        <w:rPr>
          <w:spacing w:val="-4"/>
        </w:rPr>
        <w:t xml:space="preserve"> </w:t>
      </w:r>
      <w:r>
        <w:t>88185,</w:t>
      </w:r>
      <w:r>
        <w:rPr>
          <w:spacing w:val="-3"/>
        </w:rPr>
        <w:t xml:space="preserve"> </w:t>
      </w:r>
      <w:r>
        <w:t>88313,</w:t>
      </w:r>
      <w:r>
        <w:rPr>
          <w:spacing w:val="-6"/>
        </w:rPr>
        <w:t xml:space="preserve"> </w:t>
      </w:r>
      <w:r>
        <w:t>88311,</w:t>
      </w:r>
      <w:r>
        <w:rPr>
          <w:spacing w:val="-6"/>
        </w:rPr>
        <w:t xml:space="preserve"> </w:t>
      </w:r>
      <w:r>
        <w:t>85025,</w:t>
      </w:r>
      <w:r>
        <w:rPr>
          <w:spacing w:val="-3"/>
        </w:rPr>
        <w:t xml:space="preserve"> </w:t>
      </w:r>
      <w:r>
        <w:t>80053,</w:t>
      </w:r>
      <w:r>
        <w:rPr>
          <w:spacing w:val="-3"/>
        </w:rPr>
        <w:t xml:space="preserve"> </w:t>
      </w:r>
      <w:r>
        <w:rPr>
          <w:spacing w:val="-2"/>
        </w:rPr>
        <w:t>83735,</w:t>
      </w:r>
    </w:p>
    <w:p w14:paraId="1C34EC22" w14:textId="77777777" w:rsidR="004C558F" w:rsidRDefault="00461887">
      <w:pPr>
        <w:pStyle w:val="BodyText"/>
        <w:spacing w:before="38"/>
        <w:ind w:left="1681"/>
      </w:pPr>
      <w:r>
        <w:t>83615,</w:t>
      </w:r>
      <w:r>
        <w:rPr>
          <w:spacing w:val="-6"/>
        </w:rPr>
        <w:t xml:space="preserve"> </w:t>
      </w:r>
      <w:r>
        <w:t>84100,</w:t>
      </w:r>
      <w:r>
        <w:rPr>
          <w:spacing w:val="-3"/>
        </w:rPr>
        <w:t xml:space="preserve"> </w:t>
      </w:r>
      <w:r>
        <w:t>83520,</w:t>
      </w:r>
      <w:r>
        <w:rPr>
          <w:spacing w:val="-3"/>
        </w:rPr>
        <w:t xml:space="preserve"> </w:t>
      </w:r>
      <w:r>
        <w:t>82378,</w:t>
      </w:r>
      <w:r>
        <w:rPr>
          <w:spacing w:val="-3"/>
        </w:rPr>
        <w:t xml:space="preserve"> </w:t>
      </w:r>
      <w:r>
        <w:t>86900,</w:t>
      </w:r>
      <w:r>
        <w:rPr>
          <w:spacing w:val="-6"/>
        </w:rPr>
        <w:t xml:space="preserve"> </w:t>
      </w:r>
      <w:r>
        <w:t>86901,</w:t>
      </w:r>
      <w:r>
        <w:rPr>
          <w:spacing w:val="-3"/>
        </w:rPr>
        <w:t xml:space="preserve"> </w:t>
      </w:r>
      <w:r>
        <w:t>86850,</w:t>
      </w:r>
      <w:r>
        <w:rPr>
          <w:spacing w:val="-3"/>
        </w:rPr>
        <w:t xml:space="preserve"> </w:t>
      </w:r>
      <w:r>
        <w:t>86941,</w:t>
      </w:r>
      <w:r>
        <w:rPr>
          <w:spacing w:val="-3"/>
        </w:rPr>
        <w:t xml:space="preserve"> </w:t>
      </w:r>
      <w:r>
        <w:t>87497,</w:t>
      </w:r>
      <w:r>
        <w:rPr>
          <w:spacing w:val="-3"/>
        </w:rPr>
        <w:t xml:space="preserve"> </w:t>
      </w:r>
      <w:r>
        <w:t>87799,</w:t>
      </w:r>
      <w:r>
        <w:rPr>
          <w:spacing w:val="-3"/>
        </w:rPr>
        <w:t xml:space="preserve"> </w:t>
      </w:r>
      <w:r>
        <w:rPr>
          <w:spacing w:val="-2"/>
        </w:rPr>
        <w:t>81268,</w:t>
      </w:r>
    </w:p>
    <w:p w14:paraId="1C34EC23" w14:textId="77777777" w:rsidR="004C558F" w:rsidRDefault="00461887">
      <w:pPr>
        <w:pStyle w:val="BodyText"/>
        <w:spacing w:before="36"/>
        <w:ind w:left="1681"/>
      </w:pPr>
      <w:r>
        <w:t>88262,</w:t>
      </w:r>
      <w:r>
        <w:rPr>
          <w:spacing w:val="-8"/>
        </w:rPr>
        <w:t xml:space="preserve"> </w:t>
      </w:r>
      <w:r>
        <w:t>81206,</w:t>
      </w:r>
      <w:r>
        <w:rPr>
          <w:spacing w:val="-2"/>
        </w:rPr>
        <w:t xml:space="preserve"> </w:t>
      </w:r>
      <w:r>
        <w:t>84165,</w:t>
      </w:r>
      <w:r>
        <w:rPr>
          <w:spacing w:val="-3"/>
        </w:rPr>
        <w:t xml:space="preserve"> </w:t>
      </w:r>
      <w:r>
        <w:t>86334,</w:t>
      </w:r>
      <w:r>
        <w:rPr>
          <w:spacing w:val="-2"/>
        </w:rPr>
        <w:t xml:space="preserve"> </w:t>
      </w:r>
      <w:r>
        <w:t>84166,</w:t>
      </w:r>
      <w:r>
        <w:rPr>
          <w:spacing w:val="-5"/>
        </w:rPr>
        <w:t xml:space="preserve"> </w:t>
      </w:r>
      <w:r>
        <w:rPr>
          <w:spacing w:val="-2"/>
        </w:rPr>
        <w:t>86335</w:t>
      </w:r>
    </w:p>
    <w:p w14:paraId="1C34EC24" w14:textId="77777777" w:rsidR="004C558F" w:rsidRDefault="00461887">
      <w:pPr>
        <w:pStyle w:val="ListParagraph"/>
        <w:numPr>
          <w:ilvl w:val="1"/>
          <w:numId w:val="7"/>
        </w:numPr>
        <w:tabs>
          <w:tab w:val="left" w:pos="1681"/>
        </w:tabs>
        <w:spacing w:before="38"/>
        <w:ind w:left="1681" w:hanging="360"/>
      </w:pPr>
      <w:r>
        <w:t>Outpatient</w:t>
      </w:r>
      <w:r>
        <w:rPr>
          <w:spacing w:val="-7"/>
        </w:rPr>
        <w:t xml:space="preserve"> </w:t>
      </w:r>
      <w:r>
        <w:t>surgical</w:t>
      </w:r>
      <w:r>
        <w:rPr>
          <w:spacing w:val="-7"/>
        </w:rPr>
        <w:t xml:space="preserve"> </w:t>
      </w:r>
      <w:r>
        <w:rPr>
          <w:spacing w:val="-2"/>
        </w:rPr>
        <w:t>oncology:</w:t>
      </w:r>
    </w:p>
    <w:p w14:paraId="1C34EC25" w14:textId="77777777" w:rsidR="004C558F" w:rsidRDefault="004C558F">
      <w:pPr>
        <w:pStyle w:val="BodyText"/>
        <w:rPr>
          <w:sz w:val="20"/>
        </w:rPr>
      </w:pPr>
    </w:p>
    <w:p w14:paraId="1C34EC26" w14:textId="77777777" w:rsidR="004C558F" w:rsidRDefault="004C558F">
      <w:pPr>
        <w:pStyle w:val="BodyText"/>
        <w:rPr>
          <w:sz w:val="20"/>
        </w:rPr>
      </w:pPr>
    </w:p>
    <w:p w14:paraId="1C34EC27" w14:textId="4CB0433C" w:rsidR="004C558F" w:rsidRDefault="004C558F">
      <w:pPr>
        <w:pStyle w:val="BodyText"/>
        <w:spacing w:before="26"/>
        <w:rPr>
          <w:sz w:val="20"/>
        </w:rPr>
      </w:pPr>
    </w:p>
    <w:p w14:paraId="1C34EC2A" w14:textId="77777777" w:rsidR="004C558F" w:rsidRDefault="004C558F">
      <w:pPr>
        <w:rPr>
          <w:sz w:val="20"/>
        </w:rPr>
        <w:sectPr w:rsidR="004C558F">
          <w:pgSz w:w="12240" w:h="15840"/>
          <w:pgMar w:top="1360" w:right="740" w:bottom="720" w:left="480" w:header="0" w:footer="521" w:gutter="0"/>
          <w:cols w:space="720"/>
        </w:sectPr>
      </w:pPr>
      <w:bookmarkStart w:id="240" w:name="_bookmark305"/>
      <w:bookmarkEnd w:id="240"/>
    </w:p>
    <w:p w14:paraId="1C34EC2B" w14:textId="77777777" w:rsidR="004C558F" w:rsidRDefault="00461887">
      <w:pPr>
        <w:pStyle w:val="BodyText"/>
        <w:spacing w:before="80"/>
        <w:ind w:left="2039"/>
      </w:pPr>
      <w:r>
        <w:rPr>
          <w:rFonts w:ascii="Courier New"/>
        </w:rPr>
        <w:lastRenderedPageBreak/>
        <w:t>o</w:t>
      </w:r>
      <w:r>
        <w:rPr>
          <w:rFonts w:ascii="Courier New"/>
          <w:spacing w:val="20"/>
          <w:w w:val="150"/>
        </w:rPr>
        <w:t xml:space="preserve"> </w:t>
      </w:r>
      <w:r>
        <w:t>Endoscopy:</w:t>
      </w:r>
      <w:r>
        <w:rPr>
          <w:spacing w:val="-5"/>
        </w:rPr>
        <w:t xml:space="preserve"> </w:t>
      </w:r>
      <w:r>
        <w:t>43235,</w:t>
      </w:r>
      <w:r>
        <w:rPr>
          <w:spacing w:val="-2"/>
        </w:rPr>
        <w:t xml:space="preserve"> </w:t>
      </w:r>
      <w:r>
        <w:t>43238,</w:t>
      </w:r>
      <w:r>
        <w:rPr>
          <w:spacing w:val="-2"/>
        </w:rPr>
        <w:t xml:space="preserve"> </w:t>
      </w:r>
      <w:r>
        <w:t>43239,</w:t>
      </w:r>
      <w:r>
        <w:rPr>
          <w:spacing w:val="-2"/>
        </w:rPr>
        <w:t xml:space="preserve"> </w:t>
      </w:r>
      <w:r>
        <w:t>43251,</w:t>
      </w:r>
      <w:r>
        <w:rPr>
          <w:spacing w:val="-2"/>
        </w:rPr>
        <w:t xml:space="preserve"> </w:t>
      </w:r>
      <w:r>
        <w:t>43270,</w:t>
      </w:r>
      <w:r>
        <w:rPr>
          <w:spacing w:val="-5"/>
        </w:rPr>
        <w:t xml:space="preserve"> </w:t>
      </w:r>
      <w:r>
        <w:t>45330,</w:t>
      </w:r>
      <w:r>
        <w:rPr>
          <w:spacing w:val="-5"/>
        </w:rPr>
        <w:t xml:space="preserve"> </w:t>
      </w:r>
      <w:r>
        <w:t>45331,</w:t>
      </w:r>
      <w:r>
        <w:rPr>
          <w:spacing w:val="-3"/>
        </w:rPr>
        <w:t xml:space="preserve"> </w:t>
      </w:r>
      <w:r>
        <w:rPr>
          <w:spacing w:val="-2"/>
        </w:rPr>
        <w:t>45378,</w:t>
      </w:r>
    </w:p>
    <w:p w14:paraId="1C34EC2C" w14:textId="77777777" w:rsidR="004C558F" w:rsidRDefault="00461887">
      <w:pPr>
        <w:pStyle w:val="BodyText"/>
        <w:spacing w:before="20"/>
        <w:ind w:left="2400"/>
      </w:pPr>
      <w:r>
        <w:t>45385,</w:t>
      </w:r>
      <w:r>
        <w:rPr>
          <w:spacing w:val="-3"/>
        </w:rPr>
        <w:t xml:space="preserve"> </w:t>
      </w:r>
      <w:r>
        <w:rPr>
          <w:spacing w:val="-2"/>
        </w:rPr>
        <w:t>43242</w:t>
      </w:r>
    </w:p>
    <w:p w14:paraId="1C34EC2D" w14:textId="77777777" w:rsidR="004C558F" w:rsidRDefault="00461887">
      <w:pPr>
        <w:pStyle w:val="BodyText"/>
        <w:spacing w:before="36"/>
        <w:ind w:left="2040"/>
      </w:pPr>
      <w:r>
        <w:rPr>
          <w:rFonts w:ascii="Courier New"/>
        </w:rPr>
        <w:t>o</w:t>
      </w:r>
      <w:r>
        <w:rPr>
          <w:rFonts w:ascii="Courier New"/>
          <w:spacing w:val="21"/>
          <w:w w:val="150"/>
        </w:rPr>
        <w:t xml:space="preserve"> </w:t>
      </w:r>
      <w:r>
        <w:t>Excision:</w:t>
      </w:r>
      <w:r>
        <w:rPr>
          <w:spacing w:val="-5"/>
        </w:rPr>
        <w:t xml:space="preserve"> </w:t>
      </w:r>
      <w:r>
        <w:t>11401,</w:t>
      </w:r>
      <w:r>
        <w:rPr>
          <w:spacing w:val="-2"/>
        </w:rPr>
        <w:t xml:space="preserve"> </w:t>
      </w:r>
      <w:r>
        <w:t>11402,</w:t>
      </w:r>
      <w:r>
        <w:rPr>
          <w:spacing w:val="-5"/>
        </w:rPr>
        <w:t xml:space="preserve"> </w:t>
      </w:r>
      <w:r>
        <w:t>11403,</w:t>
      </w:r>
      <w:r>
        <w:rPr>
          <w:spacing w:val="-4"/>
        </w:rPr>
        <w:t xml:space="preserve"> </w:t>
      </w:r>
      <w:r>
        <w:t>11422,</w:t>
      </w:r>
      <w:r>
        <w:rPr>
          <w:spacing w:val="-2"/>
        </w:rPr>
        <w:t xml:space="preserve"> </w:t>
      </w:r>
      <w:r>
        <w:t>11602,</w:t>
      </w:r>
      <w:r>
        <w:rPr>
          <w:spacing w:val="-2"/>
        </w:rPr>
        <w:t xml:space="preserve"> </w:t>
      </w:r>
      <w:r>
        <w:t>11603,</w:t>
      </w:r>
      <w:r>
        <w:rPr>
          <w:spacing w:val="-2"/>
        </w:rPr>
        <w:t xml:space="preserve"> </w:t>
      </w:r>
      <w:r>
        <w:t>11606,</w:t>
      </w:r>
      <w:r>
        <w:rPr>
          <w:spacing w:val="-5"/>
        </w:rPr>
        <w:t xml:space="preserve"> </w:t>
      </w:r>
      <w:r>
        <w:t>20206,</w:t>
      </w:r>
      <w:r>
        <w:rPr>
          <w:spacing w:val="-2"/>
        </w:rPr>
        <w:t xml:space="preserve"> 38505,</w:t>
      </w:r>
    </w:p>
    <w:p w14:paraId="1C34EC2E" w14:textId="77777777" w:rsidR="004C558F" w:rsidRDefault="00461887">
      <w:pPr>
        <w:pStyle w:val="BodyText"/>
        <w:spacing w:before="20"/>
        <w:ind w:left="2400"/>
      </w:pPr>
      <w:r>
        <w:t>38525,</w:t>
      </w:r>
      <w:r>
        <w:rPr>
          <w:spacing w:val="-6"/>
        </w:rPr>
        <w:t xml:space="preserve"> </w:t>
      </w:r>
      <w:r>
        <w:t>46221,</w:t>
      </w:r>
      <w:r>
        <w:rPr>
          <w:spacing w:val="-3"/>
        </w:rPr>
        <w:t xml:space="preserve"> </w:t>
      </w:r>
      <w:r>
        <w:t>49180,</w:t>
      </w:r>
      <w:r>
        <w:rPr>
          <w:spacing w:val="-3"/>
        </w:rPr>
        <w:t xml:space="preserve"> </w:t>
      </w:r>
      <w:r>
        <w:t>50200,</w:t>
      </w:r>
      <w:r>
        <w:rPr>
          <w:spacing w:val="-3"/>
        </w:rPr>
        <w:t xml:space="preserve"> </w:t>
      </w:r>
      <w:r>
        <w:t>55250,</w:t>
      </w:r>
      <w:r>
        <w:rPr>
          <w:spacing w:val="-6"/>
        </w:rPr>
        <w:t xml:space="preserve"> </w:t>
      </w:r>
      <w:r>
        <w:t>56605,</w:t>
      </w:r>
      <w:r>
        <w:rPr>
          <w:spacing w:val="-3"/>
        </w:rPr>
        <w:t xml:space="preserve"> </w:t>
      </w:r>
      <w:r>
        <w:t>57500,</w:t>
      </w:r>
      <w:r>
        <w:rPr>
          <w:spacing w:val="-3"/>
        </w:rPr>
        <w:t xml:space="preserve"> </w:t>
      </w:r>
      <w:r>
        <w:t>58100,</w:t>
      </w:r>
      <w:r>
        <w:rPr>
          <w:spacing w:val="-3"/>
        </w:rPr>
        <w:t xml:space="preserve"> </w:t>
      </w:r>
      <w:r>
        <w:t>60220,</w:t>
      </w:r>
      <w:r>
        <w:rPr>
          <w:spacing w:val="-3"/>
        </w:rPr>
        <w:t xml:space="preserve"> </w:t>
      </w:r>
      <w:r>
        <w:rPr>
          <w:spacing w:val="-2"/>
        </w:rPr>
        <w:t>60500</w:t>
      </w:r>
    </w:p>
    <w:p w14:paraId="1C34EC2F" w14:textId="77777777" w:rsidR="004C558F" w:rsidRDefault="004C558F">
      <w:pPr>
        <w:pStyle w:val="BodyText"/>
        <w:spacing w:before="75"/>
      </w:pPr>
    </w:p>
    <w:p w14:paraId="1C34EC30" w14:textId="77777777" w:rsidR="004C558F" w:rsidRDefault="00461887">
      <w:pPr>
        <w:pStyle w:val="BodyText"/>
        <w:spacing w:line="276" w:lineRule="auto"/>
        <w:ind w:left="960" w:right="1034" w:firstLine="720"/>
      </w:pPr>
      <w:r>
        <w:t>To calculate the average price per encounter for services in the outpatient clusters defined above, the HPC examined the prices of outpatient BCBS, HPHC, THP, HNE, MGBHP, and Anthem</w:t>
      </w:r>
      <w:r>
        <w:rPr>
          <w:spacing w:val="-4"/>
        </w:rPr>
        <w:t xml:space="preserve"> </w:t>
      </w:r>
      <w:r>
        <w:t>claims</w:t>
      </w:r>
      <w:r>
        <w:rPr>
          <w:spacing w:val="-2"/>
        </w:rPr>
        <w:t xml:space="preserve"> </w:t>
      </w:r>
      <w:r>
        <w:t>for</w:t>
      </w:r>
      <w:r>
        <w:rPr>
          <w:spacing w:val="-3"/>
        </w:rPr>
        <w:t xml:space="preserve"> </w:t>
      </w:r>
      <w:r>
        <w:t>patients</w:t>
      </w:r>
      <w:r>
        <w:rPr>
          <w:spacing w:val="-2"/>
        </w:rPr>
        <w:t xml:space="preserve"> </w:t>
      </w:r>
      <w:r>
        <w:t>aged</w:t>
      </w:r>
      <w:r>
        <w:rPr>
          <w:spacing w:val="-1"/>
        </w:rPr>
        <w:t xml:space="preserve"> </w:t>
      </w:r>
      <w:r>
        <w:t>18</w:t>
      </w:r>
      <w:r>
        <w:rPr>
          <w:spacing w:val="-2"/>
        </w:rPr>
        <w:t xml:space="preserve"> </w:t>
      </w:r>
      <w:r>
        <w:t>years</w:t>
      </w:r>
      <w:r>
        <w:rPr>
          <w:spacing w:val="-2"/>
        </w:rPr>
        <w:t xml:space="preserve"> </w:t>
      </w:r>
      <w:r>
        <w:t>or</w:t>
      </w:r>
      <w:r>
        <w:rPr>
          <w:spacing w:val="-3"/>
        </w:rPr>
        <w:t xml:space="preserve"> </w:t>
      </w:r>
      <w:r>
        <w:t>older</w:t>
      </w:r>
      <w:r>
        <w:rPr>
          <w:spacing w:val="-3"/>
        </w:rPr>
        <w:t xml:space="preserve"> </w:t>
      </w:r>
      <w:r>
        <w:t>in</w:t>
      </w:r>
      <w:r>
        <w:rPr>
          <w:spacing w:val="-2"/>
        </w:rPr>
        <w:t xml:space="preserve"> </w:t>
      </w:r>
      <w:r>
        <w:t>the</w:t>
      </w:r>
      <w:r>
        <w:rPr>
          <w:spacing w:val="-2"/>
        </w:rPr>
        <w:t xml:space="preserve"> </w:t>
      </w:r>
      <w:r>
        <w:t>2022</w:t>
      </w:r>
      <w:r>
        <w:rPr>
          <w:spacing w:val="-2"/>
        </w:rPr>
        <w:t xml:space="preserve"> </w:t>
      </w:r>
      <w:r>
        <w:t>APCD.</w:t>
      </w:r>
      <w:r>
        <w:rPr>
          <w:spacing w:val="-5"/>
        </w:rPr>
        <w:t xml:space="preserve"> </w:t>
      </w:r>
      <w:r>
        <w:t>For</w:t>
      </w:r>
      <w:r>
        <w:rPr>
          <w:spacing w:val="-3"/>
        </w:rPr>
        <w:t xml:space="preserve"> </w:t>
      </w:r>
      <w:r>
        <w:t>infusion</w:t>
      </w:r>
      <w:r>
        <w:rPr>
          <w:spacing w:val="-4"/>
        </w:rPr>
        <w:t xml:space="preserve"> </w:t>
      </w:r>
      <w:r>
        <w:t>administration, radiation oncology, diagnostic radiology, and labs and pathology, we limited our analysis to encounters where at least one claim contained a cancer diagnosis code. For outpatient endoscopy</w:t>
      </w:r>
      <w:r>
        <w:rPr>
          <w:spacing w:val="-2"/>
        </w:rPr>
        <w:t xml:space="preserve"> </w:t>
      </w:r>
      <w:r>
        <w:t>and</w:t>
      </w:r>
      <w:r>
        <w:rPr>
          <w:spacing w:val="-3"/>
        </w:rPr>
        <w:t xml:space="preserve"> </w:t>
      </w:r>
      <w:r>
        <w:t>surgical</w:t>
      </w:r>
      <w:r>
        <w:rPr>
          <w:spacing w:val="-2"/>
        </w:rPr>
        <w:t xml:space="preserve"> </w:t>
      </w:r>
      <w:r>
        <w:t>excision,</w:t>
      </w:r>
      <w:r>
        <w:rPr>
          <w:spacing w:val="-4"/>
        </w:rPr>
        <w:t xml:space="preserve"> </w:t>
      </w:r>
      <w:r>
        <w:t>we</w:t>
      </w:r>
      <w:r>
        <w:rPr>
          <w:spacing w:val="-3"/>
        </w:rPr>
        <w:t xml:space="preserve"> </w:t>
      </w:r>
      <w:r>
        <w:t>did</w:t>
      </w:r>
      <w:r>
        <w:rPr>
          <w:spacing w:val="-3"/>
        </w:rPr>
        <w:t xml:space="preserve"> </w:t>
      </w:r>
      <w:r>
        <w:t>not</w:t>
      </w:r>
      <w:r>
        <w:rPr>
          <w:spacing w:val="-2"/>
        </w:rPr>
        <w:t xml:space="preserve"> </w:t>
      </w:r>
      <w:r>
        <w:t>apply</w:t>
      </w:r>
      <w:r>
        <w:rPr>
          <w:spacing w:val="-4"/>
        </w:rPr>
        <w:t xml:space="preserve"> </w:t>
      </w:r>
      <w:r>
        <w:t>a</w:t>
      </w:r>
      <w:r>
        <w:rPr>
          <w:spacing w:val="-3"/>
        </w:rPr>
        <w:t xml:space="preserve"> </w:t>
      </w:r>
      <w:r>
        <w:t>diagnosis</w:t>
      </w:r>
      <w:r>
        <w:rPr>
          <w:spacing w:val="-2"/>
        </w:rPr>
        <w:t xml:space="preserve"> </w:t>
      </w:r>
      <w:r>
        <w:t>code</w:t>
      </w:r>
      <w:r>
        <w:rPr>
          <w:spacing w:val="-3"/>
        </w:rPr>
        <w:t xml:space="preserve"> </w:t>
      </w:r>
      <w:r>
        <w:t>filter</w:t>
      </w:r>
      <w:r>
        <w:rPr>
          <w:spacing w:val="-2"/>
        </w:rPr>
        <w:t xml:space="preserve"> </w:t>
      </w:r>
      <w:r>
        <w:t>because</w:t>
      </w:r>
      <w:r>
        <w:rPr>
          <w:spacing w:val="-2"/>
        </w:rPr>
        <w:t xml:space="preserve"> </w:t>
      </w:r>
      <w:r>
        <w:t>there</w:t>
      </w:r>
      <w:r>
        <w:rPr>
          <w:spacing w:val="-2"/>
        </w:rPr>
        <w:t xml:space="preserve"> </w:t>
      </w:r>
      <w:r>
        <w:t>was</w:t>
      </w:r>
      <w:r>
        <w:rPr>
          <w:spacing w:val="-2"/>
        </w:rPr>
        <w:t xml:space="preserve"> </w:t>
      </w:r>
      <w:r>
        <w:t>not</w:t>
      </w:r>
      <w:r>
        <w:rPr>
          <w:spacing w:val="-2"/>
        </w:rPr>
        <w:t xml:space="preserve"> </w:t>
      </w:r>
      <w:r>
        <w:t>a sufficient volume visits of containing a cancer diagnosis code filter to evaluate prices.</w:t>
      </w:r>
    </w:p>
    <w:p w14:paraId="1C34EC31" w14:textId="77777777" w:rsidR="004C558F" w:rsidRDefault="004C558F">
      <w:pPr>
        <w:pStyle w:val="BodyText"/>
        <w:spacing w:before="36"/>
      </w:pPr>
    </w:p>
    <w:p w14:paraId="1C34EC32" w14:textId="77777777" w:rsidR="004C558F" w:rsidRDefault="00461887">
      <w:pPr>
        <w:pStyle w:val="BodyText"/>
        <w:spacing w:line="276" w:lineRule="auto"/>
        <w:ind w:left="960" w:right="891" w:firstLine="720"/>
      </w:pPr>
      <w:r>
        <w:t xml:space="preserve">We defined a single patient encounter as a set of claims for the same patient, date of service, and CPT code. We included both facility and associated professional claims in the calculation of prices per </w:t>
      </w:r>
      <w:proofErr w:type="gramStart"/>
      <w:r>
        <w:t>encounter, but</w:t>
      </w:r>
      <w:proofErr w:type="gramEnd"/>
      <w:r>
        <w:t xml:space="preserve"> required that a facility claim was present in order for the encounter to be included in the analysis.</w:t>
      </w:r>
      <w:r>
        <w:rPr>
          <w:spacing w:val="40"/>
        </w:rPr>
        <w:t xml:space="preserve"> </w:t>
      </w:r>
      <w:r>
        <w:t>When the claims within a single encounter were associated</w:t>
      </w:r>
      <w:r>
        <w:rPr>
          <w:spacing w:val="-4"/>
        </w:rPr>
        <w:t xml:space="preserve"> </w:t>
      </w:r>
      <w:r>
        <w:t>with</w:t>
      </w:r>
      <w:r>
        <w:rPr>
          <w:spacing w:val="-2"/>
        </w:rPr>
        <w:t xml:space="preserve"> </w:t>
      </w:r>
      <w:r>
        <w:t>more</w:t>
      </w:r>
      <w:r>
        <w:rPr>
          <w:spacing w:val="-2"/>
        </w:rPr>
        <w:t xml:space="preserve"> </w:t>
      </w:r>
      <w:r>
        <w:t>than</w:t>
      </w:r>
      <w:r>
        <w:rPr>
          <w:spacing w:val="-4"/>
        </w:rPr>
        <w:t xml:space="preserve"> </w:t>
      </w:r>
      <w:r>
        <w:t>one</w:t>
      </w:r>
      <w:r>
        <w:rPr>
          <w:spacing w:val="-4"/>
        </w:rPr>
        <w:t xml:space="preserve"> </w:t>
      </w:r>
      <w:r>
        <w:t>facility,</w:t>
      </w:r>
      <w:r>
        <w:rPr>
          <w:spacing w:val="-2"/>
        </w:rPr>
        <w:t xml:space="preserve"> </w:t>
      </w:r>
      <w:r>
        <w:t>the</w:t>
      </w:r>
      <w:r>
        <w:rPr>
          <w:spacing w:val="-2"/>
        </w:rPr>
        <w:t xml:space="preserve"> </w:t>
      </w:r>
      <w:r>
        <w:t>claim</w:t>
      </w:r>
      <w:r>
        <w:rPr>
          <w:spacing w:val="-2"/>
        </w:rPr>
        <w:t xml:space="preserve"> </w:t>
      </w:r>
      <w:r>
        <w:t>was</w:t>
      </w:r>
      <w:r>
        <w:rPr>
          <w:spacing w:val="-4"/>
        </w:rPr>
        <w:t xml:space="preserve"> </w:t>
      </w:r>
      <w:r>
        <w:t>assigned</w:t>
      </w:r>
      <w:r>
        <w:rPr>
          <w:spacing w:val="-1"/>
        </w:rPr>
        <w:t xml:space="preserve"> </w:t>
      </w:r>
      <w:r>
        <w:t>to</w:t>
      </w:r>
      <w:r>
        <w:rPr>
          <w:spacing w:val="-2"/>
        </w:rPr>
        <w:t xml:space="preserve"> </w:t>
      </w:r>
      <w:r>
        <w:t>the</w:t>
      </w:r>
      <w:r>
        <w:rPr>
          <w:spacing w:val="-3"/>
        </w:rPr>
        <w:t xml:space="preserve"> </w:t>
      </w:r>
      <w:r>
        <w:t>facility</w:t>
      </w:r>
      <w:r>
        <w:rPr>
          <w:spacing w:val="-3"/>
        </w:rPr>
        <w:t xml:space="preserve"> </w:t>
      </w:r>
      <w:r>
        <w:t>whose</w:t>
      </w:r>
      <w:r>
        <w:rPr>
          <w:spacing w:val="-4"/>
        </w:rPr>
        <w:t xml:space="preserve"> </w:t>
      </w:r>
      <w:r>
        <w:t>claim</w:t>
      </w:r>
      <w:r>
        <w:rPr>
          <w:spacing w:val="-4"/>
        </w:rPr>
        <w:t xml:space="preserve"> </w:t>
      </w:r>
      <w:r>
        <w:t>had</w:t>
      </w:r>
      <w:r>
        <w:rPr>
          <w:spacing w:val="-1"/>
        </w:rPr>
        <w:t xml:space="preserve"> </w:t>
      </w:r>
      <w:r>
        <w:t>the highest allowed amount.</w:t>
      </w:r>
    </w:p>
    <w:p w14:paraId="1C34EC33" w14:textId="77777777" w:rsidR="004C558F" w:rsidRDefault="004C558F">
      <w:pPr>
        <w:pStyle w:val="BodyText"/>
        <w:spacing w:before="35"/>
      </w:pPr>
    </w:p>
    <w:p w14:paraId="1C34EC34" w14:textId="77777777" w:rsidR="004C558F" w:rsidRDefault="00461887">
      <w:pPr>
        <w:pStyle w:val="BodyText"/>
        <w:spacing w:line="276" w:lineRule="auto"/>
        <w:ind w:left="959" w:right="943" w:firstLine="720"/>
      </w:pPr>
      <w:r>
        <w:t>Within</w:t>
      </w:r>
      <w:r>
        <w:rPr>
          <w:spacing w:val="-2"/>
        </w:rPr>
        <w:t xml:space="preserve"> </w:t>
      </w:r>
      <w:r>
        <w:t>each</w:t>
      </w:r>
      <w:r>
        <w:rPr>
          <w:spacing w:val="-4"/>
        </w:rPr>
        <w:t xml:space="preserve"> </w:t>
      </w:r>
      <w:r>
        <w:t>outpatient</w:t>
      </w:r>
      <w:r>
        <w:rPr>
          <w:spacing w:val="-3"/>
        </w:rPr>
        <w:t xml:space="preserve"> </w:t>
      </w:r>
      <w:r>
        <w:t>service</w:t>
      </w:r>
      <w:r>
        <w:rPr>
          <w:spacing w:val="-2"/>
        </w:rPr>
        <w:t xml:space="preserve"> </w:t>
      </w:r>
      <w:r>
        <w:t>line,</w:t>
      </w:r>
      <w:r>
        <w:rPr>
          <w:spacing w:val="-2"/>
        </w:rPr>
        <w:t xml:space="preserve"> </w:t>
      </w:r>
      <w:r>
        <w:t>we</w:t>
      </w:r>
      <w:r>
        <w:rPr>
          <w:spacing w:val="-5"/>
        </w:rPr>
        <w:t xml:space="preserve"> </w:t>
      </w:r>
      <w:r>
        <w:t>calculated</w:t>
      </w:r>
      <w:r>
        <w:rPr>
          <w:spacing w:val="-1"/>
        </w:rPr>
        <w:t xml:space="preserve"> </w:t>
      </w:r>
      <w:r>
        <w:t>the</w:t>
      </w:r>
      <w:r>
        <w:rPr>
          <w:spacing w:val="-2"/>
        </w:rPr>
        <w:t xml:space="preserve"> </w:t>
      </w:r>
      <w:r>
        <w:t>average</w:t>
      </w:r>
      <w:r>
        <w:rPr>
          <w:spacing w:val="-4"/>
        </w:rPr>
        <w:t xml:space="preserve"> </w:t>
      </w:r>
      <w:r>
        <w:t>price</w:t>
      </w:r>
      <w:r>
        <w:rPr>
          <w:spacing w:val="-2"/>
        </w:rPr>
        <w:t xml:space="preserve"> </w:t>
      </w:r>
      <w:r>
        <w:t>per</w:t>
      </w:r>
      <w:r>
        <w:rPr>
          <w:spacing w:val="-3"/>
        </w:rPr>
        <w:t xml:space="preserve"> </w:t>
      </w:r>
      <w:r>
        <w:t>encounter</w:t>
      </w:r>
      <w:r>
        <w:rPr>
          <w:spacing w:val="-3"/>
        </w:rPr>
        <w:t xml:space="preserve"> </w:t>
      </w:r>
      <w:r>
        <w:t>at</w:t>
      </w:r>
      <w:r>
        <w:rPr>
          <w:spacing w:val="-3"/>
        </w:rPr>
        <w:t xml:space="preserve"> </w:t>
      </w:r>
      <w:r>
        <w:t>each provider by dividing total revenue by total encounters, dropping payer-procedure code combinations with 10 or fewer visits from the calculation.</w:t>
      </w:r>
      <w:r>
        <w:rPr>
          <w:spacing w:val="-1"/>
        </w:rPr>
        <w:t xml:space="preserve"> </w:t>
      </w:r>
      <w:r>
        <w:t>For the comparison of outpatient prices described in Section III.A.4.b, we then calculated what each provider’s average price would have been for each service line if the provider had received the statewide average rates for each payer for the procedure codes it provided. We divided the provider’s observed average price by its recalculated average price</w:t>
      </w:r>
      <w:r>
        <w:rPr>
          <w:spacing w:val="-1"/>
        </w:rPr>
        <w:t xml:space="preserve"> </w:t>
      </w:r>
      <w:r>
        <w:t>based on statewide</w:t>
      </w:r>
      <w:r>
        <w:rPr>
          <w:spacing w:val="-1"/>
        </w:rPr>
        <w:t xml:space="preserve"> </w:t>
      </w:r>
      <w:r>
        <w:t>average rates to</w:t>
      </w:r>
      <w:r>
        <w:rPr>
          <w:spacing w:val="-1"/>
        </w:rPr>
        <w:t xml:space="preserve"> </w:t>
      </w:r>
      <w:r>
        <w:t>arrive at</w:t>
      </w:r>
      <w:r>
        <w:rPr>
          <w:spacing w:val="-2"/>
        </w:rPr>
        <w:t xml:space="preserve"> </w:t>
      </w:r>
      <w:r>
        <w:t xml:space="preserve">a price relativity for each </w:t>
      </w:r>
      <w:r>
        <w:rPr>
          <w:spacing w:val="-2"/>
        </w:rPr>
        <w:t>provider.</w:t>
      </w:r>
    </w:p>
    <w:p w14:paraId="1C34EC35" w14:textId="77777777" w:rsidR="004C558F" w:rsidRDefault="004C558F">
      <w:pPr>
        <w:pStyle w:val="BodyText"/>
        <w:spacing w:before="37"/>
      </w:pPr>
    </w:p>
    <w:p w14:paraId="1C34EC36" w14:textId="09B26DDF" w:rsidR="004C558F" w:rsidRDefault="00461887">
      <w:pPr>
        <w:pStyle w:val="BodyText"/>
        <w:spacing w:before="1" w:line="276" w:lineRule="auto"/>
        <w:ind w:left="959" w:right="1092" w:firstLine="720"/>
        <w:rPr>
          <w:sz w:val="14"/>
        </w:rPr>
      </w:pPr>
      <w:r>
        <w:t>To calculate the spending impacts described in Section III.A.6, we first compared each source</w:t>
      </w:r>
      <w:r>
        <w:rPr>
          <w:spacing w:val="-3"/>
        </w:rPr>
        <w:t xml:space="preserve"> </w:t>
      </w:r>
      <w:r>
        <w:t>hospital’s</w:t>
      </w:r>
      <w:r>
        <w:rPr>
          <w:spacing w:val="-3"/>
        </w:rPr>
        <w:t xml:space="preserve"> </w:t>
      </w:r>
      <w:r>
        <w:t>observed</w:t>
      </w:r>
      <w:r>
        <w:rPr>
          <w:spacing w:val="-2"/>
        </w:rPr>
        <w:t xml:space="preserve"> </w:t>
      </w:r>
      <w:r>
        <w:t>average</w:t>
      </w:r>
      <w:r>
        <w:rPr>
          <w:spacing w:val="-3"/>
        </w:rPr>
        <w:t xml:space="preserve"> </w:t>
      </w:r>
      <w:r>
        <w:t>price</w:t>
      </w:r>
      <w:r>
        <w:rPr>
          <w:spacing w:val="-3"/>
        </w:rPr>
        <w:t xml:space="preserve"> </w:t>
      </w:r>
      <w:r>
        <w:t>per</w:t>
      </w:r>
      <w:r>
        <w:rPr>
          <w:spacing w:val="-4"/>
        </w:rPr>
        <w:t xml:space="preserve"> </w:t>
      </w:r>
      <w:r>
        <w:t>encounter</w:t>
      </w:r>
      <w:r>
        <w:rPr>
          <w:spacing w:val="-4"/>
        </w:rPr>
        <w:t xml:space="preserve"> </w:t>
      </w:r>
      <w:r>
        <w:t>for</w:t>
      </w:r>
      <w:r>
        <w:rPr>
          <w:spacing w:val="-4"/>
        </w:rPr>
        <w:t xml:space="preserve"> </w:t>
      </w:r>
      <w:r>
        <w:t>each</w:t>
      </w:r>
      <w:r>
        <w:rPr>
          <w:spacing w:val="-3"/>
        </w:rPr>
        <w:t xml:space="preserve"> </w:t>
      </w:r>
      <w:r>
        <w:t>service</w:t>
      </w:r>
      <w:r>
        <w:rPr>
          <w:spacing w:val="-3"/>
        </w:rPr>
        <w:t xml:space="preserve"> </w:t>
      </w:r>
      <w:r>
        <w:t>line</w:t>
      </w:r>
      <w:r>
        <w:rPr>
          <w:spacing w:val="-3"/>
        </w:rPr>
        <w:t xml:space="preserve"> </w:t>
      </w:r>
      <w:r>
        <w:t>to</w:t>
      </w:r>
      <w:r>
        <w:rPr>
          <w:spacing w:val="-3"/>
        </w:rPr>
        <w:t xml:space="preserve"> </w:t>
      </w:r>
      <w:r>
        <w:t>what</w:t>
      </w:r>
      <w:r>
        <w:rPr>
          <w:spacing w:val="-4"/>
        </w:rPr>
        <w:t xml:space="preserve"> </w:t>
      </w:r>
      <w:r>
        <w:t>its</w:t>
      </w:r>
      <w:r>
        <w:rPr>
          <w:spacing w:val="-3"/>
        </w:rPr>
        <w:t xml:space="preserve"> </w:t>
      </w:r>
      <w:r>
        <w:t>average price per encounter would have been if it had received the recipient hospital’s rates for each payer</w:t>
      </w:r>
      <w:r>
        <w:rPr>
          <w:spacing w:val="-3"/>
        </w:rPr>
        <w:t xml:space="preserve"> </w:t>
      </w:r>
      <w:r>
        <w:t>for</w:t>
      </w:r>
      <w:r>
        <w:rPr>
          <w:spacing w:val="-3"/>
        </w:rPr>
        <w:t xml:space="preserve"> </w:t>
      </w:r>
      <w:r>
        <w:t>the</w:t>
      </w:r>
      <w:r>
        <w:rPr>
          <w:spacing w:val="-2"/>
        </w:rPr>
        <w:t xml:space="preserve"> </w:t>
      </w:r>
      <w:r>
        <w:t>procedure</w:t>
      </w:r>
      <w:r>
        <w:rPr>
          <w:spacing w:val="-2"/>
        </w:rPr>
        <w:t xml:space="preserve"> </w:t>
      </w:r>
      <w:r>
        <w:t>codes</w:t>
      </w:r>
      <w:r>
        <w:rPr>
          <w:spacing w:val="-2"/>
        </w:rPr>
        <w:t xml:space="preserve"> </w:t>
      </w:r>
      <w:r>
        <w:t>it</w:t>
      </w:r>
      <w:r>
        <w:rPr>
          <w:spacing w:val="-3"/>
        </w:rPr>
        <w:t xml:space="preserve"> </w:t>
      </w:r>
      <w:r>
        <w:t>provided,</w:t>
      </w:r>
      <w:r>
        <w:rPr>
          <w:spacing w:val="-5"/>
        </w:rPr>
        <w:t xml:space="preserve"> </w:t>
      </w:r>
      <w:r>
        <w:t>dropping</w:t>
      </w:r>
      <w:r>
        <w:rPr>
          <w:spacing w:val="-5"/>
        </w:rPr>
        <w:t xml:space="preserve"> </w:t>
      </w:r>
      <w:r>
        <w:t>payer-procedure</w:t>
      </w:r>
      <w:r>
        <w:rPr>
          <w:spacing w:val="-4"/>
        </w:rPr>
        <w:t xml:space="preserve"> </w:t>
      </w:r>
      <w:r>
        <w:t>code</w:t>
      </w:r>
      <w:r>
        <w:rPr>
          <w:spacing w:val="-4"/>
        </w:rPr>
        <w:t xml:space="preserve"> </w:t>
      </w:r>
      <w:r>
        <w:t>combinations</w:t>
      </w:r>
      <w:r>
        <w:rPr>
          <w:spacing w:val="-2"/>
        </w:rPr>
        <w:t xml:space="preserve"> </w:t>
      </w:r>
      <w:r>
        <w:t>with</w:t>
      </w:r>
      <w:r>
        <w:rPr>
          <w:spacing w:val="-4"/>
        </w:rPr>
        <w:t xml:space="preserve"> </w:t>
      </w:r>
      <w:r>
        <w:t>10 or</w:t>
      </w:r>
      <w:r>
        <w:rPr>
          <w:spacing w:val="-2"/>
        </w:rPr>
        <w:t xml:space="preserve"> </w:t>
      </w:r>
      <w:r>
        <w:t>fewer</w:t>
      </w:r>
      <w:r>
        <w:rPr>
          <w:spacing w:val="-2"/>
        </w:rPr>
        <w:t xml:space="preserve"> </w:t>
      </w:r>
      <w:r>
        <w:t>visits</w:t>
      </w:r>
      <w:r>
        <w:rPr>
          <w:spacing w:val="-1"/>
        </w:rPr>
        <w:t xml:space="preserve"> </w:t>
      </w:r>
      <w:r>
        <w:t>from</w:t>
      </w:r>
      <w:r>
        <w:rPr>
          <w:spacing w:val="-1"/>
        </w:rPr>
        <w:t xml:space="preserve"> </w:t>
      </w:r>
      <w:r>
        <w:t>the</w:t>
      </w:r>
      <w:r>
        <w:rPr>
          <w:spacing w:val="-1"/>
        </w:rPr>
        <w:t xml:space="preserve"> </w:t>
      </w:r>
      <w:r>
        <w:t>calculation.</w:t>
      </w:r>
      <w:r>
        <w:rPr>
          <w:spacing w:val="-1"/>
        </w:rPr>
        <w:t xml:space="preserve"> </w:t>
      </w:r>
      <w:r>
        <w:t>We</w:t>
      </w:r>
      <w:r>
        <w:rPr>
          <w:spacing w:val="-3"/>
        </w:rPr>
        <w:t xml:space="preserve"> </w:t>
      </w:r>
      <w:r>
        <w:t>applied the</w:t>
      </w:r>
      <w:r>
        <w:rPr>
          <w:spacing w:val="-1"/>
        </w:rPr>
        <w:t xml:space="preserve"> </w:t>
      </w:r>
      <w:r>
        <w:t>resulting</w:t>
      </w:r>
      <w:r>
        <w:rPr>
          <w:spacing w:val="-2"/>
        </w:rPr>
        <w:t xml:space="preserve"> </w:t>
      </w:r>
      <w:r>
        <w:t>price</w:t>
      </w:r>
      <w:r>
        <w:rPr>
          <w:spacing w:val="-1"/>
        </w:rPr>
        <w:t xml:space="preserve"> </w:t>
      </w:r>
      <w:r>
        <w:t>differentials</w:t>
      </w:r>
      <w:r>
        <w:rPr>
          <w:spacing w:val="-3"/>
        </w:rPr>
        <w:t xml:space="preserve"> </w:t>
      </w:r>
      <w:r>
        <w:t>to</w:t>
      </w:r>
      <w:r>
        <w:rPr>
          <w:spacing w:val="-1"/>
        </w:rPr>
        <w:t xml:space="preserve"> </w:t>
      </w:r>
      <w:r>
        <w:t>an</w:t>
      </w:r>
      <w:r>
        <w:rPr>
          <w:spacing w:val="-3"/>
        </w:rPr>
        <w:t xml:space="preserve"> </w:t>
      </w:r>
      <w:r>
        <w:t>estimate</w:t>
      </w:r>
      <w:r>
        <w:rPr>
          <w:spacing w:val="-1"/>
        </w:rPr>
        <w:t xml:space="preserve"> </w:t>
      </w:r>
      <w:r>
        <w:t>of the source hospital’s annual revenue in each service line to estimate a spending impact.</w:t>
      </w:r>
      <w:r>
        <w:rPr>
          <w:spacing w:val="-33"/>
        </w:rPr>
        <w:t xml:space="preserve"> </w:t>
      </w:r>
      <w:r w:rsidR="00222BB9">
        <w:rPr>
          <w:rStyle w:val="FootnoteReference"/>
          <w:spacing w:val="-33"/>
        </w:rPr>
        <w:footnoteReference w:id="272"/>
      </w:r>
    </w:p>
    <w:p w14:paraId="1C34EC37" w14:textId="77777777" w:rsidR="004C558F" w:rsidRDefault="004C558F">
      <w:pPr>
        <w:pStyle w:val="BodyText"/>
        <w:rPr>
          <w:sz w:val="20"/>
        </w:rPr>
      </w:pPr>
    </w:p>
    <w:p w14:paraId="1C34EC38" w14:textId="77777777" w:rsidR="004C558F" w:rsidRDefault="004C558F">
      <w:pPr>
        <w:pStyle w:val="BodyText"/>
        <w:rPr>
          <w:sz w:val="20"/>
        </w:rPr>
      </w:pPr>
    </w:p>
    <w:p w14:paraId="1C34EC39" w14:textId="77777777" w:rsidR="004C558F" w:rsidRDefault="004C558F">
      <w:pPr>
        <w:pStyle w:val="BodyText"/>
        <w:rPr>
          <w:sz w:val="20"/>
        </w:rPr>
      </w:pPr>
    </w:p>
    <w:p w14:paraId="1C34EC3A" w14:textId="0393B947" w:rsidR="004C558F" w:rsidRDefault="004C558F">
      <w:pPr>
        <w:pStyle w:val="BodyText"/>
        <w:spacing w:before="72"/>
        <w:rPr>
          <w:sz w:val="20"/>
        </w:rPr>
      </w:pPr>
    </w:p>
    <w:p w14:paraId="1C34EC3C" w14:textId="77777777" w:rsidR="004C558F" w:rsidRDefault="004C558F">
      <w:pPr>
        <w:rPr>
          <w:sz w:val="20"/>
        </w:rPr>
        <w:sectPr w:rsidR="004C558F">
          <w:pgSz w:w="12240" w:h="15840"/>
          <w:pgMar w:top="1360" w:right="740" w:bottom="720" w:left="480" w:header="0" w:footer="521" w:gutter="0"/>
          <w:cols w:space="720"/>
        </w:sectPr>
      </w:pPr>
      <w:bookmarkStart w:id="241" w:name="_bookmark307"/>
      <w:bookmarkEnd w:id="241"/>
    </w:p>
    <w:p w14:paraId="1C34EC3D" w14:textId="77777777" w:rsidR="004C558F" w:rsidRDefault="00461887">
      <w:pPr>
        <w:pStyle w:val="ListParagraph"/>
        <w:numPr>
          <w:ilvl w:val="0"/>
          <w:numId w:val="7"/>
        </w:numPr>
        <w:tabs>
          <w:tab w:val="left" w:pos="958"/>
        </w:tabs>
        <w:spacing w:before="80"/>
        <w:ind w:left="958" w:hanging="358"/>
        <w:jc w:val="left"/>
        <w:rPr>
          <w:rFonts w:ascii="Franklin Gothic Medium"/>
          <w:sz w:val="28"/>
        </w:rPr>
      </w:pPr>
      <w:bookmarkStart w:id="242" w:name="D._Non-Oncology_Quality_Metric_Performan"/>
      <w:bookmarkEnd w:id="242"/>
      <w:r>
        <w:rPr>
          <w:rFonts w:ascii="Franklin Gothic Medium"/>
          <w:color w:val="063656"/>
          <w:sz w:val="28"/>
        </w:rPr>
        <w:lastRenderedPageBreak/>
        <w:t>Non-Oncology</w:t>
      </w:r>
      <w:r>
        <w:rPr>
          <w:rFonts w:ascii="Franklin Gothic Medium"/>
          <w:color w:val="063656"/>
          <w:spacing w:val="-6"/>
          <w:sz w:val="28"/>
        </w:rPr>
        <w:t xml:space="preserve"> </w:t>
      </w:r>
      <w:r>
        <w:rPr>
          <w:rFonts w:ascii="Franklin Gothic Medium"/>
          <w:color w:val="063656"/>
          <w:sz w:val="28"/>
        </w:rPr>
        <w:t>Quality</w:t>
      </w:r>
      <w:r>
        <w:rPr>
          <w:rFonts w:ascii="Franklin Gothic Medium"/>
          <w:color w:val="063656"/>
          <w:spacing w:val="-5"/>
          <w:sz w:val="28"/>
        </w:rPr>
        <w:t xml:space="preserve"> </w:t>
      </w:r>
      <w:r>
        <w:rPr>
          <w:rFonts w:ascii="Franklin Gothic Medium"/>
          <w:color w:val="063656"/>
          <w:sz w:val="28"/>
        </w:rPr>
        <w:t>Metric</w:t>
      </w:r>
      <w:r>
        <w:rPr>
          <w:rFonts w:ascii="Franklin Gothic Medium"/>
          <w:color w:val="063656"/>
          <w:spacing w:val="-5"/>
          <w:sz w:val="28"/>
        </w:rPr>
        <w:t xml:space="preserve"> </w:t>
      </w:r>
      <w:r>
        <w:rPr>
          <w:rFonts w:ascii="Franklin Gothic Medium"/>
          <w:color w:val="063656"/>
          <w:sz w:val="28"/>
        </w:rPr>
        <w:t>Performance</w:t>
      </w:r>
      <w:r>
        <w:rPr>
          <w:rFonts w:ascii="Franklin Gothic Medium"/>
          <w:color w:val="063656"/>
          <w:spacing w:val="-7"/>
          <w:sz w:val="28"/>
        </w:rPr>
        <w:t xml:space="preserve"> </w:t>
      </w:r>
      <w:r>
        <w:rPr>
          <w:rFonts w:ascii="Franklin Gothic Medium"/>
          <w:color w:val="063656"/>
          <w:sz w:val="28"/>
        </w:rPr>
        <w:t>for</w:t>
      </w:r>
      <w:r>
        <w:rPr>
          <w:rFonts w:ascii="Franklin Gothic Medium"/>
          <w:color w:val="063656"/>
          <w:spacing w:val="-5"/>
          <w:sz w:val="28"/>
        </w:rPr>
        <w:t xml:space="preserve"> </w:t>
      </w:r>
      <w:r>
        <w:rPr>
          <w:rFonts w:ascii="Franklin Gothic Medium"/>
          <w:color w:val="063656"/>
          <w:sz w:val="28"/>
        </w:rPr>
        <w:t>BILH</w:t>
      </w:r>
      <w:r>
        <w:rPr>
          <w:rFonts w:ascii="Franklin Gothic Medium"/>
          <w:color w:val="063656"/>
          <w:spacing w:val="-6"/>
          <w:sz w:val="28"/>
        </w:rPr>
        <w:t xml:space="preserve"> </w:t>
      </w:r>
      <w:r>
        <w:rPr>
          <w:rFonts w:ascii="Franklin Gothic Medium"/>
          <w:color w:val="063656"/>
          <w:spacing w:val="-2"/>
          <w:sz w:val="28"/>
        </w:rPr>
        <w:t>Providers</w:t>
      </w:r>
    </w:p>
    <w:p w14:paraId="1C34EC3E" w14:textId="77777777" w:rsidR="004C558F" w:rsidRDefault="004C558F">
      <w:pPr>
        <w:pStyle w:val="BodyText"/>
        <w:spacing w:before="96"/>
        <w:rPr>
          <w:rFonts w:ascii="Franklin Gothic Medium"/>
          <w:sz w:val="28"/>
        </w:rPr>
      </w:pPr>
    </w:p>
    <w:p w14:paraId="1C34EC3F" w14:textId="77777777" w:rsidR="004C558F" w:rsidRDefault="00461887">
      <w:pPr>
        <w:pStyle w:val="ListParagraph"/>
        <w:numPr>
          <w:ilvl w:val="0"/>
          <w:numId w:val="6"/>
        </w:numPr>
        <w:tabs>
          <w:tab w:val="left" w:pos="959"/>
        </w:tabs>
        <w:spacing w:before="1"/>
        <w:ind w:left="959" w:hanging="359"/>
      </w:pPr>
      <w:bookmarkStart w:id="243" w:name="i._Hospital_Quality_Measures"/>
      <w:bookmarkEnd w:id="243"/>
      <w:r>
        <w:rPr>
          <w:color w:val="042339"/>
        </w:rPr>
        <w:t>Hospital</w:t>
      </w:r>
      <w:r>
        <w:rPr>
          <w:color w:val="042339"/>
          <w:spacing w:val="-7"/>
        </w:rPr>
        <w:t xml:space="preserve"> </w:t>
      </w:r>
      <w:r>
        <w:rPr>
          <w:color w:val="042339"/>
        </w:rPr>
        <w:t>Quality</w:t>
      </w:r>
      <w:r>
        <w:rPr>
          <w:color w:val="042339"/>
          <w:spacing w:val="-7"/>
        </w:rPr>
        <w:t xml:space="preserve"> </w:t>
      </w:r>
      <w:r>
        <w:rPr>
          <w:color w:val="042339"/>
          <w:spacing w:val="-2"/>
        </w:rPr>
        <w:t>Measures</w:t>
      </w:r>
    </w:p>
    <w:p w14:paraId="1C34EC40" w14:textId="77777777" w:rsidR="004C558F" w:rsidRDefault="004C558F">
      <w:pPr>
        <w:pStyle w:val="BodyText"/>
        <w:spacing w:before="74"/>
      </w:pPr>
    </w:p>
    <w:p w14:paraId="1C34EC41" w14:textId="194613F1" w:rsidR="004C558F" w:rsidRDefault="00461887">
      <w:pPr>
        <w:pStyle w:val="BodyText"/>
        <w:spacing w:line="276" w:lineRule="auto"/>
        <w:ind w:left="959" w:right="1034" w:firstLine="720"/>
      </w:pPr>
      <w:r>
        <w:t xml:space="preserve">BILH hospitals generally performed at or above statewide performance on inpatient CMS Hospital Compare metrics. </w:t>
      </w:r>
      <w:proofErr w:type="gramStart"/>
      <w:r>
        <w:t>On eight</w:t>
      </w:r>
      <w:proofErr w:type="gramEnd"/>
      <w:r>
        <w:t xml:space="preserve"> Unplanned Hospital Visit metrics BILH hospitals performed comparably to the state average, with two hospitals performing statistically better and one hospital</w:t>
      </w:r>
      <w:r>
        <w:rPr>
          <w:spacing w:val="-3"/>
        </w:rPr>
        <w:t xml:space="preserve"> </w:t>
      </w:r>
      <w:r>
        <w:t>performing</w:t>
      </w:r>
      <w:r>
        <w:rPr>
          <w:spacing w:val="-5"/>
        </w:rPr>
        <w:t xml:space="preserve"> </w:t>
      </w:r>
      <w:r>
        <w:t>statistically</w:t>
      </w:r>
      <w:r>
        <w:rPr>
          <w:spacing w:val="-3"/>
        </w:rPr>
        <w:t xml:space="preserve"> </w:t>
      </w:r>
      <w:r>
        <w:t>worse</w:t>
      </w:r>
      <w:r>
        <w:rPr>
          <w:spacing w:val="-2"/>
        </w:rPr>
        <w:t xml:space="preserve"> </w:t>
      </w:r>
      <w:r>
        <w:t>on</w:t>
      </w:r>
      <w:r>
        <w:rPr>
          <w:spacing w:val="-4"/>
        </w:rPr>
        <w:t xml:space="preserve"> </w:t>
      </w:r>
      <w:r>
        <w:t>at</w:t>
      </w:r>
      <w:r>
        <w:rPr>
          <w:spacing w:val="-3"/>
        </w:rPr>
        <w:t xml:space="preserve"> </w:t>
      </w:r>
      <w:r>
        <w:t>least</w:t>
      </w:r>
      <w:r>
        <w:rPr>
          <w:spacing w:val="-3"/>
        </w:rPr>
        <w:t xml:space="preserve"> </w:t>
      </w:r>
      <w:r>
        <w:t>one</w:t>
      </w:r>
      <w:r>
        <w:rPr>
          <w:spacing w:val="-2"/>
        </w:rPr>
        <w:t xml:space="preserve"> </w:t>
      </w:r>
      <w:r>
        <w:t>metric.</w:t>
      </w:r>
      <w:r>
        <w:rPr>
          <w:spacing w:val="-36"/>
        </w:rPr>
        <w:t xml:space="preserve"> </w:t>
      </w:r>
      <w:r w:rsidR="00BD67AF">
        <w:rPr>
          <w:rStyle w:val="FootnoteReference"/>
          <w:spacing w:val="-36"/>
        </w:rPr>
        <w:footnoteReference w:id="273"/>
      </w:r>
      <w:r>
        <w:t>On</w:t>
      </w:r>
      <w:r>
        <w:rPr>
          <w:spacing w:val="-4"/>
        </w:rPr>
        <w:t xml:space="preserve"> </w:t>
      </w:r>
      <w:r>
        <w:t>four</w:t>
      </w:r>
      <w:r>
        <w:rPr>
          <w:spacing w:val="-5"/>
        </w:rPr>
        <w:t xml:space="preserve"> </w:t>
      </w:r>
      <w:r>
        <w:t>Timely</w:t>
      </w:r>
      <w:r>
        <w:rPr>
          <w:spacing w:val="-5"/>
        </w:rPr>
        <w:t xml:space="preserve"> </w:t>
      </w:r>
      <w:r>
        <w:t>and</w:t>
      </w:r>
      <w:r>
        <w:rPr>
          <w:spacing w:val="-1"/>
        </w:rPr>
        <w:t xml:space="preserve"> </w:t>
      </w:r>
      <w:r>
        <w:t>Effective</w:t>
      </w:r>
      <w:r>
        <w:rPr>
          <w:spacing w:val="-4"/>
        </w:rPr>
        <w:t xml:space="preserve"> </w:t>
      </w:r>
      <w:r>
        <w:t>care metrics,</w:t>
      </w:r>
      <w:r>
        <w:rPr>
          <w:spacing w:val="-5"/>
        </w:rPr>
        <w:t xml:space="preserve"> </w:t>
      </w:r>
      <w:r>
        <w:t>BILH</w:t>
      </w:r>
      <w:r>
        <w:rPr>
          <w:spacing w:val="-5"/>
        </w:rPr>
        <w:t xml:space="preserve"> </w:t>
      </w:r>
      <w:r>
        <w:t>hospitals</w:t>
      </w:r>
      <w:r>
        <w:rPr>
          <w:spacing w:val="-2"/>
        </w:rPr>
        <w:t xml:space="preserve"> </w:t>
      </w:r>
      <w:r>
        <w:t>performed</w:t>
      </w:r>
      <w:r>
        <w:rPr>
          <w:spacing w:val="-1"/>
        </w:rPr>
        <w:t xml:space="preserve"> </w:t>
      </w:r>
      <w:r>
        <w:t>comparably</w:t>
      </w:r>
      <w:r>
        <w:rPr>
          <w:spacing w:val="-3"/>
        </w:rPr>
        <w:t xml:space="preserve"> </w:t>
      </w:r>
      <w:r>
        <w:t>to</w:t>
      </w:r>
      <w:r>
        <w:rPr>
          <w:spacing w:val="-2"/>
        </w:rPr>
        <w:t xml:space="preserve"> </w:t>
      </w:r>
      <w:r>
        <w:t>the</w:t>
      </w:r>
      <w:r>
        <w:rPr>
          <w:spacing w:val="-2"/>
        </w:rPr>
        <w:t xml:space="preserve"> </w:t>
      </w:r>
      <w:r>
        <w:t>state</w:t>
      </w:r>
      <w:r>
        <w:rPr>
          <w:spacing w:val="-4"/>
        </w:rPr>
        <w:t xml:space="preserve"> </w:t>
      </w:r>
      <w:r>
        <w:t>average,</w:t>
      </w:r>
      <w:r>
        <w:rPr>
          <w:spacing w:val="-2"/>
        </w:rPr>
        <w:t xml:space="preserve"> </w:t>
      </w:r>
      <w:r>
        <w:t>with</w:t>
      </w:r>
      <w:r>
        <w:rPr>
          <w:spacing w:val="-2"/>
        </w:rPr>
        <w:t xml:space="preserve"> </w:t>
      </w:r>
      <w:r>
        <w:t>ten</w:t>
      </w:r>
      <w:r>
        <w:rPr>
          <w:spacing w:val="-7"/>
        </w:rPr>
        <w:t xml:space="preserve"> </w:t>
      </w:r>
      <w:r>
        <w:t>hospitals</w:t>
      </w:r>
      <w:r>
        <w:rPr>
          <w:spacing w:val="-2"/>
        </w:rPr>
        <w:t xml:space="preserve"> </w:t>
      </w:r>
      <w:r>
        <w:t>performing statistically better and four hospitals performing statistically worse on at least one metric.</w:t>
      </w:r>
      <w:r w:rsidR="002D77CD">
        <w:rPr>
          <w:rStyle w:val="FootnoteReference"/>
        </w:rPr>
        <w:footnoteReference w:id="274"/>
      </w:r>
      <w:r>
        <w:rPr>
          <w:spacing w:val="31"/>
          <w:position w:val="5"/>
          <w:sz w:val="14"/>
        </w:rPr>
        <w:t xml:space="preserve"> </w:t>
      </w:r>
      <w:r>
        <w:t>On two quality metrics related to provider vaccination rates, nine BILH hospitals performed statistically better on one or more metrics than statewide averages, while six BILH hospitals performed</w:t>
      </w:r>
      <w:r>
        <w:rPr>
          <w:spacing w:val="-3"/>
        </w:rPr>
        <w:t xml:space="preserve"> </w:t>
      </w:r>
      <w:r>
        <w:t>statistically</w:t>
      </w:r>
      <w:r>
        <w:rPr>
          <w:spacing w:val="-2"/>
        </w:rPr>
        <w:t xml:space="preserve"> </w:t>
      </w:r>
      <w:r>
        <w:t>worse</w:t>
      </w:r>
      <w:r>
        <w:rPr>
          <w:spacing w:val="-1"/>
        </w:rPr>
        <w:t xml:space="preserve"> </w:t>
      </w:r>
      <w:r>
        <w:t>on</w:t>
      </w:r>
      <w:r>
        <w:rPr>
          <w:spacing w:val="-1"/>
        </w:rPr>
        <w:t xml:space="preserve"> </w:t>
      </w:r>
      <w:r>
        <w:t>one</w:t>
      </w:r>
      <w:r>
        <w:rPr>
          <w:spacing w:val="-1"/>
        </w:rPr>
        <w:t xml:space="preserve"> </w:t>
      </w:r>
      <w:r>
        <w:t>or</w:t>
      </w:r>
      <w:r>
        <w:rPr>
          <w:spacing w:val="-2"/>
        </w:rPr>
        <w:t xml:space="preserve"> </w:t>
      </w:r>
      <w:r>
        <w:t>more</w:t>
      </w:r>
      <w:r>
        <w:rPr>
          <w:spacing w:val="-1"/>
        </w:rPr>
        <w:t xml:space="preserve"> </w:t>
      </w:r>
      <w:r>
        <w:t>metrics.</w:t>
      </w:r>
      <w:r>
        <w:rPr>
          <w:spacing w:val="-36"/>
        </w:rPr>
        <w:t xml:space="preserve"> </w:t>
      </w:r>
      <w:r w:rsidR="002D77CD">
        <w:rPr>
          <w:rStyle w:val="FootnoteReference"/>
          <w:spacing w:val="-36"/>
        </w:rPr>
        <w:footnoteReference w:id="275"/>
      </w:r>
      <w:r>
        <w:t>On</w:t>
      </w:r>
      <w:r>
        <w:rPr>
          <w:spacing w:val="-1"/>
        </w:rPr>
        <w:t xml:space="preserve"> </w:t>
      </w:r>
      <w:r>
        <w:t>Patient</w:t>
      </w:r>
      <w:r>
        <w:rPr>
          <w:spacing w:val="-2"/>
        </w:rPr>
        <w:t xml:space="preserve"> </w:t>
      </w:r>
      <w:r>
        <w:t>Experience</w:t>
      </w:r>
      <w:r>
        <w:rPr>
          <w:spacing w:val="-1"/>
        </w:rPr>
        <w:t xml:space="preserve"> </w:t>
      </w:r>
      <w:r>
        <w:t>metrics,</w:t>
      </w:r>
      <w:r>
        <w:rPr>
          <w:spacing w:val="-1"/>
        </w:rPr>
        <w:t xml:space="preserve"> </w:t>
      </w:r>
      <w:r>
        <w:t>one</w:t>
      </w:r>
      <w:r>
        <w:rPr>
          <w:spacing w:val="-1"/>
        </w:rPr>
        <w:t xml:space="preserve"> </w:t>
      </w:r>
      <w:r>
        <w:t>BILH</w:t>
      </w:r>
    </w:p>
    <w:p w14:paraId="1C34EC47" w14:textId="66C3D9B1" w:rsidR="004C558F" w:rsidRDefault="00461887">
      <w:pPr>
        <w:pStyle w:val="BodyText"/>
        <w:spacing w:before="80" w:line="276" w:lineRule="auto"/>
        <w:ind w:left="959" w:right="943"/>
        <w:rPr>
          <w:sz w:val="14"/>
        </w:rPr>
      </w:pPr>
      <w:bookmarkStart w:id="244" w:name="_bookmark308"/>
      <w:bookmarkStart w:id="245" w:name="_bookmark309"/>
      <w:bookmarkStart w:id="246" w:name="_bookmark310"/>
      <w:bookmarkEnd w:id="244"/>
      <w:bookmarkEnd w:id="245"/>
      <w:bookmarkEnd w:id="246"/>
      <w:r>
        <w:lastRenderedPageBreak/>
        <w:t>hospital performed statistically worse and four BILH hospitals performed statistically better than statewide</w:t>
      </w:r>
      <w:r>
        <w:rPr>
          <w:spacing w:val="-3"/>
        </w:rPr>
        <w:t xml:space="preserve"> </w:t>
      </w:r>
      <w:r>
        <w:t>averages.</w:t>
      </w:r>
      <w:r>
        <w:rPr>
          <w:spacing w:val="-36"/>
        </w:rPr>
        <w:t xml:space="preserve"> </w:t>
      </w:r>
      <w:r w:rsidR="00163603">
        <w:rPr>
          <w:rStyle w:val="FootnoteReference"/>
          <w:spacing w:val="-36"/>
        </w:rPr>
        <w:footnoteReference w:id="276"/>
      </w:r>
      <w:r>
        <w:t>On</w:t>
      </w:r>
      <w:r>
        <w:rPr>
          <w:spacing w:val="-2"/>
        </w:rPr>
        <w:t xml:space="preserve"> </w:t>
      </w:r>
      <w:r>
        <w:t>AHRQ</w:t>
      </w:r>
      <w:r>
        <w:rPr>
          <w:spacing w:val="-2"/>
        </w:rPr>
        <w:t xml:space="preserve"> </w:t>
      </w:r>
      <w:r>
        <w:t>mortality</w:t>
      </w:r>
      <w:r>
        <w:rPr>
          <w:spacing w:val="-3"/>
        </w:rPr>
        <w:t xml:space="preserve"> </w:t>
      </w:r>
      <w:r>
        <w:t>and</w:t>
      </w:r>
      <w:r>
        <w:rPr>
          <w:spacing w:val="-1"/>
        </w:rPr>
        <w:t xml:space="preserve"> </w:t>
      </w:r>
      <w:r>
        <w:t>patient</w:t>
      </w:r>
      <w:r>
        <w:rPr>
          <w:spacing w:val="-5"/>
        </w:rPr>
        <w:t xml:space="preserve"> </w:t>
      </w:r>
      <w:r>
        <w:t>safety</w:t>
      </w:r>
      <w:r>
        <w:rPr>
          <w:spacing w:val="-3"/>
        </w:rPr>
        <w:t xml:space="preserve"> </w:t>
      </w:r>
      <w:r>
        <w:t>metrics,</w:t>
      </w:r>
      <w:r>
        <w:rPr>
          <w:spacing w:val="-2"/>
        </w:rPr>
        <w:t xml:space="preserve"> </w:t>
      </w:r>
      <w:r>
        <w:t>seven</w:t>
      </w:r>
      <w:r>
        <w:rPr>
          <w:spacing w:val="-4"/>
        </w:rPr>
        <w:t xml:space="preserve"> </w:t>
      </w:r>
      <w:r>
        <w:t>BILH</w:t>
      </w:r>
      <w:r>
        <w:rPr>
          <w:spacing w:val="-5"/>
        </w:rPr>
        <w:t xml:space="preserve"> </w:t>
      </w:r>
      <w:r>
        <w:t>hospitals</w:t>
      </w:r>
      <w:r>
        <w:rPr>
          <w:spacing w:val="-4"/>
        </w:rPr>
        <w:t xml:space="preserve"> </w:t>
      </w:r>
      <w:r>
        <w:t>had</w:t>
      </w:r>
      <w:r>
        <w:rPr>
          <w:spacing w:val="-1"/>
        </w:rPr>
        <w:t xml:space="preserve"> </w:t>
      </w:r>
      <w:r>
        <w:t>1- 4 metrics where their performance was statistically below state levels, while five BILH hospitals had 1-3 metrics with performance levels statistically above statewide levels.</w:t>
      </w:r>
      <w:r w:rsidR="007931F3">
        <w:rPr>
          <w:rStyle w:val="FootnoteReference"/>
        </w:rPr>
        <w:footnoteReference w:id="277"/>
      </w:r>
      <w:r w:rsidR="007931F3">
        <w:rPr>
          <w:sz w:val="14"/>
        </w:rPr>
        <w:t xml:space="preserve"> </w:t>
      </w:r>
    </w:p>
    <w:p w14:paraId="1C34EC48" w14:textId="77777777" w:rsidR="004C558F" w:rsidRDefault="004C558F">
      <w:pPr>
        <w:pStyle w:val="BodyText"/>
        <w:spacing w:before="38"/>
      </w:pPr>
    </w:p>
    <w:p w14:paraId="1C34EC49" w14:textId="77777777" w:rsidR="004C558F" w:rsidRDefault="00461887">
      <w:pPr>
        <w:pStyle w:val="ListParagraph"/>
        <w:numPr>
          <w:ilvl w:val="0"/>
          <w:numId w:val="6"/>
        </w:numPr>
        <w:tabs>
          <w:tab w:val="left" w:pos="959"/>
        </w:tabs>
        <w:ind w:left="959"/>
      </w:pPr>
      <w:bookmarkStart w:id="247" w:name="ii._Ambulatory_Quality_Measures"/>
      <w:bookmarkEnd w:id="247"/>
      <w:r>
        <w:rPr>
          <w:color w:val="042339"/>
        </w:rPr>
        <w:t>Ambulatory</w:t>
      </w:r>
      <w:r>
        <w:rPr>
          <w:color w:val="042339"/>
          <w:spacing w:val="-7"/>
        </w:rPr>
        <w:t xml:space="preserve"> </w:t>
      </w:r>
      <w:r>
        <w:rPr>
          <w:color w:val="042339"/>
        </w:rPr>
        <w:t>Quality</w:t>
      </w:r>
      <w:r>
        <w:rPr>
          <w:color w:val="042339"/>
          <w:spacing w:val="-6"/>
        </w:rPr>
        <w:t xml:space="preserve"> </w:t>
      </w:r>
      <w:r>
        <w:rPr>
          <w:color w:val="042339"/>
          <w:spacing w:val="-2"/>
        </w:rPr>
        <w:t>Measures</w:t>
      </w:r>
    </w:p>
    <w:p w14:paraId="1C34EC4A" w14:textId="77777777" w:rsidR="004C558F" w:rsidRDefault="004C558F">
      <w:pPr>
        <w:pStyle w:val="BodyText"/>
        <w:rPr>
          <w:sz w:val="20"/>
        </w:rPr>
      </w:pPr>
    </w:p>
    <w:p w14:paraId="1C34EC4B" w14:textId="77777777" w:rsidR="004C558F" w:rsidRDefault="004C558F">
      <w:pPr>
        <w:pStyle w:val="BodyText"/>
        <w:rPr>
          <w:sz w:val="20"/>
        </w:rPr>
      </w:pPr>
    </w:p>
    <w:p w14:paraId="1C34EC4C" w14:textId="77777777" w:rsidR="004C558F" w:rsidRDefault="004C558F">
      <w:pPr>
        <w:pStyle w:val="BodyText"/>
        <w:rPr>
          <w:sz w:val="20"/>
        </w:rPr>
      </w:pPr>
    </w:p>
    <w:p w14:paraId="1C34EC4D" w14:textId="7BC98109" w:rsidR="004C558F" w:rsidRDefault="004C558F">
      <w:pPr>
        <w:pStyle w:val="BodyText"/>
        <w:spacing w:before="34"/>
        <w:rPr>
          <w:sz w:val="20"/>
        </w:rPr>
      </w:pPr>
    </w:p>
    <w:p w14:paraId="1C34EC52" w14:textId="77777777" w:rsidR="004C558F" w:rsidRDefault="004C558F">
      <w:pPr>
        <w:rPr>
          <w:sz w:val="20"/>
        </w:rPr>
        <w:sectPr w:rsidR="004C558F">
          <w:pgSz w:w="12240" w:h="15840"/>
          <w:pgMar w:top="1360" w:right="740" w:bottom="720" w:left="480" w:header="0" w:footer="521" w:gutter="0"/>
          <w:cols w:space="720"/>
        </w:sectPr>
      </w:pPr>
      <w:bookmarkStart w:id="248" w:name="_bookmark311"/>
      <w:bookmarkEnd w:id="248"/>
    </w:p>
    <w:p w14:paraId="1C34EC53" w14:textId="426C9B69" w:rsidR="004C558F" w:rsidRDefault="00461887">
      <w:pPr>
        <w:pStyle w:val="BodyText"/>
        <w:spacing w:before="80" w:line="276" w:lineRule="auto"/>
        <w:ind w:left="960" w:right="1034" w:firstLine="720"/>
        <w:rPr>
          <w:sz w:val="14"/>
        </w:rPr>
      </w:pPr>
      <w:r>
        <w:lastRenderedPageBreak/>
        <w:t>On HEDIS ambulatory quality measures collected by CHIA, BIDCO exceeded statewide performance on three metrics and underperformed on four</w:t>
      </w:r>
      <w:bookmarkStart w:id="249" w:name="_bookmark313"/>
      <w:bookmarkEnd w:id="249"/>
      <w:r>
        <w:t>.</w:t>
      </w:r>
      <w:r>
        <w:rPr>
          <w:spacing w:val="-32"/>
        </w:rPr>
        <w:t xml:space="preserve"> </w:t>
      </w:r>
      <w:r w:rsidR="00F80272">
        <w:rPr>
          <w:rStyle w:val="FootnoteReference"/>
          <w:spacing w:val="-32"/>
        </w:rPr>
        <w:footnoteReference w:id="278"/>
      </w:r>
      <w:r>
        <w:t>For patient experience metrics collected</w:t>
      </w:r>
      <w:r>
        <w:rPr>
          <w:spacing w:val="-1"/>
        </w:rPr>
        <w:t xml:space="preserve"> </w:t>
      </w:r>
      <w:r>
        <w:t>by</w:t>
      </w:r>
      <w:r>
        <w:rPr>
          <w:spacing w:val="-3"/>
        </w:rPr>
        <w:t xml:space="preserve"> </w:t>
      </w:r>
      <w:r>
        <w:t>CHIA,</w:t>
      </w:r>
      <w:r>
        <w:rPr>
          <w:spacing w:val="-2"/>
        </w:rPr>
        <w:t xml:space="preserve"> </w:t>
      </w:r>
      <w:r>
        <w:t>BIDCO</w:t>
      </w:r>
      <w:r>
        <w:rPr>
          <w:spacing w:val="-5"/>
        </w:rPr>
        <w:t xml:space="preserve"> </w:t>
      </w:r>
      <w:r>
        <w:t>performed</w:t>
      </w:r>
      <w:r>
        <w:rPr>
          <w:spacing w:val="-4"/>
        </w:rPr>
        <w:t xml:space="preserve"> </w:t>
      </w:r>
      <w:r>
        <w:t>statistically</w:t>
      </w:r>
      <w:r>
        <w:rPr>
          <w:spacing w:val="-3"/>
        </w:rPr>
        <w:t xml:space="preserve"> </w:t>
      </w:r>
      <w:r>
        <w:t>better</w:t>
      </w:r>
      <w:r>
        <w:rPr>
          <w:spacing w:val="-3"/>
        </w:rPr>
        <w:t xml:space="preserve"> </w:t>
      </w:r>
      <w:r>
        <w:t>than</w:t>
      </w:r>
      <w:r>
        <w:rPr>
          <w:spacing w:val="-4"/>
        </w:rPr>
        <w:t xml:space="preserve"> </w:t>
      </w:r>
      <w:r>
        <w:t>statewide</w:t>
      </w:r>
      <w:r>
        <w:rPr>
          <w:spacing w:val="-2"/>
        </w:rPr>
        <w:t xml:space="preserve"> </w:t>
      </w:r>
      <w:r>
        <w:t>performance</w:t>
      </w:r>
      <w:r>
        <w:rPr>
          <w:spacing w:val="-2"/>
        </w:rPr>
        <w:t xml:space="preserve"> </w:t>
      </w:r>
      <w:r>
        <w:t>levels</w:t>
      </w:r>
      <w:r>
        <w:rPr>
          <w:spacing w:val="-4"/>
        </w:rPr>
        <w:t xml:space="preserve"> </w:t>
      </w:r>
      <w:r>
        <w:t>on</w:t>
      </w:r>
      <w:r>
        <w:rPr>
          <w:spacing w:val="-4"/>
        </w:rPr>
        <w:t xml:space="preserve"> </w:t>
      </w:r>
      <w:r>
        <w:t>1</w:t>
      </w:r>
      <w:r>
        <w:rPr>
          <w:spacing w:val="-2"/>
        </w:rPr>
        <w:t xml:space="preserve"> </w:t>
      </w:r>
      <w:r>
        <w:t>of 9 metrics.</w:t>
      </w:r>
      <w:r w:rsidR="00361BFB">
        <w:rPr>
          <w:rStyle w:val="FootnoteReference"/>
        </w:rPr>
        <w:footnoteReference w:id="279"/>
      </w:r>
      <w:r w:rsidR="00361BFB">
        <w:rPr>
          <w:sz w:val="14"/>
        </w:rPr>
        <w:t xml:space="preserve"> </w:t>
      </w:r>
    </w:p>
    <w:p w14:paraId="1C34EC54" w14:textId="77777777" w:rsidR="004C558F" w:rsidRDefault="004C558F">
      <w:pPr>
        <w:pStyle w:val="BodyText"/>
        <w:rPr>
          <w:sz w:val="20"/>
        </w:rPr>
      </w:pPr>
    </w:p>
    <w:p w14:paraId="1C34EC55" w14:textId="77777777" w:rsidR="004C558F" w:rsidRDefault="004C558F">
      <w:pPr>
        <w:pStyle w:val="BodyText"/>
        <w:rPr>
          <w:sz w:val="20"/>
        </w:rPr>
      </w:pPr>
    </w:p>
    <w:p w14:paraId="1C34EC56" w14:textId="77777777" w:rsidR="004C558F" w:rsidRDefault="004C558F">
      <w:pPr>
        <w:pStyle w:val="BodyText"/>
        <w:rPr>
          <w:sz w:val="20"/>
        </w:rPr>
      </w:pPr>
    </w:p>
    <w:p w14:paraId="1C34EC57" w14:textId="77777777" w:rsidR="004C558F" w:rsidRDefault="004C558F">
      <w:pPr>
        <w:pStyle w:val="BodyText"/>
        <w:rPr>
          <w:sz w:val="20"/>
        </w:rPr>
      </w:pPr>
    </w:p>
    <w:p w14:paraId="1C34EC58" w14:textId="77777777" w:rsidR="004C558F" w:rsidRDefault="004C558F">
      <w:pPr>
        <w:pStyle w:val="BodyText"/>
        <w:rPr>
          <w:sz w:val="20"/>
        </w:rPr>
      </w:pPr>
    </w:p>
    <w:p w14:paraId="1C34EC59" w14:textId="77777777" w:rsidR="004C558F" w:rsidRDefault="004C558F">
      <w:pPr>
        <w:pStyle w:val="BodyText"/>
        <w:rPr>
          <w:sz w:val="20"/>
        </w:rPr>
      </w:pPr>
    </w:p>
    <w:p w14:paraId="1C34EC5A" w14:textId="77777777" w:rsidR="004C558F" w:rsidRDefault="004C558F">
      <w:pPr>
        <w:pStyle w:val="BodyText"/>
        <w:rPr>
          <w:sz w:val="20"/>
        </w:rPr>
      </w:pPr>
    </w:p>
    <w:p w14:paraId="1C34EC5B" w14:textId="77777777" w:rsidR="004C558F" w:rsidRDefault="004C558F">
      <w:pPr>
        <w:pStyle w:val="BodyText"/>
        <w:rPr>
          <w:sz w:val="20"/>
        </w:rPr>
      </w:pPr>
    </w:p>
    <w:p w14:paraId="1C34EC5C" w14:textId="77777777" w:rsidR="004C558F" w:rsidRDefault="004C558F">
      <w:pPr>
        <w:pStyle w:val="BodyText"/>
        <w:rPr>
          <w:sz w:val="20"/>
        </w:rPr>
      </w:pPr>
    </w:p>
    <w:p w14:paraId="1C34EC5D" w14:textId="77777777" w:rsidR="004C558F" w:rsidRDefault="004C558F">
      <w:pPr>
        <w:pStyle w:val="BodyText"/>
        <w:rPr>
          <w:sz w:val="20"/>
        </w:rPr>
      </w:pPr>
    </w:p>
    <w:p w14:paraId="1C34EC5E" w14:textId="77777777" w:rsidR="004C558F" w:rsidRDefault="004C558F">
      <w:pPr>
        <w:pStyle w:val="BodyText"/>
        <w:rPr>
          <w:sz w:val="20"/>
        </w:rPr>
      </w:pPr>
    </w:p>
    <w:p w14:paraId="1C34EC5F" w14:textId="77777777" w:rsidR="004C558F" w:rsidRDefault="004C558F">
      <w:pPr>
        <w:pStyle w:val="BodyText"/>
        <w:rPr>
          <w:sz w:val="20"/>
        </w:rPr>
      </w:pPr>
    </w:p>
    <w:p w14:paraId="1C34EC60" w14:textId="77777777" w:rsidR="004C558F" w:rsidRDefault="004C558F">
      <w:pPr>
        <w:pStyle w:val="BodyText"/>
        <w:rPr>
          <w:sz w:val="20"/>
        </w:rPr>
      </w:pPr>
    </w:p>
    <w:p w14:paraId="1C34EC61" w14:textId="77777777" w:rsidR="004C558F" w:rsidRDefault="004C558F">
      <w:pPr>
        <w:pStyle w:val="BodyText"/>
        <w:rPr>
          <w:sz w:val="20"/>
        </w:rPr>
      </w:pPr>
    </w:p>
    <w:p w14:paraId="1C34EC62" w14:textId="77777777" w:rsidR="004C558F" w:rsidRDefault="004C558F">
      <w:pPr>
        <w:pStyle w:val="BodyText"/>
        <w:rPr>
          <w:sz w:val="20"/>
        </w:rPr>
      </w:pPr>
    </w:p>
    <w:p w14:paraId="1C34EC63" w14:textId="77777777" w:rsidR="004C558F" w:rsidRDefault="004C558F">
      <w:pPr>
        <w:pStyle w:val="BodyText"/>
        <w:rPr>
          <w:sz w:val="20"/>
        </w:rPr>
      </w:pPr>
    </w:p>
    <w:p w14:paraId="1C34EC64" w14:textId="77777777" w:rsidR="004C558F" w:rsidRDefault="004C558F">
      <w:pPr>
        <w:pStyle w:val="BodyText"/>
        <w:rPr>
          <w:sz w:val="20"/>
        </w:rPr>
      </w:pPr>
    </w:p>
    <w:p w14:paraId="1C34EC65" w14:textId="77777777" w:rsidR="004C558F" w:rsidRDefault="004C558F">
      <w:pPr>
        <w:pStyle w:val="BodyText"/>
        <w:rPr>
          <w:sz w:val="20"/>
        </w:rPr>
      </w:pPr>
    </w:p>
    <w:p w14:paraId="1C34EC66" w14:textId="77777777" w:rsidR="004C558F" w:rsidRDefault="004C558F">
      <w:pPr>
        <w:pStyle w:val="BodyText"/>
        <w:rPr>
          <w:sz w:val="20"/>
        </w:rPr>
      </w:pPr>
    </w:p>
    <w:p w14:paraId="1C34EC67" w14:textId="77777777" w:rsidR="004C558F" w:rsidRDefault="004C558F">
      <w:pPr>
        <w:pStyle w:val="BodyText"/>
        <w:rPr>
          <w:sz w:val="20"/>
        </w:rPr>
      </w:pPr>
    </w:p>
    <w:p w14:paraId="1C34EC68" w14:textId="77777777" w:rsidR="004C558F" w:rsidRDefault="004C558F">
      <w:pPr>
        <w:pStyle w:val="BodyText"/>
        <w:rPr>
          <w:sz w:val="20"/>
        </w:rPr>
      </w:pPr>
    </w:p>
    <w:p w14:paraId="1C34EC69" w14:textId="77777777" w:rsidR="004C558F" w:rsidRDefault="004C558F">
      <w:pPr>
        <w:pStyle w:val="BodyText"/>
        <w:rPr>
          <w:sz w:val="20"/>
        </w:rPr>
      </w:pPr>
    </w:p>
    <w:p w14:paraId="1C34EC6A" w14:textId="77777777" w:rsidR="004C558F" w:rsidRDefault="004C558F">
      <w:pPr>
        <w:pStyle w:val="BodyText"/>
        <w:rPr>
          <w:sz w:val="20"/>
        </w:rPr>
      </w:pPr>
    </w:p>
    <w:p w14:paraId="1C34EC6B" w14:textId="77777777" w:rsidR="004C558F" w:rsidRDefault="004C558F">
      <w:pPr>
        <w:pStyle w:val="BodyText"/>
        <w:rPr>
          <w:sz w:val="20"/>
        </w:rPr>
      </w:pPr>
    </w:p>
    <w:p w14:paraId="1C34EC6C" w14:textId="77777777" w:rsidR="004C558F" w:rsidRDefault="004C558F">
      <w:pPr>
        <w:pStyle w:val="BodyText"/>
        <w:rPr>
          <w:sz w:val="20"/>
        </w:rPr>
      </w:pPr>
    </w:p>
    <w:p w14:paraId="1C34EC6D" w14:textId="77777777" w:rsidR="004C558F" w:rsidRDefault="004C558F">
      <w:pPr>
        <w:pStyle w:val="BodyText"/>
        <w:rPr>
          <w:sz w:val="20"/>
        </w:rPr>
      </w:pPr>
    </w:p>
    <w:p w14:paraId="1C34EC6E" w14:textId="77777777" w:rsidR="004C558F" w:rsidRDefault="004C558F">
      <w:pPr>
        <w:pStyle w:val="BodyText"/>
        <w:rPr>
          <w:sz w:val="20"/>
        </w:rPr>
      </w:pPr>
    </w:p>
    <w:p w14:paraId="1C34EC6F" w14:textId="4FFA6D4E" w:rsidR="004C558F" w:rsidRDefault="004C558F">
      <w:pPr>
        <w:pStyle w:val="BodyText"/>
        <w:spacing w:before="118"/>
        <w:rPr>
          <w:sz w:val="20"/>
        </w:rPr>
      </w:pPr>
    </w:p>
    <w:p w14:paraId="1C34EC72" w14:textId="77777777" w:rsidR="004C558F" w:rsidRDefault="004C558F">
      <w:pPr>
        <w:rPr>
          <w:sz w:val="20"/>
        </w:rPr>
        <w:sectPr w:rsidR="004C558F">
          <w:pgSz w:w="12240" w:h="15840"/>
          <w:pgMar w:top="1360" w:right="740" w:bottom="720" w:left="480" w:header="0" w:footer="521" w:gutter="0"/>
          <w:cols w:space="720"/>
        </w:sectPr>
      </w:pPr>
      <w:bookmarkStart w:id="251" w:name="_bookmark314"/>
      <w:bookmarkEnd w:id="251"/>
    </w:p>
    <w:p w14:paraId="1C34EC73" w14:textId="77777777" w:rsidR="004C558F" w:rsidRDefault="00461887">
      <w:pPr>
        <w:pStyle w:val="ListParagraph"/>
        <w:numPr>
          <w:ilvl w:val="0"/>
          <w:numId w:val="7"/>
        </w:numPr>
        <w:tabs>
          <w:tab w:val="left" w:pos="459"/>
        </w:tabs>
        <w:spacing w:before="132"/>
        <w:ind w:left="459" w:hanging="359"/>
        <w:jc w:val="left"/>
        <w:rPr>
          <w:rFonts w:ascii="Franklin Gothic Medium"/>
          <w:sz w:val="28"/>
        </w:rPr>
      </w:pPr>
      <w:bookmarkStart w:id="252" w:name="E._Figures"/>
      <w:bookmarkEnd w:id="252"/>
      <w:r>
        <w:rPr>
          <w:rFonts w:ascii="Franklin Gothic Medium"/>
          <w:color w:val="063656"/>
          <w:spacing w:val="-2"/>
          <w:sz w:val="28"/>
        </w:rPr>
        <w:lastRenderedPageBreak/>
        <w:t>Figures</w:t>
      </w:r>
    </w:p>
    <w:p w14:paraId="1C34EC74" w14:textId="77777777" w:rsidR="004C558F" w:rsidRDefault="004C558F">
      <w:pPr>
        <w:pStyle w:val="BodyText"/>
        <w:spacing w:before="162"/>
        <w:rPr>
          <w:rFonts w:ascii="Franklin Gothic Medium"/>
        </w:rPr>
      </w:pPr>
    </w:p>
    <w:p w14:paraId="1C34EC75" w14:textId="77777777" w:rsidR="004C558F" w:rsidRDefault="00461887">
      <w:pPr>
        <w:pStyle w:val="BodyText"/>
        <w:spacing w:after="39"/>
        <w:ind w:left="341"/>
        <w:jc w:val="center"/>
      </w:pPr>
      <w:r>
        <w:t>Figure</w:t>
      </w:r>
      <w:r>
        <w:rPr>
          <w:spacing w:val="-6"/>
        </w:rPr>
        <w:t xml:space="preserve"> </w:t>
      </w:r>
      <w:r>
        <w:t>A1:</w:t>
      </w:r>
      <w:r>
        <w:rPr>
          <w:spacing w:val="-3"/>
        </w:rPr>
        <w:t xml:space="preserve"> </w:t>
      </w:r>
      <w:r>
        <w:t>2022</w:t>
      </w:r>
      <w:r>
        <w:rPr>
          <w:spacing w:val="-7"/>
        </w:rPr>
        <w:t xml:space="preserve"> </w:t>
      </w:r>
      <w:r>
        <w:t>Commercial</w:t>
      </w:r>
      <w:r>
        <w:rPr>
          <w:spacing w:val="-4"/>
        </w:rPr>
        <w:t xml:space="preserve"> </w:t>
      </w:r>
      <w:r>
        <w:t>Shares</w:t>
      </w:r>
      <w:r>
        <w:rPr>
          <w:spacing w:val="-5"/>
        </w:rPr>
        <w:t xml:space="preserve"> </w:t>
      </w:r>
      <w:r>
        <w:t>of</w:t>
      </w:r>
      <w:r>
        <w:rPr>
          <w:spacing w:val="-3"/>
        </w:rPr>
        <w:t xml:space="preserve"> </w:t>
      </w:r>
      <w:r>
        <w:t>Inpatient</w:t>
      </w:r>
      <w:r>
        <w:rPr>
          <w:spacing w:val="-4"/>
        </w:rPr>
        <w:t xml:space="preserve"> </w:t>
      </w:r>
      <w:r>
        <w:t>Oncology</w:t>
      </w:r>
      <w:r>
        <w:rPr>
          <w:spacing w:val="-4"/>
        </w:rPr>
        <w:t xml:space="preserve"> </w:t>
      </w:r>
      <w:r>
        <w:rPr>
          <w:spacing w:val="-2"/>
        </w:rPr>
        <w:t>Services</w:t>
      </w:r>
    </w:p>
    <w:tbl>
      <w:tblPr>
        <w:tblW w:w="0" w:type="auto"/>
        <w:tblInd w:w="46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4243"/>
        <w:gridCol w:w="1248"/>
        <w:gridCol w:w="1361"/>
        <w:gridCol w:w="1752"/>
        <w:gridCol w:w="1248"/>
        <w:gridCol w:w="1361"/>
        <w:gridCol w:w="1750"/>
      </w:tblGrid>
      <w:tr w:rsidR="004C558F" w14:paraId="1C34EC81" w14:textId="77777777" w:rsidTr="002104D8">
        <w:trPr>
          <w:cantSplit/>
          <w:trHeight w:val="350"/>
          <w:tblHeader/>
        </w:trPr>
        <w:tc>
          <w:tcPr>
            <w:tcW w:w="4243" w:type="dxa"/>
            <w:shd w:val="clear" w:color="auto" w:fill="084875"/>
          </w:tcPr>
          <w:p w14:paraId="1C34EC7A" w14:textId="77777777" w:rsidR="004C558F" w:rsidRDefault="00461887">
            <w:pPr>
              <w:pStyle w:val="TableParagraph"/>
              <w:spacing w:before="64"/>
              <w:ind w:left="7"/>
              <w:jc w:val="center"/>
              <w:rPr>
                <w:rFonts w:ascii="Franklin Gothic Medium Cond"/>
              </w:rPr>
            </w:pPr>
            <w:r>
              <w:rPr>
                <w:rFonts w:ascii="Franklin Gothic Medium Cond"/>
                <w:color w:val="FFFFFF"/>
                <w:spacing w:val="-2"/>
              </w:rPr>
              <w:t>Hospital/System</w:t>
            </w:r>
          </w:p>
        </w:tc>
        <w:tc>
          <w:tcPr>
            <w:tcW w:w="1248" w:type="dxa"/>
            <w:shd w:val="clear" w:color="auto" w:fill="084875"/>
          </w:tcPr>
          <w:p w14:paraId="5B502776" w14:textId="77777777" w:rsidR="00E53F57" w:rsidRDefault="00E53F57">
            <w:pPr>
              <w:pStyle w:val="TableParagraph"/>
              <w:spacing w:before="64"/>
              <w:ind w:left="220"/>
              <w:jc w:val="left"/>
              <w:rPr>
                <w:rFonts w:ascii="Franklin Gothic Medium Cond"/>
                <w:color w:val="FFFFFF"/>
                <w:spacing w:val="-2"/>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2"/>
              </w:rPr>
              <w:t xml:space="preserve"> </w:t>
            </w:r>
            <w:r>
              <w:rPr>
                <w:rFonts w:ascii="Franklin Gothic Medium Cond"/>
                <w:color w:val="FFFFFF"/>
              </w:rPr>
              <w:t>medical</w:t>
            </w:r>
            <w:r>
              <w:rPr>
                <w:rFonts w:ascii="Franklin Gothic Medium Cond"/>
                <w:color w:val="FFFFFF"/>
                <w:spacing w:val="-5"/>
              </w:rPr>
              <w:t xml:space="preserve"> </w:t>
            </w:r>
            <w:r>
              <w:rPr>
                <w:rFonts w:ascii="Franklin Gothic Medium Cond"/>
                <w:color w:val="FFFFFF"/>
              </w:rPr>
              <w:t>oncology</w:t>
            </w:r>
            <w:r>
              <w:rPr>
                <w:rFonts w:ascii="Franklin Gothic Medium Cond"/>
                <w:color w:val="FFFFFF"/>
                <w:spacing w:val="-4"/>
              </w:rPr>
              <w:t xml:space="preserve"> </w:t>
            </w:r>
            <w:r>
              <w:rPr>
                <w:rFonts w:ascii="Franklin Gothic Medium Cond"/>
                <w:color w:val="FFFFFF"/>
                <w:spacing w:val="-2"/>
              </w:rPr>
              <w:t xml:space="preserve">discharges </w:t>
            </w:r>
          </w:p>
          <w:p w14:paraId="1C34EC7B" w14:textId="4398E32E" w:rsidR="004C558F" w:rsidRDefault="00461887">
            <w:pPr>
              <w:pStyle w:val="TableParagraph"/>
              <w:spacing w:before="64"/>
              <w:ind w:left="220"/>
              <w:jc w:val="left"/>
              <w:rPr>
                <w:rFonts w:ascii="Franklin Gothic Medium Cond"/>
              </w:rPr>
            </w:pPr>
            <w:r>
              <w:rPr>
                <w:rFonts w:ascii="Franklin Gothic Medium Cond"/>
                <w:color w:val="FFFFFF"/>
                <w:spacing w:val="-2"/>
              </w:rPr>
              <w:t>Statewide</w:t>
            </w:r>
          </w:p>
        </w:tc>
        <w:tc>
          <w:tcPr>
            <w:tcW w:w="1361" w:type="dxa"/>
            <w:shd w:val="clear" w:color="auto" w:fill="084875"/>
          </w:tcPr>
          <w:p w14:paraId="1C34EC7C" w14:textId="4DD56706" w:rsidR="004C558F" w:rsidRDefault="00E53F57">
            <w:pPr>
              <w:pStyle w:val="TableParagraph"/>
              <w:spacing w:before="64"/>
              <w:ind w:left="211"/>
              <w:jc w:val="left"/>
              <w:rPr>
                <w:rFonts w:ascii="Franklin Gothic Medium Cond"/>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2"/>
              </w:rPr>
              <w:t xml:space="preserve"> </w:t>
            </w:r>
            <w:r>
              <w:rPr>
                <w:rFonts w:ascii="Franklin Gothic Medium Cond"/>
                <w:color w:val="FFFFFF"/>
              </w:rPr>
              <w:t>medical</w:t>
            </w:r>
            <w:r>
              <w:rPr>
                <w:rFonts w:ascii="Franklin Gothic Medium Cond"/>
                <w:color w:val="FFFFFF"/>
                <w:spacing w:val="-5"/>
              </w:rPr>
              <w:t xml:space="preserve"> </w:t>
            </w:r>
            <w:r>
              <w:rPr>
                <w:rFonts w:ascii="Franklin Gothic Medium Cond"/>
                <w:color w:val="FFFFFF"/>
              </w:rPr>
              <w:t>oncology</w:t>
            </w:r>
            <w:r>
              <w:rPr>
                <w:rFonts w:ascii="Franklin Gothic Medium Cond"/>
                <w:color w:val="FFFFFF"/>
                <w:spacing w:val="-4"/>
              </w:rPr>
              <w:t xml:space="preserve"> </w:t>
            </w:r>
            <w:proofErr w:type="gramStart"/>
            <w:r>
              <w:rPr>
                <w:rFonts w:ascii="Franklin Gothic Medium Cond"/>
                <w:color w:val="FFFFFF"/>
                <w:spacing w:val="-2"/>
              </w:rPr>
              <w:t>discharges</w:t>
            </w:r>
            <w:r>
              <w:rPr>
                <w:rFonts w:ascii="Franklin Gothic Medium Cond"/>
                <w:color w:val="FFFFFF"/>
              </w:rPr>
              <w:t xml:space="preserve"> </w:t>
            </w:r>
            <w:r w:rsidR="00796D21">
              <w:rPr>
                <w:rFonts w:ascii="Franklin Gothic Medium Cond"/>
                <w:color w:val="FFFFFF"/>
              </w:rPr>
              <w:t xml:space="preserve"> </w:t>
            </w:r>
            <w:r w:rsidR="00461887">
              <w:rPr>
                <w:rFonts w:ascii="Franklin Gothic Medium Cond"/>
                <w:color w:val="FFFFFF"/>
              </w:rPr>
              <w:t>BIDMC</w:t>
            </w:r>
            <w:proofErr w:type="gramEnd"/>
            <w:r w:rsidR="00461887">
              <w:rPr>
                <w:rFonts w:ascii="Franklin Gothic Medium Cond"/>
                <w:color w:val="FFFFFF"/>
                <w:spacing w:val="-3"/>
              </w:rPr>
              <w:t xml:space="preserve"> </w:t>
            </w:r>
            <w:r w:rsidR="00461887">
              <w:rPr>
                <w:rFonts w:ascii="Franklin Gothic Medium Cond"/>
                <w:color w:val="FFFFFF"/>
                <w:spacing w:val="-5"/>
              </w:rPr>
              <w:t>PSA</w:t>
            </w:r>
          </w:p>
        </w:tc>
        <w:tc>
          <w:tcPr>
            <w:tcW w:w="1752" w:type="dxa"/>
            <w:shd w:val="clear" w:color="auto" w:fill="084875"/>
          </w:tcPr>
          <w:p w14:paraId="1C34EC7D" w14:textId="23DD4F3E" w:rsidR="004C558F" w:rsidRDefault="00796D21">
            <w:pPr>
              <w:pStyle w:val="TableParagraph"/>
              <w:spacing w:before="64"/>
              <w:ind w:left="227"/>
              <w:jc w:val="left"/>
              <w:rPr>
                <w:rFonts w:ascii="Franklin Gothic Medium Cond"/>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2"/>
              </w:rPr>
              <w:t xml:space="preserve"> </w:t>
            </w:r>
            <w:r>
              <w:rPr>
                <w:rFonts w:ascii="Franklin Gothic Medium Cond"/>
                <w:color w:val="FFFFFF"/>
              </w:rPr>
              <w:t>medical</w:t>
            </w:r>
            <w:r>
              <w:rPr>
                <w:rFonts w:ascii="Franklin Gothic Medium Cond"/>
                <w:color w:val="FFFFFF"/>
                <w:spacing w:val="-5"/>
              </w:rPr>
              <w:t xml:space="preserve"> </w:t>
            </w:r>
            <w:r>
              <w:rPr>
                <w:rFonts w:ascii="Franklin Gothic Medium Cond"/>
                <w:color w:val="FFFFFF"/>
              </w:rPr>
              <w:t>oncology</w:t>
            </w:r>
            <w:r>
              <w:rPr>
                <w:rFonts w:ascii="Franklin Gothic Medium Cond"/>
                <w:color w:val="FFFFFF"/>
                <w:spacing w:val="-4"/>
              </w:rPr>
              <w:t xml:space="preserve"> </w:t>
            </w:r>
            <w:proofErr w:type="gramStart"/>
            <w:r>
              <w:rPr>
                <w:rFonts w:ascii="Franklin Gothic Medium Cond"/>
                <w:color w:val="FFFFFF"/>
                <w:spacing w:val="-2"/>
              </w:rPr>
              <w:t>discharges</w:t>
            </w:r>
            <w:r>
              <w:rPr>
                <w:rFonts w:ascii="Franklin Gothic Medium Cond"/>
                <w:color w:val="FFFFFF"/>
              </w:rPr>
              <w:t xml:space="preserve">  </w:t>
            </w:r>
            <w:r w:rsidR="00461887">
              <w:rPr>
                <w:rFonts w:ascii="Franklin Gothic Medium Cond"/>
                <w:color w:val="FFFFFF"/>
              </w:rPr>
              <w:t>DFCI</w:t>
            </w:r>
            <w:proofErr w:type="gramEnd"/>
            <w:r w:rsidR="00461887">
              <w:rPr>
                <w:rFonts w:ascii="Franklin Gothic Medium Cond"/>
                <w:color w:val="FFFFFF"/>
              </w:rPr>
              <w:t>/</w:t>
            </w:r>
            <w:r w:rsidR="00461887">
              <w:rPr>
                <w:rFonts w:ascii="Franklin Gothic Medium Cond"/>
                <w:color w:val="FFFFFF"/>
                <w:spacing w:val="-2"/>
              </w:rPr>
              <w:t xml:space="preserve"> </w:t>
            </w:r>
            <w:r w:rsidR="00461887">
              <w:rPr>
                <w:rFonts w:ascii="Franklin Gothic Medium Cond"/>
                <w:color w:val="FFFFFF"/>
              </w:rPr>
              <w:t>BWH</w:t>
            </w:r>
            <w:r w:rsidR="00461887">
              <w:rPr>
                <w:rFonts w:ascii="Franklin Gothic Medium Cond"/>
                <w:color w:val="FFFFFF"/>
                <w:spacing w:val="-3"/>
              </w:rPr>
              <w:t xml:space="preserve"> </w:t>
            </w:r>
            <w:r w:rsidR="00461887">
              <w:rPr>
                <w:rFonts w:ascii="Franklin Gothic Medium Cond"/>
                <w:color w:val="FFFFFF"/>
                <w:spacing w:val="-5"/>
              </w:rPr>
              <w:t>PSA</w:t>
            </w:r>
          </w:p>
        </w:tc>
        <w:tc>
          <w:tcPr>
            <w:tcW w:w="1248" w:type="dxa"/>
            <w:shd w:val="clear" w:color="auto" w:fill="084875"/>
          </w:tcPr>
          <w:p w14:paraId="1C34EC7E" w14:textId="5328D9A6" w:rsidR="004C558F" w:rsidRDefault="00796D21">
            <w:pPr>
              <w:pStyle w:val="TableParagraph"/>
              <w:spacing w:before="64"/>
              <w:ind w:left="220"/>
              <w:jc w:val="left"/>
              <w:rPr>
                <w:rFonts w:ascii="Franklin Gothic Medium Cond"/>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3"/>
              </w:rPr>
              <w:t xml:space="preserve"> </w:t>
            </w:r>
            <w:r>
              <w:rPr>
                <w:rFonts w:ascii="Franklin Gothic Medium Cond"/>
                <w:color w:val="FFFFFF"/>
              </w:rPr>
              <w:t>surgical</w:t>
            </w:r>
            <w:r>
              <w:rPr>
                <w:rFonts w:ascii="Franklin Gothic Medium Cond"/>
                <w:color w:val="FFFFFF"/>
                <w:spacing w:val="-6"/>
              </w:rPr>
              <w:t xml:space="preserve"> </w:t>
            </w:r>
            <w:r>
              <w:rPr>
                <w:rFonts w:ascii="Franklin Gothic Medium Cond"/>
                <w:color w:val="FFFFFF"/>
              </w:rPr>
              <w:t>oncology</w:t>
            </w:r>
            <w:r>
              <w:rPr>
                <w:rFonts w:ascii="Franklin Gothic Medium Cond"/>
                <w:color w:val="FFFFFF"/>
                <w:spacing w:val="-4"/>
              </w:rPr>
              <w:t xml:space="preserve"> </w:t>
            </w:r>
            <w:proofErr w:type="gramStart"/>
            <w:r>
              <w:rPr>
                <w:rFonts w:ascii="Franklin Gothic Medium Cond"/>
                <w:color w:val="FFFFFF"/>
                <w:spacing w:val="-2"/>
              </w:rPr>
              <w:t xml:space="preserve">discharges  </w:t>
            </w:r>
            <w:r w:rsidR="00461887">
              <w:rPr>
                <w:rFonts w:ascii="Franklin Gothic Medium Cond"/>
                <w:color w:val="FFFFFF"/>
                <w:spacing w:val="-2"/>
              </w:rPr>
              <w:t>Statewide</w:t>
            </w:r>
            <w:proofErr w:type="gramEnd"/>
          </w:p>
        </w:tc>
        <w:tc>
          <w:tcPr>
            <w:tcW w:w="1361" w:type="dxa"/>
            <w:shd w:val="clear" w:color="auto" w:fill="084875"/>
          </w:tcPr>
          <w:p w14:paraId="1C34EC7F" w14:textId="3E7F7893" w:rsidR="004C558F" w:rsidRDefault="00796D21">
            <w:pPr>
              <w:pStyle w:val="TableParagraph"/>
              <w:spacing w:before="64"/>
              <w:ind w:left="208"/>
              <w:jc w:val="left"/>
              <w:rPr>
                <w:rFonts w:ascii="Franklin Gothic Medium Cond"/>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3"/>
              </w:rPr>
              <w:t xml:space="preserve"> </w:t>
            </w:r>
            <w:r>
              <w:rPr>
                <w:rFonts w:ascii="Franklin Gothic Medium Cond"/>
                <w:color w:val="FFFFFF"/>
              </w:rPr>
              <w:t>surgical</w:t>
            </w:r>
            <w:r>
              <w:rPr>
                <w:rFonts w:ascii="Franklin Gothic Medium Cond"/>
                <w:color w:val="FFFFFF"/>
                <w:spacing w:val="-6"/>
              </w:rPr>
              <w:t xml:space="preserve"> </w:t>
            </w:r>
            <w:r>
              <w:rPr>
                <w:rFonts w:ascii="Franklin Gothic Medium Cond"/>
                <w:color w:val="FFFFFF"/>
              </w:rPr>
              <w:t>oncology</w:t>
            </w:r>
            <w:r>
              <w:rPr>
                <w:rFonts w:ascii="Franklin Gothic Medium Cond"/>
                <w:color w:val="FFFFFF"/>
                <w:spacing w:val="-4"/>
              </w:rPr>
              <w:t xml:space="preserve"> </w:t>
            </w:r>
            <w:proofErr w:type="gramStart"/>
            <w:r>
              <w:rPr>
                <w:rFonts w:ascii="Franklin Gothic Medium Cond"/>
                <w:color w:val="FFFFFF"/>
                <w:spacing w:val="-2"/>
              </w:rPr>
              <w:t>discharges</w:t>
            </w:r>
            <w:r>
              <w:rPr>
                <w:rFonts w:ascii="Franklin Gothic Medium Cond"/>
                <w:color w:val="FFFFFF"/>
              </w:rPr>
              <w:t xml:space="preserve">  </w:t>
            </w:r>
            <w:r w:rsidR="00461887">
              <w:rPr>
                <w:rFonts w:ascii="Franklin Gothic Medium Cond"/>
                <w:color w:val="FFFFFF"/>
              </w:rPr>
              <w:t>BIDMC</w:t>
            </w:r>
            <w:proofErr w:type="gramEnd"/>
            <w:r w:rsidR="00461887">
              <w:rPr>
                <w:rFonts w:ascii="Franklin Gothic Medium Cond"/>
                <w:color w:val="FFFFFF"/>
                <w:spacing w:val="-3"/>
              </w:rPr>
              <w:t xml:space="preserve"> </w:t>
            </w:r>
            <w:r w:rsidR="00461887">
              <w:rPr>
                <w:rFonts w:ascii="Franklin Gothic Medium Cond"/>
                <w:color w:val="FFFFFF"/>
                <w:spacing w:val="-5"/>
              </w:rPr>
              <w:t>PSA</w:t>
            </w:r>
          </w:p>
        </w:tc>
        <w:tc>
          <w:tcPr>
            <w:tcW w:w="1750" w:type="dxa"/>
            <w:shd w:val="clear" w:color="auto" w:fill="084875"/>
          </w:tcPr>
          <w:p w14:paraId="1C34EC80" w14:textId="15B0BC7C" w:rsidR="004C558F" w:rsidRDefault="00796D21">
            <w:pPr>
              <w:pStyle w:val="TableParagraph"/>
              <w:spacing w:before="64"/>
              <w:ind w:left="227"/>
              <w:jc w:val="left"/>
              <w:rPr>
                <w:rFonts w:ascii="Franklin Gothic Medium Cond"/>
              </w:rPr>
            </w:pPr>
            <w:r>
              <w:rPr>
                <w:rFonts w:ascii="Franklin Gothic Medium Cond"/>
                <w:color w:val="FFFFFF"/>
              </w:rPr>
              <w:t>Shares</w:t>
            </w:r>
            <w:r>
              <w:rPr>
                <w:rFonts w:ascii="Franklin Gothic Medium Cond"/>
                <w:color w:val="FFFFFF"/>
                <w:spacing w:val="-5"/>
              </w:rPr>
              <w:t xml:space="preserve"> </w:t>
            </w:r>
            <w:r>
              <w:rPr>
                <w:rFonts w:ascii="Franklin Gothic Medium Cond"/>
                <w:color w:val="FFFFFF"/>
              </w:rPr>
              <w:t>of</w:t>
            </w:r>
            <w:r>
              <w:rPr>
                <w:rFonts w:ascii="Franklin Gothic Medium Cond"/>
                <w:color w:val="FFFFFF"/>
                <w:spacing w:val="-3"/>
              </w:rPr>
              <w:t xml:space="preserve"> </w:t>
            </w:r>
            <w:r>
              <w:rPr>
                <w:rFonts w:ascii="Franklin Gothic Medium Cond"/>
                <w:color w:val="FFFFFF"/>
              </w:rPr>
              <w:t>surgical</w:t>
            </w:r>
            <w:r>
              <w:rPr>
                <w:rFonts w:ascii="Franklin Gothic Medium Cond"/>
                <w:color w:val="FFFFFF"/>
                <w:spacing w:val="-6"/>
              </w:rPr>
              <w:t xml:space="preserve"> </w:t>
            </w:r>
            <w:r>
              <w:rPr>
                <w:rFonts w:ascii="Franklin Gothic Medium Cond"/>
                <w:color w:val="FFFFFF"/>
              </w:rPr>
              <w:t>oncology</w:t>
            </w:r>
            <w:r>
              <w:rPr>
                <w:rFonts w:ascii="Franklin Gothic Medium Cond"/>
                <w:color w:val="FFFFFF"/>
                <w:spacing w:val="-4"/>
              </w:rPr>
              <w:t xml:space="preserve"> </w:t>
            </w:r>
            <w:proofErr w:type="gramStart"/>
            <w:r>
              <w:rPr>
                <w:rFonts w:ascii="Franklin Gothic Medium Cond"/>
                <w:color w:val="FFFFFF"/>
                <w:spacing w:val="-2"/>
              </w:rPr>
              <w:t>discharges</w:t>
            </w:r>
            <w:r>
              <w:rPr>
                <w:rFonts w:ascii="Franklin Gothic Medium Cond"/>
                <w:color w:val="FFFFFF"/>
              </w:rPr>
              <w:t xml:space="preserve">  </w:t>
            </w:r>
            <w:r w:rsidR="00461887">
              <w:rPr>
                <w:rFonts w:ascii="Franklin Gothic Medium Cond"/>
                <w:color w:val="FFFFFF"/>
              </w:rPr>
              <w:t>DFCI</w:t>
            </w:r>
            <w:proofErr w:type="gramEnd"/>
            <w:r w:rsidR="00461887">
              <w:rPr>
                <w:rFonts w:ascii="Franklin Gothic Medium Cond"/>
                <w:color w:val="FFFFFF"/>
              </w:rPr>
              <w:t>/</w:t>
            </w:r>
            <w:r w:rsidR="00461887">
              <w:rPr>
                <w:rFonts w:ascii="Franklin Gothic Medium Cond"/>
                <w:color w:val="FFFFFF"/>
                <w:spacing w:val="-2"/>
              </w:rPr>
              <w:t xml:space="preserve"> </w:t>
            </w:r>
            <w:r w:rsidR="00461887">
              <w:rPr>
                <w:rFonts w:ascii="Franklin Gothic Medium Cond"/>
                <w:color w:val="FFFFFF"/>
              </w:rPr>
              <w:t>BWH</w:t>
            </w:r>
            <w:r w:rsidR="00461887">
              <w:rPr>
                <w:rFonts w:ascii="Franklin Gothic Medium Cond"/>
                <w:color w:val="FFFFFF"/>
                <w:spacing w:val="-3"/>
              </w:rPr>
              <w:t xml:space="preserve"> </w:t>
            </w:r>
            <w:r w:rsidR="00461887">
              <w:rPr>
                <w:rFonts w:ascii="Franklin Gothic Medium Cond"/>
                <w:color w:val="FFFFFF"/>
                <w:spacing w:val="-5"/>
              </w:rPr>
              <w:t>PSA</w:t>
            </w:r>
          </w:p>
        </w:tc>
      </w:tr>
      <w:tr w:rsidR="004C558F" w14:paraId="1C34EC89" w14:textId="77777777" w:rsidTr="002104D8">
        <w:trPr>
          <w:cantSplit/>
          <w:trHeight w:val="290"/>
        </w:trPr>
        <w:tc>
          <w:tcPr>
            <w:tcW w:w="4243" w:type="dxa"/>
            <w:shd w:val="clear" w:color="auto" w:fill="D4EBF4"/>
          </w:tcPr>
          <w:p w14:paraId="1C34EC82" w14:textId="77777777" w:rsidR="004C558F" w:rsidRDefault="00461887">
            <w:pPr>
              <w:pStyle w:val="TableParagraph"/>
              <w:ind w:left="107"/>
              <w:jc w:val="left"/>
              <w:rPr>
                <w:sz w:val="20"/>
              </w:rPr>
            </w:pPr>
            <w:r>
              <w:rPr>
                <w:sz w:val="20"/>
              </w:rPr>
              <w:t>Mass</w:t>
            </w:r>
            <w:r>
              <w:rPr>
                <w:spacing w:val="-5"/>
                <w:sz w:val="20"/>
              </w:rPr>
              <w:t xml:space="preserve"> </w:t>
            </w:r>
            <w:r>
              <w:rPr>
                <w:sz w:val="20"/>
              </w:rPr>
              <w:t>General</w:t>
            </w:r>
            <w:r>
              <w:rPr>
                <w:spacing w:val="-5"/>
                <w:sz w:val="20"/>
              </w:rPr>
              <w:t xml:space="preserve"> </w:t>
            </w:r>
            <w:r>
              <w:rPr>
                <w:spacing w:val="-2"/>
                <w:sz w:val="20"/>
              </w:rPr>
              <w:t>Brigham</w:t>
            </w:r>
          </w:p>
        </w:tc>
        <w:tc>
          <w:tcPr>
            <w:tcW w:w="1248" w:type="dxa"/>
            <w:shd w:val="clear" w:color="auto" w:fill="D4EBF4"/>
          </w:tcPr>
          <w:p w14:paraId="1C34EC83" w14:textId="77777777" w:rsidR="004C558F" w:rsidRDefault="00461887">
            <w:pPr>
              <w:pStyle w:val="TableParagraph"/>
              <w:ind w:right="95"/>
              <w:rPr>
                <w:sz w:val="20"/>
              </w:rPr>
            </w:pPr>
            <w:r>
              <w:rPr>
                <w:spacing w:val="-2"/>
                <w:sz w:val="20"/>
              </w:rPr>
              <w:t>39.6%</w:t>
            </w:r>
          </w:p>
        </w:tc>
        <w:tc>
          <w:tcPr>
            <w:tcW w:w="1361" w:type="dxa"/>
            <w:shd w:val="clear" w:color="auto" w:fill="D4EBF4"/>
          </w:tcPr>
          <w:p w14:paraId="1C34EC84" w14:textId="77777777" w:rsidR="004C558F" w:rsidRDefault="00461887">
            <w:pPr>
              <w:pStyle w:val="TableParagraph"/>
              <w:ind w:right="93"/>
              <w:rPr>
                <w:sz w:val="20"/>
              </w:rPr>
            </w:pPr>
            <w:r>
              <w:rPr>
                <w:spacing w:val="-2"/>
                <w:sz w:val="20"/>
              </w:rPr>
              <w:t>48.4%</w:t>
            </w:r>
          </w:p>
        </w:tc>
        <w:tc>
          <w:tcPr>
            <w:tcW w:w="1752" w:type="dxa"/>
            <w:shd w:val="clear" w:color="auto" w:fill="D4EBF4"/>
          </w:tcPr>
          <w:p w14:paraId="1C34EC85" w14:textId="77777777" w:rsidR="004C558F" w:rsidRDefault="00461887">
            <w:pPr>
              <w:pStyle w:val="TableParagraph"/>
              <w:ind w:right="95"/>
              <w:rPr>
                <w:sz w:val="20"/>
              </w:rPr>
            </w:pPr>
            <w:r>
              <w:rPr>
                <w:spacing w:val="-2"/>
                <w:sz w:val="20"/>
              </w:rPr>
              <w:t>45.8%</w:t>
            </w:r>
          </w:p>
        </w:tc>
        <w:tc>
          <w:tcPr>
            <w:tcW w:w="1248" w:type="dxa"/>
            <w:shd w:val="clear" w:color="auto" w:fill="D4EBF4"/>
          </w:tcPr>
          <w:p w14:paraId="1C34EC86" w14:textId="77777777" w:rsidR="004C558F" w:rsidRDefault="00461887">
            <w:pPr>
              <w:pStyle w:val="TableParagraph"/>
              <w:ind w:right="95"/>
              <w:rPr>
                <w:sz w:val="20"/>
              </w:rPr>
            </w:pPr>
            <w:r>
              <w:rPr>
                <w:spacing w:val="-2"/>
                <w:sz w:val="20"/>
              </w:rPr>
              <w:t>47.6%</w:t>
            </w:r>
          </w:p>
        </w:tc>
        <w:tc>
          <w:tcPr>
            <w:tcW w:w="1361" w:type="dxa"/>
            <w:shd w:val="clear" w:color="auto" w:fill="D4EBF4"/>
          </w:tcPr>
          <w:p w14:paraId="1C34EC87" w14:textId="77777777" w:rsidR="004C558F" w:rsidRDefault="00461887">
            <w:pPr>
              <w:pStyle w:val="TableParagraph"/>
              <w:ind w:right="96"/>
              <w:rPr>
                <w:sz w:val="20"/>
              </w:rPr>
            </w:pPr>
            <w:r>
              <w:rPr>
                <w:spacing w:val="-2"/>
                <w:sz w:val="20"/>
              </w:rPr>
              <w:t>55.8%</w:t>
            </w:r>
          </w:p>
        </w:tc>
        <w:tc>
          <w:tcPr>
            <w:tcW w:w="1750" w:type="dxa"/>
            <w:shd w:val="clear" w:color="auto" w:fill="D4EBF4"/>
          </w:tcPr>
          <w:p w14:paraId="1C34EC88" w14:textId="77777777" w:rsidR="004C558F" w:rsidRDefault="00461887">
            <w:pPr>
              <w:pStyle w:val="TableParagraph"/>
              <w:ind w:right="94"/>
              <w:rPr>
                <w:sz w:val="20"/>
              </w:rPr>
            </w:pPr>
            <w:r>
              <w:rPr>
                <w:spacing w:val="-2"/>
                <w:sz w:val="20"/>
              </w:rPr>
              <w:t>53.9%</w:t>
            </w:r>
          </w:p>
        </w:tc>
      </w:tr>
      <w:tr w:rsidR="004C558F" w14:paraId="1C34EC91" w14:textId="77777777" w:rsidTr="002104D8">
        <w:trPr>
          <w:cantSplit/>
          <w:trHeight w:val="289"/>
        </w:trPr>
        <w:tc>
          <w:tcPr>
            <w:tcW w:w="4243" w:type="dxa"/>
          </w:tcPr>
          <w:p w14:paraId="1C34EC8A" w14:textId="77777777" w:rsidR="004C558F" w:rsidRDefault="00461887">
            <w:pPr>
              <w:pStyle w:val="TableParagraph"/>
              <w:ind w:left="439"/>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248" w:type="dxa"/>
          </w:tcPr>
          <w:p w14:paraId="1C34EC8B" w14:textId="77777777" w:rsidR="004C558F" w:rsidRDefault="00461887">
            <w:pPr>
              <w:pStyle w:val="TableParagraph"/>
              <w:ind w:right="93"/>
              <w:rPr>
                <w:sz w:val="20"/>
              </w:rPr>
            </w:pPr>
            <w:r>
              <w:rPr>
                <w:spacing w:val="-2"/>
                <w:sz w:val="20"/>
              </w:rPr>
              <w:t>19.4%</w:t>
            </w:r>
          </w:p>
        </w:tc>
        <w:tc>
          <w:tcPr>
            <w:tcW w:w="1361" w:type="dxa"/>
          </w:tcPr>
          <w:p w14:paraId="1C34EC8C" w14:textId="77777777" w:rsidR="004C558F" w:rsidRDefault="00461887">
            <w:pPr>
              <w:pStyle w:val="TableParagraph"/>
              <w:ind w:right="91"/>
              <w:rPr>
                <w:sz w:val="20"/>
              </w:rPr>
            </w:pPr>
            <w:r>
              <w:rPr>
                <w:spacing w:val="-2"/>
                <w:sz w:val="20"/>
              </w:rPr>
              <w:t>21.5%</w:t>
            </w:r>
          </w:p>
        </w:tc>
        <w:tc>
          <w:tcPr>
            <w:tcW w:w="1752" w:type="dxa"/>
          </w:tcPr>
          <w:p w14:paraId="1C34EC8D" w14:textId="77777777" w:rsidR="004C558F" w:rsidRDefault="00461887">
            <w:pPr>
              <w:pStyle w:val="TableParagraph"/>
              <w:ind w:right="93"/>
              <w:rPr>
                <w:sz w:val="20"/>
              </w:rPr>
            </w:pPr>
            <w:r>
              <w:rPr>
                <w:spacing w:val="-2"/>
                <w:sz w:val="20"/>
              </w:rPr>
              <w:t>21.0%</w:t>
            </w:r>
          </w:p>
        </w:tc>
        <w:tc>
          <w:tcPr>
            <w:tcW w:w="1248" w:type="dxa"/>
          </w:tcPr>
          <w:p w14:paraId="1C34EC8E" w14:textId="77777777" w:rsidR="004C558F" w:rsidRDefault="00461887">
            <w:pPr>
              <w:pStyle w:val="TableParagraph"/>
              <w:ind w:right="93"/>
              <w:rPr>
                <w:sz w:val="20"/>
              </w:rPr>
            </w:pPr>
            <w:r>
              <w:rPr>
                <w:spacing w:val="-2"/>
                <w:sz w:val="20"/>
              </w:rPr>
              <w:t>22.3%</w:t>
            </w:r>
          </w:p>
        </w:tc>
        <w:tc>
          <w:tcPr>
            <w:tcW w:w="1361" w:type="dxa"/>
          </w:tcPr>
          <w:p w14:paraId="1C34EC8F" w14:textId="77777777" w:rsidR="004C558F" w:rsidRDefault="00461887">
            <w:pPr>
              <w:pStyle w:val="TableParagraph"/>
              <w:ind w:right="93"/>
              <w:rPr>
                <w:sz w:val="20"/>
              </w:rPr>
            </w:pPr>
            <w:r>
              <w:rPr>
                <w:spacing w:val="-2"/>
                <w:sz w:val="20"/>
              </w:rPr>
              <w:t>23.1%</w:t>
            </w:r>
          </w:p>
        </w:tc>
        <w:tc>
          <w:tcPr>
            <w:tcW w:w="1750" w:type="dxa"/>
          </w:tcPr>
          <w:p w14:paraId="1C34EC90" w14:textId="77777777" w:rsidR="004C558F" w:rsidRDefault="00461887">
            <w:pPr>
              <w:pStyle w:val="TableParagraph"/>
              <w:ind w:right="91"/>
              <w:rPr>
                <w:sz w:val="20"/>
              </w:rPr>
            </w:pPr>
            <w:r>
              <w:rPr>
                <w:spacing w:val="-2"/>
                <w:sz w:val="20"/>
              </w:rPr>
              <w:t>24.1%</w:t>
            </w:r>
          </w:p>
        </w:tc>
      </w:tr>
      <w:tr w:rsidR="004C558F" w14:paraId="1C34EC99" w14:textId="77777777" w:rsidTr="002104D8">
        <w:trPr>
          <w:cantSplit/>
          <w:trHeight w:val="290"/>
        </w:trPr>
        <w:tc>
          <w:tcPr>
            <w:tcW w:w="4243" w:type="dxa"/>
          </w:tcPr>
          <w:p w14:paraId="1C34EC92" w14:textId="77777777" w:rsidR="004C558F" w:rsidRDefault="00461887">
            <w:pPr>
              <w:pStyle w:val="TableParagraph"/>
              <w:ind w:left="439"/>
              <w:jc w:val="left"/>
              <w:rPr>
                <w:sz w:val="20"/>
              </w:rPr>
            </w:pPr>
            <w:r>
              <w:rPr>
                <w:sz w:val="20"/>
              </w:rPr>
              <w:t>Massachusetts</w:t>
            </w:r>
            <w:r>
              <w:rPr>
                <w:spacing w:val="-6"/>
                <w:sz w:val="20"/>
              </w:rPr>
              <w:t xml:space="preserve"> </w:t>
            </w:r>
            <w:r>
              <w:rPr>
                <w:sz w:val="20"/>
              </w:rPr>
              <w:t>Eye</w:t>
            </w:r>
            <w:r>
              <w:rPr>
                <w:spacing w:val="-6"/>
                <w:sz w:val="20"/>
              </w:rPr>
              <w:t xml:space="preserve"> </w:t>
            </w:r>
            <w:r>
              <w:rPr>
                <w:sz w:val="20"/>
              </w:rPr>
              <w:t>and</w:t>
            </w:r>
            <w:r>
              <w:rPr>
                <w:spacing w:val="-4"/>
                <w:sz w:val="20"/>
              </w:rPr>
              <w:t xml:space="preserve"> </w:t>
            </w:r>
            <w:r>
              <w:rPr>
                <w:sz w:val="20"/>
              </w:rPr>
              <w:t>Ear</w:t>
            </w:r>
            <w:r>
              <w:rPr>
                <w:spacing w:val="-5"/>
                <w:sz w:val="20"/>
              </w:rPr>
              <w:t xml:space="preserve"> </w:t>
            </w:r>
            <w:r>
              <w:rPr>
                <w:spacing w:val="-2"/>
                <w:sz w:val="20"/>
              </w:rPr>
              <w:t>Infirmary</w:t>
            </w:r>
          </w:p>
        </w:tc>
        <w:tc>
          <w:tcPr>
            <w:tcW w:w="1248" w:type="dxa"/>
          </w:tcPr>
          <w:p w14:paraId="1C34EC93" w14:textId="77777777" w:rsidR="004C558F" w:rsidRDefault="00461887">
            <w:pPr>
              <w:pStyle w:val="TableParagraph"/>
              <w:ind w:right="95"/>
              <w:rPr>
                <w:sz w:val="20"/>
              </w:rPr>
            </w:pPr>
            <w:r>
              <w:rPr>
                <w:spacing w:val="-4"/>
                <w:sz w:val="20"/>
              </w:rPr>
              <w:t>0.1%</w:t>
            </w:r>
          </w:p>
        </w:tc>
        <w:tc>
          <w:tcPr>
            <w:tcW w:w="1361" w:type="dxa"/>
          </w:tcPr>
          <w:p w14:paraId="1C34EC94" w14:textId="77777777" w:rsidR="004C558F" w:rsidRDefault="00461887">
            <w:pPr>
              <w:pStyle w:val="TableParagraph"/>
              <w:ind w:right="93"/>
              <w:rPr>
                <w:sz w:val="20"/>
              </w:rPr>
            </w:pPr>
            <w:r>
              <w:rPr>
                <w:spacing w:val="-4"/>
                <w:sz w:val="20"/>
              </w:rPr>
              <w:t>0.1%</w:t>
            </w:r>
          </w:p>
        </w:tc>
        <w:tc>
          <w:tcPr>
            <w:tcW w:w="1752" w:type="dxa"/>
          </w:tcPr>
          <w:p w14:paraId="1C34EC95" w14:textId="77777777" w:rsidR="004C558F" w:rsidRDefault="00461887">
            <w:pPr>
              <w:pStyle w:val="TableParagraph"/>
              <w:ind w:right="95"/>
              <w:rPr>
                <w:sz w:val="20"/>
              </w:rPr>
            </w:pPr>
            <w:r>
              <w:rPr>
                <w:spacing w:val="-4"/>
                <w:sz w:val="20"/>
              </w:rPr>
              <w:t>0.1%</w:t>
            </w:r>
          </w:p>
        </w:tc>
        <w:tc>
          <w:tcPr>
            <w:tcW w:w="1248" w:type="dxa"/>
          </w:tcPr>
          <w:p w14:paraId="1C34EC96" w14:textId="77777777" w:rsidR="004C558F" w:rsidRDefault="00461887">
            <w:pPr>
              <w:pStyle w:val="TableParagraph"/>
              <w:ind w:right="95"/>
              <w:rPr>
                <w:sz w:val="20"/>
              </w:rPr>
            </w:pPr>
            <w:r>
              <w:rPr>
                <w:spacing w:val="-4"/>
                <w:sz w:val="20"/>
              </w:rPr>
              <w:t>1.8%</w:t>
            </w:r>
          </w:p>
        </w:tc>
        <w:tc>
          <w:tcPr>
            <w:tcW w:w="1361" w:type="dxa"/>
          </w:tcPr>
          <w:p w14:paraId="1C34EC97" w14:textId="77777777" w:rsidR="004C558F" w:rsidRDefault="00461887">
            <w:pPr>
              <w:pStyle w:val="TableParagraph"/>
              <w:ind w:right="96"/>
              <w:rPr>
                <w:sz w:val="20"/>
              </w:rPr>
            </w:pPr>
            <w:r>
              <w:rPr>
                <w:spacing w:val="-4"/>
                <w:sz w:val="20"/>
              </w:rPr>
              <w:t>2.3%</w:t>
            </w:r>
          </w:p>
        </w:tc>
        <w:tc>
          <w:tcPr>
            <w:tcW w:w="1750" w:type="dxa"/>
          </w:tcPr>
          <w:p w14:paraId="1C34EC98" w14:textId="77777777" w:rsidR="004C558F" w:rsidRDefault="00461887">
            <w:pPr>
              <w:pStyle w:val="TableParagraph"/>
              <w:ind w:right="94"/>
              <w:rPr>
                <w:sz w:val="20"/>
              </w:rPr>
            </w:pPr>
            <w:r>
              <w:rPr>
                <w:spacing w:val="-4"/>
                <w:sz w:val="20"/>
              </w:rPr>
              <w:t>2.1%</w:t>
            </w:r>
          </w:p>
        </w:tc>
      </w:tr>
      <w:tr w:rsidR="004C558F" w14:paraId="1C34ECA1" w14:textId="77777777" w:rsidTr="002104D8">
        <w:trPr>
          <w:cantSplit/>
          <w:trHeight w:val="290"/>
        </w:trPr>
        <w:tc>
          <w:tcPr>
            <w:tcW w:w="4243" w:type="dxa"/>
          </w:tcPr>
          <w:p w14:paraId="1C34EC9A" w14:textId="77777777" w:rsidR="004C558F" w:rsidRDefault="00461887">
            <w:pPr>
              <w:pStyle w:val="TableParagraph"/>
              <w:ind w:left="439"/>
              <w:jc w:val="left"/>
              <w:rPr>
                <w:sz w:val="20"/>
              </w:rPr>
            </w:pPr>
            <w:r>
              <w:rPr>
                <w:sz w:val="20"/>
              </w:rPr>
              <w:t>Massachusetts</w:t>
            </w:r>
            <w:r>
              <w:rPr>
                <w:spacing w:val="-9"/>
                <w:sz w:val="20"/>
              </w:rPr>
              <w:t xml:space="preserve"> </w:t>
            </w:r>
            <w:r>
              <w:rPr>
                <w:sz w:val="20"/>
              </w:rPr>
              <w:t>General</w:t>
            </w:r>
            <w:r>
              <w:rPr>
                <w:spacing w:val="-11"/>
                <w:sz w:val="20"/>
              </w:rPr>
              <w:t xml:space="preserve"> </w:t>
            </w:r>
            <w:r>
              <w:rPr>
                <w:spacing w:val="-2"/>
                <w:sz w:val="20"/>
              </w:rPr>
              <w:t>Hospital</w:t>
            </w:r>
          </w:p>
        </w:tc>
        <w:tc>
          <w:tcPr>
            <w:tcW w:w="1248" w:type="dxa"/>
          </w:tcPr>
          <w:p w14:paraId="1C34EC9B" w14:textId="77777777" w:rsidR="004C558F" w:rsidRDefault="00461887">
            <w:pPr>
              <w:pStyle w:val="TableParagraph"/>
              <w:ind w:right="93"/>
              <w:rPr>
                <w:sz w:val="20"/>
              </w:rPr>
            </w:pPr>
            <w:r>
              <w:rPr>
                <w:spacing w:val="-2"/>
                <w:sz w:val="20"/>
              </w:rPr>
              <w:t>14.1%</w:t>
            </w:r>
          </w:p>
        </w:tc>
        <w:tc>
          <w:tcPr>
            <w:tcW w:w="1361" w:type="dxa"/>
          </w:tcPr>
          <w:p w14:paraId="1C34EC9C" w14:textId="77777777" w:rsidR="004C558F" w:rsidRDefault="00461887">
            <w:pPr>
              <w:pStyle w:val="TableParagraph"/>
              <w:ind w:right="91"/>
              <w:rPr>
                <w:sz w:val="20"/>
              </w:rPr>
            </w:pPr>
            <w:r>
              <w:rPr>
                <w:spacing w:val="-2"/>
                <w:sz w:val="20"/>
              </w:rPr>
              <w:t>19.1%</w:t>
            </w:r>
          </w:p>
        </w:tc>
        <w:tc>
          <w:tcPr>
            <w:tcW w:w="1752" w:type="dxa"/>
          </w:tcPr>
          <w:p w14:paraId="1C34EC9D" w14:textId="77777777" w:rsidR="004C558F" w:rsidRDefault="00461887">
            <w:pPr>
              <w:pStyle w:val="TableParagraph"/>
              <w:ind w:right="93"/>
              <w:rPr>
                <w:sz w:val="20"/>
              </w:rPr>
            </w:pPr>
            <w:r>
              <w:rPr>
                <w:spacing w:val="-2"/>
                <w:sz w:val="20"/>
              </w:rPr>
              <w:t>17.6%</w:t>
            </w:r>
          </w:p>
        </w:tc>
        <w:tc>
          <w:tcPr>
            <w:tcW w:w="1248" w:type="dxa"/>
          </w:tcPr>
          <w:p w14:paraId="1C34EC9E" w14:textId="77777777" w:rsidR="004C558F" w:rsidRDefault="00461887">
            <w:pPr>
              <w:pStyle w:val="TableParagraph"/>
              <w:ind w:right="93"/>
              <w:rPr>
                <w:sz w:val="20"/>
              </w:rPr>
            </w:pPr>
            <w:r>
              <w:rPr>
                <w:spacing w:val="-2"/>
                <w:sz w:val="20"/>
              </w:rPr>
              <w:t>17.4%</w:t>
            </w:r>
          </w:p>
        </w:tc>
        <w:tc>
          <w:tcPr>
            <w:tcW w:w="1361" w:type="dxa"/>
          </w:tcPr>
          <w:p w14:paraId="1C34EC9F" w14:textId="77777777" w:rsidR="004C558F" w:rsidRDefault="00461887">
            <w:pPr>
              <w:pStyle w:val="TableParagraph"/>
              <w:ind w:right="93"/>
              <w:rPr>
                <w:sz w:val="20"/>
              </w:rPr>
            </w:pPr>
            <w:r>
              <w:rPr>
                <w:spacing w:val="-2"/>
                <w:sz w:val="20"/>
              </w:rPr>
              <w:t>22.7%</w:t>
            </w:r>
          </w:p>
        </w:tc>
        <w:tc>
          <w:tcPr>
            <w:tcW w:w="1750" w:type="dxa"/>
          </w:tcPr>
          <w:p w14:paraId="1C34ECA0" w14:textId="77777777" w:rsidR="004C558F" w:rsidRDefault="00461887">
            <w:pPr>
              <w:pStyle w:val="TableParagraph"/>
              <w:ind w:right="91"/>
              <w:rPr>
                <w:sz w:val="20"/>
              </w:rPr>
            </w:pPr>
            <w:r>
              <w:rPr>
                <w:spacing w:val="-2"/>
                <w:sz w:val="20"/>
              </w:rPr>
              <w:t>20.6%</w:t>
            </w:r>
          </w:p>
        </w:tc>
      </w:tr>
      <w:tr w:rsidR="004C558F" w14:paraId="1C34ECA9" w14:textId="77777777" w:rsidTr="002104D8">
        <w:trPr>
          <w:cantSplit/>
          <w:trHeight w:val="289"/>
        </w:trPr>
        <w:tc>
          <w:tcPr>
            <w:tcW w:w="4243" w:type="dxa"/>
          </w:tcPr>
          <w:p w14:paraId="1C34ECA2" w14:textId="77777777" w:rsidR="004C558F" w:rsidRDefault="00461887">
            <w:pPr>
              <w:pStyle w:val="TableParagraph"/>
              <w:ind w:left="439"/>
              <w:jc w:val="left"/>
              <w:rPr>
                <w:sz w:val="20"/>
              </w:rPr>
            </w:pPr>
            <w:r>
              <w:rPr>
                <w:sz w:val="20"/>
              </w:rPr>
              <w:t>NSMC</w:t>
            </w:r>
            <w:r>
              <w:rPr>
                <w:spacing w:val="-7"/>
                <w:sz w:val="20"/>
              </w:rPr>
              <w:t xml:space="preserve"> </w:t>
            </w:r>
            <w:r>
              <w:rPr>
                <w:sz w:val="20"/>
              </w:rPr>
              <w:t>Salem</w:t>
            </w:r>
            <w:r>
              <w:rPr>
                <w:spacing w:val="-5"/>
                <w:sz w:val="20"/>
              </w:rPr>
              <w:t xml:space="preserve"> </w:t>
            </w:r>
            <w:r>
              <w:rPr>
                <w:spacing w:val="-2"/>
                <w:sz w:val="20"/>
              </w:rPr>
              <w:t>Hospital</w:t>
            </w:r>
          </w:p>
        </w:tc>
        <w:tc>
          <w:tcPr>
            <w:tcW w:w="1248" w:type="dxa"/>
          </w:tcPr>
          <w:p w14:paraId="1C34ECA3" w14:textId="77777777" w:rsidR="004C558F" w:rsidRDefault="00461887">
            <w:pPr>
              <w:pStyle w:val="TableParagraph"/>
              <w:ind w:right="95"/>
              <w:rPr>
                <w:sz w:val="20"/>
              </w:rPr>
            </w:pPr>
            <w:r>
              <w:rPr>
                <w:spacing w:val="-4"/>
                <w:sz w:val="20"/>
              </w:rPr>
              <w:t>1.6%</w:t>
            </w:r>
          </w:p>
        </w:tc>
        <w:tc>
          <w:tcPr>
            <w:tcW w:w="1361" w:type="dxa"/>
          </w:tcPr>
          <w:p w14:paraId="1C34ECA4" w14:textId="77777777" w:rsidR="004C558F" w:rsidRDefault="00461887">
            <w:pPr>
              <w:pStyle w:val="TableParagraph"/>
              <w:ind w:right="93"/>
              <w:rPr>
                <w:sz w:val="20"/>
              </w:rPr>
            </w:pPr>
            <w:r>
              <w:rPr>
                <w:spacing w:val="-4"/>
                <w:sz w:val="20"/>
              </w:rPr>
              <w:t>2.3%</w:t>
            </w:r>
          </w:p>
        </w:tc>
        <w:tc>
          <w:tcPr>
            <w:tcW w:w="1752" w:type="dxa"/>
          </w:tcPr>
          <w:p w14:paraId="1C34ECA5" w14:textId="77777777" w:rsidR="004C558F" w:rsidRDefault="00461887">
            <w:pPr>
              <w:pStyle w:val="TableParagraph"/>
              <w:ind w:right="95"/>
              <w:rPr>
                <w:sz w:val="20"/>
              </w:rPr>
            </w:pPr>
            <w:r>
              <w:rPr>
                <w:spacing w:val="-4"/>
                <w:sz w:val="20"/>
              </w:rPr>
              <w:t>2.3%</w:t>
            </w:r>
          </w:p>
        </w:tc>
        <w:tc>
          <w:tcPr>
            <w:tcW w:w="1248" w:type="dxa"/>
          </w:tcPr>
          <w:p w14:paraId="1C34ECA6" w14:textId="77777777" w:rsidR="004C558F" w:rsidRDefault="00461887">
            <w:pPr>
              <w:pStyle w:val="TableParagraph"/>
              <w:ind w:right="95"/>
              <w:rPr>
                <w:sz w:val="20"/>
              </w:rPr>
            </w:pPr>
            <w:r>
              <w:rPr>
                <w:spacing w:val="-4"/>
                <w:sz w:val="20"/>
              </w:rPr>
              <w:t>1.3%</w:t>
            </w:r>
          </w:p>
        </w:tc>
        <w:tc>
          <w:tcPr>
            <w:tcW w:w="1361" w:type="dxa"/>
          </w:tcPr>
          <w:p w14:paraId="1C34ECA7" w14:textId="77777777" w:rsidR="004C558F" w:rsidRDefault="00461887">
            <w:pPr>
              <w:pStyle w:val="TableParagraph"/>
              <w:ind w:right="96"/>
              <w:rPr>
                <w:sz w:val="20"/>
              </w:rPr>
            </w:pPr>
            <w:r>
              <w:rPr>
                <w:spacing w:val="-4"/>
                <w:sz w:val="20"/>
              </w:rPr>
              <w:t>1.9%</w:t>
            </w:r>
          </w:p>
        </w:tc>
        <w:tc>
          <w:tcPr>
            <w:tcW w:w="1750" w:type="dxa"/>
          </w:tcPr>
          <w:p w14:paraId="1C34ECA8" w14:textId="77777777" w:rsidR="004C558F" w:rsidRDefault="00461887">
            <w:pPr>
              <w:pStyle w:val="TableParagraph"/>
              <w:ind w:right="94"/>
              <w:rPr>
                <w:sz w:val="20"/>
              </w:rPr>
            </w:pPr>
            <w:r>
              <w:rPr>
                <w:spacing w:val="-4"/>
                <w:sz w:val="20"/>
              </w:rPr>
              <w:t>1.8%</w:t>
            </w:r>
          </w:p>
        </w:tc>
      </w:tr>
      <w:tr w:rsidR="004C558F" w14:paraId="1C34ECB1" w14:textId="77777777" w:rsidTr="002104D8">
        <w:trPr>
          <w:cantSplit/>
          <w:trHeight w:val="290"/>
        </w:trPr>
        <w:tc>
          <w:tcPr>
            <w:tcW w:w="4243" w:type="dxa"/>
          </w:tcPr>
          <w:p w14:paraId="1C34ECAA" w14:textId="77777777" w:rsidR="004C558F" w:rsidRDefault="00461887">
            <w:pPr>
              <w:pStyle w:val="TableParagraph"/>
              <w:ind w:left="439"/>
              <w:jc w:val="left"/>
              <w:rPr>
                <w:sz w:val="20"/>
              </w:rPr>
            </w:pPr>
            <w:r>
              <w:rPr>
                <w:spacing w:val="-2"/>
                <w:sz w:val="20"/>
              </w:rPr>
              <w:t>Newton-Wellesley</w:t>
            </w:r>
            <w:r>
              <w:rPr>
                <w:spacing w:val="14"/>
                <w:sz w:val="20"/>
              </w:rPr>
              <w:t xml:space="preserve"> </w:t>
            </w:r>
            <w:r>
              <w:rPr>
                <w:spacing w:val="-2"/>
                <w:sz w:val="20"/>
              </w:rPr>
              <w:t>Hospital</w:t>
            </w:r>
          </w:p>
        </w:tc>
        <w:tc>
          <w:tcPr>
            <w:tcW w:w="1248" w:type="dxa"/>
          </w:tcPr>
          <w:p w14:paraId="1C34ECAB" w14:textId="77777777" w:rsidR="004C558F" w:rsidRDefault="00461887">
            <w:pPr>
              <w:pStyle w:val="TableParagraph"/>
              <w:ind w:right="95"/>
              <w:rPr>
                <w:sz w:val="20"/>
              </w:rPr>
            </w:pPr>
            <w:r>
              <w:rPr>
                <w:spacing w:val="-4"/>
                <w:sz w:val="20"/>
              </w:rPr>
              <w:t>2.2%</w:t>
            </w:r>
          </w:p>
        </w:tc>
        <w:tc>
          <w:tcPr>
            <w:tcW w:w="1361" w:type="dxa"/>
          </w:tcPr>
          <w:p w14:paraId="1C34ECAC" w14:textId="77777777" w:rsidR="004C558F" w:rsidRDefault="00461887">
            <w:pPr>
              <w:pStyle w:val="TableParagraph"/>
              <w:ind w:right="93"/>
              <w:rPr>
                <w:sz w:val="20"/>
              </w:rPr>
            </w:pPr>
            <w:r>
              <w:rPr>
                <w:spacing w:val="-4"/>
                <w:sz w:val="20"/>
              </w:rPr>
              <w:t>3.4%</w:t>
            </w:r>
          </w:p>
        </w:tc>
        <w:tc>
          <w:tcPr>
            <w:tcW w:w="1752" w:type="dxa"/>
          </w:tcPr>
          <w:p w14:paraId="1C34ECAD" w14:textId="77777777" w:rsidR="004C558F" w:rsidRDefault="00461887">
            <w:pPr>
              <w:pStyle w:val="TableParagraph"/>
              <w:ind w:right="95"/>
              <w:rPr>
                <w:sz w:val="20"/>
              </w:rPr>
            </w:pPr>
            <w:r>
              <w:rPr>
                <w:spacing w:val="-4"/>
                <w:sz w:val="20"/>
              </w:rPr>
              <w:t>2.9%</w:t>
            </w:r>
          </w:p>
        </w:tc>
        <w:tc>
          <w:tcPr>
            <w:tcW w:w="1248" w:type="dxa"/>
          </w:tcPr>
          <w:p w14:paraId="1C34ECAE" w14:textId="77777777" w:rsidR="004C558F" w:rsidRDefault="00461887">
            <w:pPr>
              <w:pStyle w:val="TableParagraph"/>
              <w:ind w:right="95"/>
              <w:rPr>
                <w:sz w:val="20"/>
              </w:rPr>
            </w:pPr>
            <w:r>
              <w:rPr>
                <w:spacing w:val="-4"/>
                <w:sz w:val="20"/>
              </w:rPr>
              <w:t>2.3%</w:t>
            </w:r>
          </w:p>
        </w:tc>
        <w:tc>
          <w:tcPr>
            <w:tcW w:w="1361" w:type="dxa"/>
          </w:tcPr>
          <w:p w14:paraId="1C34ECAF" w14:textId="77777777" w:rsidR="004C558F" w:rsidRDefault="00461887">
            <w:pPr>
              <w:pStyle w:val="TableParagraph"/>
              <w:ind w:right="96"/>
              <w:rPr>
                <w:sz w:val="20"/>
              </w:rPr>
            </w:pPr>
            <w:r>
              <w:rPr>
                <w:spacing w:val="-4"/>
                <w:sz w:val="20"/>
              </w:rPr>
              <w:t>3.4%</w:t>
            </w:r>
          </w:p>
        </w:tc>
        <w:tc>
          <w:tcPr>
            <w:tcW w:w="1750" w:type="dxa"/>
          </w:tcPr>
          <w:p w14:paraId="1C34ECB0" w14:textId="77777777" w:rsidR="004C558F" w:rsidRDefault="00461887">
            <w:pPr>
              <w:pStyle w:val="TableParagraph"/>
              <w:ind w:right="94"/>
              <w:rPr>
                <w:sz w:val="20"/>
              </w:rPr>
            </w:pPr>
            <w:r>
              <w:rPr>
                <w:spacing w:val="-4"/>
                <w:sz w:val="20"/>
              </w:rPr>
              <w:t>3.0%</w:t>
            </w:r>
          </w:p>
        </w:tc>
      </w:tr>
      <w:tr w:rsidR="004C558F" w14:paraId="1C34ECB9" w14:textId="77777777" w:rsidTr="002104D8">
        <w:trPr>
          <w:cantSplit/>
          <w:trHeight w:val="290"/>
        </w:trPr>
        <w:tc>
          <w:tcPr>
            <w:tcW w:w="4243" w:type="dxa"/>
            <w:shd w:val="clear" w:color="auto" w:fill="FBDFD3"/>
          </w:tcPr>
          <w:p w14:paraId="1C34ECB2" w14:textId="77777777" w:rsidR="004C558F" w:rsidRDefault="00461887">
            <w:pPr>
              <w:pStyle w:val="TableParagraph"/>
              <w:ind w:left="107"/>
              <w:jc w:val="left"/>
              <w:rPr>
                <w:sz w:val="20"/>
              </w:rPr>
            </w:pPr>
            <w:r>
              <w:rPr>
                <w:sz w:val="20"/>
              </w:rPr>
              <w:t>Beth</w:t>
            </w:r>
            <w:r>
              <w:rPr>
                <w:spacing w:val="-4"/>
                <w:sz w:val="20"/>
              </w:rPr>
              <w:t xml:space="preserve"> </w:t>
            </w:r>
            <w:r>
              <w:rPr>
                <w:sz w:val="20"/>
              </w:rPr>
              <w:t>Israel</w:t>
            </w:r>
            <w:r>
              <w:rPr>
                <w:spacing w:val="-4"/>
                <w:sz w:val="20"/>
              </w:rPr>
              <w:t xml:space="preserve"> </w:t>
            </w:r>
            <w:r>
              <w:rPr>
                <w:sz w:val="20"/>
              </w:rPr>
              <w:t>Lahey</w:t>
            </w:r>
            <w:r>
              <w:rPr>
                <w:spacing w:val="-3"/>
                <w:sz w:val="20"/>
              </w:rPr>
              <w:t xml:space="preserve"> </w:t>
            </w:r>
            <w:r>
              <w:rPr>
                <w:spacing w:val="-2"/>
                <w:sz w:val="20"/>
              </w:rPr>
              <w:t>Health</w:t>
            </w:r>
          </w:p>
        </w:tc>
        <w:tc>
          <w:tcPr>
            <w:tcW w:w="1248" w:type="dxa"/>
            <w:shd w:val="clear" w:color="auto" w:fill="FBDFD3"/>
          </w:tcPr>
          <w:p w14:paraId="1C34ECB3" w14:textId="77777777" w:rsidR="004C558F" w:rsidRDefault="00461887">
            <w:pPr>
              <w:pStyle w:val="TableParagraph"/>
              <w:ind w:right="95"/>
              <w:rPr>
                <w:sz w:val="20"/>
              </w:rPr>
            </w:pPr>
            <w:r>
              <w:rPr>
                <w:spacing w:val="-2"/>
                <w:sz w:val="20"/>
              </w:rPr>
              <w:t>17.3%</w:t>
            </w:r>
          </w:p>
        </w:tc>
        <w:tc>
          <w:tcPr>
            <w:tcW w:w="1361" w:type="dxa"/>
            <w:shd w:val="clear" w:color="auto" w:fill="FBDFD3"/>
          </w:tcPr>
          <w:p w14:paraId="1C34ECB4" w14:textId="77777777" w:rsidR="004C558F" w:rsidRDefault="00461887">
            <w:pPr>
              <w:pStyle w:val="TableParagraph"/>
              <w:ind w:right="93"/>
              <w:rPr>
                <w:sz w:val="20"/>
              </w:rPr>
            </w:pPr>
            <w:r>
              <w:rPr>
                <w:spacing w:val="-2"/>
                <w:sz w:val="20"/>
              </w:rPr>
              <w:t>24.1%</w:t>
            </w:r>
          </w:p>
        </w:tc>
        <w:tc>
          <w:tcPr>
            <w:tcW w:w="1752" w:type="dxa"/>
            <w:shd w:val="clear" w:color="auto" w:fill="FBDFD3"/>
          </w:tcPr>
          <w:p w14:paraId="1C34ECB5" w14:textId="77777777" w:rsidR="004C558F" w:rsidRDefault="00461887">
            <w:pPr>
              <w:pStyle w:val="TableParagraph"/>
              <w:ind w:right="95"/>
              <w:rPr>
                <w:sz w:val="20"/>
              </w:rPr>
            </w:pPr>
            <w:r>
              <w:rPr>
                <w:spacing w:val="-2"/>
                <w:sz w:val="20"/>
              </w:rPr>
              <w:t>21.4%</w:t>
            </w:r>
          </w:p>
        </w:tc>
        <w:tc>
          <w:tcPr>
            <w:tcW w:w="1248" w:type="dxa"/>
            <w:shd w:val="clear" w:color="auto" w:fill="FBDFD3"/>
          </w:tcPr>
          <w:p w14:paraId="1C34ECB6" w14:textId="77777777" w:rsidR="004C558F" w:rsidRDefault="00461887">
            <w:pPr>
              <w:pStyle w:val="TableParagraph"/>
              <w:ind w:right="95"/>
              <w:rPr>
                <w:sz w:val="20"/>
              </w:rPr>
            </w:pPr>
            <w:r>
              <w:rPr>
                <w:spacing w:val="-2"/>
                <w:sz w:val="20"/>
              </w:rPr>
              <w:t>18.5%</w:t>
            </w:r>
          </w:p>
        </w:tc>
        <w:tc>
          <w:tcPr>
            <w:tcW w:w="1361" w:type="dxa"/>
            <w:shd w:val="clear" w:color="auto" w:fill="FBDFD3"/>
          </w:tcPr>
          <w:p w14:paraId="1C34ECB7" w14:textId="77777777" w:rsidR="004C558F" w:rsidRDefault="00461887">
            <w:pPr>
              <w:pStyle w:val="TableParagraph"/>
              <w:ind w:right="96"/>
              <w:rPr>
                <w:sz w:val="20"/>
              </w:rPr>
            </w:pPr>
            <w:r>
              <w:rPr>
                <w:spacing w:val="-2"/>
                <w:sz w:val="20"/>
              </w:rPr>
              <w:t>25.8%</w:t>
            </w:r>
          </w:p>
        </w:tc>
        <w:tc>
          <w:tcPr>
            <w:tcW w:w="1750" w:type="dxa"/>
            <w:shd w:val="clear" w:color="auto" w:fill="FBDFD3"/>
          </w:tcPr>
          <w:p w14:paraId="1C34ECB8" w14:textId="77777777" w:rsidR="004C558F" w:rsidRDefault="00461887">
            <w:pPr>
              <w:pStyle w:val="TableParagraph"/>
              <w:ind w:right="94"/>
              <w:rPr>
                <w:sz w:val="20"/>
              </w:rPr>
            </w:pPr>
            <w:r>
              <w:rPr>
                <w:spacing w:val="-2"/>
                <w:sz w:val="20"/>
              </w:rPr>
              <w:t>22.7%</w:t>
            </w:r>
          </w:p>
        </w:tc>
      </w:tr>
      <w:tr w:rsidR="004C558F" w14:paraId="1C34ECC1" w14:textId="77777777" w:rsidTr="002104D8">
        <w:trPr>
          <w:cantSplit/>
          <w:trHeight w:val="289"/>
        </w:trPr>
        <w:tc>
          <w:tcPr>
            <w:tcW w:w="4243" w:type="dxa"/>
          </w:tcPr>
          <w:p w14:paraId="1C34ECBA" w14:textId="77777777" w:rsidR="004C558F" w:rsidRDefault="00461887">
            <w:pPr>
              <w:pStyle w:val="TableParagraph"/>
              <w:ind w:left="439"/>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248" w:type="dxa"/>
          </w:tcPr>
          <w:p w14:paraId="1C34ECBB" w14:textId="77777777" w:rsidR="004C558F" w:rsidRDefault="00461887">
            <w:pPr>
              <w:pStyle w:val="TableParagraph"/>
              <w:ind w:right="95"/>
              <w:rPr>
                <w:sz w:val="20"/>
              </w:rPr>
            </w:pPr>
            <w:r>
              <w:rPr>
                <w:spacing w:val="-4"/>
                <w:sz w:val="20"/>
              </w:rPr>
              <w:t>8.8%</w:t>
            </w:r>
          </w:p>
        </w:tc>
        <w:tc>
          <w:tcPr>
            <w:tcW w:w="1361" w:type="dxa"/>
          </w:tcPr>
          <w:p w14:paraId="1C34ECBC" w14:textId="77777777" w:rsidR="004C558F" w:rsidRDefault="00461887">
            <w:pPr>
              <w:pStyle w:val="TableParagraph"/>
              <w:ind w:right="91"/>
              <w:rPr>
                <w:sz w:val="20"/>
              </w:rPr>
            </w:pPr>
            <w:r>
              <w:rPr>
                <w:spacing w:val="-2"/>
                <w:sz w:val="20"/>
              </w:rPr>
              <w:t>13.1%</w:t>
            </w:r>
          </w:p>
        </w:tc>
        <w:tc>
          <w:tcPr>
            <w:tcW w:w="1752" w:type="dxa"/>
          </w:tcPr>
          <w:p w14:paraId="1C34ECBD" w14:textId="77777777" w:rsidR="004C558F" w:rsidRDefault="00461887">
            <w:pPr>
              <w:pStyle w:val="TableParagraph"/>
              <w:ind w:right="93"/>
              <w:rPr>
                <w:sz w:val="20"/>
              </w:rPr>
            </w:pPr>
            <w:r>
              <w:rPr>
                <w:spacing w:val="-2"/>
                <w:sz w:val="20"/>
              </w:rPr>
              <w:t>11.0%</w:t>
            </w:r>
          </w:p>
        </w:tc>
        <w:tc>
          <w:tcPr>
            <w:tcW w:w="1248" w:type="dxa"/>
          </w:tcPr>
          <w:p w14:paraId="1C34ECBE" w14:textId="77777777" w:rsidR="004C558F" w:rsidRDefault="00461887">
            <w:pPr>
              <w:pStyle w:val="TableParagraph"/>
              <w:ind w:right="95"/>
              <w:rPr>
                <w:sz w:val="20"/>
              </w:rPr>
            </w:pPr>
            <w:r>
              <w:rPr>
                <w:spacing w:val="-4"/>
                <w:sz w:val="20"/>
              </w:rPr>
              <w:t>9.9%</w:t>
            </w:r>
          </w:p>
        </w:tc>
        <w:tc>
          <w:tcPr>
            <w:tcW w:w="1361" w:type="dxa"/>
          </w:tcPr>
          <w:p w14:paraId="1C34ECBF" w14:textId="77777777" w:rsidR="004C558F" w:rsidRDefault="00461887">
            <w:pPr>
              <w:pStyle w:val="TableParagraph"/>
              <w:ind w:right="93"/>
              <w:rPr>
                <w:sz w:val="20"/>
              </w:rPr>
            </w:pPr>
            <w:r>
              <w:rPr>
                <w:spacing w:val="-2"/>
                <w:sz w:val="20"/>
              </w:rPr>
              <w:t>14.1%</w:t>
            </w:r>
          </w:p>
        </w:tc>
        <w:tc>
          <w:tcPr>
            <w:tcW w:w="1750" w:type="dxa"/>
          </w:tcPr>
          <w:p w14:paraId="1C34ECC0" w14:textId="77777777" w:rsidR="004C558F" w:rsidRDefault="00461887">
            <w:pPr>
              <w:pStyle w:val="TableParagraph"/>
              <w:ind w:right="91"/>
              <w:rPr>
                <w:sz w:val="20"/>
              </w:rPr>
            </w:pPr>
            <w:r>
              <w:rPr>
                <w:spacing w:val="-2"/>
                <w:sz w:val="20"/>
              </w:rPr>
              <w:t>11.8%</w:t>
            </w:r>
          </w:p>
        </w:tc>
      </w:tr>
      <w:tr w:rsidR="004C558F" w14:paraId="1C34ECC9" w14:textId="77777777" w:rsidTr="002104D8">
        <w:trPr>
          <w:cantSplit/>
          <w:trHeight w:val="290"/>
        </w:trPr>
        <w:tc>
          <w:tcPr>
            <w:tcW w:w="4243" w:type="dxa"/>
          </w:tcPr>
          <w:p w14:paraId="1C34ECC2" w14:textId="77777777" w:rsidR="004C558F" w:rsidRDefault="00461887">
            <w:pPr>
              <w:pStyle w:val="TableParagraph"/>
              <w:ind w:left="439"/>
              <w:jc w:val="left"/>
              <w:rPr>
                <w:sz w:val="20"/>
              </w:rPr>
            </w:pPr>
            <w:r>
              <w:rPr>
                <w:sz w:val="20"/>
              </w:rPr>
              <w:t>Lahey</w:t>
            </w:r>
            <w:r>
              <w:rPr>
                <w:spacing w:val="-8"/>
                <w:sz w:val="20"/>
              </w:rPr>
              <w:t xml:space="preserve"> </w:t>
            </w:r>
            <w:r>
              <w:rPr>
                <w:sz w:val="20"/>
              </w:rPr>
              <w:t>Hospital</w:t>
            </w:r>
            <w:r>
              <w:rPr>
                <w:spacing w:val="-6"/>
                <w:sz w:val="20"/>
              </w:rPr>
              <w:t xml:space="preserve"> </w:t>
            </w:r>
            <w:r>
              <w:rPr>
                <w:sz w:val="20"/>
              </w:rPr>
              <w:t>and</w:t>
            </w:r>
            <w:r>
              <w:rPr>
                <w:spacing w:val="-6"/>
                <w:sz w:val="20"/>
              </w:rPr>
              <w:t xml:space="preserve"> </w:t>
            </w:r>
            <w:r>
              <w:rPr>
                <w:sz w:val="20"/>
              </w:rPr>
              <w:t>Medical</w:t>
            </w:r>
            <w:r>
              <w:rPr>
                <w:spacing w:val="-4"/>
                <w:sz w:val="20"/>
              </w:rPr>
              <w:t xml:space="preserve"> </w:t>
            </w:r>
            <w:r>
              <w:rPr>
                <w:spacing w:val="-2"/>
                <w:sz w:val="20"/>
              </w:rPr>
              <w:t>Center</w:t>
            </w:r>
          </w:p>
        </w:tc>
        <w:tc>
          <w:tcPr>
            <w:tcW w:w="1248" w:type="dxa"/>
          </w:tcPr>
          <w:p w14:paraId="1C34ECC3" w14:textId="77777777" w:rsidR="004C558F" w:rsidRDefault="00461887">
            <w:pPr>
              <w:pStyle w:val="TableParagraph"/>
              <w:ind w:right="95"/>
              <w:rPr>
                <w:sz w:val="20"/>
              </w:rPr>
            </w:pPr>
            <w:r>
              <w:rPr>
                <w:spacing w:val="-4"/>
                <w:sz w:val="20"/>
              </w:rPr>
              <w:t>3.2%</w:t>
            </w:r>
          </w:p>
        </w:tc>
        <w:tc>
          <w:tcPr>
            <w:tcW w:w="1361" w:type="dxa"/>
          </w:tcPr>
          <w:p w14:paraId="1C34ECC4" w14:textId="77777777" w:rsidR="004C558F" w:rsidRDefault="00461887">
            <w:pPr>
              <w:pStyle w:val="TableParagraph"/>
              <w:ind w:right="93"/>
              <w:rPr>
                <w:sz w:val="20"/>
              </w:rPr>
            </w:pPr>
            <w:r>
              <w:rPr>
                <w:spacing w:val="-4"/>
                <w:sz w:val="20"/>
              </w:rPr>
              <w:t>4.7%</w:t>
            </w:r>
          </w:p>
        </w:tc>
        <w:tc>
          <w:tcPr>
            <w:tcW w:w="1752" w:type="dxa"/>
          </w:tcPr>
          <w:p w14:paraId="1C34ECC5" w14:textId="77777777" w:rsidR="004C558F" w:rsidRDefault="00461887">
            <w:pPr>
              <w:pStyle w:val="TableParagraph"/>
              <w:ind w:right="95"/>
              <w:rPr>
                <w:sz w:val="20"/>
              </w:rPr>
            </w:pPr>
            <w:r>
              <w:rPr>
                <w:spacing w:val="-4"/>
                <w:sz w:val="20"/>
              </w:rPr>
              <w:t>4.5%</w:t>
            </w:r>
          </w:p>
        </w:tc>
        <w:tc>
          <w:tcPr>
            <w:tcW w:w="1248" w:type="dxa"/>
          </w:tcPr>
          <w:p w14:paraId="1C34ECC6" w14:textId="77777777" w:rsidR="004C558F" w:rsidRDefault="00461887">
            <w:pPr>
              <w:pStyle w:val="TableParagraph"/>
              <w:ind w:right="95"/>
              <w:rPr>
                <w:sz w:val="20"/>
              </w:rPr>
            </w:pPr>
            <w:r>
              <w:rPr>
                <w:spacing w:val="-4"/>
                <w:sz w:val="20"/>
              </w:rPr>
              <w:t>4.8%</w:t>
            </w:r>
          </w:p>
        </w:tc>
        <w:tc>
          <w:tcPr>
            <w:tcW w:w="1361" w:type="dxa"/>
          </w:tcPr>
          <w:p w14:paraId="1C34ECC7" w14:textId="77777777" w:rsidR="004C558F" w:rsidRDefault="00461887">
            <w:pPr>
              <w:pStyle w:val="TableParagraph"/>
              <w:ind w:right="96"/>
              <w:rPr>
                <w:sz w:val="20"/>
              </w:rPr>
            </w:pPr>
            <w:r>
              <w:rPr>
                <w:spacing w:val="-4"/>
                <w:sz w:val="20"/>
              </w:rPr>
              <w:t>6.7%</w:t>
            </w:r>
          </w:p>
        </w:tc>
        <w:tc>
          <w:tcPr>
            <w:tcW w:w="1750" w:type="dxa"/>
          </w:tcPr>
          <w:p w14:paraId="1C34ECC8" w14:textId="77777777" w:rsidR="004C558F" w:rsidRDefault="00461887">
            <w:pPr>
              <w:pStyle w:val="TableParagraph"/>
              <w:ind w:right="94"/>
              <w:rPr>
                <w:sz w:val="20"/>
              </w:rPr>
            </w:pPr>
            <w:r>
              <w:rPr>
                <w:spacing w:val="-4"/>
                <w:sz w:val="20"/>
              </w:rPr>
              <w:t>6.3%</w:t>
            </w:r>
          </w:p>
        </w:tc>
      </w:tr>
      <w:tr w:rsidR="004C558F" w14:paraId="1C34ECD1" w14:textId="77777777" w:rsidTr="002104D8">
        <w:trPr>
          <w:cantSplit/>
          <w:trHeight w:val="290"/>
        </w:trPr>
        <w:tc>
          <w:tcPr>
            <w:tcW w:w="4243" w:type="dxa"/>
            <w:shd w:val="clear" w:color="auto" w:fill="D4EBF4"/>
          </w:tcPr>
          <w:p w14:paraId="1C34ECCA" w14:textId="77777777" w:rsidR="004C558F" w:rsidRDefault="00461887">
            <w:pPr>
              <w:pStyle w:val="TableParagraph"/>
              <w:ind w:left="107"/>
              <w:jc w:val="left"/>
              <w:rPr>
                <w:sz w:val="20"/>
              </w:rPr>
            </w:pPr>
            <w:r>
              <w:rPr>
                <w:sz w:val="20"/>
              </w:rPr>
              <w:t>UMass</w:t>
            </w:r>
            <w:r>
              <w:rPr>
                <w:spacing w:val="-6"/>
                <w:sz w:val="20"/>
              </w:rPr>
              <w:t xml:space="preserve"> </w:t>
            </w:r>
            <w:r>
              <w:rPr>
                <w:sz w:val="20"/>
              </w:rPr>
              <w:t>Memorial</w:t>
            </w:r>
            <w:r>
              <w:rPr>
                <w:spacing w:val="-6"/>
                <w:sz w:val="20"/>
              </w:rPr>
              <w:t xml:space="preserve"> </w:t>
            </w:r>
            <w:r>
              <w:rPr>
                <w:sz w:val="20"/>
              </w:rPr>
              <w:t>Health</w:t>
            </w:r>
            <w:r>
              <w:rPr>
                <w:spacing w:val="-6"/>
                <w:sz w:val="20"/>
              </w:rPr>
              <w:t xml:space="preserve"> </w:t>
            </w:r>
            <w:r>
              <w:rPr>
                <w:spacing w:val="-4"/>
                <w:sz w:val="20"/>
              </w:rPr>
              <w:t>Care</w:t>
            </w:r>
          </w:p>
        </w:tc>
        <w:tc>
          <w:tcPr>
            <w:tcW w:w="1248" w:type="dxa"/>
            <w:shd w:val="clear" w:color="auto" w:fill="D4EBF4"/>
          </w:tcPr>
          <w:p w14:paraId="1C34ECCB" w14:textId="77777777" w:rsidR="004C558F" w:rsidRDefault="00461887">
            <w:pPr>
              <w:pStyle w:val="TableParagraph"/>
              <w:ind w:right="95"/>
              <w:rPr>
                <w:sz w:val="20"/>
              </w:rPr>
            </w:pPr>
            <w:r>
              <w:rPr>
                <w:spacing w:val="-4"/>
                <w:sz w:val="20"/>
              </w:rPr>
              <w:t>8.1%</w:t>
            </w:r>
          </w:p>
        </w:tc>
        <w:tc>
          <w:tcPr>
            <w:tcW w:w="1361" w:type="dxa"/>
            <w:shd w:val="clear" w:color="auto" w:fill="D4EBF4"/>
          </w:tcPr>
          <w:p w14:paraId="1C34ECCC" w14:textId="77777777" w:rsidR="004C558F" w:rsidRDefault="00461887">
            <w:pPr>
              <w:pStyle w:val="TableParagraph"/>
              <w:ind w:right="93"/>
              <w:rPr>
                <w:sz w:val="20"/>
              </w:rPr>
            </w:pPr>
            <w:r>
              <w:rPr>
                <w:spacing w:val="-4"/>
                <w:sz w:val="20"/>
              </w:rPr>
              <w:t>2.0%</w:t>
            </w:r>
          </w:p>
        </w:tc>
        <w:tc>
          <w:tcPr>
            <w:tcW w:w="1752" w:type="dxa"/>
            <w:shd w:val="clear" w:color="auto" w:fill="D4EBF4"/>
          </w:tcPr>
          <w:p w14:paraId="1C34ECCD" w14:textId="77777777" w:rsidR="004C558F" w:rsidRDefault="00461887">
            <w:pPr>
              <w:pStyle w:val="TableParagraph"/>
              <w:ind w:right="95"/>
              <w:rPr>
                <w:sz w:val="20"/>
              </w:rPr>
            </w:pPr>
            <w:r>
              <w:rPr>
                <w:spacing w:val="-4"/>
                <w:sz w:val="20"/>
              </w:rPr>
              <w:t>5.1%</w:t>
            </w:r>
          </w:p>
        </w:tc>
        <w:tc>
          <w:tcPr>
            <w:tcW w:w="1248" w:type="dxa"/>
            <w:shd w:val="clear" w:color="auto" w:fill="D4EBF4"/>
          </w:tcPr>
          <w:p w14:paraId="1C34ECCE" w14:textId="77777777" w:rsidR="004C558F" w:rsidRDefault="00461887">
            <w:pPr>
              <w:pStyle w:val="TableParagraph"/>
              <w:ind w:right="95"/>
              <w:rPr>
                <w:sz w:val="20"/>
              </w:rPr>
            </w:pPr>
            <w:r>
              <w:rPr>
                <w:spacing w:val="-4"/>
                <w:sz w:val="20"/>
              </w:rPr>
              <w:t>7.6%</w:t>
            </w:r>
          </w:p>
        </w:tc>
        <w:tc>
          <w:tcPr>
            <w:tcW w:w="1361" w:type="dxa"/>
            <w:shd w:val="clear" w:color="auto" w:fill="D4EBF4"/>
          </w:tcPr>
          <w:p w14:paraId="1C34ECCF" w14:textId="77777777" w:rsidR="004C558F" w:rsidRDefault="00461887">
            <w:pPr>
              <w:pStyle w:val="TableParagraph"/>
              <w:ind w:right="96"/>
              <w:rPr>
                <w:sz w:val="20"/>
              </w:rPr>
            </w:pPr>
            <w:r>
              <w:rPr>
                <w:spacing w:val="-4"/>
                <w:sz w:val="20"/>
              </w:rPr>
              <w:t>1.4%</w:t>
            </w:r>
          </w:p>
        </w:tc>
        <w:tc>
          <w:tcPr>
            <w:tcW w:w="1750" w:type="dxa"/>
            <w:shd w:val="clear" w:color="auto" w:fill="D4EBF4"/>
          </w:tcPr>
          <w:p w14:paraId="1C34ECD0" w14:textId="77777777" w:rsidR="004C558F" w:rsidRDefault="00461887">
            <w:pPr>
              <w:pStyle w:val="TableParagraph"/>
              <w:ind w:right="94"/>
              <w:rPr>
                <w:sz w:val="20"/>
              </w:rPr>
            </w:pPr>
            <w:r>
              <w:rPr>
                <w:spacing w:val="-4"/>
                <w:sz w:val="20"/>
              </w:rPr>
              <w:t>4.7%</w:t>
            </w:r>
          </w:p>
        </w:tc>
      </w:tr>
      <w:tr w:rsidR="004C558F" w14:paraId="1C34ECD9" w14:textId="77777777" w:rsidTr="002104D8">
        <w:trPr>
          <w:cantSplit/>
          <w:trHeight w:val="289"/>
        </w:trPr>
        <w:tc>
          <w:tcPr>
            <w:tcW w:w="4243" w:type="dxa"/>
            <w:shd w:val="clear" w:color="auto" w:fill="D4EBF4"/>
          </w:tcPr>
          <w:p w14:paraId="1C34ECD2" w14:textId="77777777" w:rsidR="004C558F" w:rsidRDefault="00461887">
            <w:pPr>
              <w:pStyle w:val="TableParagraph"/>
              <w:ind w:left="107"/>
              <w:jc w:val="left"/>
              <w:rPr>
                <w:sz w:val="20"/>
              </w:rPr>
            </w:pPr>
            <w:r>
              <w:rPr>
                <w:sz w:val="20"/>
              </w:rPr>
              <w:t>Tufts</w:t>
            </w:r>
            <w:r>
              <w:rPr>
                <w:spacing w:val="-2"/>
                <w:sz w:val="20"/>
              </w:rPr>
              <w:t xml:space="preserve"> Medicine</w:t>
            </w:r>
          </w:p>
        </w:tc>
        <w:tc>
          <w:tcPr>
            <w:tcW w:w="1248" w:type="dxa"/>
            <w:shd w:val="clear" w:color="auto" w:fill="D4EBF4"/>
          </w:tcPr>
          <w:p w14:paraId="1C34ECD3" w14:textId="77777777" w:rsidR="004C558F" w:rsidRDefault="00461887">
            <w:pPr>
              <w:pStyle w:val="TableParagraph"/>
              <w:ind w:right="95"/>
              <w:rPr>
                <w:sz w:val="20"/>
              </w:rPr>
            </w:pPr>
            <w:r>
              <w:rPr>
                <w:spacing w:val="-4"/>
                <w:sz w:val="20"/>
              </w:rPr>
              <w:t>5.8%</w:t>
            </w:r>
          </w:p>
        </w:tc>
        <w:tc>
          <w:tcPr>
            <w:tcW w:w="1361" w:type="dxa"/>
            <w:shd w:val="clear" w:color="auto" w:fill="D4EBF4"/>
          </w:tcPr>
          <w:p w14:paraId="1C34ECD4" w14:textId="77777777" w:rsidR="004C558F" w:rsidRDefault="00461887">
            <w:pPr>
              <w:pStyle w:val="TableParagraph"/>
              <w:ind w:right="93"/>
              <w:rPr>
                <w:sz w:val="20"/>
              </w:rPr>
            </w:pPr>
            <w:r>
              <w:rPr>
                <w:spacing w:val="-4"/>
                <w:sz w:val="20"/>
              </w:rPr>
              <w:t>7.4%</w:t>
            </w:r>
          </w:p>
        </w:tc>
        <w:tc>
          <w:tcPr>
            <w:tcW w:w="1752" w:type="dxa"/>
            <w:shd w:val="clear" w:color="auto" w:fill="D4EBF4"/>
          </w:tcPr>
          <w:p w14:paraId="1C34ECD5" w14:textId="77777777" w:rsidR="004C558F" w:rsidRDefault="00461887">
            <w:pPr>
              <w:pStyle w:val="TableParagraph"/>
              <w:ind w:right="95"/>
              <w:rPr>
                <w:sz w:val="20"/>
              </w:rPr>
            </w:pPr>
            <w:r>
              <w:rPr>
                <w:spacing w:val="-4"/>
                <w:sz w:val="20"/>
              </w:rPr>
              <w:t>7.6%</w:t>
            </w:r>
          </w:p>
        </w:tc>
        <w:tc>
          <w:tcPr>
            <w:tcW w:w="1248" w:type="dxa"/>
            <w:shd w:val="clear" w:color="auto" w:fill="D4EBF4"/>
          </w:tcPr>
          <w:p w14:paraId="1C34ECD6" w14:textId="77777777" w:rsidR="004C558F" w:rsidRDefault="00461887">
            <w:pPr>
              <w:pStyle w:val="TableParagraph"/>
              <w:ind w:right="95"/>
              <w:rPr>
                <w:sz w:val="20"/>
              </w:rPr>
            </w:pPr>
            <w:r>
              <w:rPr>
                <w:spacing w:val="-4"/>
                <w:sz w:val="20"/>
              </w:rPr>
              <w:t>5.4%</w:t>
            </w:r>
          </w:p>
        </w:tc>
        <w:tc>
          <w:tcPr>
            <w:tcW w:w="1361" w:type="dxa"/>
            <w:shd w:val="clear" w:color="auto" w:fill="D4EBF4"/>
          </w:tcPr>
          <w:p w14:paraId="1C34ECD7" w14:textId="77777777" w:rsidR="004C558F" w:rsidRDefault="00461887">
            <w:pPr>
              <w:pStyle w:val="TableParagraph"/>
              <w:ind w:right="96"/>
              <w:rPr>
                <w:sz w:val="20"/>
              </w:rPr>
            </w:pPr>
            <w:r>
              <w:rPr>
                <w:spacing w:val="-4"/>
                <w:sz w:val="20"/>
              </w:rPr>
              <w:t>6.8%</w:t>
            </w:r>
          </w:p>
        </w:tc>
        <w:tc>
          <w:tcPr>
            <w:tcW w:w="1750" w:type="dxa"/>
            <w:shd w:val="clear" w:color="auto" w:fill="D4EBF4"/>
          </w:tcPr>
          <w:p w14:paraId="1C34ECD8" w14:textId="77777777" w:rsidR="004C558F" w:rsidRDefault="00461887">
            <w:pPr>
              <w:pStyle w:val="TableParagraph"/>
              <w:ind w:right="94"/>
              <w:rPr>
                <w:sz w:val="20"/>
              </w:rPr>
            </w:pPr>
            <w:r>
              <w:rPr>
                <w:spacing w:val="-4"/>
                <w:sz w:val="20"/>
              </w:rPr>
              <w:t>7.0%</w:t>
            </w:r>
          </w:p>
        </w:tc>
      </w:tr>
      <w:tr w:rsidR="004C558F" w14:paraId="1C34ECE1" w14:textId="77777777" w:rsidTr="002104D8">
        <w:trPr>
          <w:cantSplit/>
          <w:trHeight w:val="290"/>
        </w:trPr>
        <w:tc>
          <w:tcPr>
            <w:tcW w:w="4243" w:type="dxa"/>
          </w:tcPr>
          <w:p w14:paraId="1C34ECDA" w14:textId="77777777" w:rsidR="004C558F" w:rsidRDefault="00461887">
            <w:pPr>
              <w:pStyle w:val="TableParagraph"/>
              <w:ind w:left="439"/>
              <w:jc w:val="left"/>
              <w:rPr>
                <w:sz w:val="20"/>
              </w:rPr>
            </w:pPr>
            <w:r>
              <w:rPr>
                <w:sz w:val="20"/>
              </w:rPr>
              <w:t>Lowell</w:t>
            </w:r>
            <w:r>
              <w:rPr>
                <w:spacing w:val="-8"/>
                <w:sz w:val="20"/>
              </w:rPr>
              <w:t xml:space="preserve"> </w:t>
            </w:r>
            <w:r>
              <w:rPr>
                <w:sz w:val="20"/>
              </w:rPr>
              <w:t>General</w:t>
            </w:r>
            <w:r>
              <w:rPr>
                <w:spacing w:val="-7"/>
                <w:sz w:val="20"/>
              </w:rPr>
              <w:t xml:space="preserve"> </w:t>
            </w:r>
            <w:r>
              <w:rPr>
                <w:spacing w:val="-2"/>
                <w:sz w:val="20"/>
              </w:rPr>
              <w:t>Hospital</w:t>
            </w:r>
          </w:p>
        </w:tc>
        <w:tc>
          <w:tcPr>
            <w:tcW w:w="1248" w:type="dxa"/>
          </w:tcPr>
          <w:p w14:paraId="1C34ECDB" w14:textId="77777777" w:rsidR="004C558F" w:rsidRDefault="00461887">
            <w:pPr>
              <w:pStyle w:val="TableParagraph"/>
              <w:ind w:right="95"/>
              <w:rPr>
                <w:sz w:val="20"/>
              </w:rPr>
            </w:pPr>
            <w:r>
              <w:rPr>
                <w:spacing w:val="-4"/>
                <w:sz w:val="20"/>
              </w:rPr>
              <w:t>1.8%</w:t>
            </w:r>
          </w:p>
        </w:tc>
        <w:tc>
          <w:tcPr>
            <w:tcW w:w="1361" w:type="dxa"/>
          </w:tcPr>
          <w:p w14:paraId="1C34ECDC" w14:textId="77777777" w:rsidR="004C558F" w:rsidRDefault="00461887">
            <w:pPr>
              <w:pStyle w:val="TableParagraph"/>
              <w:ind w:right="93"/>
              <w:rPr>
                <w:sz w:val="20"/>
              </w:rPr>
            </w:pPr>
            <w:r>
              <w:rPr>
                <w:spacing w:val="-4"/>
                <w:sz w:val="20"/>
              </w:rPr>
              <w:t>1.5%</w:t>
            </w:r>
          </w:p>
        </w:tc>
        <w:tc>
          <w:tcPr>
            <w:tcW w:w="1752" w:type="dxa"/>
          </w:tcPr>
          <w:p w14:paraId="1C34ECDD" w14:textId="77777777" w:rsidR="004C558F" w:rsidRDefault="00461887">
            <w:pPr>
              <w:pStyle w:val="TableParagraph"/>
              <w:ind w:right="95"/>
              <w:rPr>
                <w:sz w:val="20"/>
              </w:rPr>
            </w:pPr>
            <w:r>
              <w:rPr>
                <w:spacing w:val="-4"/>
                <w:sz w:val="20"/>
              </w:rPr>
              <w:t>2.5%</w:t>
            </w:r>
          </w:p>
        </w:tc>
        <w:tc>
          <w:tcPr>
            <w:tcW w:w="1248" w:type="dxa"/>
          </w:tcPr>
          <w:p w14:paraId="1C34ECDE" w14:textId="77777777" w:rsidR="004C558F" w:rsidRDefault="00461887">
            <w:pPr>
              <w:pStyle w:val="TableParagraph"/>
              <w:ind w:right="95"/>
              <w:rPr>
                <w:sz w:val="20"/>
              </w:rPr>
            </w:pPr>
            <w:r>
              <w:rPr>
                <w:spacing w:val="-4"/>
                <w:sz w:val="20"/>
              </w:rPr>
              <w:t>1.2%</w:t>
            </w:r>
          </w:p>
        </w:tc>
        <w:tc>
          <w:tcPr>
            <w:tcW w:w="1361" w:type="dxa"/>
          </w:tcPr>
          <w:p w14:paraId="1C34ECDF" w14:textId="77777777" w:rsidR="004C558F" w:rsidRDefault="00461887">
            <w:pPr>
              <w:pStyle w:val="TableParagraph"/>
              <w:ind w:right="96"/>
              <w:rPr>
                <w:sz w:val="20"/>
              </w:rPr>
            </w:pPr>
            <w:r>
              <w:rPr>
                <w:spacing w:val="-4"/>
                <w:sz w:val="20"/>
              </w:rPr>
              <w:t>0.9%</w:t>
            </w:r>
          </w:p>
        </w:tc>
        <w:tc>
          <w:tcPr>
            <w:tcW w:w="1750" w:type="dxa"/>
          </w:tcPr>
          <w:p w14:paraId="1C34ECE0" w14:textId="77777777" w:rsidR="004C558F" w:rsidRDefault="00461887">
            <w:pPr>
              <w:pStyle w:val="TableParagraph"/>
              <w:ind w:right="94"/>
              <w:rPr>
                <w:sz w:val="20"/>
              </w:rPr>
            </w:pPr>
            <w:r>
              <w:rPr>
                <w:spacing w:val="-4"/>
                <w:sz w:val="20"/>
              </w:rPr>
              <w:t>1.6%</w:t>
            </w:r>
          </w:p>
        </w:tc>
      </w:tr>
      <w:tr w:rsidR="004C558F" w14:paraId="1C34ECE9" w14:textId="77777777" w:rsidTr="002104D8">
        <w:trPr>
          <w:cantSplit/>
          <w:trHeight w:val="290"/>
        </w:trPr>
        <w:tc>
          <w:tcPr>
            <w:tcW w:w="4243" w:type="dxa"/>
          </w:tcPr>
          <w:p w14:paraId="1C34ECE2" w14:textId="77777777" w:rsidR="004C558F" w:rsidRDefault="00461887">
            <w:pPr>
              <w:pStyle w:val="TableParagraph"/>
              <w:ind w:left="439"/>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248" w:type="dxa"/>
          </w:tcPr>
          <w:p w14:paraId="1C34ECE3" w14:textId="77777777" w:rsidR="004C558F" w:rsidRDefault="00461887">
            <w:pPr>
              <w:pStyle w:val="TableParagraph"/>
              <w:ind w:right="95"/>
              <w:rPr>
                <w:sz w:val="20"/>
              </w:rPr>
            </w:pPr>
            <w:r>
              <w:rPr>
                <w:spacing w:val="-4"/>
                <w:sz w:val="20"/>
              </w:rPr>
              <w:t>3.2%</w:t>
            </w:r>
          </w:p>
        </w:tc>
        <w:tc>
          <w:tcPr>
            <w:tcW w:w="1361" w:type="dxa"/>
          </w:tcPr>
          <w:p w14:paraId="1C34ECE4" w14:textId="77777777" w:rsidR="004C558F" w:rsidRDefault="00461887">
            <w:pPr>
              <w:pStyle w:val="TableParagraph"/>
              <w:ind w:right="93"/>
              <w:rPr>
                <w:sz w:val="20"/>
              </w:rPr>
            </w:pPr>
            <w:r>
              <w:rPr>
                <w:spacing w:val="-4"/>
                <w:sz w:val="20"/>
              </w:rPr>
              <w:t>4.7%</w:t>
            </w:r>
          </w:p>
        </w:tc>
        <w:tc>
          <w:tcPr>
            <w:tcW w:w="1752" w:type="dxa"/>
          </w:tcPr>
          <w:p w14:paraId="1C34ECE5" w14:textId="77777777" w:rsidR="004C558F" w:rsidRDefault="00461887">
            <w:pPr>
              <w:pStyle w:val="TableParagraph"/>
              <w:ind w:right="95"/>
              <w:rPr>
                <w:sz w:val="20"/>
              </w:rPr>
            </w:pPr>
            <w:r>
              <w:rPr>
                <w:spacing w:val="-4"/>
                <w:sz w:val="20"/>
              </w:rPr>
              <w:t>4.0%</w:t>
            </w:r>
          </w:p>
        </w:tc>
        <w:tc>
          <w:tcPr>
            <w:tcW w:w="1248" w:type="dxa"/>
          </w:tcPr>
          <w:p w14:paraId="1C34ECE6" w14:textId="77777777" w:rsidR="004C558F" w:rsidRDefault="00461887">
            <w:pPr>
              <w:pStyle w:val="TableParagraph"/>
              <w:ind w:right="95"/>
              <w:rPr>
                <w:sz w:val="20"/>
              </w:rPr>
            </w:pPr>
            <w:r>
              <w:rPr>
                <w:spacing w:val="-4"/>
                <w:sz w:val="20"/>
              </w:rPr>
              <w:t>3.8%</w:t>
            </w:r>
          </w:p>
        </w:tc>
        <w:tc>
          <w:tcPr>
            <w:tcW w:w="1361" w:type="dxa"/>
          </w:tcPr>
          <w:p w14:paraId="1C34ECE7" w14:textId="77777777" w:rsidR="004C558F" w:rsidRDefault="00461887">
            <w:pPr>
              <w:pStyle w:val="TableParagraph"/>
              <w:ind w:right="96"/>
              <w:rPr>
                <w:sz w:val="20"/>
              </w:rPr>
            </w:pPr>
            <w:r>
              <w:rPr>
                <w:spacing w:val="-4"/>
                <w:sz w:val="20"/>
              </w:rPr>
              <w:t>5.0%</w:t>
            </w:r>
          </w:p>
        </w:tc>
        <w:tc>
          <w:tcPr>
            <w:tcW w:w="1750" w:type="dxa"/>
          </w:tcPr>
          <w:p w14:paraId="1C34ECE8" w14:textId="77777777" w:rsidR="004C558F" w:rsidRDefault="00461887">
            <w:pPr>
              <w:pStyle w:val="TableParagraph"/>
              <w:ind w:right="94"/>
              <w:rPr>
                <w:sz w:val="20"/>
              </w:rPr>
            </w:pPr>
            <w:r>
              <w:rPr>
                <w:spacing w:val="-4"/>
                <w:sz w:val="20"/>
              </w:rPr>
              <w:t>4.8%</w:t>
            </w:r>
          </w:p>
        </w:tc>
      </w:tr>
      <w:tr w:rsidR="004C558F" w14:paraId="1C34ECF1" w14:textId="77777777" w:rsidTr="002104D8">
        <w:trPr>
          <w:cantSplit/>
          <w:trHeight w:val="289"/>
        </w:trPr>
        <w:tc>
          <w:tcPr>
            <w:tcW w:w="4243" w:type="dxa"/>
            <w:shd w:val="clear" w:color="auto" w:fill="FBDFD3"/>
          </w:tcPr>
          <w:p w14:paraId="1C34ECEA" w14:textId="77777777" w:rsidR="004C558F" w:rsidRDefault="00461887">
            <w:pPr>
              <w:pStyle w:val="TableParagraph"/>
              <w:ind w:left="107"/>
              <w:jc w:val="left"/>
              <w:rPr>
                <w:sz w:val="20"/>
              </w:rPr>
            </w:pPr>
            <w:r>
              <w:rPr>
                <w:sz w:val="20"/>
              </w:rPr>
              <w:t>Dana-Farber</w:t>
            </w:r>
            <w:r>
              <w:rPr>
                <w:spacing w:val="-8"/>
                <w:sz w:val="20"/>
              </w:rPr>
              <w:t xml:space="preserve"> </w:t>
            </w:r>
            <w:r>
              <w:rPr>
                <w:sz w:val="20"/>
              </w:rPr>
              <w:t>Cancer</w:t>
            </w:r>
            <w:r>
              <w:rPr>
                <w:spacing w:val="-7"/>
                <w:sz w:val="20"/>
              </w:rPr>
              <w:t xml:space="preserve"> </w:t>
            </w:r>
            <w:r>
              <w:rPr>
                <w:spacing w:val="-2"/>
                <w:sz w:val="20"/>
              </w:rPr>
              <w:t>Institute</w:t>
            </w:r>
          </w:p>
        </w:tc>
        <w:tc>
          <w:tcPr>
            <w:tcW w:w="1248" w:type="dxa"/>
            <w:shd w:val="clear" w:color="auto" w:fill="FBDFD3"/>
          </w:tcPr>
          <w:p w14:paraId="1C34ECEB" w14:textId="77777777" w:rsidR="004C558F" w:rsidRDefault="00461887">
            <w:pPr>
              <w:pStyle w:val="TableParagraph"/>
              <w:ind w:right="95"/>
              <w:rPr>
                <w:sz w:val="20"/>
              </w:rPr>
            </w:pPr>
            <w:r>
              <w:rPr>
                <w:spacing w:val="-4"/>
                <w:sz w:val="20"/>
              </w:rPr>
              <w:t>3.8%</w:t>
            </w:r>
          </w:p>
        </w:tc>
        <w:tc>
          <w:tcPr>
            <w:tcW w:w="1361" w:type="dxa"/>
            <w:shd w:val="clear" w:color="auto" w:fill="FBDFD3"/>
          </w:tcPr>
          <w:p w14:paraId="1C34ECEC" w14:textId="77777777" w:rsidR="004C558F" w:rsidRDefault="00461887">
            <w:pPr>
              <w:pStyle w:val="TableParagraph"/>
              <w:ind w:right="93"/>
              <w:rPr>
                <w:sz w:val="20"/>
              </w:rPr>
            </w:pPr>
            <w:r>
              <w:rPr>
                <w:spacing w:val="-4"/>
                <w:sz w:val="20"/>
              </w:rPr>
              <w:t>4.3%</w:t>
            </w:r>
          </w:p>
        </w:tc>
        <w:tc>
          <w:tcPr>
            <w:tcW w:w="1752" w:type="dxa"/>
            <w:shd w:val="clear" w:color="auto" w:fill="FBDFD3"/>
          </w:tcPr>
          <w:p w14:paraId="1C34ECED" w14:textId="77777777" w:rsidR="004C558F" w:rsidRDefault="00461887">
            <w:pPr>
              <w:pStyle w:val="TableParagraph"/>
              <w:ind w:right="95"/>
              <w:rPr>
                <w:sz w:val="20"/>
              </w:rPr>
            </w:pPr>
            <w:r>
              <w:rPr>
                <w:spacing w:val="-4"/>
                <w:sz w:val="20"/>
              </w:rPr>
              <w:t>3.9%</w:t>
            </w:r>
          </w:p>
        </w:tc>
        <w:tc>
          <w:tcPr>
            <w:tcW w:w="1248" w:type="dxa"/>
            <w:shd w:val="clear" w:color="auto" w:fill="FBDFD3"/>
          </w:tcPr>
          <w:p w14:paraId="1C34ECEE" w14:textId="77777777" w:rsidR="004C558F" w:rsidRDefault="00461887">
            <w:pPr>
              <w:pStyle w:val="TableParagraph"/>
              <w:ind w:right="95"/>
              <w:rPr>
                <w:sz w:val="20"/>
              </w:rPr>
            </w:pPr>
            <w:r>
              <w:rPr>
                <w:spacing w:val="-4"/>
                <w:sz w:val="20"/>
              </w:rPr>
              <w:t>0.4%</w:t>
            </w:r>
          </w:p>
        </w:tc>
        <w:tc>
          <w:tcPr>
            <w:tcW w:w="1361" w:type="dxa"/>
            <w:shd w:val="clear" w:color="auto" w:fill="FBDFD3"/>
          </w:tcPr>
          <w:p w14:paraId="1C34ECEF" w14:textId="77777777" w:rsidR="004C558F" w:rsidRDefault="00461887">
            <w:pPr>
              <w:pStyle w:val="TableParagraph"/>
              <w:ind w:right="96"/>
              <w:rPr>
                <w:sz w:val="20"/>
              </w:rPr>
            </w:pPr>
            <w:r>
              <w:rPr>
                <w:spacing w:val="-4"/>
                <w:sz w:val="20"/>
              </w:rPr>
              <w:t>0.4%</w:t>
            </w:r>
          </w:p>
        </w:tc>
        <w:tc>
          <w:tcPr>
            <w:tcW w:w="1750" w:type="dxa"/>
            <w:shd w:val="clear" w:color="auto" w:fill="FBDFD3"/>
          </w:tcPr>
          <w:p w14:paraId="1C34ECF0" w14:textId="77777777" w:rsidR="004C558F" w:rsidRDefault="00461887">
            <w:pPr>
              <w:pStyle w:val="TableParagraph"/>
              <w:ind w:right="94"/>
              <w:rPr>
                <w:sz w:val="20"/>
              </w:rPr>
            </w:pPr>
            <w:r>
              <w:rPr>
                <w:spacing w:val="-4"/>
                <w:sz w:val="20"/>
              </w:rPr>
              <w:t>0.5%</w:t>
            </w:r>
          </w:p>
        </w:tc>
      </w:tr>
      <w:tr w:rsidR="004C558F" w14:paraId="1C34ECF9" w14:textId="77777777" w:rsidTr="002104D8">
        <w:trPr>
          <w:cantSplit/>
          <w:trHeight w:val="290"/>
        </w:trPr>
        <w:tc>
          <w:tcPr>
            <w:tcW w:w="4243" w:type="dxa"/>
            <w:shd w:val="clear" w:color="auto" w:fill="D4EBF4"/>
          </w:tcPr>
          <w:p w14:paraId="1C34ECF2" w14:textId="77777777" w:rsidR="004C558F" w:rsidRDefault="00461887">
            <w:pPr>
              <w:pStyle w:val="TableParagraph"/>
              <w:ind w:left="107"/>
              <w:jc w:val="left"/>
              <w:rPr>
                <w:sz w:val="20"/>
              </w:rPr>
            </w:pPr>
            <w:r>
              <w:rPr>
                <w:sz w:val="20"/>
              </w:rPr>
              <w:t>South</w:t>
            </w:r>
            <w:r>
              <w:rPr>
                <w:spacing w:val="-5"/>
                <w:sz w:val="20"/>
              </w:rPr>
              <w:t xml:space="preserve"> </w:t>
            </w:r>
            <w:r>
              <w:rPr>
                <w:sz w:val="20"/>
              </w:rPr>
              <w:t>Shore</w:t>
            </w:r>
            <w:r>
              <w:rPr>
                <w:spacing w:val="-2"/>
                <w:sz w:val="20"/>
              </w:rPr>
              <w:t xml:space="preserve"> Hospital</w:t>
            </w:r>
          </w:p>
        </w:tc>
        <w:tc>
          <w:tcPr>
            <w:tcW w:w="1248" w:type="dxa"/>
            <w:shd w:val="clear" w:color="auto" w:fill="D4EBF4"/>
          </w:tcPr>
          <w:p w14:paraId="1C34ECF3" w14:textId="77777777" w:rsidR="004C558F" w:rsidRDefault="00461887">
            <w:pPr>
              <w:pStyle w:val="TableParagraph"/>
              <w:ind w:right="95"/>
              <w:rPr>
                <w:sz w:val="20"/>
              </w:rPr>
            </w:pPr>
            <w:r>
              <w:rPr>
                <w:spacing w:val="-4"/>
                <w:sz w:val="20"/>
              </w:rPr>
              <w:t>3.6%</w:t>
            </w:r>
          </w:p>
        </w:tc>
        <w:tc>
          <w:tcPr>
            <w:tcW w:w="1361" w:type="dxa"/>
            <w:shd w:val="clear" w:color="auto" w:fill="D4EBF4"/>
          </w:tcPr>
          <w:p w14:paraId="1C34ECF4" w14:textId="77777777" w:rsidR="004C558F" w:rsidRDefault="00461887">
            <w:pPr>
              <w:pStyle w:val="TableParagraph"/>
              <w:ind w:right="93"/>
              <w:rPr>
                <w:sz w:val="20"/>
              </w:rPr>
            </w:pPr>
            <w:r>
              <w:rPr>
                <w:spacing w:val="-4"/>
                <w:sz w:val="20"/>
              </w:rPr>
              <w:t>3.9%</w:t>
            </w:r>
          </w:p>
        </w:tc>
        <w:tc>
          <w:tcPr>
            <w:tcW w:w="1752" w:type="dxa"/>
            <w:shd w:val="clear" w:color="auto" w:fill="D4EBF4"/>
          </w:tcPr>
          <w:p w14:paraId="1C34ECF5" w14:textId="77777777" w:rsidR="004C558F" w:rsidRDefault="00461887">
            <w:pPr>
              <w:pStyle w:val="TableParagraph"/>
              <w:ind w:right="95"/>
              <w:rPr>
                <w:sz w:val="20"/>
              </w:rPr>
            </w:pPr>
            <w:r>
              <w:rPr>
                <w:spacing w:val="-4"/>
                <w:sz w:val="20"/>
              </w:rPr>
              <w:t>5.0%</w:t>
            </w:r>
          </w:p>
        </w:tc>
        <w:tc>
          <w:tcPr>
            <w:tcW w:w="1248" w:type="dxa"/>
            <w:shd w:val="clear" w:color="auto" w:fill="D4EBF4"/>
          </w:tcPr>
          <w:p w14:paraId="1C34ECF6" w14:textId="77777777" w:rsidR="004C558F" w:rsidRDefault="00461887">
            <w:pPr>
              <w:pStyle w:val="TableParagraph"/>
              <w:ind w:right="95"/>
              <w:rPr>
                <w:sz w:val="20"/>
              </w:rPr>
            </w:pPr>
            <w:r>
              <w:rPr>
                <w:spacing w:val="-4"/>
                <w:sz w:val="20"/>
              </w:rPr>
              <w:t>2.4%</w:t>
            </w:r>
          </w:p>
        </w:tc>
        <w:tc>
          <w:tcPr>
            <w:tcW w:w="1361" w:type="dxa"/>
            <w:shd w:val="clear" w:color="auto" w:fill="D4EBF4"/>
          </w:tcPr>
          <w:p w14:paraId="1C34ECF7" w14:textId="77777777" w:rsidR="004C558F" w:rsidRDefault="00461887">
            <w:pPr>
              <w:pStyle w:val="TableParagraph"/>
              <w:ind w:right="96"/>
              <w:rPr>
                <w:sz w:val="20"/>
              </w:rPr>
            </w:pPr>
            <w:r>
              <w:rPr>
                <w:spacing w:val="-4"/>
                <w:sz w:val="20"/>
              </w:rPr>
              <w:t>2.5%</w:t>
            </w:r>
          </w:p>
        </w:tc>
        <w:tc>
          <w:tcPr>
            <w:tcW w:w="1750" w:type="dxa"/>
            <w:shd w:val="clear" w:color="auto" w:fill="D4EBF4"/>
          </w:tcPr>
          <w:p w14:paraId="1C34ECF8" w14:textId="77777777" w:rsidR="004C558F" w:rsidRDefault="00461887">
            <w:pPr>
              <w:pStyle w:val="TableParagraph"/>
              <w:ind w:right="94"/>
              <w:rPr>
                <w:sz w:val="20"/>
              </w:rPr>
            </w:pPr>
            <w:r>
              <w:rPr>
                <w:spacing w:val="-4"/>
                <w:sz w:val="20"/>
              </w:rPr>
              <w:t>3.0%</w:t>
            </w:r>
          </w:p>
        </w:tc>
      </w:tr>
      <w:tr w:rsidR="004C558F" w14:paraId="1C34ED01" w14:textId="77777777" w:rsidTr="002104D8">
        <w:trPr>
          <w:cantSplit/>
          <w:trHeight w:val="290"/>
        </w:trPr>
        <w:tc>
          <w:tcPr>
            <w:tcW w:w="4243" w:type="dxa"/>
            <w:shd w:val="clear" w:color="auto" w:fill="D4EBF4"/>
          </w:tcPr>
          <w:p w14:paraId="1C34ECFA" w14:textId="77777777" w:rsidR="004C558F" w:rsidRDefault="00461887">
            <w:pPr>
              <w:pStyle w:val="TableParagraph"/>
              <w:ind w:left="107"/>
              <w:jc w:val="left"/>
              <w:rPr>
                <w:sz w:val="20"/>
              </w:rPr>
            </w:pPr>
            <w:r>
              <w:rPr>
                <w:sz w:val="20"/>
              </w:rPr>
              <w:t>Boston</w:t>
            </w:r>
            <w:r>
              <w:rPr>
                <w:spacing w:val="-7"/>
                <w:sz w:val="20"/>
              </w:rPr>
              <w:t xml:space="preserve"> </w:t>
            </w:r>
            <w:r>
              <w:rPr>
                <w:sz w:val="20"/>
              </w:rPr>
              <w:t>Medical</w:t>
            </w:r>
            <w:r>
              <w:rPr>
                <w:spacing w:val="-6"/>
                <w:sz w:val="20"/>
              </w:rPr>
              <w:t xml:space="preserve"> </w:t>
            </w:r>
            <w:r>
              <w:rPr>
                <w:sz w:val="20"/>
              </w:rPr>
              <w:t>Center</w:t>
            </w:r>
            <w:r>
              <w:rPr>
                <w:spacing w:val="-5"/>
                <w:sz w:val="20"/>
              </w:rPr>
              <w:t xml:space="preserve"> </w:t>
            </w:r>
            <w:r>
              <w:rPr>
                <w:sz w:val="20"/>
              </w:rPr>
              <w:t>Health</w:t>
            </w:r>
            <w:r>
              <w:rPr>
                <w:spacing w:val="-6"/>
                <w:sz w:val="20"/>
              </w:rPr>
              <w:t xml:space="preserve"> </w:t>
            </w:r>
            <w:r>
              <w:rPr>
                <w:spacing w:val="-2"/>
                <w:sz w:val="20"/>
              </w:rPr>
              <w:t>System</w:t>
            </w:r>
          </w:p>
        </w:tc>
        <w:tc>
          <w:tcPr>
            <w:tcW w:w="1248" w:type="dxa"/>
            <w:shd w:val="clear" w:color="auto" w:fill="D4EBF4"/>
          </w:tcPr>
          <w:p w14:paraId="1C34ECFB" w14:textId="77777777" w:rsidR="004C558F" w:rsidRDefault="00461887">
            <w:pPr>
              <w:pStyle w:val="TableParagraph"/>
              <w:ind w:right="95"/>
              <w:rPr>
                <w:sz w:val="20"/>
              </w:rPr>
            </w:pPr>
            <w:r>
              <w:rPr>
                <w:spacing w:val="-4"/>
                <w:sz w:val="20"/>
              </w:rPr>
              <w:t>3.4%</w:t>
            </w:r>
          </w:p>
        </w:tc>
        <w:tc>
          <w:tcPr>
            <w:tcW w:w="1361" w:type="dxa"/>
            <w:shd w:val="clear" w:color="auto" w:fill="D4EBF4"/>
          </w:tcPr>
          <w:p w14:paraId="1C34ECFC" w14:textId="77777777" w:rsidR="004C558F" w:rsidRDefault="00461887">
            <w:pPr>
              <w:pStyle w:val="TableParagraph"/>
              <w:ind w:right="93"/>
              <w:rPr>
                <w:sz w:val="20"/>
              </w:rPr>
            </w:pPr>
            <w:r>
              <w:rPr>
                <w:spacing w:val="-4"/>
                <w:sz w:val="20"/>
              </w:rPr>
              <w:t>5.2%</w:t>
            </w:r>
          </w:p>
        </w:tc>
        <w:tc>
          <w:tcPr>
            <w:tcW w:w="1752" w:type="dxa"/>
            <w:shd w:val="clear" w:color="auto" w:fill="D4EBF4"/>
          </w:tcPr>
          <w:p w14:paraId="1C34ECFD" w14:textId="77777777" w:rsidR="004C558F" w:rsidRDefault="00461887">
            <w:pPr>
              <w:pStyle w:val="TableParagraph"/>
              <w:ind w:right="95"/>
              <w:rPr>
                <w:sz w:val="20"/>
              </w:rPr>
            </w:pPr>
            <w:r>
              <w:rPr>
                <w:spacing w:val="-4"/>
                <w:sz w:val="20"/>
              </w:rPr>
              <w:t>4.6%</w:t>
            </w:r>
          </w:p>
        </w:tc>
        <w:tc>
          <w:tcPr>
            <w:tcW w:w="1248" w:type="dxa"/>
            <w:shd w:val="clear" w:color="auto" w:fill="D4EBF4"/>
          </w:tcPr>
          <w:p w14:paraId="1C34ECFE" w14:textId="77777777" w:rsidR="004C558F" w:rsidRDefault="00461887">
            <w:pPr>
              <w:pStyle w:val="TableParagraph"/>
              <w:ind w:right="95"/>
              <w:rPr>
                <w:sz w:val="20"/>
              </w:rPr>
            </w:pPr>
            <w:r>
              <w:rPr>
                <w:spacing w:val="-4"/>
                <w:sz w:val="20"/>
              </w:rPr>
              <w:t>4.2%</w:t>
            </w:r>
          </w:p>
        </w:tc>
        <w:tc>
          <w:tcPr>
            <w:tcW w:w="1361" w:type="dxa"/>
            <w:shd w:val="clear" w:color="auto" w:fill="D4EBF4"/>
          </w:tcPr>
          <w:p w14:paraId="1C34ECFF" w14:textId="77777777" w:rsidR="004C558F" w:rsidRDefault="00461887">
            <w:pPr>
              <w:pStyle w:val="TableParagraph"/>
              <w:ind w:right="96"/>
              <w:rPr>
                <w:sz w:val="20"/>
              </w:rPr>
            </w:pPr>
            <w:r>
              <w:rPr>
                <w:spacing w:val="-4"/>
                <w:sz w:val="20"/>
              </w:rPr>
              <w:t>4.6%</w:t>
            </w:r>
          </w:p>
        </w:tc>
        <w:tc>
          <w:tcPr>
            <w:tcW w:w="1750" w:type="dxa"/>
            <w:shd w:val="clear" w:color="auto" w:fill="D4EBF4"/>
          </w:tcPr>
          <w:p w14:paraId="1C34ED00" w14:textId="77777777" w:rsidR="004C558F" w:rsidRDefault="00461887">
            <w:pPr>
              <w:pStyle w:val="TableParagraph"/>
              <w:ind w:right="94"/>
              <w:rPr>
                <w:sz w:val="20"/>
              </w:rPr>
            </w:pPr>
            <w:r>
              <w:rPr>
                <w:spacing w:val="-4"/>
                <w:sz w:val="20"/>
              </w:rPr>
              <w:t>4.5%</w:t>
            </w:r>
          </w:p>
        </w:tc>
      </w:tr>
      <w:tr w:rsidR="004C558F" w14:paraId="1C34ED09" w14:textId="77777777" w:rsidTr="002104D8">
        <w:trPr>
          <w:cantSplit/>
          <w:trHeight w:val="289"/>
        </w:trPr>
        <w:tc>
          <w:tcPr>
            <w:tcW w:w="4243" w:type="dxa"/>
          </w:tcPr>
          <w:p w14:paraId="1C34ED02" w14:textId="77777777" w:rsidR="004C558F" w:rsidRDefault="00461887">
            <w:pPr>
              <w:pStyle w:val="TableParagraph"/>
              <w:ind w:left="439"/>
              <w:jc w:val="left"/>
              <w:rPr>
                <w:sz w:val="20"/>
              </w:rPr>
            </w:pPr>
            <w:r>
              <w:rPr>
                <w:sz w:val="20"/>
              </w:rPr>
              <w:t>Boston</w:t>
            </w:r>
            <w:r>
              <w:rPr>
                <w:spacing w:val="-9"/>
                <w:sz w:val="20"/>
              </w:rPr>
              <w:t xml:space="preserve"> </w:t>
            </w:r>
            <w:r>
              <w:rPr>
                <w:sz w:val="20"/>
              </w:rPr>
              <w:t>Medical</w:t>
            </w:r>
            <w:r>
              <w:rPr>
                <w:spacing w:val="-8"/>
                <w:sz w:val="20"/>
              </w:rPr>
              <w:t xml:space="preserve"> </w:t>
            </w:r>
            <w:r>
              <w:rPr>
                <w:spacing w:val="-2"/>
                <w:sz w:val="20"/>
              </w:rPr>
              <w:t>Center</w:t>
            </w:r>
          </w:p>
        </w:tc>
        <w:tc>
          <w:tcPr>
            <w:tcW w:w="1248" w:type="dxa"/>
          </w:tcPr>
          <w:p w14:paraId="1C34ED03" w14:textId="77777777" w:rsidR="004C558F" w:rsidRDefault="00461887">
            <w:pPr>
              <w:pStyle w:val="TableParagraph"/>
              <w:ind w:right="95"/>
              <w:rPr>
                <w:sz w:val="20"/>
              </w:rPr>
            </w:pPr>
            <w:r>
              <w:rPr>
                <w:spacing w:val="-4"/>
                <w:sz w:val="20"/>
              </w:rPr>
              <w:t>1.7%</w:t>
            </w:r>
          </w:p>
        </w:tc>
        <w:tc>
          <w:tcPr>
            <w:tcW w:w="1361" w:type="dxa"/>
          </w:tcPr>
          <w:p w14:paraId="1C34ED04" w14:textId="77777777" w:rsidR="004C558F" w:rsidRDefault="00461887">
            <w:pPr>
              <w:pStyle w:val="TableParagraph"/>
              <w:ind w:right="93"/>
              <w:rPr>
                <w:sz w:val="20"/>
              </w:rPr>
            </w:pPr>
            <w:r>
              <w:rPr>
                <w:spacing w:val="-4"/>
                <w:sz w:val="20"/>
              </w:rPr>
              <w:t>2.8%</w:t>
            </w:r>
          </w:p>
        </w:tc>
        <w:tc>
          <w:tcPr>
            <w:tcW w:w="1752" w:type="dxa"/>
          </w:tcPr>
          <w:p w14:paraId="1C34ED05" w14:textId="77777777" w:rsidR="004C558F" w:rsidRDefault="00461887">
            <w:pPr>
              <w:pStyle w:val="TableParagraph"/>
              <w:ind w:right="95"/>
              <w:rPr>
                <w:sz w:val="20"/>
              </w:rPr>
            </w:pPr>
            <w:r>
              <w:rPr>
                <w:spacing w:val="-4"/>
                <w:sz w:val="20"/>
              </w:rPr>
              <w:t>2.3%</w:t>
            </w:r>
          </w:p>
        </w:tc>
        <w:tc>
          <w:tcPr>
            <w:tcW w:w="1248" w:type="dxa"/>
          </w:tcPr>
          <w:p w14:paraId="1C34ED06" w14:textId="77777777" w:rsidR="004C558F" w:rsidRDefault="00461887">
            <w:pPr>
              <w:pStyle w:val="TableParagraph"/>
              <w:ind w:right="95"/>
              <w:rPr>
                <w:sz w:val="20"/>
              </w:rPr>
            </w:pPr>
            <w:r>
              <w:rPr>
                <w:spacing w:val="-4"/>
                <w:sz w:val="20"/>
              </w:rPr>
              <w:t>1.5%</w:t>
            </w:r>
          </w:p>
        </w:tc>
        <w:tc>
          <w:tcPr>
            <w:tcW w:w="1361" w:type="dxa"/>
          </w:tcPr>
          <w:p w14:paraId="1C34ED07" w14:textId="77777777" w:rsidR="004C558F" w:rsidRDefault="00461887">
            <w:pPr>
              <w:pStyle w:val="TableParagraph"/>
              <w:ind w:right="96"/>
              <w:rPr>
                <w:sz w:val="20"/>
              </w:rPr>
            </w:pPr>
            <w:r>
              <w:rPr>
                <w:spacing w:val="-4"/>
                <w:sz w:val="20"/>
              </w:rPr>
              <w:t>2.2%</w:t>
            </w:r>
          </w:p>
        </w:tc>
        <w:tc>
          <w:tcPr>
            <w:tcW w:w="1750" w:type="dxa"/>
          </w:tcPr>
          <w:p w14:paraId="1C34ED08" w14:textId="77777777" w:rsidR="004C558F" w:rsidRDefault="00461887">
            <w:pPr>
              <w:pStyle w:val="TableParagraph"/>
              <w:ind w:right="94"/>
              <w:rPr>
                <w:sz w:val="20"/>
              </w:rPr>
            </w:pPr>
            <w:r>
              <w:rPr>
                <w:spacing w:val="-4"/>
                <w:sz w:val="20"/>
              </w:rPr>
              <w:t>1.7%</w:t>
            </w:r>
          </w:p>
        </w:tc>
      </w:tr>
      <w:tr w:rsidR="004C558F" w14:paraId="1C34ED11" w14:textId="77777777" w:rsidTr="002104D8">
        <w:trPr>
          <w:cantSplit/>
          <w:trHeight w:val="290"/>
        </w:trPr>
        <w:tc>
          <w:tcPr>
            <w:tcW w:w="4243" w:type="dxa"/>
          </w:tcPr>
          <w:p w14:paraId="1C34ED0A" w14:textId="77777777" w:rsidR="004C558F" w:rsidRDefault="00461887">
            <w:pPr>
              <w:pStyle w:val="TableParagraph"/>
              <w:ind w:left="439"/>
              <w:jc w:val="left"/>
              <w:rPr>
                <w:sz w:val="20"/>
              </w:rPr>
            </w:pPr>
            <w:r>
              <w:rPr>
                <w:sz w:val="20"/>
              </w:rPr>
              <w:t>St.</w:t>
            </w:r>
            <w:r>
              <w:rPr>
                <w:spacing w:val="-7"/>
                <w:sz w:val="20"/>
              </w:rPr>
              <w:t xml:space="preserve"> </w:t>
            </w:r>
            <w:r>
              <w:rPr>
                <w:sz w:val="20"/>
              </w:rPr>
              <w:t>Elizabeth's</w:t>
            </w:r>
            <w:r>
              <w:rPr>
                <w:spacing w:val="-7"/>
                <w:sz w:val="20"/>
              </w:rPr>
              <w:t xml:space="preserve"> </w:t>
            </w:r>
            <w:r>
              <w:rPr>
                <w:sz w:val="20"/>
              </w:rPr>
              <w:t>Medical</w:t>
            </w:r>
            <w:r>
              <w:rPr>
                <w:spacing w:val="-7"/>
                <w:sz w:val="20"/>
              </w:rPr>
              <w:t xml:space="preserve"> </w:t>
            </w:r>
            <w:r>
              <w:rPr>
                <w:spacing w:val="-2"/>
                <w:sz w:val="20"/>
              </w:rPr>
              <w:t>Center</w:t>
            </w:r>
          </w:p>
        </w:tc>
        <w:tc>
          <w:tcPr>
            <w:tcW w:w="1248" w:type="dxa"/>
          </w:tcPr>
          <w:p w14:paraId="1C34ED0B" w14:textId="77777777" w:rsidR="004C558F" w:rsidRDefault="00461887">
            <w:pPr>
              <w:pStyle w:val="TableParagraph"/>
              <w:ind w:right="95"/>
              <w:rPr>
                <w:sz w:val="20"/>
              </w:rPr>
            </w:pPr>
            <w:r>
              <w:rPr>
                <w:spacing w:val="-4"/>
                <w:sz w:val="20"/>
              </w:rPr>
              <w:t>0.8%</w:t>
            </w:r>
          </w:p>
        </w:tc>
        <w:tc>
          <w:tcPr>
            <w:tcW w:w="1361" w:type="dxa"/>
          </w:tcPr>
          <w:p w14:paraId="1C34ED0C" w14:textId="77777777" w:rsidR="004C558F" w:rsidRDefault="00461887">
            <w:pPr>
              <w:pStyle w:val="TableParagraph"/>
              <w:ind w:right="93"/>
              <w:rPr>
                <w:sz w:val="20"/>
              </w:rPr>
            </w:pPr>
            <w:r>
              <w:rPr>
                <w:spacing w:val="-4"/>
                <w:sz w:val="20"/>
              </w:rPr>
              <w:t>1.1%</w:t>
            </w:r>
          </w:p>
        </w:tc>
        <w:tc>
          <w:tcPr>
            <w:tcW w:w="1752" w:type="dxa"/>
          </w:tcPr>
          <w:p w14:paraId="1C34ED0D" w14:textId="77777777" w:rsidR="004C558F" w:rsidRDefault="00461887">
            <w:pPr>
              <w:pStyle w:val="TableParagraph"/>
              <w:ind w:right="95"/>
              <w:rPr>
                <w:sz w:val="20"/>
              </w:rPr>
            </w:pPr>
            <w:r>
              <w:rPr>
                <w:spacing w:val="-4"/>
                <w:sz w:val="20"/>
              </w:rPr>
              <w:t>0.9%</w:t>
            </w:r>
          </w:p>
        </w:tc>
        <w:tc>
          <w:tcPr>
            <w:tcW w:w="1248" w:type="dxa"/>
          </w:tcPr>
          <w:p w14:paraId="1C34ED0E" w14:textId="77777777" w:rsidR="004C558F" w:rsidRDefault="00461887">
            <w:pPr>
              <w:pStyle w:val="TableParagraph"/>
              <w:ind w:right="95"/>
              <w:rPr>
                <w:sz w:val="20"/>
              </w:rPr>
            </w:pPr>
            <w:r>
              <w:rPr>
                <w:spacing w:val="-4"/>
                <w:sz w:val="20"/>
              </w:rPr>
              <w:t>2.3%</w:t>
            </w:r>
          </w:p>
        </w:tc>
        <w:tc>
          <w:tcPr>
            <w:tcW w:w="1361" w:type="dxa"/>
          </w:tcPr>
          <w:p w14:paraId="1C34ED0F" w14:textId="77777777" w:rsidR="004C558F" w:rsidRDefault="00461887">
            <w:pPr>
              <w:pStyle w:val="TableParagraph"/>
              <w:ind w:right="96"/>
              <w:rPr>
                <w:sz w:val="20"/>
              </w:rPr>
            </w:pPr>
            <w:r>
              <w:rPr>
                <w:spacing w:val="-4"/>
                <w:sz w:val="20"/>
              </w:rPr>
              <w:t>2.1%</w:t>
            </w:r>
          </w:p>
        </w:tc>
        <w:tc>
          <w:tcPr>
            <w:tcW w:w="1750" w:type="dxa"/>
          </w:tcPr>
          <w:p w14:paraId="1C34ED10" w14:textId="77777777" w:rsidR="004C558F" w:rsidRDefault="00461887">
            <w:pPr>
              <w:pStyle w:val="TableParagraph"/>
              <w:ind w:right="94"/>
              <w:rPr>
                <w:sz w:val="20"/>
              </w:rPr>
            </w:pPr>
            <w:r>
              <w:rPr>
                <w:spacing w:val="-4"/>
                <w:sz w:val="20"/>
              </w:rPr>
              <w:t>2.2%</w:t>
            </w:r>
          </w:p>
        </w:tc>
      </w:tr>
      <w:tr w:rsidR="004C558F" w14:paraId="1C34ED19" w14:textId="77777777" w:rsidTr="002104D8">
        <w:trPr>
          <w:cantSplit/>
          <w:trHeight w:val="290"/>
        </w:trPr>
        <w:tc>
          <w:tcPr>
            <w:tcW w:w="4243" w:type="dxa"/>
            <w:shd w:val="clear" w:color="auto" w:fill="D4EBF4"/>
          </w:tcPr>
          <w:p w14:paraId="1C34ED12" w14:textId="77777777" w:rsidR="004C558F" w:rsidRDefault="00461887">
            <w:pPr>
              <w:pStyle w:val="TableParagraph"/>
              <w:ind w:left="107"/>
              <w:jc w:val="left"/>
              <w:rPr>
                <w:sz w:val="20"/>
              </w:rPr>
            </w:pPr>
            <w:r>
              <w:rPr>
                <w:sz w:val="20"/>
              </w:rPr>
              <w:t>Lawrence</w:t>
            </w:r>
            <w:r>
              <w:rPr>
                <w:spacing w:val="-8"/>
                <w:sz w:val="20"/>
              </w:rPr>
              <w:t xml:space="preserve"> </w:t>
            </w:r>
            <w:r>
              <w:rPr>
                <w:sz w:val="20"/>
              </w:rPr>
              <w:t>General</w:t>
            </w:r>
            <w:r>
              <w:rPr>
                <w:spacing w:val="-4"/>
                <w:sz w:val="20"/>
              </w:rPr>
              <w:t xml:space="preserve"> </w:t>
            </w:r>
            <w:r>
              <w:rPr>
                <w:spacing w:val="-2"/>
                <w:sz w:val="20"/>
              </w:rPr>
              <w:t>Hospital</w:t>
            </w:r>
          </w:p>
        </w:tc>
        <w:tc>
          <w:tcPr>
            <w:tcW w:w="1248" w:type="dxa"/>
            <w:shd w:val="clear" w:color="auto" w:fill="D4EBF4"/>
          </w:tcPr>
          <w:p w14:paraId="1C34ED13" w14:textId="77777777" w:rsidR="004C558F" w:rsidRDefault="00461887">
            <w:pPr>
              <w:pStyle w:val="TableParagraph"/>
              <w:ind w:right="95"/>
              <w:rPr>
                <w:sz w:val="20"/>
              </w:rPr>
            </w:pPr>
            <w:r>
              <w:rPr>
                <w:spacing w:val="-4"/>
                <w:sz w:val="20"/>
              </w:rPr>
              <w:t>1.6%</w:t>
            </w:r>
          </w:p>
        </w:tc>
        <w:tc>
          <w:tcPr>
            <w:tcW w:w="1361" w:type="dxa"/>
            <w:shd w:val="clear" w:color="auto" w:fill="D4EBF4"/>
          </w:tcPr>
          <w:p w14:paraId="1C34ED14" w14:textId="77777777" w:rsidR="004C558F" w:rsidRDefault="00461887">
            <w:pPr>
              <w:pStyle w:val="TableParagraph"/>
              <w:ind w:right="93"/>
              <w:rPr>
                <w:sz w:val="20"/>
              </w:rPr>
            </w:pPr>
            <w:r>
              <w:rPr>
                <w:spacing w:val="-4"/>
                <w:sz w:val="20"/>
              </w:rPr>
              <w:t>2.5%</w:t>
            </w:r>
          </w:p>
        </w:tc>
        <w:tc>
          <w:tcPr>
            <w:tcW w:w="1752" w:type="dxa"/>
            <w:shd w:val="clear" w:color="auto" w:fill="D4EBF4"/>
          </w:tcPr>
          <w:p w14:paraId="1C34ED15" w14:textId="77777777" w:rsidR="004C558F" w:rsidRDefault="00461887">
            <w:pPr>
              <w:pStyle w:val="TableParagraph"/>
              <w:ind w:right="95"/>
              <w:rPr>
                <w:sz w:val="20"/>
              </w:rPr>
            </w:pPr>
            <w:r>
              <w:rPr>
                <w:spacing w:val="-4"/>
                <w:sz w:val="20"/>
              </w:rPr>
              <w:t>2.3%</w:t>
            </w:r>
          </w:p>
        </w:tc>
        <w:tc>
          <w:tcPr>
            <w:tcW w:w="1248" w:type="dxa"/>
            <w:shd w:val="clear" w:color="auto" w:fill="D4EBF4"/>
          </w:tcPr>
          <w:p w14:paraId="1C34ED16" w14:textId="77777777" w:rsidR="004C558F" w:rsidRDefault="00461887">
            <w:pPr>
              <w:pStyle w:val="TableParagraph"/>
              <w:ind w:right="95"/>
              <w:rPr>
                <w:sz w:val="20"/>
              </w:rPr>
            </w:pPr>
            <w:r>
              <w:rPr>
                <w:spacing w:val="-4"/>
                <w:sz w:val="20"/>
              </w:rPr>
              <w:t>0.6%</w:t>
            </w:r>
          </w:p>
        </w:tc>
        <w:tc>
          <w:tcPr>
            <w:tcW w:w="1361" w:type="dxa"/>
            <w:shd w:val="clear" w:color="auto" w:fill="D4EBF4"/>
          </w:tcPr>
          <w:p w14:paraId="1C34ED17" w14:textId="77777777" w:rsidR="004C558F" w:rsidRDefault="00461887">
            <w:pPr>
              <w:pStyle w:val="TableParagraph"/>
              <w:ind w:right="96"/>
              <w:rPr>
                <w:sz w:val="20"/>
              </w:rPr>
            </w:pPr>
            <w:r>
              <w:rPr>
                <w:spacing w:val="-4"/>
                <w:sz w:val="20"/>
              </w:rPr>
              <w:t>1.0%</w:t>
            </w:r>
          </w:p>
        </w:tc>
        <w:tc>
          <w:tcPr>
            <w:tcW w:w="1750" w:type="dxa"/>
            <w:shd w:val="clear" w:color="auto" w:fill="D4EBF4"/>
          </w:tcPr>
          <w:p w14:paraId="1C34ED18" w14:textId="77777777" w:rsidR="004C558F" w:rsidRDefault="00461887">
            <w:pPr>
              <w:pStyle w:val="TableParagraph"/>
              <w:ind w:right="94"/>
              <w:rPr>
                <w:sz w:val="20"/>
              </w:rPr>
            </w:pPr>
            <w:r>
              <w:rPr>
                <w:spacing w:val="-4"/>
                <w:sz w:val="20"/>
              </w:rPr>
              <w:t>0.9%</w:t>
            </w:r>
          </w:p>
        </w:tc>
      </w:tr>
      <w:tr w:rsidR="004C558F" w14:paraId="1C34ED21" w14:textId="77777777" w:rsidTr="002104D8">
        <w:trPr>
          <w:cantSplit/>
          <w:trHeight w:val="289"/>
        </w:trPr>
        <w:tc>
          <w:tcPr>
            <w:tcW w:w="4243" w:type="dxa"/>
            <w:shd w:val="clear" w:color="auto" w:fill="D4EBF4"/>
          </w:tcPr>
          <w:p w14:paraId="1C34ED1A" w14:textId="77777777" w:rsidR="004C558F" w:rsidRDefault="00461887">
            <w:pPr>
              <w:pStyle w:val="TableParagraph"/>
              <w:ind w:left="107"/>
              <w:jc w:val="left"/>
              <w:rPr>
                <w:sz w:val="20"/>
              </w:rPr>
            </w:pPr>
            <w:r>
              <w:rPr>
                <w:sz w:val="20"/>
              </w:rPr>
              <w:t>Other</w:t>
            </w:r>
            <w:r>
              <w:rPr>
                <w:spacing w:val="-3"/>
                <w:sz w:val="20"/>
              </w:rPr>
              <w:t xml:space="preserve"> </w:t>
            </w:r>
            <w:r>
              <w:rPr>
                <w:spacing w:val="-2"/>
                <w:sz w:val="20"/>
              </w:rPr>
              <w:t>Hospitals</w:t>
            </w:r>
          </w:p>
        </w:tc>
        <w:tc>
          <w:tcPr>
            <w:tcW w:w="1248" w:type="dxa"/>
            <w:shd w:val="clear" w:color="auto" w:fill="D4EBF4"/>
          </w:tcPr>
          <w:p w14:paraId="1C34ED1B" w14:textId="77777777" w:rsidR="004C558F" w:rsidRDefault="00461887">
            <w:pPr>
              <w:pStyle w:val="TableParagraph"/>
              <w:ind w:right="95"/>
              <w:rPr>
                <w:sz w:val="20"/>
              </w:rPr>
            </w:pPr>
            <w:r>
              <w:rPr>
                <w:spacing w:val="-2"/>
                <w:sz w:val="20"/>
              </w:rPr>
              <w:t>16.8%</w:t>
            </w:r>
          </w:p>
        </w:tc>
        <w:tc>
          <w:tcPr>
            <w:tcW w:w="1361" w:type="dxa"/>
            <w:shd w:val="clear" w:color="auto" w:fill="D4EBF4"/>
          </w:tcPr>
          <w:p w14:paraId="1C34ED1C" w14:textId="77777777" w:rsidR="004C558F" w:rsidRDefault="00461887">
            <w:pPr>
              <w:pStyle w:val="TableParagraph"/>
              <w:ind w:right="93"/>
              <w:rPr>
                <w:sz w:val="20"/>
              </w:rPr>
            </w:pPr>
            <w:r>
              <w:rPr>
                <w:spacing w:val="-4"/>
                <w:sz w:val="20"/>
              </w:rPr>
              <w:t>2.4%</w:t>
            </w:r>
          </w:p>
        </w:tc>
        <w:tc>
          <w:tcPr>
            <w:tcW w:w="1752" w:type="dxa"/>
            <w:shd w:val="clear" w:color="auto" w:fill="D4EBF4"/>
          </w:tcPr>
          <w:p w14:paraId="1C34ED1D" w14:textId="77777777" w:rsidR="004C558F" w:rsidRDefault="00461887">
            <w:pPr>
              <w:pStyle w:val="TableParagraph"/>
              <w:ind w:right="95"/>
              <w:rPr>
                <w:sz w:val="20"/>
              </w:rPr>
            </w:pPr>
            <w:r>
              <w:rPr>
                <w:spacing w:val="-4"/>
                <w:sz w:val="20"/>
              </w:rPr>
              <w:t>4.4%</w:t>
            </w:r>
          </w:p>
        </w:tc>
        <w:tc>
          <w:tcPr>
            <w:tcW w:w="1248" w:type="dxa"/>
            <w:shd w:val="clear" w:color="auto" w:fill="D4EBF4"/>
          </w:tcPr>
          <w:p w14:paraId="1C34ED1E" w14:textId="77777777" w:rsidR="004C558F" w:rsidRDefault="00461887">
            <w:pPr>
              <w:pStyle w:val="TableParagraph"/>
              <w:ind w:right="95"/>
              <w:rPr>
                <w:sz w:val="20"/>
              </w:rPr>
            </w:pPr>
            <w:r>
              <w:rPr>
                <w:spacing w:val="-2"/>
                <w:sz w:val="20"/>
              </w:rPr>
              <w:t>13.3%</w:t>
            </w:r>
          </w:p>
        </w:tc>
        <w:tc>
          <w:tcPr>
            <w:tcW w:w="1361" w:type="dxa"/>
            <w:shd w:val="clear" w:color="auto" w:fill="D4EBF4"/>
          </w:tcPr>
          <w:p w14:paraId="1C34ED1F" w14:textId="77777777" w:rsidR="004C558F" w:rsidRDefault="00461887">
            <w:pPr>
              <w:pStyle w:val="TableParagraph"/>
              <w:ind w:right="96"/>
              <w:rPr>
                <w:sz w:val="20"/>
              </w:rPr>
            </w:pPr>
            <w:r>
              <w:rPr>
                <w:spacing w:val="-4"/>
                <w:sz w:val="20"/>
              </w:rPr>
              <w:t>1.7%</w:t>
            </w:r>
          </w:p>
        </w:tc>
        <w:tc>
          <w:tcPr>
            <w:tcW w:w="1750" w:type="dxa"/>
            <w:shd w:val="clear" w:color="auto" w:fill="D4EBF4"/>
          </w:tcPr>
          <w:p w14:paraId="1C34ED20" w14:textId="77777777" w:rsidR="004C558F" w:rsidRDefault="00461887">
            <w:pPr>
              <w:pStyle w:val="TableParagraph"/>
              <w:ind w:right="94"/>
              <w:rPr>
                <w:sz w:val="20"/>
              </w:rPr>
            </w:pPr>
            <w:r>
              <w:rPr>
                <w:spacing w:val="-4"/>
                <w:sz w:val="20"/>
              </w:rPr>
              <w:t>2.8%</w:t>
            </w:r>
          </w:p>
        </w:tc>
      </w:tr>
      <w:tr w:rsidR="004C558F" w14:paraId="1C34ED29" w14:textId="77777777" w:rsidTr="002104D8">
        <w:trPr>
          <w:cantSplit/>
          <w:trHeight w:val="290"/>
        </w:trPr>
        <w:tc>
          <w:tcPr>
            <w:tcW w:w="4243" w:type="dxa"/>
            <w:shd w:val="clear" w:color="auto" w:fill="084875"/>
          </w:tcPr>
          <w:p w14:paraId="1C34ED22" w14:textId="77777777" w:rsidR="004C558F" w:rsidRDefault="00461887">
            <w:pPr>
              <w:pStyle w:val="TableParagraph"/>
              <w:ind w:left="107"/>
              <w:jc w:val="left"/>
              <w:rPr>
                <w:sz w:val="20"/>
              </w:rPr>
            </w:pPr>
            <w:r>
              <w:rPr>
                <w:color w:val="FFFFFF"/>
                <w:spacing w:val="-2"/>
                <w:sz w:val="20"/>
              </w:rPr>
              <w:t>Total</w:t>
            </w:r>
          </w:p>
        </w:tc>
        <w:tc>
          <w:tcPr>
            <w:tcW w:w="1248" w:type="dxa"/>
            <w:shd w:val="clear" w:color="auto" w:fill="084875"/>
          </w:tcPr>
          <w:p w14:paraId="1C34ED23" w14:textId="77777777" w:rsidR="004C558F" w:rsidRDefault="00461887">
            <w:pPr>
              <w:pStyle w:val="TableParagraph"/>
              <w:ind w:right="95"/>
              <w:rPr>
                <w:sz w:val="20"/>
              </w:rPr>
            </w:pPr>
            <w:r>
              <w:rPr>
                <w:color w:val="FFFFFF"/>
                <w:spacing w:val="-4"/>
                <w:sz w:val="20"/>
              </w:rPr>
              <w:t>100%</w:t>
            </w:r>
          </w:p>
        </w:tc>
        <w:tc>
          <w:tcPr>
            <w:tcW w:w="1361" w:type="dxa"/>
            <w:shd w:val="clear" w:color="auto" w:fill="084875"/>
          </w:tcPr>
          <w:p w14:paraId="1C34ED24" w14:textId="77777777" w:rsidR="004C558F" w:rsidRDefault="00461887">
            <w:pPr>
              <w:pStyle w:val="TableParagraph"/>
              <w:ind w:right="93"/>
              <w:rPr>
                <w:sz w:val="20"/>
              </w:rPr>
            </w:pPr>
            <w:r>
              <w:rPr>
                <w:color w:val="FFFFFF"/>
                <w:spacing w:val="-4"/>
                <w:sz w:val="20"/>
              </w:rPr>
              <w:t>100%</w:t>
            </w:r>
          </w:p>
        </w:tc>
        <w:tc>
          <w:tcPr>
            <w:tcW w:w="1752" w:type="dxa"/>
            <w:shd w:val="clear" w:color="auto" w:fill="084875"/>
          </w:tcPr>
          <w:p w14:paraId="1C34ED25" w14:textId="77777777" w:rsidR="004C558F" w:rsidRDefault="00461887">
            <w:pPr>
              <w:pStyle w:val="TableParagraph"/>
              <w:ind w:right="96"/>
              <w:rPr>
                <w:sz w:val="20"/>
              </w:rPr>
            </w:pPr>
            <w:r>
              <w:rPr>
                <w:color w:val="FFFFFF"/>
                <w:spacing w:val="-4"/>
                <w:sz w:val="20"/>
              </w:rPr>
              <w:t>100%</w:t>
            </w:r>
          </w:p>
        </w:tc>
        <w:tc>
          <w:tcPr>
            <w:tcW w:w="1248" w:type="dxa"/>
            <w:shd w:val="clear" w:color="auto" w:fill="084875"/>
          </w:tcPr>
          <w:p w14:paraId="1C34ED26" w14:textId="77777777" w:rsidR="004C558F" w:rsidRDefault="00461887">
            <w:pPr>
              <w:pStyle w:val="TableParagraph"/>
              <w:ind w:right="96"/>
              <w:rPr>
                <w:sz w:val="20"/>
              </w:rPr>
            </w:pPr>
            <w:r>
              <w:rPr>
                <w:color w:val="FFFFFF"/>
                <w:spacing w:val="-4"/>
                <w:sz w:val="20"/>
              </w:rPr>
              <w:t>100%</w:t>
            </w:r>
          </w:p>
        </w:tc>
        <w:tc>
          <w:tcPr>
            <w:tcW w:w="1361" w:type="dxa"/>
            <w:shd w:val="clear" w:color="auto" w:fill="084875"/>
          </w:tcPr>
          <w:p w14:paraId="1C34ED27" w14:textId="77777777" w:rsidR="004C558F" w:rsidRDefault="00461887">
            <w:pPr>
              <w:pStyle w:val="TableParagraph"/>
              <w:ind w:right="96"/>
              <w:rPr>
                <w:sz w:val="20"/>
              </w:rPr>
            </w:pPr>
            <w:r>
              <w:rPr>
                <w:color w:val="FFFFFF"/>
                <w:spacing w:val="-4"/>
                <w:sz w:val="20"/>
              </w:rPr>
              <w:t>100%</w:t>
            </w:r>
          </w:p>
        </w:tc>
        <w:tc>
          <w:tcPr>
            <w:tcW w:w="1750" w:type="dxa"/>
            <w:shd w:val="clear" w:color="auto" w:fill="084875"/>
          </w:tcPr>
          <w:p w14:paraId="1C34ED28" w14:textId="77777777" w:rsidR="004C558F" w:rsidRDefault="00461887">
            <w:pPr>
              <w:pStyle w:val="TableParagraph"/>
              <w:ind w:right="94"/>
              <w:rPr>
                <w:sz w:val="20"/>
              </w:rPr>
            </w:pPr>
            <w:r>
              <w:rPr>
                <w:color w:val="FFFFFF"/>
                <w:spacing w:val="-4"/>
                <w:sz w:val="20"/>
              </w:rPr>
              <w:t>100%</w:t>
            </w:r>
          </w:p>
        </w:tc>
      </w:tr>
      <w:tr w:rsidR="004C558F" w14:paraId="1C34ED2B" w14:textId="77777777">
        <w:trPr>
          <w:trHeight w:val="289"/>
        </w:trPr>
        <w:tc>
          <w:tcPr>
            <w:tcW w:w="12963" w:type="dxa"/>
            <w:gridSpan w:val="7"/>
            <w:tcBorders>
              <w:left w:val="nil"/>
              <w:right w:val="nil"/>
            </w:tcBorders>
          </w:tcPr>
          <w:p w14:paraId="1C34ED2A" w14:textId="77777777" w:rsidR="004C558F" w:rsidRDefault="004C558F">
            <w:pPr>
              <w:pStyle w:val="TableParagraph"/>
              <w:spacing w:before="0"/>
              <w:jc w:val="left"/>
              <w:rPr>
                <w:rFonts w:ascii="Times New Roman"/>
                <w:sz w:val="20"/>
              </w:rPr>
            </w:pPr>
          </w:p>
        </w:tc>
      </w:tr>
      <w:tr w:rsidR="004C558F" w14:paraId="1C34ED33" w14:textId="77777777">
        <w:trPr>
          <w:trHeight w:val="289"/>
        </w:trPr>
        <w:tc>
          <w:tcPr>
            <w:tcW w:w="4243" w:type="dxa"/>
          </w:tcPr>
          <w:p w14:paraId="1C34ED2C" w14:textId="77777777" w:rsidR="004C558F" w:rsidRDefault="00461887">
            <w:pPr>
              <w:pStyle w:val="TableParagraph"/>
              <w:ind w:left="107"/>
              <w:jc w:val="left"/>
              <w:rPr>
                <w:sz w:val="20"/>
              </w:rPr>
            </w:pPr>
            <w:r>
              <w:rPr>
                <w:sz w:val="20"/>
              </w:rPr>
              <w:t>Current-State</w:t>
            </w:r>
            <w:r>
              <w:rPr>
                <w:spacing w:val="-13"/>
                <w:sz w:val="20"/>
              </w:rPr>
              <w:t xml:space="preserve"> </w:t>
            </w:r>
            <w:r>
              <w:rPr>
                <w:spacing w:val="-5"/>
                <w:sz w:val="20"/>
              </w:rPr>
              <w:t>HHI</w:t>
            </w:r>
          </w:p>
        </w:tc>
        <w:tc>
          <w:tcPr>
            <w:tcW w:w="1248" w:type="dxa"/>
          </w:tcPr>
          <w:p w14:paraId="1C34ED2D" w14:textId="77777777" w:rsidR="004C558F" w:rsidRDefault="00461887">
            <w:pPr>
              <w:pStyle w:val="TableParagraph"/>
              <w:ind w:right="93"/>
              <w:rPr>
                <w:sz w:val="20"/>
              </w:rPr>
            </w:pPr>
            <w:r>
              <w:rPr>
                <w:spacing w:val="-2"/>
                <w:sz w:val="20"/>
              </w:rPr>
              <w:t>2,041</w:t>
            </w:r>
          </w:p>
        </w:tc>
        <w:tc>
          <w:tcPr>
            <w:tcW w:w="1361" w:type="dxa"/>
          </w:tcPr>
          <w:p w14:paraId="1C34ED2E" w14:textId="77777777" w:rsidR="004C558F" w:rsidRDefault="00461887">
            <w:pPr>
              <w:pStyle w:val="TableParagraph"/>
              <w:ind w:right="91"/>
              <w:rPr>
                <w:sz w:val="20"/>
              </w:rPr>
            </w:pPr>
            <w:r>
              <w:rPr>
                <w:spacing w:val="-2"/>
                <w:sz w:val="20"/>
              </w:rPr>
              <w:t>3,046</w:t>
            </w:r>
          </w:p>
        </w:tc>
        <w:tc>
          <w:tcPr>
            <w:tcW w:w="1752" w:type="dxa"/>
          </w:tcPr>
          <w:p w14:paraId="1C34ED2F" w14:textId="77777777" w:rsidR="004C558F" w:rsidRDefault="00461887">
            <w:pPr>
              <w:pStyle w:val="TableParagraph"/>
              <w:ind w:right="95"/>
              <w:rPr>
                <w:sz w:val="20"/>
              </w:rPr>
            </w:pPr>
            <w:r>
              <w:rPr>
                <w:spacing w:val="-2"/>
                <w:sz w:val="20"/>
              </w:rPr>
              <w:t>2,708</w:t>
            </w:r>
          </w:p>
        </w:tc>
        <w:tc>
          <w:tcPr>
            <w:tcW w:w="1248" w:type="dxa"/>
          </w:tcPr>
          <w:p w14:paraId="1C34ED30" w14:textId="77777777" w:rsidR="004C558F" w:rsidRDefault="00461887">
            <w:pPr>
              <w:pStyle w:val="TableParagraph"/>
              <w:ind w:right="95"/>
              <w:rPr>
                <w:sz w:val="20"/>
              </w:rPr>
            </w:pPr>
            <w:r>
              <w:rPr>
                <w:spacing w:val="-2"/>
                <w:sz w:val="20"/>
              </w:rPr>
              <w:t>2,745</w:t>
            </w:r>
          </w:p>
        </w:tc>
        <w:tc>
          <w:tcPr>
            <w:tcW w:w="1361" w:type="dxa"/>
          </w:tcPr>
          <w:p w14:paraId="1C34ED31" w14:textId="77777777" w:rsidR="004C558F" w:rsidRDefault="00461887">
            <w:pPr>
              <w:pStyle w:val="TableParagraph"/>
              <w:ind w:right="94"/>
              <w:rPr>
                <w:sz w:val="20"/>
              </w:rPr>
            </w:pPr>
            <w:r>
              <w:rPr>
                <w:spacing w:val="-2"/>
                <w:sz w:val="20"/>
              </w:rPr>
              <w:t>3,856</w:t>
            </w:r>
          </w:p>
        </w:tc>
        <w:tc>
          <w:tcPr>
            <w:tcW w:w="1750" w:type="dxa"/>
          </w:tcPr>
          <w:p w14:paraId="1C34ED32" w14:textId="77777777" w:rsidR="004C558F" w:rsidRDefault="00461887">
            <w:pPr>
              <w:pStyle w:val="TableParagraph"/>
              <w:ind w:right="92"/>
              <w:rPr>
                <w:sz w:val="20"/>
              </w:rPr>
            </w:pPr>
            <w:r>
              <w:rPr>
                <w:spacing w:val="-2"/>
                <w:sz w:val="20"/>
              </w:rPr>
              <w:t>3,524</w:t>
            </w:r>
          </w:p>
        </w:tc>
      </w:tr>
    </w:tbl>
    <w:p w14:paraId="1C34ED34" w14:textId="77777777" w:rsidR="004C558F" w:rsidRDefault="00461887">
      <w:pPr>
        <w:pStyle w:val="BodyText"/>
        <w:spacing w:before="9"/>
        <w:ind w:left="460"/>
      </w:pPr>
      <w:r>
        <w:t>Source:</w:t>
      </w:r>
      <w:r>
        <w:rPr>
          <w:spacing w:val="-4"/>
        </w:rPr>
        <w:t xml:space="preserve"> </w:t>
      </w:r>
      <w:r>
        <w:t>CHIA</w:t>
      </w:r>
      <w:r>
        <w:rPr>
          <w:spacing w:val="-5"/>
        </w:rPr>
        <w:t xml:space="preserve"> </w:t>
      </w:r>
      <w:r>
        <w:t>Hospital</w:t>
      </w:r>
      <w:r>
        <w:rPr>
          <w:spacing w:val="-7"/>
        </w:rPr>
        <w:t xml:space="preserve"> </w:t>
      </w:r>
      <w:r>
        <w:t>Discharge</w:t>
      </w:r>
      <w:r>
        <w:rPr>
          <w:spacing w:val="-6"/>
        </w:rPr>
        <w:t xml:space="preserve"> </w:t>
      </w:r>
      <w:r>
        <w:t>Data</w:t>
      </w:r>
      <w:r>
        <w:rPr>
          <w:spacing w:val="-2"/>
        </w:rPr>
        <w:t xml:space="preserve"> (2022).</w:t>
      </w:r>
    </w:p>
    <w:p w14:paraId="1C34ED35" w14:textId="77777777" w:rsidR="004C558F" w:rsidRDefault="00461887">
      <w:pPr>
        <w:pStyle w:val="BodyText"/>
        <w:spacing w:before="39"/>
        <w:ind w:left="460"/>
      </w:pPr>
      <w:r>
        <w:t>Note:</w:t>
      </w:r>
      <w:r>
        <w:rPr>
          <w:spacing w:val="-5"/>
        </w:rPr>
        <w:t xml:space="preserve"> </w:t>
      </w:r>
      <w:r>
        <w:t>Hospitals</w:t>
      </w:r>
      <w:r>
        <w:rPr>
          <w:spacing w:val="-4"/>
        </w:rPr>
        <w:t xml:space="preserve"> </w:t>
      </w:r>
      <w:r>
        <w:t>and</w:t>
      </w:r>
      <w:r>
        <w:rPr>
          <w:spacing w:val="-2"/>
        </w:rPr>
        <w:t xml:space="preserve"> </w:t>
      </w:r>
      <w:r>
        <w:t>systems</w:t>
      </w:r>
      <w:r>
        <w:rPr>
          <w:spacing w:val="-2"/>
        </w:rPr>
        <w:t xml:space="preserve"> </w:t>
      </w:r>
      <w:r>
        <w:t>shown</w:t>
      </w:r>
      <w:r>
        <w:rPr>
          <w:spacing w:val="-3"/>
        </w:rPr>
        <w:t xml:space="preserve"> </w:t>
      </w:r>
      <w:r>
        <w:t>in</w:t>
      </w:r>
      <w:r>
        <w:rPr>
          <w:spacing w:val="-2"/>
        </w:rPr>
        <w:t xml:space="preserve"> </w:t>
      </w:r>
      <w:proofErr w:type="gramStart"/>
      <w:r>
        <w:t>table</w:t>
      </w:r>
      <w:proofErr w:type="gramEnd"/>
      <w:r>
        <w:rPr>
          <w:spacing w:val="-5"/>
        </w:rPr>
        <w:t xml:space="preserve"> </w:t>
      </w:r>
      <w:r>
        <w:t>have</w:t>
      </w:r>
      <w:r>
        <w:rPr>
          <w:spacing w:val="-2"/>
        </w:rPr>
        <w:t xml:space="preserve"> </w:t>
      </w:r>
      <w:r>
        <w:t>at</w:t>
      </w:r>
      <w:r>
        <w:rPr>
          <w:spacing w:val="-6"/>
        </w:rPr>
        <w:t xml:space="preserve"> </w:t>
      </w:r>
      <w:r>
        <w:t>least</w:t>
      </w:r>
      <w:r>
        <w:rPr>
          <w:spacing w:val="-3"/>
        </w:rPr>
        <w:t xml:space="preserve"> </w:t>
      </w:r>
      <w:r>
        <w:t>2%</w:t>
      </w:r>
      <w:r>
        <w:rPr>
          <w:spacing w:val="-5"/>
        </w:rPr>
        <w:t xml:space="preserve"> </w:t>
      </w:r>
      <w:r>
        <w:t>share</w:t>
      </w:r>
      <w:r>
        <w:rPr>
          <w:spacing w:val="-3"/>
        </w:rPr>
        <w:t xml:space="preserve"> </w:t>
      </w:r>
      <w:r>
        <w:t>in</w:t>
      </w:r>
      <w:r>
        <w:rPr>
          <w:spacing w:val="-4"/>
        </w:rPr>
        <w:t xml:space="preserve"> </w:t>
      </w:r>
      <w:r>
        <w:t>one</w:t>
      </w:r>
      <w:r>
        <w:rPr>
          <w:spacing w:val="-5"/>
        </w:rPr>
        <w:t xml:space="preserve"> </w:t>
      </w:r>
      <w:r>
        <w:t>or</w:t>
      </w:r>
      <w:r>
        <w:rPr>
          <w:spacing w:val="-5"/>
        </w:rPr>
        <w:t xml:space="preserve"> </w:t>
      </w:r>
      <w:r>
        <w:t>more</w:t>
      </w:r>
      <w:r>
        <w:rPr>
          <w:spacing w:val="-2"/>
        </w:rPr>
        <w:t xml:space="preserve"> PSAs.</w:t>
      </w:r>
    </w:p>
    <w:p w14:paraId="1C34ED36" w14:textId="77777777" w:rsidR="004C558F" w:rsidRDefault="004C558F">
      <w:pPr>
        <w:sectPr w:rsidR="004C558F">
          <w:footerReference w:type="default" r:id="rId122"/>
          <w:pgSz w:w="15840" w:h="12240" w:orient="landscape"/>
          <w:pgMar w:top="1380" w:right="1320" w:bottom="720" w:left="980" w:header="0" w:footer="521" w:gutter="0"/>
          <w:cols w:space="720"/>
        </w:sectPr>
      </w:pPr>
    </w:p>
    <w:p w14:paraId="1C34ED37" w14:textId="77777777" w:rsidR="004C558F" w:rsidRDefault="00461887">
      <w:pPr>
        <w:pStyle w:val="BodyText"/>
        <w:spacing w:before="71"/>
        <w:ind w:left="341" w:right="2"/>
        <w:jc w:val="center"/>
      </w:pPr>
      <w:r>
        <w:lastRenderedPageBreak/>
        <w:t>Figure</w:t>
      </w:r>
      <w:r>
        <w:rPr>
          <w:spacing w:val="-6"/>
        </w:rPr>
        <w:t xml:space="preserve"> </w:t>
      </w:r>
      <w:r>
        <w:t>A2:</w:t>
      </w:r>
      <w:r>
        <w:rPr>
          <w:spacing w:val="-4"/>
        </w:rPr>
        <w:t xml:space="preserve"> </w:t>
      </w:r>
      <w:r>
        <w:t>All-Payer</w:t>
      </w:r>
      <w:r>
        <w:rPr>
          <w:spacing w:val="-5"/>
        </w:rPr>
        <w:t xml:space="preserve"> </w:t>
      </w:r>
      <w:r>
        <w:t>Shares</w:t>
      </w:r>
      <w:r>
        <w:rPr>
          <w:spacing w:val="-3"/>
        </w:rPr>
        <w:t xml:space="preserve"> </w:t>
      </w:r>
      <w:r>
        <w:t>of</w:t>
      </w:r>
      <w:r>
        <w:rPr>
          <w:spacing w:val="-3"/>
        </w:rPr>
        <w:t xml:space="preserve"> </w:t>
      </w:r>
      <w:r>
        <w:t>Inpatient</w:t>
      </w:r>
      <w:r>
        <w:rPr>
          <w:spacing w:val="-5"/>
        </w:rPr>
        <w:t xml:space="preserve"> </w:t>
      </w:r>
      <w:r>
        <w:t>Oncology</w:t>
      </w:r>
      <w:r>
        <w:rPr>
          <w:spacing w:val="-4"/>
        </w:rPr>
        <w:t xml:space="preserve"> </w:t>
      </w:r>
      <w:r>
        <w:rPr>
          <w:spacing w:val="-2"/>
        </w:rPr>
        <w:t>Services</w:t>
      </w:r>
    </w:p>
    <w:p w14:paraId="1C34ED38" w14:textId="77777777" w:rsidR="004C558F" w:rsidRDefault="004C558F">
      <w:pPr>
        <w:pStyle w:val="BodyText"/>
        <w:spacing w:before="4"/>
        <w:rPr>
          <w:sz w:val="17"/>
        </w:rPr>
      </w:pPr>
    </w:p>
    <w:tbl>
      <w:tblPr>
        <w:tblW w:w="0" w:type="auto"/>
        <w:tblInd w:w="647"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4140"/>
        <w:gridCol w:w="1171"/>
        <w:gridCol w:w="1260"/>
        <w:gridCol w:w="1709"/>
        <w:gridCol w:w="1171"/>
        <w:gridCol w:w="1349"/>
        <w:gridCol w:w="1800"/>
      </w:tblGrid>
      <w:tr w:rsidR="004C558F" w14:paraId="1C34ED44" w14:textId="77777777" w:rsidTr="00374C97">
        <w:trPr>
          <w:cantSplit/>
          <w:trHeight w:val="350"/>
          <w:tblHeader/>
        </w:trPr>
        <w:tc>
          <w:tcPr>
            <w:tcW w:w="4140" w:type="dxa"/>
            <w:shd w:val="clear" w:color="auto" w:fill="084875"/>
          </w:tcPr>
          <w:p w14:paraId="1C34ED3D" w14:textId="77777777" w:rsidR="004C558F" w:rsidRDefault="00461887">
            <w:pPr>
              <w:pStyle w:val="TableParagraph"/>
              <w:spacing w:before="64"/>
              <w:ind w:left="9"/>
              <w:jc w:val="center"/>
              <w:rPr>
                <w:rFonts w:ascii="Franklin Gothic Medium Cond"/>
              </w:rPr>
            </w:pPr>
            <w:r>
              <w:rPr>
                <w:rFonts w:ascii="Franklin Gothic Medium Cond"/>
                <w:color w:val="FFFFFF"/>
                <w:spacing w:val="-2"/>
              </w:rPr>
              <w:t>Hospital/System</w:t>
            </w:r>
          </w:p>
        </w:tc>
        <w:tc>
          <w:tcPr>
            <w:tcW w:w="1171" w:type="dxa"/>
            <w:shd w:val="clear" w:color="auto" w:fill="084875"/>
          </w:tcPr>
          <w:p w14:paraId="6DFE5118" w14:textId="12804336" w:rsidR="006B6370" w:rsidRPr="003D2A46" w:rsidRDefault="006B6370">
            <w:pPr>
              <w:pStyle w:val="TableParagraph"/>
              <w:spacing w:before="64"/>
              <w:ind w:left="179"/>
              <w:jc w:val="left"/>
              <w:rPr>
                <w:rFonts w:ascii="Franklin Gothic Medium Cond"/>
                <w:color w:val="FFFFFF"/>
                <w:spacing w:val="-2"/>
                <w:sz w:val="20"/>
                <w:szCs w:val="20"/>
              </w:rPr>
            </w:pPr>
            <w:r w:rsidRPr="003D2A46">
              <w:rPr>
                <w:rFonts w:ascii="Franklin Gothic Medium Cond"/>
                <w:color w:val="FFFFFF"/>
                <w:sz w:val="20"/>
                <w:szCs w:val="20"/>
              </w:rPr>
              <w:t>Shares</w:t>
            </w:r>
            <w:r w:rsidRPr="003D2A46">
              <w:rPr>
                <w:rFonts w:ascii="Franklin Gothic Medium Cond"/>
                <w:color w:val="FFFFFF"/>
                <w:spacing w:val="-5"/>
                <w:sz w:val="20"/>
                <w:szCs w:val="20"/>
              </w:rPr>
              <w:t xml:space="preserve"> </w:t>
            </w:r>
            <w:r w:rsidRPr="003D2A46">
              <w:rPr>
                <w:rFonts w:ascii="Franklin Gothic Medium Cond"/>
                <w:color w:val="FFFFFF"/>
                <w:sz w:val="20"/>
                <w:szCs w:val="20"/>
              </w:rPr>
              <w:t>of</w:t>
            </w:r>
            <w:r w:rsidRPr="003D2A46">
              <w:rPr>
                <w:rFonts w:ascii="Franklin Gothic Medium Cond"/>
                <w:color w:val="FFFFFF"/>
                <w:spacing w:val="-2"/>
                <w:sz w:val="20"/>
                <w:szCs w:val="20"/>
              </w:rPr>
              <w:t xml:space="preserve"> </w:t>
            </w:r>
            <w:r w:rsidRPr="003D2A46">
              <w:rPr>
                <w:rFonts w:ascii="Franklin Gothic Medium Cond"/>
                <w:color w:val="FFFFFF"/>
                <w:sz w:val="20"/>
                <w:szCs w:val="20"/>
              </w:rPr>
              <w:t>medical</w:t>
            </w:r>
            <w:r w:rsidRPr="003D2A46">
              <w:rPr>
                <w:rFonts w:ascii="Franklin Gothic Medium Cond"/>
                <w:color w:val="FFFFFF"/>
                <w:spacing w:val="-5"/>
                <w:sz w:val="20"/>
                <w:szCs w:val="20"/>
              </w:rPr>
              <w:t xml:space="preserve"> </w:t>
            </w:r>
            <w:r w:rsidRPr="003D2A46">
              <w:rPr>
                <w:rFonts w:ascii="Franklin Gothic Medium Cond"/>
                <w:color w:val="FFFFFF"/>
                <w:sz w:val="20"/>
                <w:szCs w:val="20"/>
              </w:rPr>
              <w:t>oncology</w:t>
            </w:r>
            <w:r w:rsidRPr="003D2A46">
              <w:rPr>
                <w:rFonts w:ascii="Franklin Gothic Medium Cond"/>
                <w:color w:val="FFFFFF"/>
                <w:spacing w:val="-4"/>
                <w:sz w:val="20"/>
                <w:szCs w:val="20"/>
              </w:rPr>
              <w:t xml:space="preserve"> </w:t>
            </w:r>
            <w:r w:rsidRPr="003D2A46">
              <w:rPr>
                <w:rFonts w:ascii="Franklin Gothic Medium Cond"/>
                <w:color w:val="FFFFFF"/>
                <w:spacing w:val="-2"/>
                <w:sz w:val="20"/>
                <w:szCs w:val="20"/>
              </w:rPr>
              <w:t>discharges</w:t>
            </w:r>
          </w:p>
          <w:p w14:paraId="1C34ED3E" w14:textId="2F370D19" w:rsidR="004C558F" w:rsidRPr="003D2A46" w:rsidRDefault="006B6370">
            <w:pPr>
              <w:pStyle w:val="TableParagraph"/>
              <w:spacing w:before="64"/>
              <w:ind w:left="179"/>
              <w:jc w:val="left"/>
              <w:rPr>
                <w:rFonts w:ascii="Franklin Gothic Medium Cond"/>
                <w:sz w:val="20"/>
                <w:szCs w:val="20"/>
              </w:rPr>
            </w:pPr>
            <w:r w:rsidRPr="003D2A46">
              <w:rPr>
                <w:rFonts w:ascii="Franklin Gothic Medium Cond"/>
                <w:color w:val="FFFFFF"/>
                <w:spacing w:val="-2"/>
                <w:sz w:val="20"/>
                <w:szCs w:val="20"/>
              </w:rPr>
              <w:t xml:space="preserve"> </w:t>
            </w:r>
            <w:r w:rsidR="00461887" w:rsidRPr="003D2A46">
              <w:rPr>
                <w:rFonts w:ascii="Franklin Gothic Medium Cond"/>
                <w:color w:val="FFFFFF"/>
                <w:spacing w:val="-2"/>
                <w:sz w:val="20"/>
                <w:szCs w:val="20"/>
              </w:rPr>
              <w:t>Statewide</w:t>
            </w:r>
          </w:p>
        </w:tc>
        <w:tc>
          <w:tcPr>
            <w:tcW w:w="1260" w:type="dxa"/>
            <w:shd w:val="clear" w:color="auto" w:fill="084875"/>
          </w:tcPr>
          <w:p w14:paraId="1C34ED3F" w14:textId="3D2261EF" w:rsidR="004C558F" w:rsidRPr="003D2A46" w:rsidRDefault="006B6370">
            <w:pPr>
              <w:pStyle w:val="TableParagraph"/>
              <w:spacing w:before="64"/>
              <w:ind w:left="156"/>
              <w:jc w:val="left"/>
              <w:rPr>
                <w:rFonts w:ascii="Franklin Gothic Medium Cond"/>
                <w:sz w:val="20"/>
                <w:szCs w:val="20"/>
              </w:rPr>
            </w:pPr>
            <w:r w:rsidRPr="003D2A46">
              <w:rPr>
                <w:rFonts w:ascii="Franklin Gothic Medium Cond"/>
                <w:color w:val="FFFFFF"/>
                <w:sz w:val="20"/>
                <w:szCs w:val="20"/>
              </w:rPr>
              <w:t>Shares</w:t>
            </w:r>
            <w:r w:rsidRPr="003D2A46">
              <w:rPr>
                <w:rFonts w:ascii="Franklin Gothic Medium Cond"/>
                <w:color w:val="FFFFFF"/>
                <w:spacing w:val="-5"/>
                <w:sz w:val="20"/>
                <w:szCs w:val="20"/>
              </w:rPr>
              <w:t xml:space="preserve"> </w:t>
            </w:r>
            <w:r w:rsidRPr="003D2A46">
              <w:rPr>
                <w:rFonts w:ascii="Franklin Gothic Medium Cond"/>
                <w:color w:val="FFFFFF"/>
                <w:sz w:val="20"/>
                <w:szCs w:val="20"/>
              </w:rPr>
              <w:t>of</w:t>
            </w:r>
            <w:r w:rsidRPr="003D2A46">
              <w:rPr>
                <w:rFonts w:ascii="Franklin Gothic Medium Cond"/>
                <w:color w:val="FFFFFF"/>
                <w:spacing w:val="-2"/>
                <w:sz w:val="20"/>
                <w:szCs w:val="20"/>
              </w:rPr>
              <w:t xml:space="preserve"> </w:t>
            </w:r>
            <w:r w:rsidRPr="003D2A46">
              <w:rPr>
                <w:rFonts w:ascii="Franklin Gothic Medium Cond"/>
                <w:color w:val="FFFFFF"/>
                <w:sz w:val="20"/>
                <w:szCs w:val="20"/>
              </w:rPr>
              <w:t>medical</w:t>
            </w:r>
            <w:r w:rsidRPr="003D2A46">
              <w:rPr>
                <w:rFonts w:ascii="Franklin Gothic Medium Cond"/>
                <w:color w:val="FFFFFF"/>
                <w:spacing w:val="-5"/>
                <w:sz w:val="20"/>
                <w:szCs w:val="20"/>
              </w:rPr>
              <w:t xml:space="preserve"> </w:t>
            </w:r>
            <w:r w:rsidRPr="003D2A46">
              <w:rPr>
                <w:rFonts w:ascii="Franklin Gothic Medium Cond"/>
                <w:color w:val="FFFFFF"/>
                <w:sz w:val="20"/>
                <w:szCs w:val="20"/>
              </w:rPr>
              <w:t>oncology</w:t>
            </w:r>
            <w:r w:rsidRPr="003D2A46">
              <w:rPr>
                <w:rFonts w:ascii="Franklin Gothic Medium Cond"/>
                <w:color w:val="FFFFFF"/>
                <w:spacing w:val="-4"/>
                <w:sz w:val="20"/>
                <w:szCs w:val="20"/>
              </w:rPr>
              <w:t xml:space="preserve"> </w:t>
            </w:r>
            <w:r w:rsidRPr="003D2A46">
              <w:rPr>
                <w:rFonts w:ascii="Franklin Gothic Medium Cond"/>
                <w:color w:val="FFFFFF"/>
                <w:spacing w:val="-2"/>
                <w:sz w:val="20"/>
                <w:szCs w:val="20"/>
              </w:rPr>
              <w:t>discharges</w:t>
            </w:r>
            <w:r w:rsidRPr="003D2A46">
              <w:rPr>
                <w:rFonts w:ascii="Franklin Gothic Medium Cond"/>
                <w:color w:val="FFFFFF"/>
                <w:sz w:val="20"/>
                <w:szCs w:val="20"/>
              </w:rPr>
              <w:t xml:space="preserve"> </w:t>
            </w:r>
            <w:r w:rsidR="00461887" w:rsidRPr="003D2A46">
              <w:rPr>
                <w:rFonts w:ascii="Franklin Gothic Medium Cond"/>
                <w:color w:val="FFFFFF"/>
                <w:sz w:val="20"/>
                <w:szCs w:val="20"/>
              </w:rPr>
              <w:t>BIDMC</w:t>
            </w:r>
            <w:r w:rsidR="00461887" w:rsidRPr="003D2A46">
              <w:rPr>
                <w:rFonts w:ascii="Franklin Gothic Medium Cond"/>
                <w:color w:val="FFFFFF"/>
                <w:spacing w:val="-3"/>
                <w:sz w:val="20"/>
                <w:szCs w:val="20"/>
              </w:rPr>
              <w:t xml:space="preserve"> </w:t>
            </w:r>
            <w:r w:rsidR="00461887" w:rsidRPr="003D2A46">
              <w:rPr>
                <w:rFonts w:ascii="Franklin Gothic Medium Cond"/>
                <w:color w:val="FFFFFF"/>
                <w:spacing w:val="-5"/>
                <w:sz w:val="20"/>
                <w:szCs w:val="20"/>
              </w:rPr>
              <w:t>PSA</w:t>
            </w:r>
          </w:p>
        </w:tc>
        <w:tc>
          <w:tcPr>
            <w:tcW w:w="1709" w:type="dxa"/>
            <w:shd w:val="clear" w:color="auto" w:fill="084875"/>
          </w:tcPr>
          <w:p w14:paraId="1C34ED40" w14:textId="22E6C861" w:rsidR="004C558F" w:rsidRPr="003D2A46" w:rsidRDefault="006B6370">
            <w:pPr>
              <w:pStyle w:val="TableParagraph"/>
              <w:spacing w:before="64"/>
              <w:ind w:left="203"/>
              <w:jc w:val="left"/>
              <w:rPr>
                <w:rFonts w:ascii="Franklin Gothic Medium Cond"/>
                <w:sz w:val="20"/>
                <w:szCs w:val="20"/>
              </w:rPr>
            </w:pPr>
            <w:r w:rsidRPr="003D2A46">
              <w:rPr>
                <w:rFonts w:ascii="Franklin Gothic Medium Cond"/>
                <w:color w:val="FFFFFF"/>
                <w:sz w:val="20"/>
                <w:szCs w:val="20"/>
              </w:rPr>
              <w:t>Shares</w:t>
            </w:r>
            <w:r w:rsidRPr="003D2A46">
              <w:rPr>
                <w:rFonts w:ascii="Franklin Gothic Medium Cond"/>
                <w:color w:val="FFFFFF"/>
                <w:spacing w:val="-5"/>
                <w:sz w:val="20"/>
                <w:szCs w:val="20"/>
              </w:rPr>
              <w:t xml:space="preserve"> </w:t>
            </w:r>
            <w:r w:rsidRPr="003D2A46">
              <w:rPr>
                <w:rFonts w:ascii="Franklin Gothic Medium Cond"/>
                <w:color w:val="FFFFFF"/>
                <w:sz w:val="20"/>
                <w:szCs w:val="20"/>
              </w:rPr>
              <w:t>of</w:t>
            </w:r>
            <w:r w:rsidRPr="003D2A46">
              <w:rPr>
                <w:rFonts w:ascii="Franklin Gothic Medium Cond"/>
                <w:color w:val="FFFFFF"/>
                <w:spacing w:val="-2"/>
                <w:sz w:val="20"/>
                <w:szCs w:val="20"/>
              </w:rPr>
              <w:t xml:space="preserve"> </w:t>
            </w:r>
            <w:r w:rsidRPr="003D2A46">
              <w:rPr>
                <w:rFonts w:ascii="Franklin Gothic Medium Cond"/>
                <w:color w:val="FFFFFF"/>
                <w:sz w:val="20"/>
                <w:szCs w:val="20"/>
              </w:rPr>
              <w:t>medical</w:t>
            </w:r>
            <w:r w:rsidRPr="003D2A46">
              <w:rPr>
                <w:rFonts w:ascii="Franklin Gothic Medium Cond"/>
                <w:color w:val="FFFFFF"/>
                <w:spacing w:val="-5"/>
                <w:sz w:val="20"/>
                <w:szCs w:val="20"/>
              </w:rPr>
              <w:t xml:space="preserve"> </w:t>
            </w:r>
            <w:r w:rsidRPr="003D2A46">
              <w:rPr>
                <w:rFonts w:ascii="Franklin Gothic Medium Cond"/>
                <w:color w:val="FFFFFF"/>
                <w:sz w:val="20"/>
                <w:szCs w:val="20"/>
              </w:rPr>
              <w:t>oncology</w:t>
            </w:r>
            <w:r w:rsidRPr="003D2A46">
              <w:rPr>
                <w:rFonts w:ascii="Franklin Gothic Medium Cond"/>
                <w:color w:val="FFFFFF"/>
                <w:spacing w:val="-4"/>
                <w:sz w:val="20"/>
                <w:szCs w:val="20"/>
              </w:rPr>
              <w:t xml:space="preserve"> </w:t>
            </w:r>
            <w:proofErr w:type="gramStart"/>
            <w:r w:rsidRPr="003D2A46">
              <w:rPr>
                <w:rFonts w:ascii="Franklin Gothic Medium Cond"/>
                <w:color w:val="FFFFFF"/>
                <w:spacing w:val="-2"/>
                <w:sz w:val="20"/>
                <w:szCs w:val="20"/>
              </w:rPr>
              <w:t>discharges</w:t>
            </w:r>
            <w:r w:rsidRPr="003D2A46">
              <w:rPr>
                <w:rFonts w:ascii="Franklin Gothic Medium Cond"/>
                <w:color w:val="FFFFFF"/>
                <w:sz w:val="20"/>
                <w:szCs w:val="20"/>
              </w:rPr>
              <w:t xml:space="preserve">  </w:t>
            </w:r>
            <w:r w:rsidR="00461887" w:rsidRPr="003D2A46">
              <w:rPr>
                <w:rFonts w:ascii="Franklin Gothic Medium Cond"/>
                <w:color w:val="FFFFFF"/>
                <w:sz w:val="20"/>
                <w:szCs w:val="20"/>
              </w:rPr>
              <w:t>DFCI</w:t>
            </w:r>
            <w:proofErr w:type="gramEnd"/>
            <w:r w:rsidR="00461887" w:rsidRPr="003D2A46">
              <w:rPr>
                <w:rFonts w:ascii="Franklin Gothic Medium Cond"/>
                <w:color w:val="FFFFFF"/>
                <w:sz w:val="20"/>
                <w:szCs w:val="20"/>
              </w:rPr>
              <w:t>/</w:t>
            </w:r>
            <w:r w:rsidR="00461887" w:rsidRPr="003D2A46">
              <w:rPr>
                <w:rFonts w:ascii="Franklin Gothic Medium Cond"/>
                <w:color w:val="FFFFFF"/>
                <w:spacing w:val="-2"/>
                <w:sz w:val="20"/>
                <w:szCs w:val="20"/>
              </w:rPr>
              <w:t xml:space="preserve"> </w:t>
            </w:r>
            <w:r w:rsidR="00461887" w:rsidRPr="003D2A46">
              <w:rPr>
                <w:rFonts w:ascii="Franklin Gothic Medium Cond"/>
                <w:color w:val="FFFFFF"/>
                <w:sz w:val="20"/>
                <w:szCs w:val="20"/>
              </w:rPr>
              <w:t>BWH</w:t>
            </w:r>
            <w:r w:rsidR="00461887" w:rsidRPr="003D2A46">
              <w:rPr>
                <w:rFonts w:ascii="Franklin Gothic Medium Cond"/>
                <w:color w:val="FFFFFF"/>
                <w:spacing w:val="-3"/>
                <w:sz w:val="20"/>
                <w:szCs w:val="20"/>
              </w:rPr>
              <w:t xml:space="preserve"> </w:t>
            </w:r>
            <w:r w:rsidR="00461887" w:rsidRPr="003D2A46">
              <w:rPr>
                <w:rFonts w:ascii="Franklin Gothic Medium Cond"/>
                <w:color w:val="FFFFFF"/>
                <w:spacing w:val="-5"/>
                <w:sz w:val="20"/>
                <w:szCs w:val="20"/>
              </w:rPr>
              <w:t>PSA</w:t>
            </w:r>
          </w:p>
        </w:tc>
        <w:tc>
          <w:tcPr>
            <w:tcW w:w="1171" w:type="dxa"/>
            <w:shd w:val="clear" w:color="auto" w:fill="084875"/>
          </w:tcPr>
          <w:p w14:paraId="1C34ED41" w14:textId="2B246D47" w:rsidR="004C558F" w:rsidRPr="00351A0C" w:rsidRDefault="00351A0C">
            <w:pPr>
              <w:pStyle w:val="TableParagraph"/>
              <w:spacing w:before="64"/>
              <w:ind w:left="179"/>
              <w:jc w:val="left"/>
              <w:rPr>
                <w:rFonts w:ascii="Franklin Gothic Medium Cond"/>
                <w:sz w:val="20"/>
                <w:szCs w:val="20"/>
              </w:rPr>
            </w:pPr>
            <w:r w:rsidRPr="00351A0C">
              <w:rPr>
                <w:rFonts w:ascii="Franklin Gothic Medium Cond"/>
                <w:color w:val="FFFFFF"/>
                <w:sz w:val="20"/>
                <w:szCs w:val="20"/>
              </w:rPr>
              <w:t>Shares</w:t>
            </w:r>
            <w:r w:rsidRPr="00351A0C">
              <w:rPr>
                <w:rFonts w:ascii="Franklin Gothic Medium Cond"/>
                <w:color w:val="FFFFFF"/>
                <w:spacing w:val="-5"/>
                <w:sz w:val="20"/>
                <w:szCs w:val="20"/>
              </w:rPr>
              <w:t xml:space="preserve"> </w:t>
            </w:r>
            <w:r w:rsidRPr="00351A0C">
              <w:rPr>
                <w:rFonts w:ascii="Franklin Gothic Medium Cond"/>
                <w:color w:val="FFFFFF"/>
                <w:sz w:val="20"/>
                <w:szCs w:val="20"/>
              </w:rPr>
              <w:t>of</w:t>
            </w:r>
            <w:r w:rsidRPr="00351A0C">
              <w:rPr>
                <w:rFonts w:ascii="Franklin Gothic Medium Cond"/>
                <w:color w:val="FFFFFF"/>
                <w:spacing w:val="-3"/>
                <w:sz w:val="20"/>
                <w:szCs w:val="20"/>
              </w:rPr>
              <w:t xml:space="preserve"> </w:t>
            </w:r>
            <w:r w:rsidRPr="00351A0C">
              <w:rPr>
                <w:rFonts w:ascii="Franklin Gothic Medium Cond"/>
                <w:color w:val="FFFFFF"/>
                <w:sz w:val="20"/>
                <w:szCs w:val="20"/>
              </w:rPr>
              <w:t>surgical</w:t>
            </w:r>
            <w:r w:rsidRPr="00351A0C">
              <w:rPr>
                <w:rFonts w:ascii="Franklin Gothic Medium Cond"/>
                <w:color w:val="FFFFFF"/>
                <w:spacing w:val="-6"/>
                <w:sz w:val="20"/>
                <w:szCs w:val="20"/>
              </w:rPr>
              <w:t xml:space="preserve"> </w:t>
            </w:r>
            <w:r w:rsidRPr="00351A0C">
              <w:rPr>
                <w:rFonts w:ascii="Franklin Gothic Medium Cond"/>
                <w:color w:val="FFFFFF"/>
                <w:sz w:val="20"/>
                <w:szCs w:val="20"/>
              </w:rPr>
              <w:t>oncology</w:t>
            </w:r>
            <w:r w:rsidRPr="00351A0C">
              <w:rPr>
                <w:rFonts w:ascii="Franklin Gothic Medium Cond"/>
                <w:color w:val="FFFFFF"/>
                <w:spacing w:val="-4"/>
                <w:sz w:val="20"/>
                <w:szCs w:val="20"/>
              </w:rPr>
              <w:t xml:space="preserve"> </w:t>
            </w:r>
            <w:r w:rsidRPr="00351A0C">
              <w:rPr>
                <w:rFonts w:ascii="Franklin Gothic Medium Cond"/>
                <w:color w:val="FFFFFF"/>
                <w:spacing w:val="-2"/>
                <w:sz w:val="20"/>
                <w:szCs w:val="20"/>
              </w:rPr>
              <w:t>discharges</w:t>
            </w:r>
            <w:r w:rsidRPr="00351A0C">
              <w:rPr>
                <w:rFonts w:ascii="Franklin Gothic Medium Cond"/>
                <w:color w:val="FFFFFF"/>
                <w:spacing w:val="-2"/>
                <w:sz w:val="20"/>
                <w:szCs w:val="20"/>
              </w:rPr>
              <w:t xml:space="preserve"> </w:t>
            </w:r>
            <w:r w:rsidR="00461887" w:rsidRPr="00351A0C">
              <w:rPr>
                <w:rFonts w:ascii="Franklin Gothic Medium Cond"/>
                <w:color w:val="FFFFFF"/>
                <w:spacing w:val="-2"/>
                <w:sz w:val="20"/>
                <w:szCs w:val="20"/>
              </w:rPr>
              <w:t>Statewide</w:t>
            </w:r>
          </w:p>
        </w:tc>
        <w:tc>
          <w:tcPr>
            <w:tcW w:w="1349" w:type="dxa"/>
            <w:shd w:val="clear" w:color="auto" w:fill="084875"/>
          </w:tcPr>
          <w:p w14:paraId="1C34ED42" w14:textId="12C6BEBD" w:rsidR="004C558F" w:rsidRPr="00351A0C" w:rsidRDefault="00351A0C">
            <w:pPr>
              <w:pStyle w:val="TableParagraph"/>
              <w:spacing w:before="64"/>
              <w:ind w:left="201"/>
              <w:jc w:val="left"/>
              <w:rPr>
                <w:rFonts w:ascii="Franklin Gothic Medium Cond"/>
                <w:sz w:val="20"/>
                <w:szCs w:val="20"/>
              </w:rPr>
            </w:pPr>
            <w:r w:rsidRPr="00351A0C">
              <w:rPr>
                <w:rFonts w:ascii="Franklin Gothic Medium Cond"/>
                <w:color w:val="FFFFFF"/>
                <w:sz w:val="20"/>
                <w:szCs w:val="20"/>
              </w:rPr>
              <w:t>Shares</w:t>
            </w:r>
            <w:r w:rsidRPr="00351A0C">
              <w:rPr>
                <w:rFonts w:ascii="Franklin Gothic Medium Cond"/>
                <w:color w:val="FFFFFF"/>
                <w:spacing w:val="-5"/>
                <w:sz w:val="20"/>
                <w:szCs w:val="20"/>
              </w:rPr>
              <w:t xml:space="preserve"> </w:t>
            </w:r>
            <w:r w:rsidRPr="00351A0C">
              <w:rPr>
                <w:rFonts w:ascii="Franklin Gothic Medium Cond"/>
                <w:color w:val="FFFFFF"/>
                <w:sz w:val="20"/>
                <w:szCs w:val="20"/>
              </w:rPr>
              <w:t>of</w:t>
            </w:r>
            <w:r w:rsidRPr="00351A0C">
              <w:rPr>
                <w:rFonts w:ascii="Franklin Gothic Medium Cond"/>
                <w:color w:val="FFFFFF"/>
                <w:spacing w:val="-3"/>
                <w:sz w:val="20"/>
                <w:szCs w:val="20"/>
              </w:rPr>
              <w:t xml:space="preserve"> </w:t>
            </w:r>
            <w:r w:rsidRPr="00351A0C">
              <w:rPr>
                <w:rFonts w:ascii="Franklin Gothic Medium Cond"/>
                <w:color w:val="FFFFFF"/>
                <w:sz w:val="20"/>
                <w:szCs w:val="20"/>
              </w:rPr>
              <w:t>surgical</w:t>
            </w:r>
            <w:r w:rsidRPr="00351A0C">
              <w:rPr>
                <w:rFonts w:ascii="Franklin Gothic Medium Cond"/>
                <w:color w:val="FFFFFF"/>
                <w:spacing w:val="-6"/>
                <w:sz w:val="20"/>
                <w:szCs w:val="20"/>
              </w:rPr>
              <w:t xml:space="preserve"> </w:t>
            </w:r>
            <w:r w:rsidRPr="00351A0C">
              <w:rPr>
                <w:rFonts w:ascii="Franklin Gothic Medium Cond"/>
                <w:color w:val="FFFFFF"/>
                <w:sz w:val="20"/>
                <w:szCs w:val="20"/>
              </w:rPr>
              <w:t>oncology</w:t>
            </w:r>
            <w:r w:rsidRPr="00351A0C">
              <w:rPr>
                <w:rFonts w:ascii="Franklin Gothic Medium Cond"/>
                <w:color w:val="FFFFFF"/>
                <w:spacing w:val="-4"/>
                <w:sz w:val="20"/>
                <w:szCs w:val="20"/>
              </w:rPr>
              <w:t xml:space="preserve"> </w:t>
            </w:r>
            <w:proofErr w:type="gramStart"/>
            <w:r w:rsidRPr="00351A0C">
              <w:rPr>
                <w:rFonts w:ascii="Franklin Gothic Medium Cond"/>
                <w:color w:val="FFFFFF"/>
                <w:spacing w:val="-2"/>
                <w:sz w:val="20"/>
                <w:szCs w:val="20"/>
              </w:rPr>
              <w:t>discharges</w:t>
            </w:r>
            <w:r w:rsidRPr="00351A0C">
              <w:rPr>
                <w:rFonts w:ascii="Franklin Gothic Medium Cond"/>
                <w:color w:val="FFFFFF"/>
                <w:sz w:val="20"/>
                <w:szCs w:val="20"/>
              </w:rPr>
              <w:t xml:space="preserve">  </w:t>
            </w:r>
            <w:r w:rsidR="00461887" w:rsidRPr="00351A0C">
              <w:rPr>
                <w:rFonts w:ascii="Franklin Gothic Medium Cond"/>
                <w:color w:val="FFFFFF"/>
                <w:sz w:val="20"/>
                <w:szCs w:val="20"/>
              </w:rPr>
              <w:t>BIDMC</w:t>
            </w:r>
            <w:proofErr w:type="gramEnd"/>
            <w:r w:rsidR="00461887" w:rsidRPr="00351A0C">
              <w:rPr>
                <w:rFonts w:ascii="Franklin Gothic Medium Cond"/>
                <w:color w:val="FFFFFF"/>
                <w:spacing w:val="-3"/>
                <w:sz w:val="20"/>
                <w:szCs w:val="20"/>
              </w:rPr>
              <w:t xml:space="preserve"> </w:t>
            </w:r>
            <w:r w:rsidR="00461887" w:rsidRPr="00351A0C">
              <w:rPr>
                <w:rFonts w:ascii="Franklin Gothic Medium Cond"/>
                <w:color w:val="FFFFFF"/>
                <w:spacing w:val="-5"/>
                <w:sz w:val="20"/>
                <w:szCs w:val="20"/>
              </w:rPr>
              <w:t>PSA</w:t>
            </w:r>
          </w:p>
        </w:tc>
        <w:tc>
          <w:tcPr>
            <w:tcW w:w="1800" w:type="dxa"/>
            <w:shd w:val="clear" w:color="auto" w:fill="084875"/>
          </w:tcPr>
          <w:p w14:paraId="1C34ED43" w14:textId="35197BD1" w:rsidR="004C558F" w:rsidRPr="00351A0C" w:rsidRDefault="00351A0C">
            <w:pPr>
              <w:pStyle w:val="TableParagraph"/>
              <w:spacing w:before="64"/>
              <w:ind w:left="251"/>
              <w:jc w:val="left"/>
              <w:rPr>
                <w:rFonts w:ascii="Franklin Gothic Medium Cond"/>
                <w:sz w:val="20"/>
                <w:szCs w:val="20"/>
              </w:rPr>
            </w:pPr>
            <w:r w:rsidRPr="00351A0C">
              <w:rPr>
                <w:rFonts w:ascii="Franklin Gothic Medium Cond"/>
                <w:color w:val="FFFFFF"/>
                <w:sz w:val="20"/>
                <w:szCs w:val="20"/>
              </w:rPr>
              <w:t>Shares</w:t>
            </w:r>
            <w:r w:rsidRPr="00351A0C">
              <w:rPr>
                <w:rFonts w:ascii="Franklin Gothic Medium Cond"/>
                <w:color w:val="FFFFFF"/>
                <w:spacing w:val="-5"/>
                <w:sz w:val="20"/>
                <w:szCs w:val="20"/>
              </w:rPr>
              <w:t xml:space="preserve"> </w:t>
            </w:r>
            <w:r w:rsidRPr="00351A0C">
              <w:rPr>
                <w:rFonts w:ascii="Franklin Gothic Medium Cond"/>
                <w:color w:val="FFFFFF"/>
                <w:sz w:val="20"/>
                <w:szCs w:val="20"/>
              </w:rPr>
              <w:t>of</w:t>
            </w:r>
            <w:r w:rsidRPr="00351A0C">
              <w:rPr>
                <w:rFonts w:ascii="Franklin Gothic Medium Cond"/>
                <w:color w:val="FFFFFF"/>
                <w:spacing w:val="-3"/>
                <w:sz w:val="20"/>
                <w:szCs w:val="20"/>
              </w:rPr>
              <w:t xml:space="preserve"> </w:t>
            </w:r>
            <w:r w:rsidRPr="00351A0C">
              <w:rPr>
                <w:rFonts w:ascii="Franklin Gothic Medium Cond"/>
                <w:color w:val="FFFFFF"/>
                <w:sz w:val="20"/>
                <w:szCs w:val="20"/>
              </w:rPr>
              <w:t>surgical</w:t>
            </w:r>
            <w:r w:rsidRPr="00351A0C">
              <w:rPr>
                <w:rFonts w:ascii="Franklin Gothic Medium Cond"/>
                <w:color w:val="FFFFFF"/>
                <w:spacing w:val="-6"/>
                <w:sz w:val="20"/>
                <w:szCs w:val="20"/>
              </w:rPr>
              <w:t xml:space="preserve"> </w:t>
            </w:r>
            <w:r w:rsidRPr="00351A0C">
              <w:rPr>
                <w:rFonts w:ascii="Franklin Gothic Medium Cond"/>
                <w:color w:val="FFFFFF"/>
                <w:sz w:val="20"/>
                <w:szCs w:val="20"/>
              </w:rPr>
              <w:t>oncology</w:t>
            </w:r>
            <w:r w:rsidRPr="00351A0C">
              <w:rPr>
                <w:rFonts w:ascii="Franklin Gothic Medium Cond"/>
                <w:color w:val="FFFFFF"/>
                <w:spacing w:val="-4"/>
                <w:sz w:val="20"/>
                <w:szCs w:val="20"/>
              </w:rPr>
              <w:t xml:space="preserve"> </w:t>
            </w:r>
            <w:proofErr w:type="gramStart"/>
            <w:r w:rsidRPr="00351A0C">
              <w:rPr>
                <w:rFonts w:ascii="Franklin Gothic Medium Cond"/>
                <w:color w:val="FFFFFF"/>
                <w:spacing w:val="-2"/>
                <w:sz w:val="20"/>
                <w:szCs w:val="20"/>
              </w:rPr>
              <w:t>discharges</w:t>
            </w:r>
            <w:r w:rsidRPr="00351A0C">
              <w:rPr>
                <w:rFonts w:ascii="Franklin Gothic Medium Cond"/>
                <w:color w:val="FFFFFF"/>
                <w:sz w:val="20"/>
                <w:szCs w:val="20"/>
              </w:rPr>
              <w:t xml:space="preserve">  </w:t>
            </w:r>
            <w:r w:rsidR="00461887" w:rsidRPr="00351A0C">
              <w:rPr>
                <w:rFonts w:ascii="Franklin Gothic Medium Cond"/>
                <w:color w:val="FFFFFF"/>
                <w:sz w:val="20"/>
                <w:szCs w:val="20"/>
              </w:rPr>
              <w:t>DFCI</w:t>
            </w:r>
            <w:proofErr w:type="gramEnd"/>
            <w:r w:rsidR="00461887" w:rsidRPr="00351A0C">
              <w:rPr>
                <w:rFonts w:ascii="Franklin Gothic Medium Cond"/>
                <w:color w:val="FFFFFF"/>
                <w:sz w:val="20"/>
                <w:szCs w:val="20"/>
              </w:rPr>
              <w:t>/</w:t>
            </w:r>
            <w:r w:rsidR="00461887" w:rsidRPr="00351A0C">
              <w:rPr>
                <w:rFonts w:ascii="Franklin Gothic Medium Cond"/>
                <w:color w:val="FFFFFF"/>
                <w:spacing w:val="-2"/>
                <w:sz w:val="20"/>
                <w:szCs w:val="20"/>
              </w:rPr>
              <w:t xml:space="preserve"> </w:t>
            </w:r>
            <w:r w:rsidR="00461887" w:rsidRPr="00351A0C">
              <w:rPr>
                <w:rFonts w:ascii="Franklin Gothic Medium Cond"/>
                <w:color w:val="FFFFFF"/>
                <w:sz w:val="20"/>
                <w:szCs w:val="20"/>
              </w:rPr>
              <w:t>BWH</w:t>
            </w:r>
            <w:r w:rsidR="00461887" w:rsidRPr="00351A0C">
              <w:rPr>
                <w:rFonts w:ascii="Franklin Gothic Medium Cond"/>
                <w:color w:val="FFFFFF"/>
                <w:spacing w:val="-3"/>
                <w:sz w:val="20"/>
                <w:szCs w:val="20"/>
              </w:rPr>
              <w:t xml:space="preserve"> </w:t>
            </w:r>
            <w:r w:rsidR="00461887" w:rsidRPr="00351A0C">
              <w:rPr>
                <w:rFonts w:ascii="Franklin Gothic Medium Cond"/>
                <w:color w:val="FFFFFF"/>
                <w:spacing w:val="-5"/>
                <w:sz w:val="20"/>
                <w:szCs w:val="20"/>
              </w:rPr>
              <w:t>PSA</w:t>
            </w:r>
          </w:p>
        </w:tc>
      </w:tr>
      <w:tr w:rsidR="004C558F" w14:paraId="1C34ED4C" w14:textId="77777777" w:rsidTr="00374C97">
        <w:trPr>
          <w:cantSplit/>
          <w:trHeight w:val="290"/>
        </w:trPr>
        <w:tc>
          <w:tcPr>
            <w:tcW w:w="4140" w:type="dxa"/>
            <w:shd w:val="clear" w:color="auto" w:fill="D4EBF4"/>
          </w:tcPr>
          <w:p w14:paraId="1C34ED45" w14:textId="77777777" w:rsidR="004C558F" w:rsidRDefault="00461887">
            <w:pPr>
              <w:pStyle w:val="TableParagraph"/>
              <w:ind w:left="107"/>
              <w:jc w:val="left"/>
              <w:rPr>
                <w:sz w:val="20"/>
              </w:rPr>
            </w:pPr>
            <w:r>
              <w:rPr>
                <w:sz w:val="20"/>
              </w:rPr>
              <w:t>Mass</w:t>
            </w:r>
            <w:r>
              <w:rPr>
                <w:spacing w:val="-5"/>
                <w:sz w:val="20"/>
              </w:rPr>
              <w:t xml:space="preserve"> </w:t>
            </w:r>
            <w:r>
              <w:rPr>
                <w:sz w:val="20"/>
              </w:rPr>
              <w:t>General</w:t>
            </w:r>
            <w:r>
              <w:rPr>
                <w:spacing w:val="-5"/>
                <w:sz w:val="20"/>
              </w:rPr>
              <w:t xml:space="preserve"> </w:t>
            </w:r>
            <w:r>
              <w:rPr>
                <w:spacing w:val="-2"/>
                <w:sz w:val="20"/>
              </w:rPr>
              <w:t>Brigham</w:t>
            </w:r>
          </w:p>
        </w:tc>
        <w:tc>
          <w:tcPr>
            <w:tcW w:w="1171" w:type="dxa"/>
            <w:shd w:val="clear" w:color="auto" w:fill="D4EBF4"/>
          </w:tcPr>
          <w:p w14:paraId="1C34ED46" w14:textId="77777777" w:rsidR="004C558F" w:rsidRDefault="00461887">
            <w:pPr>
              <w:pStyle w:val="TableParagraph"/>
              <w:ind w:right="98"/>
              <w:rPr>
                <w:sz w:val="20"/>
              </w:rPr>
            </w:pPr>
            <w:r>
              <w:rPr>
                <w:spacing w:val="-2"/>
                <w:sz w:val="20"/>
              </w:rPr>
              <w:t>29.7%</w:t>
            </w:r>
          </w:p>
        </w:tc>
        <w:tc>
          <w:tcPr>
            <w:tcW w:w="1260" w:type="dxa"/>
            <w:shd w:val="clear" w:color="auto" w:fill="D4EBF4"/>
          </w:tcPr>
          <w:p w14:paraId="1C34ED47" w14:textId="77777777" w:rsidR="004C558F" w:rsidRDefault="00461887">
            <w:pPr>
              <w:pStyle w:val="TableParagraph"/>
              <w:ind w:right="98"/>
              <w:rPr>
                <w:sz w:val="20"/>
              </w:rPr>
            </w:pPr>
            <w:r>
              <w:rPr>
                <w:spacing w:val="-2"/>
                <w:sz w:val="20"/>
              </w:rPr>
              <w:t>40.2%</w:t>
            </w:r>
          </w:p>
        </w:tc>
        <w:tc>
          <w:tcPr>
            <w:tcW w:w="1709" w:type="dxa"/>
            <w:shd w:val="clear" w:color="auto" w:fill="D4EBF4"/>
          </w:tcPr>
          <w:p w14:paraId="1C34ED48" w14:textId="77777777" w:rsidR="004C558F" w:rsidRDefault="00461887">
            <w:pPr>
              <w:pStyle w:val="TableParagraph"/>
              <w:ind w:right="98"/>
              <w:rPr>
                <w:sz w:val="20"/>
              </w:rPr>
            </w:pPr>
            <w:r>
              <w:rPr>
                <w:spacing w:val="-2"/>
                <w:sz w:val="20"/>
              </w:rPr>
              <w:t>36.3%</w:t>
            </w:r>
          </w:p>
        </w:tc>
        <w:tc>
          <w:tcPr>
            <w:tcW w:w="1171" w:type="dxa"/>
            <w:shd w:val="clear" w:color="auto" w:fill="D4EBF4"/>
          </w:tcPr>
          <w:p w14:paraId="1C34ED49" w14:textId="77777777" w:rsidR="004C558F" w:rsidRDefault="00461887">
            <w:pPr>
              <w:pStyle w:val="TableParagraph"/>
              <w:ind w:right="98"/>
              <w:rPr>
                <w:sz w:val="20"/>
              </w:rPr>
            </w:pPr>
            <w:r>
              <w:rPr>
                <w:spacing w:val="-2"/>
                <w:sz w:val="20"/>
              </w:rPr>
              <w:t>39.0%</w:t>
            </w:r>
          </w:p>
        </w:tc>
        <w:tc>
          <w:tcPr>
            <w:tcW w:w="1349" w:type="dxa"/>
            <w:shd w:val="clear" w:color="auto" w:fill="D4EBF4"/>
          </w:tcPr>
          <w:p w14:paraId="1C34ED4A" w14:textId="77777777" w:rsidR="004C558F" w:rsidRDefault="00461887">
            <w:pPr>
              <w:pStyle w:val="TableParagraph"/>
              <w:ind w:right="98"/>
              <w:rPr>
                <w:sz w:val="20"/>
              </w:rPr>
            </w:pPr>
            <w:r>
              <w:rPr>
                <w:spacing w:val="-2"/>
                <w:sz w:val="20"/>
              </w:rPr>
              <w:t>47.8%</w:t>
            </w:r>
          </w:p>
        </w:tc>
        <w:tc>
          <w:tcPr>
            <w:tcW w:w="1800" w:type="dxa"/>
            <w:shd w:val="clear" w:color="auto" w:fill="D4EBF4"/>
          </w:tcPr>
          <w:p w14:paraId="1C34ED4B" w14:textId="77777777" w:rsidR="004C558F" w:rsidRDefault="00461887">
            <w:pPr>
              <w:pStyle w:val="TableParagraph"/>
              <w:ind w:right="95"/>
              <w:rPr>
                <w:sz w:val="20"/>
              </w:rPr>
            </w:pPr>
            <w:r>
              <w:rPr>
                <w:spacing w:val="-2"/>
                <w:sz w:val="20"/>
              </w:rPr>
              <w:t>45.7%</w:t>
            </w:r>
          </w:p>
        </w:tc>
      </w:tr>
      <w:tr w:rsidR="004C558F" w14:paraId="1C34ED54" w14:textId="77777777" w:rsidTr="00374C97">
        <w:trPr>
          <w:cantSplit/>
          <w:trHeight w:val="290"/>
        </w:trPr>
        <w:tc>
          <w:tcPr>
            <w:tcW w:w="4140" w:type="dxa"/>
          </w:tcPr>
          <w:p w14:paraId="1C34ED4D" w14:textId="77777777" w:rsidR="004C558F" w:rsidRDefault="00461887">
            <w:pPr>
              <w:pStyle w:val="TableParagraph"/>
              <w:ind w:left="438"/>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171" w:type="dxa"/>
          </w:tcPr>
          <w:p w14:paraId="1C34ED4E" w14:textId="77777777" w:rsidR="004C558F" w:rsidRDefault="00461887">
            <w:pPr>
              <w:pStyle w:val="TableParagraph"/>
              <w:ind w:right="95"/>
              <w:rPr>
                <w:sz w:val="20"/>
              </w:rPr>
            </w:pPr>
            <w:r>
              <w:rPr>
                <w:spacing w:val="-2"/>
                <w:sz w:val="20"/>
              </w:rPr>
              <w:t>11.6%</w:t>
            </w:r>
          </w:p>
        </w:tc>
        <w:tc>
          <w:tcPr>
            <w:tcW w:w="1260" w:type="dxa"/>
          </w:tcPr>
          <w:p w14:paraId="1C34ED4F" w14:textId="77777777" w:rsidR="004C558F" w:rsidRDefault="00461887">
            <w:pPr>
              <w:pStyle w:val="TableParagraph"/>
              <w:ind w:right="95"/>
              <w:rPr>
                <w:sz w:val="20"/>
              </w:rPr>
            </w:pPr>
            <w:r>
              <w:rPr>
                <w:spacing w:val="-2"/>
                <w:sz w:val="20"/>
              </w:rPr>
              <w:t>14.0%</w:t>
            </w:r>
          </w:p>
        </w:tc>
        <w:tc>
          <w:tcPr>
            <w:tcW w:w="1709" w:type="dxa"/>
          </w:tcPr>
          <w:p w14:paraId="1C34ED50" w14:textId="77777777" w:rsidR="004C558F" w:rsidRDefault="00461887">
            <w:pPr>
              <w:pStyle w:val="TableParagraph"/>
              <w:ind w:right="95"/>
              <w:rPr>
                <w:sz w:val="20"/>
              </w:rPr>
            </w:pPr>
            <w:r>
              <w:rPr>
                <w:spacing w:val="-2"/>
                <w:sz w:val="20"/>
              </w:rPr>
              <w:t>13.4%</w:t>
            </w:r>
          </w:p>
        </w:tc>
        <w:tc>
          <w:tcPr>
            <w:tcW w:w="1171" w:type="dxa"/>
          </w:tcPr>
          <w:p w14:paraId="1C34ED51" w14:textId="77777777" w:rsidR="004C558F" w:rsidRDefault="00461887">
            <w:pPr>
              <w:pStyle w:val="TableParagraph"/>
              <w:ind w:right="95"/>
              <w:rPr>
                <w:sz w:val="20"/>
              </w:rPr>
            </w:pPr>
            <w:r>
              <w:rPr>
                <w:spacing w:val="-2"/>
                <w:sz w:val="20"/>
              </w:rPr>
              <w:t>17.3%</w:t>
            </w:r>
          </w:p>
        </w:tc>
        <w:tc>
          <w:tcPr>
            <w:tcW w:w="1349" w:type="dxa"/>
          </w:tcPr>
          <w:p w14:paraId="1C34ED52" w14:textId="77777777" w:rsidR="004C558F" w:rsidRDefault="00461887">
            <w:pPr>
              <w:pStyle w:val="TableParagraph"/>
              <w:ind w:right="95"/>
              <w:rPr>
                <w:sz w:val="20"/>
              </w:rPr>
            </w:pPr>
            <w:r>
              <w:rPr>
                <w:spacing w:val="-2"/>
                <w:sz w:val="20"/>
              </w:rPr>
              <w:t>18.8%</w:t>
            </w:r>
          </w:p>
        </w:tc>
        <w:tc>
          <w:tcPr>
            <w:tcW w:w="1800" w:type="dxa"/>
          </w:tcPr>
          <w:p w14:paraId="1C34ED53" w14:textId="77777777" w:rsidR="004C558F" w:rsidRDefault="00461887">
            <w:pPr>
              <w:pStyle w:val="TableParagraph"/>
              <w:ind w:right="93"/>
              <w:rPr>
                <w:sz w:val="20"/>
              </w:rPr>
            </w:pPr>
            <w:r>
              <w:rPr>
                <w:spacing w:val="-2"/>
                <w:sz w:val="20"/>
              </w:rPr>
              <w:t>19.4%</w:t>
            </w:r>
          </w:p>
        </w:tc>
      </w:tr>
      <w:tr w:rsidR="004C558F" w14:paraId="1C34ED5C" w14:textId="77777777" w:rsidTr="00374C97">
        <w:trPr>
          <w:cantSplit/>
          <w:trHeight w:val="289"/>
        </w:trPr>
        <w:tc>
          <w:tcPr>
            <w:tcW w:w="4140" w:type="dxa"/>
          </w:tcPr>
          <w:p w14:paraId="1C34ED55" w14:textId="77777777" w:rsidR="004C558F" w:rsidRDefault="00461887">
            <w:pPr>
              <w:pStyle w:val="TableParagraph"/>
              <w:ind w:left="438"/>
              <w:jc w:val="left"/>
              <w:rPr>
                <w:sz w:val="20"/>
              </w:rPr>
            </w:pPr>
            <w:r>
              <w:rPr>
                <w:sz w:val="20"/>
              </w:rPr>
              <w:t>Massachusetts</w:t>
            </w:r>
            <w:r>
              <w:rPr>
                <w:spacing w:val="-9"/>
                <w:sz w:val="20"/>
              </w:rPr>
              <w:t xml:space="preserve"> </w:t>
            </w:r>
            <w:r>
              <w:rPr>
                <w:sz w:val="20"/>
              </w:rPr>
              <w:t>General</w:t>
            </w:r>
            <w:r>
              <w:rPr>
                <w:spacing w:val="-10"/>
                <w:sz w:val="20"/>
              </w:rPr>
              <w:t xml:space="preserve"> </w:t>
            </w:r>
            <w:r>
              <w:rPr>
                <w:spacing w:val="-2"/>
                <w:sz w:val="20"/>
              </w:rPr>
              <w:t>Hospital</w:t>
            </w:r>
          </w:p>
        </w:tc>
        <w:tc>
          <w:tcPr>
            <w:tcW w:w="1171" w:type="dxa"/>
          </w:tcPr>
          <w:p w14:paraId="1C34ED56" w14:textId="77777777" w:rsidR="004C558F" w:rsidRDefault="00461887">
            <w:pPr>
              <w:pStyle w:val="TableParagraph"/>
              <w:ind w:right="95"/>
              <w:rPr>
                <w:sz w:val="20"/>
              </w:rPr>
            </w:pPr>
            <w:r>
              <w:rPr>
                <w:spacing w:val="-2"/>
                <w:sz w:val="20"/>
              </w:rPr>
              <w:t>10.3%</w:t>
            </w:r>
          </w:p>
        </w:tc>
        <w:tc>
          <w:tcPr>
            <w:tcW w:w="1260" w:type="dxa"/>
          </w:tcPr>
          <w:p w14:paraId="1C34ED57" w14:textId="77777777" w:rsidR="004C558F" w:rsidRDefault="00461887">
            <w:pPr>
              <w:pStyle w:val="TableParagraph"/>
              <w:ind w:right="95"/>
              <w:rPr>
                <w:sz w:val="20"/>
              </w:rPr>
            </w:pPr>
            <w:r>
              <w:rPr>
                <w:spacing w:val="-2"/>
                <w:sz w:val="20"/>
              </w:rPr>
              <w:t>15.2%</w:t>
            </w:r>
          </w:p>
        </w:tc>
        <w:tc>
          <w:tcPr>
            <w:tcW w:w="1709" w:type="dxa"/>
          </w:tcPr>
          <w:p w14:paraId="1C34ED58" w14:textId="77777777" w:rsidR="004C558F" w:rsidRDefault="00461887">
            <w:pPr>
              <w:pStyle w:val="TableParagraph"/>
              <w:ind w:right="95"/>
              <w:rPr>
                <w:sz w:val="20"/>
              </w:rPr>
            </w:pPr>
            <w:r>
              <w:rPr>
                <w:spacing w:val="-2"/>
                <w:sz w:val="20"/>
              </w:rPr>
              <w:t>13.4%</w:t>
            </w:r>
          </w:p>
        </w:tc>
        <w:tc>
          <w:tcPr>
            <w:tcW w:w="1171" w:type="dxa"/>
          </w:tcPr>
          <w:p w14:paraId="1C34ED59" w14:textId="77777777" w:rsidR="004C558F" w:rsidRDefault="00461887">
            <w:pPr>
              <w:pStyle w:val="TableParagraph"/>
              <w:ind w:right="95"/>
              <w:rPr>
                <w:sz w:val="20"/>
              </w:rPr>
            </w:pPr>
            <w:r>
              <w:rPr>
                <w:spacing w:val="-2"/>
                <w:sz w:val="20"/>
              </w:rPr>
              <w:t>14.6%</w:t>
            </w:r>
          </w:p>
        </w:tc>
        <w:tc>
          <w:tcPr>
            <w:tcW w:w="1349" w:type="dxa"/>
          </w:tcPr>
          <w:p w14:paraId="1C34ED5A" w14:textId="77777777" w:rsidR="004C558F" w:rsidRDefault="00461887">
            <w:pPr>
              <w:pStyle w:val="TableParagraph"/>
              <w:ind w:right="95"/>
              <w:rPr>
                <w:sz w:val="20"/>
              </w:rPr>
            </w:pPr>
            <w:r>
              <w:rPr>
                <w:spacing w:val="-2"/>
                <w:sz w:val="20"/>
              </w:rPr>
              <w:t>19.6%</w:t>
            </w:r>
          </w:p>
        </w:tc>
        <w:tc>
          <w:tcPr>
            <w:tcW w:w="1800" w:type="dxa"/>
          </w:tcPr>
          <w:p w14:paraId="1C34ED5B" w14:textId="77777777" w:rsidR="004C558F" w:rsidRDefault="00461887">
            <w:pPr>
              <w:pStyle w:val="TableParagraph"/>
              <w:ind w:right="93"/>
              <w:rPr>
                <w:sz w:val="20"/>
              </w:rPr>
            </w:pPr>
            <w:r>
              <w:rPr>
                <w:spacing w:val="-2"/>
                <w:sz w:val="20"/>
              </w:rPr>
              <w:t>17.7%</w:t>
            </w:r>
          </w:p>
        </w:tc>
      </w:tr>
      <w:tr w:rsidR="004C558F" w14:paraId="1C34ED64" w14:textId="77777777" w:rsidTr="00374C97">
        <w:trPr>
          <w:cantSplit/>
          <w:trHeight w:val="290"/>
        </w:trPr>
        <w:tc>
          <w:tcPr>
            <w:tcW w:w="4140" w:type="dxa"/>
          </w:tcPr>
          <w:p w14:paraId="1C34ED5D" w14:textId="77777777" w:rsidR="004C558F" w:rsidRDefault="00461887">
            <w:pPr>
              <w:pStyle w:val="TableParagraph"/>
              <w:ind w:left="438"/>
              <w:jc w:val="left"/>
              <w:rPr>
                <w:sz w:val="20"/>
              </w:rPr>
            </w:pPr>
            <w:r>
              <w:rPr>
                <w:sz w:val="20"/>
              </w:rPr>
              <w:t>NSMC</w:t>
            </w:r>
            <w:r>
              <w:rPr>
                <w:spacing w:val="-7"/>
                <w:sz w:val="20"/>
              </w:rPr>
              <w:t xml:space="preserve"> </w:t>
            </w:r>
            <w:r>
              <w:rPr>
                <w:sz w:val="20"/>
              </w:rPr>
              <w:t>Salem</w:t>
            </w:r>
            <w:r>
              <w:rPr>
                <w:spacing w:val="-5"/>
                <w:sz w:val="20"/>
              </w:rPr>
              <w:t xml:space="preserve"> </w:t>
            </w:r>
            <w:r>
              <w:rPr>
                <w:spacing w:val="-2"/>
                <w:sz w:val="20"/>
              </w:rPr>
              <w:t>Hospital</w:t>
            </w:r>
          </w:p>
        </w:tc>
        <w:tc>
          <w:tcPr>
            <w:tcW w:w="1171" w:type="dxa"/>
          </w:tcPr>
          <w:p w14:paraId="1C34ED5E" w14:textId="77777777" w:rsidR="004C558F" w:rsidRDefault="00461887">
            <w:pPr>
              <w:pStyle w:val="TableParagraph"/>
              <w:ind w:right="98"/>
              <w:rPr>
                <w:sz w:val="20"/>
              </w:rPr>
            </w:pPr>
            <w:r>
              <w:rPr>
                <w:spacing w:val="-4"/>
                <w:sz w:val="20"/>
              </w:rPr>
              <w:t>2.5%</w:t>
            </w:r>
          </w:p>
        </w:tc>
        <w:tc>
          <w:tcPr>
            <w:tcW w:w="1260" w:type="dxa"/>
          </w:tcPr>
          <w:p w14:paraId="1C34ED5F" w14:textId="77777777" w:rsidR="004C558F" w:rsidRDefault="00461887">
            <w:pPr>
              <w:pStyle w:val="TableParagraph"/>
              <w:ind w:right="98"/>
              <w:rPr>
                <w:sz w:val="20"/>
              </w:rPr>
            </w:pPr>
            <w:r>
              <w:rPr>
                <w:spacing w:val="-4"/>
                <w:sz w:val="20"/>
              </w:rPr>
              <w:t>4.0%</w:t>
            </w:r>
          </w:p>
        </w:tc>
        <w:tc>
          <w:tcPr>
            <w:tcW w:w="1709" w:type="dxa"/>
          </w:tcPr>
          <w:p w14:paraId="1C34ED60" w14:textId="77777777" w:rsidR="004C558F" w:rsidRDefault="00461887">
            <w:pPr>
              <w:pStyle w:val="TableParagraph"/>
              <w:ind w:right="98"/>
              <w:rPr>
                <w:sz w:val="20"/>
              </w:rPr>
            </w:pPr>
            <w:r>
              <w:rPr>
                <w:spacing w:val="-4"/>
                <w:sz w:val="20"/>
              </w:rPr>
              <w:t>3.7%</w:t>
            </w:r>
          </w:p>
        </w:tc>
        <w:tc>
          <w:tcPr>
            <w:tcW w:w="1171" w:type="dxa"/>
          </w:tcPr>
          <w:p w14:paraId="1C34ED61" w14:textId="77777777" w:rsidR="004C558F" w:rsidRDefault="00461887">
            <w:pPr>
              <w:pStyle w:val="TableParagraph"/>
              <w:ind w:right="98"/>
              <w:rPr>
                <w:sz w:val="20"/>
              </w:rPr>
            </w:pPr>
            <w:r>
              <w:rPr>
                <w:spacing w:val="-4"/>
                <w:sz w:val="20"/>
              </w:rPr>
              <w:t>1.6%</w:t>
            </w:r>
          </w:p>
        </w:tc>
        <w:tc>
          <w:tcPr>
            <w:tcW w:w="1349" w:type="dxa"/>
          </w:tcPr>
          <w:p w14:paraId="1C34ED62" w14:textId="77777777" w:rsidR="004C558F" w:rsidRDefault="00461887">
            <w:pPr>
              <w:pStyle w:val="TableParagraph"/>
              <w:ind w:right="98"/>
              <w:rPr>
                <w:sz w:val="20"/>
              </w:rPr>
            </w:pPr>
            <w:r>
              <w:rPr>
                <w:spacing w:val="-4"/>
                <w:sz w:val="20"/>
              </w:rPr>
              <w:t>2.6%</w:t>
            </w:r>
          </w:p>
        </w:tc>
        <w:tc>
          <w:tcPr>
            <w:tcW w:w="1800" w:type="dxa"/>
          </w:tcPr>
          <w:p w14:paraId="1C34ED63" w14:textId="77777777" w:rsidR="004C558F" w:rsidRDefault="00461887">
            <w:pPr>
              <w:pStyle w:val="TableParagraph"/>
              <w:ind w:right="97"/>
              <w:rPr>
                <w:sz w:val="20"/>
              </w:rPr>
            </w:pPr>
            <w:r>
              <w:rPr>
                <w:spacing w:val="-4"/>
                <w:sz w:val="20"/>
              </w:rPr>
              <w:t>2.4%</w:t>
            </w:r>
          </w:p>
        </w:tc>
      </w:tr>
      <w:tr w:rsidR="004C558F" w14:paraId="1C34ED6C" w14:textId="77777777" w:rsidTr="00374C97">
        <w:trPr>
          <w:cantSplit/>
          <w:trHeight w:val="290"/>
        </w:trPr>
        <w:tc>
          <w:tcPr>
            <w:tcW w:w="4140" w:type="dxa"/>
          </w:tcPr>
          <w:p w14:paraId="1C34ED65" w14:textId="77777777" w:rsidR="004C558F" w:rsidRDefault="00461887">
            <w:pPr>
              <w:pStyle w:val="TableParagraph"/>
              <w:ind w:left="438"/>
              <w:jc w:val="left"/>
              <w:rPr>
                <w:sz w:val="20"/>
              </w:rPr>
            </w:pPr>
            <w:r>
              <w:rPr>
                <w:spacing w:val="-2"/>
                <w:sz w:val="20"/>
              </w:rPr>
              <w:t>Newton-Wellesley</w:t>
            </w:r>
            <w:r>
              <w:rPr>
                <w:spacing w:val="14"/>
                <w:sz w:val="20"/>
              </w:rPr>
              <w:t xml:space="preserve"> </w:t>
            </w:r>
            <w:r>
              <w:rPr>
                <w:spacing w:val="-2"/>
                <w:sz w:val="20"/>
              </w:rPr>
              <w:t>Hospital</w:t>
            </w:r>
          </w:p>
        </w:tc>
        <w:tc>
          <w:tcPr>
            <w:tcW w:w="1171" w:type="dxa"/>
          </w:tcPr>
          <w:p w14:paraId="1C34ED66" w14:textId="77777777" w:rsidR="004C558F" w:rsidRDefault="00461887">
            <w:pPr>
              <w:pStyle w:val="TableParagraph"/>
              <w:ind w:right="98"/>
              <w:rPr>
                <w:sz w:val="20"/>
              </w:rPr>
            </w:pPr>
            <w:r>
              <w:rPr>
                <w:spacing w:val="-4"/>
                <w:sz w:val="20"/>
              </w:rPr>
              <w:t>2.2%</w:t>
            </w:r>
          </w:p>
        </w:tc>
        <w:tc>
          <w:tcPr>
            <w:tcW w:w="1260" w:type="dxa"/>
          </w:tcPr>
          <w:p w14:paraId="1C34ED67" w14:textId="77777777" w:rsidR="004C558F" w:rsidRDefault="00461887">
            <w:pPr>
              <w:pStyle w:val="TableParagraph"/>
              <w:ind w:right="98"/>
              <w:rPr>
                <w:sz w:val="20"/>
              </w:rPr>
            </w:pPr>
            <w:r>
              <w:rPr>
                <w:spacing w:val="-4"/>
                <w:sz w:val="20"/>
              </w:rPr>
              <w:t>3.9%</w:t>
            </w:r>
          </w:p>
        </w:tc>
        <w:tc>
          <w:tcPr>
            <w:tcW w:w="1709" w:type="dxa"/>
          </w:tcPr>
          <w:p w14:paraId="1C34ED68" w14:textId="77777777" w:rsidR="004C558F" w:rsidRDefault="00461887">
            <w:pPr>
              <w:pStyle w:val="TableParagraph"/>
              <w:ind w:right="98"/>
              <w:rPr>
                <w:sz w:val="20"/>
              </w:rPr>
            </w:pPr>
            <w:r>
              <w:rPr>
                <w:spacing w:val="-4"/>
                <w:sz w:val="20"/>
              </w:rPr>
              <w:t>3.1%</w:t>
            </w:r>
          </w:p>
        </w:tc>
        <w:tc>
          <w:tcPr>
            <w:tcW w:w="1171" w:type="dxa"/>
          </w:tcPr>
          <w:p w14:paraId="1C34ED69" w14:textId="77777777" w:rsidR="004C558F" w:rsidRDefault="00461887">
            <w:pPr>
              <w:pStyle w:val="TableParagraph"/>
              <w:ind w:right="98"/>
              <w:rPr>
                <w:sz w:val="20"/>
              </w:rPr>
            </w:pPr>
            <w:r>
              <w:rPr>
                <w:spacing w:val="-4"/>
                <w:sz w:val="20"/>
              </w:rPr>
              <w:t>1.7%</w:t>
            </w:r>
          </w:p>
        </w:tc>
        <w:tc>
          <w:tcPr>
            <w:tcW w:w="1349" w:type="dxa"/>
          </w:tcPr>
          <w:p w14:paraId="1C34ED6A" w14:textId="77777777" w:rsidR="004C558F" w:rsidRDefault="00461887">
            <w:pPr>
              <w:pStyle w:val="TableParagraph"/>
              <w:ind w:right="98"/>
              <w:rPr>
                <w:sz w:val="20"/>
              </w:rPr>
            </w:pPr>
            <w:r>
              <w:rPr>
                <w:spacing w:val="-4"/>
                <w:sz w:val="20"/>
              </w:rPr>
              <w:t>2.9%</w:t>
            </w:r>
          </w:p>
        </w:tc>
        <w:tc>
          <w:tcPr>
            <w:tcW w:w="1800" w:type="dxa"/>
          </w:tcPr>
          <w:p w14:paraId="1C34ED6B" w14:textId="77777777" w:rsidR="004C558F" w:rsidRDefault="00461887">
            <w:pPr>
              <w:pStyle w:val="TableParagraph"/>
              <w:ind w:right="97"/>
              <w:rPr>
                <w:sz w:val="20"/>
              </w:rPr>
            </w:pPr>
            <w:r>
              <w:rPr>
                <w:spacing w:val="-4"/>
                <w:sz w:val="20"/>
              </w:rPr>
              <w:t>2.5%</w:t>
            </w:r>
          </w:p>
        </w:tc>
      </w:tr>
      <w:tr w:rsidR="004C558F" w14:paraId="1C34ED74" w14:textId="77777777" w:rsidTr="00374C97">
        <w:trPr>
          <w:cantSplit/>
          <w:trHeight w:val="289"/>
        </w:trPr>
        <w:tc>
          <w:tcPr>
            <w:tcW w:w="4140" w:type="dxa"/>
            <w:shd w:val="clear" w:color="auto" w:fill="FBDFD3"/>
          </w:tcPr>
          <w:p w14:paraId="1C34ED6D" w14:textId="77777777" w:rsidR="004C558F" w:rsidRDefault="00461887">
            <w:pPr>
              <w:pStyle w:val="TableParagraph"/>
              <w:ind w:left="107"/>
              <w:jc w:val="left"/>
              <w:rPr>
                <w:sz w:val="20"/>
              </w:rPr>
            </w:pPr>
            <w:r>
              <w:rPr>
                <w:sz w:val="20"/>
              </w:rPr>
              <w:t>Beth</w:t>
            </w:r>
            <w:r>
              <w:rPr>
                <w:spacing w:val="-4"/>
                <w:sz w:val="20"/>
              </w:rPr>
              <w:t xml:space="preserve"> </w:t>
            </w:r>
            <w:r>
              <w:rPr>
                <w:sz w:val="20"/>
              </w:rPr>
              <w:t>Israel</w:t>
            </w:r>
            <w:r>
              <w:rPr>
                <w:spacing w:val="-4"/>
                <w:sz w:val="20"/>
              </w:rPr>
              <w:t xml:space="preserve"> </w:t>
            </w:r>
            <w:r>
              <w:rPr>
                <w:sz w:val="20"/>
              </w:rPr>
              <w:t>Lahey</w:t>
            </w:r>
            <w:r>
              <w:rPr>
                <w:spacing w:val="-3"/>
                <w:sz w:val="20"/>
              </w:rPr>
              <w:t xml:space="preserve"> </w:t>
            </w:r>
            <w:r>
              <w:rPr>
                <w:spacing w:val="-2"/>
                <w:sz w:val="20"/>
              </w:rPr>
              <w:t>Health</w:t>
            </w:r>
          </w:p>
        </w:tc>
        <w:tc>
          <w:tcPr>
            <w:tcW w:w="1171" w:type="dxa"/>
            <w:shd w:val="clear" w:color="auto" w:fill="FBDFD3"/>
          </w:tcPr>
          <w:p w14:paraId="1C34ED6E" w14:textId="77777777" w:rsidR="004C558F" w:rsidRDefault="00461887">
            <w:pPr>
              <w:pStyle w:val="TableParagraph"/>
              <w:ind w:right="98"/>
              <w:rPr>
                <w:sz w:val="20"/>
              </w:rPr>
            </w:pPr>
            <w:r>
              <w:rPr>
                <w:spacing w:val="-2"/>
                <w:sz w:val="20"/>
              </w:rPr>
              <w:t>19.4%</w:t>
            </w:r>
          </w:p>
        </w:tc>
        <w:tc>
          <w:tcPr>
            <w:tcW w:w="1260" w:type="dxa"/>
            <w:shd w:val="clear" w:color="auto" w:fill="FBDFD3"/>
          </w:tcPr>
          <w:p w14:paraId="1C34ED6F" w14:textId="77777777" w:rsidR="004C558F" w:rsidRDefault="00461887">
            <w:pPr>
              <w:pStyle w:val="TableParagraph"/>
              <w:ind w:right="98"/>
              <w:rPr>
                <w:sz w:val="20"/>
              </w:rPr>
            </w:pPr>
            <w:r>
              <w:rPr>
                <w:spacing w:val="-2"/>
                <w:sz w:val="20"/>
              </w:rPr>
              <w:t>27.7%</w:t>
            </w:r>
          </w:p>
        </w:tc>
        <w:tc>
          <w:tcPr>
            <w:tcW w:w="1709" w:type="dxa"/>
            <w:shd w:val="clear" w:color="auto" w:fill="FBDFD3"/>
          </w:tcPr>
          <w:p w14:paraId="1C34ED70" w14:textId="77777777" w:rsidR="004C558F" w:rsidRDefault="00461887">
            <w:pPr>
              <w:pStyle w:val="TableParagraph"/>
              <w:ind w:right="98"/>
              <w:rPr>
                <w:sz w:val="20"/>
              </w:rPr>
            </w:pPr>
            <w:r>
              <w:rPr>
                <w:spacing w:val="-2"/>
                <w:sz w:val="20"/>
              </w:rPr>
              <w:t>25.3%</w:t>
            </w:r>
          </w:p>
        </w:tc>
        <w:tc>
          <w:tcPr>
            <w:tcW w:w="1171" w:type="dxa"/>
            <w:shd w:val="clear" w:color="auto" w:fill="FBDFD3"/>
          </w:tcPr>
          <w:p w14:paraId="1C34ED71" w14:textId="77777777" w:rsidR="004C558F" w:rsidRDefault="00461887">
            <w:pPr>
              <w:pStyle w:val="TableParagraph"/>
              <w:ind w:right="98"/>
              <w:rPr>
                <w:sz w:val="20"/>
              </w:rPr>
            </w:pPr>
            <w:r>
              <w:rPr>
                <w:spacing w:val="-2"/>
                <w:sz w:val="20"/>
              </w:rPr>
              <w:t>19.3%</w:t>
            </w:r>
          </w:p>
        </w:tc>
        <w:tc>
          <w:tcPr>
            <w:tcW w:w="1349" w:type="dxa"/>
            <w:shd w:val="clear" w:color="auto" w:fill="FBDFD3"/>
          </w:tcPr>
          <w:p w14:paraId="1C34ED72" w14:textId="77777777" w:rsidR="004C558F" w:rsidRDefault="00461887">
            <w:pPr>
              <w:pStyle w:val="TableParagraph"/>
              <w:ind w:right="98"/>
              <w:rPr>
                <w:sz w:val="20"/>
              </w:rPr>
            </w:pPr>
            <w:r>
              <w:rPr>
                <w:spacing w:val="-2"/>
                <w:sz w:val="20"/>
              </w:rPr>
              <w:t>27.2%</w:t>
            </w:r>
          </w:p>
        </w:tc>
        <w:tc>
          <w:tcPr>
            <w:tcW w:w="1800" w:type="dxa"/>
            <w:shd w:val="clear" w:color="auto" w:fill="FBDFD3"/>
          </w:tcPr>
          <w:p w14:paraId="1C34ED73" w14:textId="77777777" w:rsidR="004C558F" w:rsidRDefault="00461887">
            <w:pPr>
              <w:pStyle w:val="TableParagraph"/>
              <w:ind w:right="95"/>
              <w:rPr>
                <w:sz w:val="20"/>
              </w:rPr>
            </w:pPr>
            <w:r>
              <w:rPr>
                <w:spacing w:val="-2"/>
                <w:sz w:val="20"/>
              </w:rPr>
              <w:t>24.7%</w:t>
            </w:r>
          </w:p>
        </w:tc>
      </w:tr>
      <w:tr w:rsidR="004C558F" w14:paraId="1C34ED7C" w14:textId="77777777" w:rsidTr="00374C97">
        <w:trPr>
          <w:cantSplit/>
          <w:trHeight w:val="290"/>
        </w:trPr>
        <w:tc>
          <w:tcPr>
            <w:tcW w:w="4140" w:type="dxa"/>
          </w:tcPr>
          <w:p w14:paraId="1C34ED75" w14:textId="77777777" w:rsidR="004C558F" w:rsidRDefault="00461887">
            <w:pPr>
              <w:pStyle w:val="TableParagraph"/>
              <w:ind w:left="438"/>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171" w:type="dxa"/>
          </w:tcPr>
          <w:p w14:paraId="1C34ED76" w14:textId="77777777" w:rsidR="004C558F" w:rsidRDefault="00461887">
            <w:pPr>
              <w:pStyle w:val="TableParagraph"/>
              <w:ind w:right="98"/>
              <w:rPr>
                <w:sz w:val="20"/>
              </w:rPr>
            </w:pPr>
            <w:r>
              <w:rPr>
                <w:spacing w:val="-4"/>
                <w:sz w:val="20"/>
              </w:rPr>
              <w:t>7.5%</w:t>
            </w:r>
          </w:p>
        </w:tc>
        <w:tc>
          <w:tcPr>
            <w:tcW w:w="1260" w:type="dxa"/>
          </w:tcPr>
          <w:p w14:paraId="1C34ED77" w14:textId="77777777" w:rsidR="004C558F" w:rsidRDefault="00461887">
            <w:pPr>
              <w:pStyle w:val="TableParagraph"/>
              <w:ind w:right="95"/>
              <w:rPr>
                <w:sz w:val="20"/>
              </w:rPr>
            </w:pPr>
            <w:r>
              <w:rPr>
                <w:spacing w:val="-2"/>
                <w:sz w:val="20"/>
              </w:rPr>
              <w:t>11.8%</w:t>
            </w:r>
          </w:p>
        </w:tc>
        <w:tc>
          <w:tcPr>
            <w:tcW w:w="1709" w:type="dxa"/>
          </w:tcPr>
          <w:p w14:paraId="1C34ED78" w14:textId="77777777" w:rsidR="004C558F" w:rsidRDefault="00461887">
            <w:pPr>
              <w:pStyle w:val="TableParagraph"/>
              <w:ind w:right="95"/>
              <w:rPr>
                <w:sz w:val="20"/>
              </w:rPr>
            </w:pPr>
            <w:r>
              <w:rPr>
                <w:spacing w:val="-2"/>
                <w:sz w:val="20"/>
              </w:rPr>
              <w:t>10.0%</w:t>
            </w:r>
          </w:p>
        </w:tc>
        <w:tc>
          <w:tcPr>
            <w:tcW w:w="1171" w:type="dxa"/>
          </w:tcPr>
          <w:p w14:paraId="1C34ED79" w14:textId="77777777" w:rsidR="004C558F" w:rsidRDefault="00461887">
            <w:pPr>
              <w:pStyle w:val="TableParagraph"/>
              <w:ind w:right="98"/>
              <w:rPr>
                <w:sz w:val="20"/>
              </w:rPr>
            </w:pPr>
            <w:r>
              <w:rPr>
                <w:spacing w:val="-4"/>
                <w:sz w:val="20"/>
              </w:rPr>
              <w:t>9.7%</w:t>
            </w:r>
          </w:p>
        </w:tc>
        <w:tc>
          <w:tcPr>
            <w:tcW w:w="1349" w:type="dxa"/>
          </w:tcPr>
          <w:p w14:paraId="1C34ED7A" w14:textId="77777777" w:rsidR="004C558F" w:rsidRDefault="00461887">
            <w:pPr>
              <w:pStyle w:val="TableParagraph"/>
              <w:ind w:right="95"/>
              <w:rPr>
                <w:sz w:val="20"/>
              </w:rPr>
            </w:pPr>
            <w:r>
              <w:rPr>
                <w:spacing w:val="-2"/>
                <w:sz w:val="20"/>
              </w:rPr>
              <w:t>13.8%</w:t>
            </w:r>
          </w:p>
        </w:tc>
        <w:tc>
          <w:tcPr>
            <w:tcW w:w="1800" w:type="dxa"/>
          </w:tcPr>
          <w:p w14:paraId="1C34ED7B" w14:textId="77777777" w:rsidR="004C558F" w:rsidRDefault="00461887">
            <w:pPr>
              <w:pStyle w:val="TableParagraph"/>
              <w:ind w:right="93"/>
              <w:rPr>
                <w:sz w:val="20"/>
              </w:rPr>
            </w:pPr>
            <w:r>
              <w:rPr>
                <w:spacing w:val="-2"/>
                <w:sz w:val="20"/>
              </w:rPr>
              <w:t>12.2%</w:t>
            </w:r>
          </w:p>
        </w:tc>
      </w:tr>
      <w:tr w:rsidR="004C558F" w14:paraId="1C34ED84" w14:textId="77777777" w:rsidTr="00374C97">
        <w:trPr>
          <w:cantSplit/>
          <w:trHeight w:val="290"/>
        </w:trPr>
        <w:tc>
          <w:tcPr>
            <w:tcW w:w="4140" w:type="dxa"/>
          </w:tcPr>
          <w:p w14:paraId="1C34ED7D" w14:textId="77777777" w:rsidR="004C558F" w:rsidRDefault="00461887">
            <w:pPr>
              <w:pStyle w:val="TableParagraph"/>
              <w:ind w:left="438"/>
              <w:jc w:val="left"/>
              <w:rPr>
                <w:sz w:val="20"/>
              </w:rPr>
            </w:pPr>
            <w:r>
              <w:rPr>
                <w:sz w:val="20"/>
              </w:rPr>
              <w:t>Lahey</w:t>
            </w:r>
            <w:r>
              <w:rPr>
                <w:spacing w:val="-8"/>
                <w:sz w:val="20"/>
              </w:rPr>
              <w:t xml:space="preserve"> </w:t>
            </w:r>
            <w:r>
              <w:rPr>
                <w:sz w:val="20"/>
              </w:rPr>
              <w:t>Hospital</w:t>
            </w:r>
            <w:r>
              <w:rPr>
                <w:spacing w:val="-6"/>
                <w:sz w:val="20"/>
              </w:rPr>
              <w:t xml:space="preserve"> </w:t>
            </w:r>
            <w:r>
              <w:rPr>
                <w:sz w:val="20"/>
              </w:rPr>
              <w:t>and</w:t>
            </w:r>
            <w:r>
              <w:rPr>
                <w:spacing w:val="-6"/>
                <w:sz w:val="20"/>
              </w:rPr>
              <w:t xml:space="preserve"> </w:t>
            </w:r>
            <w:r>
              <w:rPr>
                <w:sz w:val="20"/>
              </w:rPr>
              <w:t>Medical</w:t>
            </w:r>
            <w:r>
              <w:rPr>
                <w:spacing w:val="-4"/>
                <w:sz w:val="20"/>
              </w:rPr>
              <w:t xml:space="preserve"> </w:t>
            </w:r>
            <w:r>
              <w:rPr>
                <w:spacing w:val="-2"/>
                <w:sz w:val="20"/>
              </w:rPr>
              <w:t>Center</w:t>
            </w:r>
          </w:p>
        </w:tc>
        <w:tc>
          <w:tcPr>
            <w:tcW w:w="1171" w:type="dxa"/>
          </w:tcPr>
          <w:p w14:paraId="1C34ED7E" w14:textId="77777777" w:rsidR="004C558F" w:rsidRDefault="00461887">
            <w:pPr>
              <w:pStyle w:val="TableParagraph"/>
              <w:ind w:right="98"/>
              <w:rPr>
                <w:sz w:val="20"/>
              </w:rPr>
            </w:pPr>
            <w:r>
              <w:rPr>
                <w:spacing w:val="-4"/>
                <w:sz w:val="20"/>
              </w:rPr>
              <w:t>3.5%</w:t>
            </w:r>
          </w:p>
        </w:tc>
        <w:tc>
          <w:tcPr>
            <w:tcW w:w="1260" w:type="dxa"/>
          </w:tcPr>
          <w:p w14:paraId="1C34ED7F" w14:textId="77777777" w:rsidR="004C558F" w:rsidRDefault="00461887">
            <w:pPr>
              <w:pStyle w:val="TableParagraph"/>
              <w:ind w:right="98"/>
              <w:rPr>
                <w:sz w:val="20"/>
              </w:rPr>
            </w:pPr>
            <w:r>
              <w:rPr>
                <w:spacing w:val="-4"/>
                <w:sz w:val="20"/>
              </w:rPr>
              <w:t>5.4%</w:t>
            </w:r>
          </w:p>
        </w:tc>
        <w:tc>
          <w:tcPr>
            <w:tcW w:w="1709" w:type="dxa"/>
          </w:tcPr>
          <w:p w14:paraId="1C34ED80" w14:textId="77777777" w:rsidR="004C558F" w:rsidRDefault="00461887">
            <w:pPr>
              <w:pStyle w:val="TableParagraph"/>
              <w:ind w:right="98"/>
              <w:rPr>
                <w:sz w:val="20"/>
              </w:rPr>
            </w:pPr>
            <w:r>
              <w:rPr>
                <w:spacing w:val="-4"/>
                <w:sz w:val="20"/>
              </w:rPr>
              <w:t>5.0%</w:t>
            </w:r>
          </w:p>
        </w:tc>
        <w:tc>
          <w:tcPr>
            <w:tcW w:w="1171" w:type="dxa"/>
          </w:tcPr>
          <w:p w14:paraId="1C34ED81" w14:textId="77777777" w:rsidR="004C558F" w:rsidRDefault="00461887">
            <w:pPr>
              <w:pStyle w:val="TableParagraph"/>
              <w:ind w:right="98"/>
              <w:rPr>
                <w:sz w:val="20"/>
              </w:rPr>
            </w:pPr>
            <w:r>
              <w:rPr>
                <w:spacing w:val="-4"/>
                <w:sz w:val="20"/>
              </w:rPr>
              <w:t>4.9%</w:t>
            </w:r>
          </w:p>
        </w:tc>
        <w:tc>
          <w:tcPr>
            <w:tcW w:w="1349" w:type="dxa"/>
          </w:tcPr>
          <w:p w14:paraId="1C34ED82" w14:textId="77777777" w:rsidR="004C558F" w:rsidRDefault="00461887">
            <w:pPr>
              <w:pStyle w:val="TableParagraph"/>
              <w:ind w:right="98"/>
              <w:rPr>
                <w:sz w:val="20"/>
              </w:rPr>
            </w:pPr>
            <w:r>
              <w:rPr>
                <w:spacing w:val="-4"/>
                <w:sz w:val="20"/>
              </w:rPr>
              <w:t>7.2%</w:t>
            </w:r>
          </w:p>
        </w:tc>
        <w:tc>
          <w:tcPr>
            <w:tcW w:w="1800" w:type="dxa"/>
          </w:tcPr>
          <w:p w14:paraId="1C34ED83" w14:textId="77777777" w:rsidR="004C558F" w:rsidRDefault="00461887">
            <w:pPr>
              <w:pStyle w:val="TableParagraph"/>
              <w:ind w:right="97"/>
              <w:rPr>
                <w:sz w:val="20"/>
              </w:rPr>
            </w:pPr>
            <w:r>
              <w:rPr>
                <w:spacing w:val="-4"/>
                <w:sz w:val="20"/>
              </w:rPr>
              <w:t>6.8%</w:t>
            </w:r>
          </w:p>
        </w:tc>
      </w:tr>
      <w:tr w:rsidR="004C558F" w14:paraId="1C34ED8C" w14:textId="77777777" w:rsidTr="00374C97">
        <w:trPr>
          <w:cantSplit/>
          <w:trHeight w:val="289"/>
        </w:trPr>
        <w:tc>
          <w:tcPr>
            <w:tcW w:w="4140" w:type="dxa"/>
            <w:shd w:val="clear" w:color="auto" w:fill="D4EBF4"/>
          </w:tcPr>
          <w:p w14:paraId="1C34ED85" w14:textId="77777777" w:rsidR="004C558F" w:rsidRDefault="00461887">
            <w:pPr>
              <w:pStyle w:val="TableParagraph"/>
              <w:ind w:left="107"/>
              <w:jc w:val="left"/>
              <w:rPr>
                <w:sz w:val="20"/>
              </w:rPr>
            </w:pPr>
            <w:r>
              <w:rPr>
                <w:sz w:val="20"/>
              </w:rPr>
              <w:t>UMass</w:t>
            </w:r>
            <w:r>
              <w:rPr>
                <w:spacing w:val="-6"/>
                <w:sz w:val="20"/>
              </w:rPr>
              <w:t xml:space="preserve"> </w:t>
            </w:r>
            <w:r>
              <w:rPr>
                <w:sz w:val="20"/>
              </w:rPr>
              <w:t>Memorial</w:t>
            </w:r>
            <w:r>
              <w:rPr>
                <w:spacing w:val="-6"/>
                <w:sz w:val="20"/>
              </w:rPr>
              <w:t xml:space="preserve"> </w:t>
            </w:r>
            <w:r>
              <w:rPr>
                <w:sz w:val="20"/>
              </w:rPr>
              <w:t>Health</w:t>
            </w:r>
            <w:r>
              <w:rPr>
                <w:spacing w:val="-6"/>
                <w:sz w:val="20"/>
              </w:rPr>
              <w:t xml:space="preserve"> </w:t>
            </w:r>
            <w:r>
              <w:rPr>
                <w:spacing w:val="-4"/>
                <w:sz w:val="20"/>
              </w:rPr>
              <w:t>Care</w:t>
            </w:r>
          </w:p>
        </w:tc>
        <w:tc>
          <w:tcPr>
            <w:tcW w:w="1171" w:type="dxa"/>
            <w:shd w:val="clear" w:color="auto" w:fill="D4EBF4"/>
          </w:tcPr>
          <w:p w14:paraId="1C34ED86" w14:textId="77777777" w:rsidR="004C558F" w:rsidRDefault="00461887">
            <w:pPr>
              <w:pStyle w:val="TableParagraph"/>
              <w:ind w:right="98"/>
              <w:rPr>
                <w:sz w:val="20"/>
              </w:rPr>
            </w:pPr>
            <w:r>
              <w:rPr>
                <w:spacing w:val="-4"/>
                <w:sz w:val="20"/>
              </w:rPr>
              <w:t>8.9%</w:t>
            </w:r>
          </w:p>
        </w:tc>
        <w:tc>
          <w:tcPr>
            <w:tcW w:w="1260" w:type="dxa"/>
            <w:shd w:val="clear" w:color="auto" w:fill="D4EBF4"/>
          </w:tcPr>
          <w:p w14:paraId="1C34ED87" w14:textId="77777777" w:rsidR="004C558F" w:rsidRDefault="00461887">
            <w:pPr>
              <w:pStyle w:val="TableParagraph"/>
              <w:ind w:right="98"/>
              <w:rPr>
                <w:sz w:val="20"/>
              </w:rPr>
            </w:pPr>
            <w:r>
              <w:rPr>
                <w:spacing w:val="-4"/>
                <w:sz w:val="20"/>
              </w:rPr>
              <w:t>2.5%</w:t>
            </w:r>
          </w:p>
        </w:tc>
        <w:tc>
          <w:tcPr>
            <w:tcW w:w="1709" w:type="dxa"/>
            <w:shd w:val="clear" w:color="auto" w:fill="D4EBF4"/>
          </w:tcPr>
          <w:p w14:paraId="1C34ED88" w14:textId="77777777" w:rsidR="004C558F" w:rsidRDefault="00461887">
            <w:pPr>
              <w:pStyle w:val="TableParagraph"/>
              <w:ind w:right="98"/>
              <w:rPr>
                <w:sz w:val="20"/>
              </w:rPr>
            </w:pPr>
            <w:r>
              <w:rPr>
                <w:spacing w:val="-4"/>
                <w:sz w:val="20"/>
              </w:rPr>
              <w:t>6.0%</w:t>
            </w:r>
          </w:p>
        </w:tc>
        <w:tc>
          <w:tcPr>
            <w:tcW w:w="1171" w:type="dxa"/>
            <w:shd w:val="clear" w:color="auto" w:fill="D4EBF4"/>
          </w:tcPr>
          <w:p w14:paraId="1C34ED89" w14:textId="77777777" w:rsidR="004C558F" w:rsidRDefault="00461887">
            <w:pPr>
              <w:pStyle w:val="TableParagraph"/>
              <w:ind w:right="98"/>
              <w:rPr>
                <w:sz w:val="20"/>
              </w:rPr>
            </w:pPr>
            <w:r>
              <w:rPr>
                <w:spacing w:val="-4"/>
                <w:sz w:val="20"/>
              </w:rPr>
              <w:t>8.3%</w:t>
            </w:r>
          </w:p>
        </w:tc>
        <w:tc>
          <w:tcPr>
            <w:tcW w:w="1349" w:type="dxa"/>
            <w:shd w:val="clear" w:color="auto" w:fill="D4EBF4"/>
          </w:tcPr>
          <w:p w14:paraId="1C34ED8A" w14:textId="77777777" w:rsidR="004C558F" w:rsidRDefault="00461887">
            <w:pPr>
              <w:pStyle w:val="TableParagraph"/>
              <w:ind w:right="98"/>
              <w:rPr>
                <w:sz w:val="20"/>
              </w:rPr>
            </w:pPr>
            <w:r>
              <w:rPr>
                <w:spacing w:val="-4"/>
                <w:sz w:val="20"/>
              </w:rPr>
              <w:t>1.9%</w:t>
            </w:r>
          </w:p>
        </w:tc>
        <w:tc>
          <w:tcPr>
            <w:tcW w:w="1800" w:type="dxa"/>
            <w:shd w:val="clear" w:color="auto" w:fill="D4EBF4"/>
          </w:tcPr>
          <w:p w14:paraId="1C34ED8B" w14:textId="77777777" w:rsidR="004C558F" w:rsidRDefault="00461887">
            <w:pPr>
              <w:pStyle w:val="TableParagraph"/>
              <w:ind w:right="97"/>
              <w:rPr>
                <w:sz w:val="20"/>
              </w:rPr>
            </w:pPr>
            <w:r>
              <w:rPr>
                <w:spacing w:val="-4"/>
                <w:sz w:val="20"/>
              </w:rPr>
              <w:t>5.1%</w:t>
            </w:r>
          </w:p>
        </w:tc>
      </w:tr>
      <w:tr w:rsidR="004C558F" w14:paraId="1C34ED94" w14:textId="77777777" w:rsidTr="00374C97">
        <w:trPr>
          <w:cantSplit/>
          <w:trHeight w:val="290"/>
        </w:trPr>
        <w:tc>
          <w:tcPr>
            <w:tcW w:w="4140" w:type="dxa"/>
          </w:tcPr>
          <w:p w14:paraId="1C34ED8D" w14:textId="77777777" w:rsidR="004C558F" w:rsidRDefault="00461887">
            <w:pPr>
              <w:pStyle w:val="TableParagraph"/>
              <w:ind w:left="438"/>
              <w:jc w:val="left"/>
              <w:rPr>
                <w:sz w:val="20"/>
              </w:rPr>
            </w:pPr>
            <w:r>
              <w:rPr>
                <w:sz w:val="20"/>
              </w:rPr>
              <w:t>UMass</w:t>
            </w:r>
            <w:r>
              <w:rPr>
                <w:spacing w:val="-7"/>
                <w:sz w:val="20"/>
              </w:rPr>
              <w:t xml:space="preserve"> </w:t>
            </w:r>
            <w:r>
              <w:rPr>
                <w:sz w:val="20"/>
              </w:rPr>
              <w:t>Memorial</w:t>
            </w:r>
            <w:r>
              <w:rPr>
                <w:spacing w:val="-8"/>
                <w:sz w:val="20"/>
              </w:rPr>
              <w:t xml:space="preserve"> </w:t>
            </w:r>
            <w:r>
              <w:rPr>
                <w:sz w:val="20"/>
              </w:rPr>
              <w:t>Medical</w:t>
            </w:r>
            <w:r>
              <w:rPr>
                <w:spacing w:val="-8"/>
                <w:sz w:val="20"/>
              </w:rPr>
              <w:t xml:space="preserve"> </w:t>
            </w:r>
            <w:r>
              <w:rPr>
                <w:spacing w:val="-2"/>
                <w:sz w:val="20"/>
              </w:rPr>
              <w:t>Center</w:t>
            </w:r>
          </w:p>
        </w:tc>
        <w:tc>
          <w:tcPr>
            <w:tcW w:w="1171" w:type="dxa"/>
          </w:tcPr>
          <w:p w14:paraId="1C34ED8E" w14:textId="77777777" w:rsidR="004C558F" w:rsidRDefault="00461887">
            <w:pPr>
              <w:pStyle w:val="TableParagraph"/>
              <w:ind w:right="98"/>
              <w:rPr>
                <w:sz w:val="20"/>
              </w:rPr>
            </w:pPr>
            <w:r>
              <w:rPr>
                <w:spacing w:val="-4"/>
                <w:sz w:val="20"/>
              </w:rPr>
              <w:t>2.3%</w:t>
            </w:r>
          </w:p>
        </w:tc>
        <w:tc>
          <w:tcPr>
            <w:tcW w:w="1260" w:type="dxa"/>
          </w:tcPr>
          <w:p w14:paraId="1C34ED8F" w14:textId="77777777" w:rsidR="004C558F" w:rsidRDefault="00461887">
            <w:pPr>
              <w:pStyle w:val="TableParagraph"/>
              <w:ind w:right="98"/>
              <w:rPr>
                <w:sz w:val="20"/>
              </w:rPr>
            </w:pPr>
            <w:r>
              <w:rPr>
                <w:spacing w:val="-4"/>
                <w:sz w:val="20"/>
              </w:rPr>
              <w:t>3.0%</w:t>
            </w:r>
          </w:p>
        </w:tc>
        <w:tc>
          <w:tcPr>
            <w:tcW w:w="1709" w:type="dxa"/>
          </w:tcPr>
          <w:p w14:paraId="1C34ED90" w14:textId="77777777" w:rsidR="004C558F" w:rsidRDefault="00461887">
            <w:pPr>
              <w:pStyle w:val="TableParagraph"/>
              <w:ind w:right="98"/>
              <w:rPr>
                <w:sz w:val="20"/>
              </w:rPr>
            </w:pPr>
            <w:r>
              <w:rPr>
                <w:spacing w:val="-4"/>
                <w:sz w:val="20"/>
              </w:rPr>
              <w:t>3.1%</w:t>
            </w:r>
          </w:p>
        </w:tc>
        <w:tc>
          <w:tcPr>
            <w:tcW w:w="1171" w:type="dxa"/>
          </w:tcPr>
          <w:p w14:paraId="1C34ED91" w14:textId="77777777" w:rsidR="004C558F" w:rsidRDefault="00461887">
            <w:pPr>
              <w:pStyle w:val="TableParagraph"/>
              <w:ind w:right="98"/>
              <w:rPr>
                <w:sz w:val="20"/>
              </w:rPr>
            </w:pPr>
            <w:r>
              <w:rPr>
                <w:spacing w:val="-4"/>
                <w:sz w:val="20"/>
              </w:rPr>
              <w:t>3.4%</w:t>
            </w:r>
          </w:p>
        </w:tc>
        <w:tc>
          <w:tcPr>
            <w:tcW w:w="1349" w:type="dxa"/>
          </w:tcPr>
          <w:p w14:paraId="1C34ED92" w14:textId="77777777" w:rsidR="004C558F" w:rsidRDefault="00461887">
            <w:pPr>
              <w:pStyle w:val="TableParagraph"/>
              <w:ind w:right="98"/>
              <w:rPr>
                <w:sz w:val="20"/>
              </w:rPr>
            </w:pPr>
            <w:r>
              <w:rPr>
                <w:spacing w:val="-4"/>
                <w:sz w:val="20"/>
              </w:rPr>
              <w:t>3.4%</w:t>
            </w:r>
          </w:p>
        </w:tc>
        <w:tc>
          <w:tcPr>
            <w:tcW w:w="1800" w:type="dxa"/>
          </w:tcPr>
          <w:p w14:paraId="1C34ED93" w14:textId="77777777" w:rsidR="004C558F" w:rsidRDefault="00461887">
            <w:pPr>
              <w:pStyle w:val="TableParagraph"/>
              <w:ind w:right="97"/>
              <w:rPr>
                <w:sz w:val="20"/>
              </w:rPr>
            </w:pPr>
            <w:r>
              <w:rPr>
                <w:spacing w:val="-4"/>
                <w:sz w:val="20"/>
              </w:rPr>
              <w:t>3.7%</w:t>
            </w:r>
          </w:p>
        </w:tc>
      </w:tr>
      <w:tr w:rsidR="004C558F" w14:paraId="1C34ED9C" w14:textId="77777777" w:rsidTr="00374C97">
        <w:trPr>
          <w:cantSplit/>
          <w:trHeight w:val="290"/>
        </w:trPr>
        <w:tc>
          <w:tcPr>
            <w:tcW w:w="4140" w:type="dxa"/>
            <w:shd w:val="clear" w:color="auto" w:fill="D4EBF4"/>
          </w:tcPr>
          <w:p w14:paraId="1C34ED95" w14:textId="77777777" w:rsidR="004C558F" w:rsidRDefault="00461887">
            <w:pPr>
              <w:pStyle w:val="TableParagraph"/>
              <w:ind w:left="107"/>
              <w:jc w:val="left"/>
              <w:rPr>
                <w:sz w:val="20"/>
              </w:rPr>
            </w:pPr>
            <w:r>
              <w:rPr>
                <w:sz w:val="20"/>
              </w:rPr>
              <w:t>Boston</w:t>
            </w:r>
            <w:r>
              <w:rPr>
                <w:spacing w:val="-7"/>
                <w:sz w:val="20"/>
              </w:rPr>
              <w:t xml:space="preserve"> </w:t>
            </w:r>
            <w:r>
              <w:rPr>
                <w:sz w:val="20"/>
              </w:rPr>
              <w:t>Medical</w:t>
            </w:r>
            <w:r>
              <w:rPr>
                <w:spacing w:val="-6"/>
                <w:sz w:val="20"/>
              </w:rPr>
              <w:t xml:space="preserve"> </w:t>
            </w:r>
            <w:r>
              <w:rPr>
                <w:sz w:val="20"/>
              </w:rPr>
              <w:t>Center</w:t>
            </w:r>
            <w:r>
              <w:rPr>
                <w:spacing w:val="-5"/>
                <w:sz w:val="20"/>
              </w:rPr>
              <w:t xml:space="preserve"> </w:t>
            </w:r>
            <w:r>
              <w:rPr>
                <w:sz w:val="20"/>
              </w:rPr>
              <w:t>Health</w:t>
            </w:r>
            <w:r>
              <w:rPr>
                <w:spacing w:val="-6"/>
                <w:sz w:val="20"/>
              </w:rPr>
              <w:t xml:space="preserve"> </w:t>
            </w:r>
            <w:r>
              <w:rPr>
                <w:spacing w:val="-2"/>
                <w:sz w:val="20"/>
              </w:rPr>
              <w:t>System</w:t>
            </w:r>
          </w:p>
        </w:tc>
        <w:tc>
          <w:tcPr>
            <w:tcW w:w="1171" w:type="dxa"/>
            <w:shd w:val="clear" w:color="auto" w:fill="D4EBF4"/>
          </w:tcPr>
          <w:p w14:paraId="1C34ED96" w14:textId="77777777" w:rsidR="004C558F" w:rsidRDefault="00461887">
            <w:pPr>
              <w:pStyle w:val="TableParagraph"/>
              <w:ind w:right="98"/>
              <w:rPr>
                <w:sz w:val="20"/>
              </w:rPr>
            </w:pPr>
            <w:r>
              <w:rPr>
                <w:spacing w:val="-4"/>
                <w:sz w:val="20"/>
              </w:rPr>
              <w:t>5.3%</w:t>
            </w:r>
          </w:p>
        </w:tc>
        <w:tc>
          <w:tcPr>
            <w:tcW w:w="1260" w:type="dxa"/>
            <w:shd w:val="clear" w:color="auto" w:fill="D4EBF4"/>
          </w:tcPr>
          <w:p w14:paraId="1C34ED97" w14:textId="77777777" w:rsidR="004C558F" w:rsidRDefault="00461887">
            <w:pPr>
              <w:pStyle w:val="TableParagraph"/>
              <w:ind w:right="98"/>
              <w:rPr>
                <w:sz w:val="20"/>
              </w:rPr>
            </w:pPr>
            <w:r>
              <w:rPr>
                <w:spacing w:val="-4"/>
                <w:sz w:val="20"/>
              </w:rPr>
              <w:t>8.3%</w:t>
            </w:r>
          </w:p>
        </w:tc>
        <w:tc>
          <w:tcPr>
            <w:tcW w:w="1709" w:type="dxa"/>
            <w:shd w:val="clear" w:color="auto" w:fill="D4EBF4"/>
          </w:tcPr>
          <w:p w14:paraId="1C34ED98" w14:textId="77777777" w:rsidR="004C558F" w:rsidRDefault="00461887">
            <w:pPr>
              <w:pStyle w:val="TableParagraph"/>
              <w:ind w:right="98"/>
              <w:rPr>
                <w:sz w:val="20"/>
              </w:rPr>
            </w:pPr>
            <w:r>
              <w:rPr>
                <w:spacing w:val="-4"/>
                <w:sz w:val="20"/>
              </w:rPr>
              <w:t>7.3%</w:t>
            </w:r>
          </w:p>
        </w:tc>
        <w:tc>
          <w:tcPr>
            <w:tcW w:w="1171" w:type="dxa"/>
            <w:shd w:val="clear" w:color="auto" w:fill="D4EBF4"/>
          </w:tcPr>
          <w:p w14:paraId="1C34ED99" w14:textId="77777777" w:rsidR="004C558F" w:rsidRDefault="00461887">
            <w:pPr>
              <w:pStyle w:val="TableParagraph"/>
              <w:ind w:right="98"/>
              <w:rPr>
                <w:sz w:val="20"/>
              </w:rPr>
            </w:pPr>
            <w:r>
              <w:rPr>
                <w:spacing w:val="-4"/>
                <w:sz w:val="20"/>
              </w:rPr>
              <w:t>6.8%</w:t>
            </w:r>
          </w:p>
        </w:tc>
        <w:tc>
          <w:tcPr>
            <w:tcW w:w="1349" w:type="dxa"/>
            <w:shd w:val="clear" w:color="auto" w:fill="D4EBF4"/>
          </w:tcPr>
          <w:p w14:paraId="1C34ED9A" w14:textId="77777777" w:rsidR="004C558F" w:rsidRDefault="00461887">
            <w:pPr>
              <w:pStyle w:val="TableParagraph"/>
              <w:ind w:right="98"/>
              <w:rPr>
                <w:sz w:val="20"/>
              </w:rPr>
            </w:pPr>
            <w:r>
              <w:rPr>
                <w:spacing w:val="-4"/>
                <w:sz w:val="20"/>
              </w:rPr>
              <w:t>9.1%</w:t>
            </w:r>
          </w:p>
        </w:tc>
        <w:tc>
          <w:tcPr>
            <w:tcW w:w="1800" w:type="dxa"/>
            <w:shd w:val="clear" w:color="auto" w:fill="D4EBF4"/>
          </w:tcPr>
          <w:p w14:paraId="1C34ED9B" w14:textId="77777777" w:rsidR="004C558F" w:rsidRDefault="00461887">
            <w:pPr>
              <w:pStyle w:val="TableParagraph"/>
              <w:ind w:right="97"/>
              <w:rPr>
                <w:sz w:val="20"/>
              </w:rPr>
            </w:pPr>
            <w:r>
              <w:rPr>
                <w:spacing w:val="-4"/>
                <w:sz w:val="20"/>
              </w:rPr>
              <w:t>8.2%</w:t>
            </w:r>
          </w:p>
        </w:tc>
      </w:tr>
      <w:tr w:rsidR="004C558F" w14:paraId="1C34EDA4" w14:textId="77777777" w:rsidTr="00374C97">
        <w:trPr>
          <w:cantSplit/>
          <w:trHeight w:val="289"/>
        </w:trPr>
        <w:tc>
          <w:tcPr>
            <w:tcW w:w="4140" w:type="dxa"/>
          </w:tcPr>
          <w:p w14:paraId="1C34ED9D" w14:textId="77777777" w:rsidR="004C558F" w:rsidRDefault="00461887">
            <w:pPr>
              <w:pStyle w:val="TableParagraph"/>
              <w:ind w:left="438"/>
              <w:jc w:val="left"/>
              <w:rPr>
                <w:sz w:val="20"/>
              </w:rPr>
            </w:pPr>
            <w:r>
              <w:rPr>
                <w:sz w:val="20"/>
              </w:rPr>
              <w:t>Boston</w:t>
            </w:r>
            <w:r>
              <w:rPr>
                <w:spacing w:val="-9"/>
                <w:sz w:val="20"/>
              </w:rPr>
              <w:t xml:space="preserve"> </w:t>
            </w:r>
            <w:r>
              <w:rPr>
                <w:sz w:val="20"/>
              </w:rPr>
              <w:t>Medical</w:t>
            </w:r>
            <w:r>
              <w:rPr>
                <w:spacing w:val="-8"/>
                <w:sz w:val="20"/>
              </w:rPr>
              <w:t xml:space="preserve"> </w:t>
            </w:r>
            <w:r>
              <w:rPr>
                <w:spacing w:val="-2"/>
                <w:sz w:val="20"/>
              </w:rPr>
              <w:t>Center</w:t>
            </w:r>
          </w:p>
        </w:tc>
        <w:tc>
          <w:tcPr>
            <w:tcW w:w="1171" w:type="dxa"/>
          </w:tcPr>
          <w:p w14:paraId="1C34ED9E" w14:textId="77777777" w:rsidR="004C558F" w:rsidRDefault="00461887">
            <w:pPr>
              <w:pStyle w:val="TableParagraph"/>
              <w:ind w:right="98"/>
              <w:rPr>
                <w:sz w:val="20"/>
              </w:rPr>
            </w:pPr>
            <w:r>
              <w:rPr>
                <w:spacing w:val="-4"/>
                <w:sz w:val="20"/>
              </w:rPr>
              <w:t>3.0%</w:t>
            </w:r>
          </w:p>
        </w:tc>
        <w:tc>
          <w:tcPr>
            <w:tcW w:w="1260" w:type="dxa"/>
          </w:tcPr>
          <w:p w14:paraId="1C34ED9F" w14:textId="77777777" w:rsidR="004C558F" w:rsidRDefault="00461887">
            <w:pPr>
              <w:pStyle w:val="TableParagraph"/>
              <w:ind w:right="98"/>
              <w:rPr>
                <w:sz w:val="20"/>
              </w:rPr>
            </w:pPr>
            <w:r>
              <w:rPr>
                <w:spacing w:val="-4"/>
                <w:sz w:val="20"/>
              </w:rPr>
              <w:t>5.3%</w:t>
            </w:r>
          </w:p>
        </w:tc>
        <w:tc>
          <w:tcPr>
            <w:tcW w:w="1709" w:type="dxa"/>
          </w:tcPr>
          <w:p w14:paraId="1C34EDA0" w14:textId="77777777" w:rsidR="004C558F" w:rsidRDefault="00461887">
            <w:pPr>
              <w:pStyle w:val="TableParagraph"/>
              <w:ind w:right="98"/>
              <w:rPr>
                <w:sz w:val="20"/>
              </w:rPr>
            </w:pPr>
            <w:r>
              <w:rPr>
                <w:spacing w:val="-4"/>
                <w:sz w:val="20"/>
              </w:rPr>
              <w:t>4.3%</w:t>
            </w:r>
          </w:p>
        </w:tc>
        <w:tc>
          <w:tcPr>
            <w:tcW w:w="1171" w:type="dxa"/>
          </w:tcPr>
          <w:p w14:paraId="1C34EDA1" w14:textId="77777777" w:rsidR="004C558F" w:rsidRDefault="00461887">
            <w:pPr>
              <w:pStyle w:val="TableParagraph"/>
              <w:ind w:right="98"/>
              <w:rPr>
                <w:sz w:val="20"/>
              </w:rPr>
            </w:pPr>
            <w:r>
              <w:rPr>
                <w:spacing w:val="-4"/>
                <w:sz w:val="20"/>
              </w:rPr>
              <w:t>3.4%</w:t>
            </w:r>
          </w:p>
        </w:tc>
        <w:tc>
          <w:tcPr>
            <w:tcW w:w="1349" w:type="dxa"/>
          </w:tcPr>
          <w:p w14:paraId="1C34EDA2" w14:textId="77777777" w:rsidR="004C558F" w:rsidRDefault="00461887">
            <w:pPr>
              <w:pStyle w:val="TableParagraph"/>
              <w:ind w:right="98"/>
              <w:rPr>
                <w:sz w:val="20"/>
              </w:rPr>
            </w:pPr>
            <w:r>
              <w:rPr>
                <w:spacing w:val="-4"/>
                <w:sz w:val="20"/>
              </w:rPr>
              <w:t>5.7%</w:t>
            </w:r>
          </w:p>
        </w:tc>
        <w:tc>
          <w:tcPr>
            <w:tcW w:w="1800" w:type="dxa"/>
          </w:tcPr>
          <w:p w14:paraId="1C34EDA3" w14:textId="77777777" w:rsidR="004C558F" w:rsidRDefault="00461887">
            <w:pPr>
              <w:pStyle w:val="TableParagraph"/>
              <w:ind w:right="97"/>
              <w:rPr>
                <w:sz w:val="20"/>
              </w:rPr>
            </w:pPr>
            <w:r>
              <w:rPr>
                <w:spacing w:val="-4"/>
                <w:sz w:val="20"/>
              </w:rPr>
              <w:t>4.6%</w:t>
            </w:r>
          </w:p>
        </w:tc>
      </w:tr>
      <w:tr w:rsidR="004C558F" w14:paraId="1C34EDAC" w14:textId="77777777" w:rsidTr="00374C97">
        <w:trPr>
          <w:cantSplit/>
          <w:trHeight w:val="290"/>
        </w:trPr>
        <w:tc>
          <w:tcPr>
            <w:tcW w:w="4140" w:type="dxa"/>
            <w:shd w:val="clear" w:color="auto" w:fill="D4EBF4"/>
          </w:tcPr>
          <w:p w14:paraId="1C34EDA5" w14:textId="77777777" w:rsidR="004C558F" w:rsidRDefault="00461887">
            <w:pPr>
              <w:pStyle w:val="TableParagraph"/>
              <w:ind w:left="107"/>
              <w:jc w:val="left"/>
              <w:rPr>
                <w:sz w:val="20"/>
              </w:rPr>
            </w:pPr>
            <w:r>
              <w:rPr>
                <w:sz w:val="20"/>
              </w:rPr>
              <w:t>Tufts</w:t>
            </w:r>
            <w:r>
              <w:rPr>
                <w:spacing w:val="-2"/>
                <w:sz w:val="20"/>
              </w:rPr>
              <w:t xml:space="preserve"> Medicine</w:t>
            </w:r>
          </w:p>
        </w:tc>
        <w:tc>
          <w:tcPr>
            <w:tcW w:w="1171" w:type="dxa"/>
            <w:shd w:val="clear" w:color="auto" w:fill="D4EBF4"/>
          </w:tcPr>
          <w:p w14:paraId="1C34EDA6" w14:textId="77777777" w:rsidR="004C558F" w:rsidRDefault="00461887">
            <w:pPr>
              <w:pStyle w:val="TableParagraph"/>
              <w:ind w:right="98"/>
              <w:rPr>
                <w:sz w:val="20"/>
              </w:rPr>
            </w:pPr>
            <w:r>
              <w:rPr>
                <w:spacing w:val="-4"/>
                <w:sz w:val="20"/>
              </w:rPr>
              <w:t>5.1%</w:t>
            </w:r>
          </w:p>
        </w:tc>
        <w:tc>
          <w:tcPr>
            <w:tcW w:w="1260" w:type="dxa"/>
            <w:shd w:val="clear" w:color="auto" w:fill="D4EBF4"/>
          </w:tcPr>
          <w:p w14:paraId="1C34EDA7" w14:textId="77777777" w:rsidR="004C558F" w:rsidRDefault="00461887">
            <w:pPr>
              <w:pStyle w:val="TableParagraph"/>
              <w:ind w:right="98"/>
              <w:rPr>
                <w:sz w:val="20"/>
              </w:rPr>
            </w:pPr>
            <w:r>
              <w:rPr>
                <w:spacing w:val="-4"/>
                <w:sz w:val="20"/>
              </w:rPr>
              <w:t>7.0%</w:t>
            </w:r>
          </w:p>
        </w:tc>
        <w:tc>
          <w:tcPr>
            <w:tcW w:w="1709" w:type="dxa"/>
            <w:shd w:val="clear" w:color="auto" w:fill="D4EBF4"/>
          </w:tcPr>
          <w:p w14:paraId="1C34EDA8" w14:textId="77777777" w:rsidR="004C558F" w:rsidRDefault="00461887">
            <w:pPr>
              <w:pStyle w:val="TableParagraph"/>
              <w:ind w:right="98"/>
              <w:rPr>
                <w:sz w:val="20"/>
              </w:rPr>
            </w:pPr>
            <w:r>
              <w:rPr>
                <w:spacing w:val="-4"/>
                <w:sz w:val="20"/>
              </w:rPr>
              <w:t>7.3%</w:t>
            </w:r>
          </w:p>
        </w:tc>
        <w:tc>
          <w:tcPr>
            <w:tcW w:w="1171" w:type="dxa"/>
            <w:shd w:val="clear" w:color="auto" w:fill="D4EBF4"/>
          </w:tcPr>
          <w:p w14:paraId="1C34EDA9" w14:textId="77777777" w:rsidR="004C558F" w:rsidRDefault="00461887">
            <w:pPr>
              <w:pStyle w:val="TableParagraph"/>
              <w:ind w:right="98"/>
              <w:rPr>
                <w:sz w:val="20"/>
              </w:rPr>
            </w:pPr>
            <w:r>
              <w:rPr>
                <w:spacing w:val="-4"/>
                <w:sz w:val="20"/>
              </w:rPr>
              <w:t>5.0%</w:t>
            </w:r>
          </w:p>
        </w:tc>
        <w:tc>
          <w:tcPr>
            <w:tcW w:w="1349" w:type="dxa"/>
            <w:shd w:val="clear" w:color="auto" w:fill="D4EBF4"/>
          </w:tcPr>
          <w:p w14:paraId="1C34EDAA" w14:textId="77777777" w:rsidR="004C558F" w:rsidRDefault="00461887">
            <w:pPr>
              <w:pStyle w:val="TableParagraph"/>
              <w:ind w:right="98"/>
              <w:rPr>
                <w:sz w:val="20"/>
              </w:rPr>
            </w:pPr>
            <w:r>
              <w:rPr>
                <w:spacing w:val="-4"/>
                <w:sz w:val="20"/>
              </w:rPr>
              <w:t>6.7%</w:t>
            </w:r>
          </w:p>
        </w:tc>
        <w:tc>
          <w:tcPr>
            <w:tcW w:w="1800" w:type="dxa"/>
            <w:shd w:val="clear" w:color="auto" w:fill="D4EBF4"/>
          </w:tcPr>
          <w:p w14:paraId="1C34EDAB" w14:textId="77777777" w:rsidR="004C558F" w:rsidRDefault="00461887">
            <w:pPr>
              <w:pStyle w:val="TableParagraph"/>
              <w:ind w:right="97"/>
              <w:rPr>
                <w:sz w:val="20"/>
              </w:rPr>
            </w:pPr>
            <w:r>
              <w:rPr>
                <w:spacing w:val="-4"/>
                <w:sz w:val="20"/>
              </w:rPr>
              <w:t>7.0%</w:t>
            </w:r>
          </w:p>
        </w:tc>
      </w:tr>
      <w:tr w:rsidR="004C558F" w14:paraId="1C34EDB4" w14:textId="77777777" w:rsidTr="00374C97">
        <w:trPr>
          <w:cantSplit/>
          <w:trHeight w:val="290"/>
        </w:trPr>
        <w:tc>
          <w:tcPr>
            <w:tcW w:w="4140" w:type="dxa"/>
          </w:tcPr>
          <w:p w14:paraId="1C34EDAD" w14:textId="77777777" w:rsidR="004C558F" w:rsidRDefault="00461887">
            <w:pPr>
              <w:pStyle w:val="TableParagraph"/>
              <w:ind w:left="438"/>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171" w:type="dxa"/>
          </w:tcPr>
          <w:p w14:paraId="1C34EDAE" w14:textId="77777777" w:rsidR="004C558F" w:rsidRDefault="00461887">
            <w:pPr>
              <w:pStyle w:val="TableParagraph"/>
              <w:ind w:right="98"/>
              <w:rPr>
                <w:sz w:val="20"/>
              </w:rPr>
            </w:pPr>
            <w:r>
              <w:rPr>
                <w:spacing w:val="-4"/>
                <w:sz w:val="20"/>
              </w:rPr>
              <w:t>2.2%</w:t>
            </w:r>
          </w:p>
        </w:tc>
        <w:tc>
          <w:tcPr>
            <w:tcW w:w="1260" w:type="dxa"/>
          </w:tcPr>
          <w:p w14:paraId="1C34EDAF" w14:textId="77777777" w:rsidR="004C558F" w:rsidRDefault="00461887">
            <w:pPr>
              <w:pStyle w:val="TableParagraph"/>
              <w:ind w:right="98"/>
              <w:rPr>
                <w:sz w:val="20"/>
              </w:rPr>
            </w:pPr>
            <w:r>
              <w:rPr>
                <w:spacing w:val="-4"/>
                <w:sz w:val="20"/>
              </w:rPr>
              <w:t>3.3%</w:t>
            </w:r>
          </w:p>
        </w:tc>
        <w:tc>
          <w:tcPr>
            <w:tcW w:w="1709" w:type="dxa"/>
          </w:tcPr>
          <w:p w14:paraId="1C34EDB0" w14:textId="77777777" w:rsidR="004C558F" w:rsidRDefault="00461887">
            <w:pPr>
              <w:pStyle w:val="TableParagraph"/>
              <w:ind w:right="98"/>
              <w:rPr>
                <w:sz w:val="20"/>
              </w:rPr>
            </w:pPr>
            <w:r>
              <w:rPr>
                <w:spacing w:val="-4"/>
                <w:sz w:val="20"/>
              </w:rPr>
              <w:t>2.9%</w:t>
            </w:r>
          </w:p>
        </w:tc>
        <w:tc>
          <w:tcPr>
            <w:tcW w:w="1171" w:type="dxa"/>
          </w:tcPr>
          <w:p w14:paraId="1C34EDB1" w14:textId="77777777" w:rsidR="004C558F" w:rsidRDefault="00461887">
            <w:pPr>
              <w:pStyle w:val="TableParagraph"/>
              <w:ind w:right="98"/>
              <w:rPr>
                <w:sz w:val="20"/>
              </w:rPr>
            </w:pPr>
            <w:r>
              <w:rPr>
                <w:spacing w:val="-4"/>
                <w:sz w:val="20"/>
              </w:rPr>
              <w:t>3.1%</w:t>
            </w:r>
          </w:p>
        </w:tc>
        <w:tc>
          <w:tcPr>
            <w:tcW w:w="1349" w:type="dxa"/>
          </w:tcPr>
          <w:p w14:paraId="1C34EDB2" w14:textId="77777777" w:rsidR="004C558F" w:rsidRDefault="00461887">
            <w:pPr>
              <w:pStyle w:val="TableParagraph"/>
              <w:ind w:right="98"/>
              <w:rPr>
                <w:sz w:val="20"/>
              </w:rPr>
            </w:pPr>
            <w:r>
              <w:rPr>
                <w:spacing w:val="-4"/>
                <w:sz w:val="20"/>
              </w:rPr>
              <w:t>4.4%</w:t>
            </w:r>
          </w:p>
        </w:tc>
        <w:tc>
          <w:tcPr>
            <w:tcW w:w="1800" w:type="dxa"/>
          </w:tcPr>
          <w:p w14:paraId="1C34EDB3" w14:textId="77777777" w:rsidR="004C558F" w:rsidRDefault="00461887">
            <w:pPr>
              <w:pStyle w:val="TableParagraph"/>
              <w:ind w:right="97"/>
              <w:rPr>
                <w:sz w:val="20"/>
              </w:rPr>
            </w:pPr>
            <w:r>
              <w:rPr>
                <w:spacing w:val="-4"/>
                <w:sz w:val="20"/>
              </w:rPr>
              <w:t>4.2%</w:t>
            </w:r>
          </w:p>
        </w:tc>
      </w:tr>
      <w:tr w:rsidR="004C558F" w14:paraId="1C34EDBC" w14:textId="77777777" w:rsidTr="00374C97">
        <w:trPr>
          <w:cantSplit/>
          <w:trHeight w:val="289"/>
        </w:trPr>
        <w:tc>
          <w:tcPr>
            <w:tcW w:w="4140" w:type="dxa"/>
            <w:shd w:val="clear" w:color="auto" w:fill="D4EBF4"/>
          </w:tcPr>
          <w:p w14:paraId="1C34EDB5" w14:textId="77777777" w:rsidR="004C558F" w:rsidRDefault="00461887">
            <w:pPr>
              <w:pStyle w:val="TableParagraph"/>
              <w:ind w:left="107"/>
              <w:jc w:val="left"/>
              <w:rPr>
                <w:sz w:val="20"/>
              </w:rPr>
            </w:pPr>
            <w:r>
              <w:rPr>
                <w:sz w:val="20"/>
              </w:rPr>
              <w:t>South</w:t>
            </w:r>
            <w:r>
              <w:rPr>
                <w:spacing w:val="-5"/>
                <w:sz w:val="20"/>
              </w:rPr>
              <w:t xml:space="preserve"> </w:t>
            </w:r>
            <w:r>
              <w:rPr>
                <w:sz w:val="20"/>
              </w:rPr>
              <w:t>Shore</w:t>
            </w:r>
            <w:r>
              <w:rPr>
                <w:spacing w:val="-2"/>
                <w:sz w:val="20"/>
              </w:rPr>
              <w:t xml:space="preserve"> Hospital</w:t>
            </w:r>
          </w:p>
        </w:tc>
        <w:tc>
          <w:tcPr>
            <w:tcW w:w="1171" w:type="dxa"/>
            <w:shd w:val="clear" w:color="auto" w:fill="D4EBF4"/>
          </w:tcPr>
          <w:p w14:paraId="1C34EDB6" w14:textId="77777777" w:rsidR="004C558F" w:rsidRDefault="00461887">
            <w:pPr>
              <w:pStyle w:val="TableParagraph"/>
              <w:ind w:right="98"/>
              <w:rPr>
                <w:sz w:val="20"/>
              </w:rPr>
            </w:pPr>
            <w:r>
              <w:rPr>
                <w:spacing w:val="-4"/>
                <w:sz w:val="20"/>
              </w:rPr>
              <w:t>4.6%</w:t>
            </w:r>
          </w:p>
        </w:tc>
        <w:tc>
          <w:tcPr>
            <w:tcW w:w="1260" w:type="dxa"/>
            <w:shd w:val="clear" w:color="auto" w:fill="D4EBF4"/>
          </w:tcPr>
          <w:p w14:paraId="1C34EDB7" w14:textId="77777777" w:rsidR="004C558F" w:rsidRDefault="00461887">
            <w:pPr>
              <w:pStyle w:val="TableParagraph"/>
              <w:ind w:right="98"/>
              <w:rPr>
                <w:sz w:val="20"/>
              </w:rPr>
            </w:pPr>
            <w:r>
              <w:rPr>
                <w:spacing w:val="-4"/>
                <w:sz w:val="20"/>
              </w:rPr>
              <w:t>5.5%</w:t>
            </w:r>
          </w:p>
        </w:tc>
        <w:tc>
          <w:tcPr>
            <w:tcW w:w="1709" w:type="dxa"/>
            <w:shd w:val="clear" w:color="auto" w:fill="D4EBF4"/>
          </w:tcPr>
          <w:p w14:paraId="1C34EDB8" w14:textId="77777777" w:rsidR="004C558F" w:rsidRDefault="00461887">
            <w:pPr>
              <w:pStyle w:val="TableParagraph"/>
              <w:ind w:right="98"/>
              <w:rPr>
                <w:sz w:val="20"/>
              </w:rPr>
            </w:pPr>
            <w:r>
              <w:rPr>
                <w:spacing w:val="-4"/>
                <w:sz w:val="20"/>
              </w:rPr>
              <w:t>6.7%</w:t>
            </w:r>
          </w:p>
        </w:tc>
        <w:tc>
          <w:tcPr>
            <w:tcW w:w="1171" w:type="dxa"/>
            <w:shd w:val="clear" w:color="auto" w:fill="D4EBF4"/>
          </w:tcPr>
          <w:p w14:paraId="1C34EDB9" w14:textId="77777777" w:rsidR="004C558F" w:rsidRDefault="00461887">
            <w:pPr>
              <w:pStyle w:val="TableParagraph"/>
              <w:ind w:right="98"/>
              <w:rPr>
                <w:sz w:val="20"/>
              </w:rPr>
            </w:pPr>
            <w:r>
              <w:rPr>
                <w:spacing w:val="-4"/>
                <w:sz w:val="20"/>
              </w:rPr>
              <w:t>2.7%</w:t>
            </w:r>
          </w:p>
        </w:tc>
        <w:tc>
          <w:tcPr>
            <w:tcW w:w="1349" w:type="dxa"/>
            <w:shd w:val="clear" w:color="auto" w:fill="D4EBF4"/>
          </w:tcPr>
          <w:p w14:paraId="1C34EDBA" w14:textId="77777777" w:rsidR="004C558F" w:rsidRDefault="00461887">
            <w:pPr>
              <w:pStyle w:val="TableParagraph"/>
              <w:ind w:right="98"/>
              <w:rPr>
                <w:sz w:val="20"/>
              </w:rPr>
            </w:pPr>
            <w:r>
              <w:rPr>
                <w:spacing w:val="-4"/>
                <w:sz w:val="20"/>
              </w:rPr>
              <w:t>3.2%</w:t>
            </w:r>
          </w:p>
        </w:tc>
        <w:tc>
          <w:tcPr>
            <w:tcW w:w="1800" w:type="dxa"/>
            <w:shd w:val="clear" w:color="auto" w:fill="D4EBF4"/>
          </w:tcPr>
          <w:p w14:paraId="1C34EDBB" w14:textId="77777777" w:rsidR="004C558F" w:rsidRDefault="00461887">
            <w:pPr>
              <w:pStyle w:val="TableParagraph"/>
              <w:ind w:right="97"/>
              <w:rPr>
                <w:sz w:val="20"/>
              </w:rPr>
            </w:pPr>
            <w:r>
              <w:rPr>
                <w:spacing w:val="-4"/>
                <w:sz w:val="20"/>
              </w:rPr>
              <w:t>3.8%</w:t>
            </w:r>
          </w:p>
        </w:tc>
      </w:tr>
      <w:tr w:rsidR="004C558F" w14:paraId="1C34EDC4" w14:textId="77777777" w:rsidTr="00374C97">
        <w:trPr>
          <w:cantSplit/>
          <w:trHeight w:val="290"/>
        </w:trPr>
        <w:tc>
          <w:tcPr>
            <w:tcW w:w="4140" w:type="dxa"/>
            <w:shd w:val="clear" w:color="auto" w:fill="FBDFD3"/>
          </w:tcPr>
          <w:p w14:paraId="1C34EDBD" w14:textId="77777777" w:rsidR="004C558F" w:rsidRDefault="00461887">
            <w:pPr>
              <w:pStyle w:val="TableParagraph"/>
              <w:ind w:left="107"/>
              <w:jc w:val="left"/>
              <w:rPr>
                <w:sz w:val="20"/>
              </w:rPr>
            </w:pPr>
            <w:r>
              <w:rPr>
                <w:sz w:val="20"/>
              </w:rPr>
              <w:t>Dana-Farber</w:t>
            </w:r>
            <w:r>
              <w:rPr>
                <w:spacing w:val="-8"/>
                <w:sz w:val="20"/>
              </w:rPr>
              <w:t xml:space="preserve"> </w:t>
            </w:r>
            <w:r>
              <w:rPr>
                <w:sz w:val="20"/>
              </w:rPr>
              <w:t>Cancer</w:t>
            </w:r>
            <w:r>
              <w:rPr>
                <w:spacing w:val="-7"/>
                <w:sz w:val="20"/>
              </w:rPr>
              <w:t xml:space="preserve"> </w:t>
            </w:r>
            <w:r>
              <w:rPr>
                <w:spacing w:val="-2"/>
                <w:sz w:val="20"/>
              </w:rPr>
              <w:t>Institute</w:t>
            </w:r>
          </w:p>
        </w:tc>
        <w:tc>
          <w:tcPr>
            <w:tcW w:w="1171" w:type="dxa"/>
            <w:shd w:val="clear" w:color="auto" w:fill="FBDFD3"/>
          </w:tcPr>
          <w:p w14:paraId="1C34EDBE" w14:textId="77777777" w:rsidR="004C558F" w:rsidRDefault="00461887">
            <w:pPr>
              <w:pStyle w:val="TableParagraph"/>
              <w:ind w:right="98"/>
              <w:rPr>
                <w:sz w:val="20"/>
              </w:rPr>
            </w:pPr>
            <w:r>
              <w:rPr>
                <w:spacing w:val="-4"/>
                <w:sz w:val="20"/>
              </w:rPr>
              <w:t>2.1%</w:t>
            </w:r>
          </w:p>
        </w:tc>
        <w:tc>
          <w:tcPr>
            <w:tcW w:w="1260" w:type="dxa"/>
            <w:shd w:val="clear" w:color="auto" w:fill="FBDFD3"/>
          </w:tcPr>
          <w:p w14:paraId="1C34EDBF" w14:textId="77777777" w:rsidR="004C558F" w:rsidRDefault="00461887">
            <w:pPr>
              <w:pStyle w:val="TableParagraph"/>
              <w:ind w:right="98"/>
              <w:rPr>
                <w:sz w:val="20"/>
              </w:rPr>
            </w:pPr>
            <w:r>
              <w:rPr>
                <w:spacing w:val="-4"/>
                <w:sz w:val="20"/>
              </w:rPr>
              <w:t>2.4%</w:t>
            </w:r>
          </w:p>
        </w:tc>
        <w:tc>
          <w:tcPr>
            <w:tcW w:w="1709" w:type="dxa"/>
            <w:shd w:val="clear" w:color="auto" w:fill="FBDFD3"/>
          </w:tcPr>
          <w:p w14:paraId="1C34EDC0" w14:textId="77777777" w:rsidR="004C558F" w:rsidRDefault="00461887">
            <w:pPr>
              <w:pStyle w:val="TableParagraph"/>
              <w:ind w:right="98"/>
              <w:rPr>
                <w:sz w:val="20"/>
              </w:rPr>
            </w:pPr>
            <w:r>
              <w:rPr>
                <w:spacing w:val="-4"/>
                <w:sz w:val="20"/>
              </w:rPr>
              <w:t>2.3%</w:t>
            </w:r>
          </w:p>
        </w:tc>
        <w:tc>
          <w:tcPr>
            <w:tcW w:w="1171" w:type="dxa"/>
            <w:shd w:val="clear" w:color="auto" w:fill="FBDFD3"/>
          </w:tcPr>
          <w:p w14:paraId="1C34EDC1" w14:textId="77777777" w:rsidR="004C558F" w:rsidRDefault="00461887">
            <w:pPr>
              <w:pStyle w:val="TableParagraph"/>
              <w:ind w:right="98"/>
              <w:rPr>
                <w:sz w:val="20"/>
              </w:rPr>
            </w:pPr>
            <w:r>
              <w:rPr>
                <w:spacing w:val="-4"/>
                <w:sz w:val="20"/>
              </w:rPr>
              <w:t>0.4%</w:t>
            </w:r>
          </w:p>
        </w:tc>
        <w:tc>
          <w:tcPr>
            <w:tcW w:w="1349" w:type="dxa"/>
            <w:shd w:val="clear" w:color="auto" w:fill="FBDFD3"/>
          </w:tcPr>
          <w:p w14:paraId="1C34EDC2" w14:textId="77777777" w:rsidR="004C558F" w:rsidRDefault="00461887">
            <w:pPr>
              <w:pStyle w:val="TableParagraph"/>
              <w:ind w:right="98"/>
              <w:rPr>
                <w:sz w:val="20"/>
              </w:rPr>
            </w:pPr>
            <w:r>
              <w:rPr>
                <w:spacing w:val="-4"/>
                <w:sz w:val="20"/>
              </w:rPr>
              <w:t>0.5%</w:t>
            </w:r>
          </w:p>
        </w:tc>
        <w:tc>
          <w:tcPr>
            <w:tcW w:w="1800" w:type="dxa"/>
            <w:shd w:val="clear" w:color="auto" w:fill="FBDFD3"/>
          </w:tcPr>
          <w:p w14:paraId="1C34EDC3" w14:textId="77777777" w:rsidR="004C558F" w:rsidRDefault="00461887">
            <w:pPr>
              <w:pStyle w:val="TableParagraph"/>
              <w:ind w:right="97"/>
              <w:rPr>
                <w:sz w:val="20"/>
              </w:rPr>
            </w:pPr>
            <w:r>
              <w:rPr>
                <w:spacing w:val="-4"/>
                <w:sz w:val="20"/>
              </w:rPr>
              <w:t>0.5%</w:t>
            </w:r>
          </w:p>
        </w:tc>
      </w:tr>
      <w:tr w:rsidR="004C558F" w14:paraId="1C34EDCC" w14:textId="77777777" w:rsidTr="00374C97">
        <w:trPr>
          <w:cantSplit/>
          <w:trHeight w:val="290"/>
        </w:trPr>
        <w:tc>
          <w:tcPr>
            <w:tcW w:w="4140" w:type="dxa"/>
            <w:shd w:val="clear" w:color="auto" w:fill="D4EBF4"/>
          </w:tcPr>
          <w:p w14:paraId="1C34EDC5" w14:textId="77777777" w:rsidR="004C558F" w:rsidRDefault="00461887">
            <w:pPr>
              <w:pStyle w:val="TableParagraph"/>
              <w:ind w:left="107"/>
              <w:jc w:val="left"/>
              <w:rPr>
                <w:sz w:val="20"/>
              </w:rPr>
            </w:pPr>
            <w:r>
              <w:rPr>
                <w:sz w:val="20"/>
              </w:rPr>
              <w:t>Lawrence</w:t>
            </w:r>
            <w:r>
              <w:rPr>
                <w:spacing w:val="-8"/>
                <w:sz w:val="20"/>
              </w:rPr>
              <w:t xml:space="preserve"> </w:t>
            </w:r>
            <w:r>
              <w:rPr>
                <w:sz w:val="20"/>
              </w:rPr>
              <w:t>General</w:t>
            </w:r>
            <w:r>
              <w:rPr>
                <w:spacing w:val="-4"/>
                <w:sz w:val="20"/>
              </w:rPr>
              <w:t xml:space="preserve"> </w:t>
            </w:r>
            <w:r>
              <w:rPr>
                <w:spacing w:val="-2"/>
                <w:sz w:val="20"/>
              </w:rPr>
              <w:t>Hospital</w:t>
            </w:r>
          </w:p>
        </w:tc>
        <w:tc>
          <w:tcPr>
            <w:tcW w:w="1171" w:type="dxa"/>
            <w:shd w:val="clear" w:color="auto" w:fill="D4EBF4"/>
          </w:tcPr>
          <w:p w14:paraId="1C34EDC6" w14:textId="77777777" w:rsidR="004C558F" w:rsidRDefault="00461887">
            <w:pPr>
              <w:pStyle w:val="TableParagraph"/>
              <w:ind w:right="98"/>
              <w:rPr>
                <w:sz w:val="20"/>
              </w:rPr>
            </w:pPr>
            <w:r>
              <w:rPr>
                <w:spacing w:val="-4"/>
                <w:sz w:val="20"/>
              </w:rPr>
              <w:t>2.0%</w:t>
            </w:r>
          </w:p>
        </w:tc>
        <w:tc>
          <w:tcPr>
            <w:tcW w:w="1260" w:type="dxa"/>
            <w:shd w:val="clear" w:color="auto" w:fill="D4EBF4"/>
          </w:tcPr>
          <w:p w14:paraId="1C34EDC7" w14:textId="77777777" w:rsidR="004C558F" w:rsidRDefault="00461887">
            <w:pPr>
              <w:pStyle w:val="TableParagraph"/>
              <w:ind w:right="98"/>
              <w:rPr>
                <w:sz w:val="20"/>
              </w:rPr>
            </w:pPr>
            <w:r>
              <w:rPr>
                <w:spacing w:val="-4"/>
                <w:sz w:val="20"/>
              </w:rPr>
              <w:t>3.3%</w:t>
            </w:r>
          </w:p>
        </w:tc>
        <w:tc>
          <w:tcPr>
            <w:tcW w:w="1709" w:type="dxa"/>
            <w:shd w:val="clear" w:color="auto" w:fill="D4EBF4"/>
          </w:tcPr>
          <w:p w14:paraId="1C34EDC8" w14:textId="77777777" w:rsidR="004C558F" w:rsidRDefault="00461887">
            <w:pPr>
              <w:pStyle w:val="TableParagraph"/>
              <w:ind w:right="98"/>
              <w:rPr>
                <w:sz w:val="20"/>
              </w:rPr>
            </w:pPr>
            <w:r>
              <w:rPr>
                <w:spacing w:val="-4"/>
                <w:sz w:val="20"/>
              </w:rPr>
              <w:t>3.1%</w:t>
            </w:r>
          </w:p>
        </w:tc>
        <w:tc>
          <w:tcPr>
            <w:tcW w:w="1171" w:type="dxa"/>
            <w:shd w:val="clear" w:color="auto" w:fill="D4EBF4"/>
          </w:tcPr>
          <w:p w14:paraId="1C34EDC9" w14:textId="77777777" w:rsidR="004C558F" w:rsidRDefault="00461887">
            <w:pPr>
              <w:pStyle w:val="TableParagraph"/>
              <w:ind w:right="98"/>
              <w:rPr>
                <w:sz w:val="20"/>
              </w:rPr>
            </w:pPr>
            <w:r>
              <w:rPr>
                <w:spacing w:val="-4"/>
                <w:sz w:val="20"/>
              </w:rPr>
              <w:t>1.1%</w:t>
            </w:r>
          </w:p>
        </w:tc>
        <w:tc>
          <w:tcPr>
            <w:tcW w:w="1349" w:type="dxa"/>
            <w:shd w:val="clear" w:color="auto" w:fill="D4EBF4"/>
          </w:tcPr>
          <w:p w14:paraId="1C34EDCA" w14:textId="77777777" w:rsidR="004C558F" w:rsidRDefault="00461887">
            <w:pPr>
              <w:pStyle w:val="TableParagraph"/>
              <w:ind w:right="98"/>
              <w:rPr>
                <w:sz w:val="20"/>
              </w:rPr>
            </w:pPr>
            <w:r>
              <w:rPr>
                <w:spacing w:val="-4"/>
                <w:sz w:val="20"/>
              </w:rPr>
              <w:t>1.7%</w:t>
            </w:r>
          </w:p>
        </w:tc>
        <w:tc>
          <w:tcPr>
            <w:tcW w:w="1800" w:type="dxa"/>
            <w:shd w:val="clear" w:color="auto" w:fill="D4EBF4"/>
          </w:tcPr>
          <w:p w14:paraId="1C34EDCB" w14:textId="77777777" w:rsidR="004C558F" w:rsidRDefault="00461887">
            <w:pPr>
              <w:pStyle w:val="TableParagraph"/>
              <w:ind w:right="97"/>
              <w:rPr>
                <w:sz w:val="20"/>
              </w:rPr>
            </w:pPr>
            <w:r>
              <w:rPr>
                <w:spacing w:val="-4"/>
                <w:sz w:val="20"/>
              </w:rPr>
              <w:t>1.6%</w:t>
            </w:r>
          </w:p>
        </w:tc>
      </w:tr>
      <w:tr w:rsidR="004C558F" w14:paraId="1C34EDD4" w14:textId="77777777" w:rsidTr="00374C97">
        <w:trPr>
          <w:cantSplit/>
          <w:trHeight w:val="289"/>
        </w:trPr>
        <w:tc>
          <w:tcPr>
            <w:tcW w:w="4140" w:type="dxa"/>
            <w:shd w:val="clear" w:color="auto" w:fill="D4EBF4"/>
          </w:tcPr>
          <w:p w14:paraId="1C34EDCD" w14:textId="77777777" w:rsidR="004C558F" w:rsidRDefault="00461887">
            <w:pPr>
              <w:pStyle w:val="TableParagraph"/>
              <w:ind w:left="107"/>
              <w:jc w:val="left"/>
              <w:rPr>
                <w:sz w:val="20"/>
              </w:rPr>
            </w:pPr>
            <w:r>
              <w:rPr>
                <w:sz w:val="20"/>
              </w:rPr>
              <w:t>Other</w:t>
            </w:r>
            <w:r>
              <w:rPr>
                <w:spacing w:val="-3"/>
                <w:sz w:val="20"/>
              </w:rPr>
              <w:t xml:space="preserve"> </w:t>
            </w:r>
            <w:r>
              <w:rPr>
                <w:spacing w:val="-2"/>
                <w:sz w:val="20"/>
              </w:rPr>
              <w:t>Hospitals</w:t>
            </w:r>
          </w:p>
        </w:tc>
        <w:tc>
          <w:tcPr>
            <w:tcW w:w="1171" w:type="dxa"/>
            <w:shd w:val="clear" w:color="auto" w:fill="D4EBF4"/>
          </w:tcPr>
          <w:p w14:paraId="1C34EDCE" w14:textId="77777777" w:rsidR="004C558F" w:rsidRDefault="00461887">
            <w:pPr>
              <w:pStyle w:val="TableParagraph"/>
              <w:ind w:right="98"/>
              <w:rPr>
                <w:sz w:val="20"/>
              </w:rPr>
            </w:pPr>
            <w:r>
              <w:rPr>
                <w:spacing w:val="-2"/>
                <w:sz w:val="20"/>
              </w:rPr>
              <w:t>22.9%</w:t>
            </w:r>
          </w:p>
        </w:tc>
        <w:tc>
          <w:tcPr>
            <w:tcW w:w="1260" w:type="dxa"/>
            <w:shd w:val="clear" w:color="auto" w:fill="D4EBF4"/>
          </w:tcPr>
          <w:p w14:paraId="1C34EDCF" w14:textId="77777777" w:rsidR="004C558F" w:rsidRDefault="00461887">
            <w:pPr>
              <w:pStyle w:val="TableParagraph"/>
              <w:ind w:right="98"/>
              <w:rPr>
                <w:sz w:val="20"/>
              </w:rPr>
            </w:pPr>
            <w:r>
              <w:rPr>
                <w:spacing w:val="-4"/>
                <w:sz w:val="20"/>
              </w:rPr>
              <w:t>3.1%</w:t>
            </w:r>
          </w:p>
        </w:tc>
        <w:tc>
          <w:tcPr>
            <w:tcW w:w="1709" w:type="dxa"/>
            <w:shd w:val="clear" w:color="auto" w:fill="D4EBF4"/>
          </w:tcPr>
          <w:p w14:paraId="1C34EDD0" w14:textId="77777777" w:rsidR="004C558F" w:rsidRDefault="00461887">
            <w:pPr>
              <w:pStyle w:val="TableParagraph"/>
              <w:ind w:right="98"/>
              <w:rPr>
                <w:sz w:val="20"/>
              </w:rPr>
            </w:pPr>
            <w:r>
              <w:rPr>
                <w:spacing w:val="-4"/>
                <w:sz w:val="20"/>
              </w:rPr>
              <w:t>5.7%</w:t>
            </w:r>
          </w:p>
        </w:tc>
        <w:tc>
          <w:tcPr>
            <w:tcW w:w="1171" w:type="dxa"/>
            <w:shd w:val="clear" w:color="auto" w:fill="D4EBF4"/>
          </w:tcPr>
          <w:p w14:paraId="1C34EDD1" w14:textId="77777777" w:rsidR="004C558F" w:rsidRDefault="00461887">
            <w:pPr>
              <w:pStyle w:val="TableParagraph"/>
              <w:ind w:right="98"/>
              <w:rPr>
                <w:sz w:val="20"/>
              </w:rPr>
            </w:pPr>
            <w:r>
              <w:rPr>
                <w:spacing w:val="-2"/>
                <w:sz w:val="20"/>
              </w:rPr>
              <w:t>17.3%</w:t>
            </w:r>
          </w:p>
        </w:tc>
        <w:tc>
          <w:tcPr>
            <w:tcW w:w="1349" w:type="dxa"/>
            <w:shd w:val="clear" w:color="auto" w:fill="D4EBF4"/>
          </w:tcPr>
          <w:p w14:paraId="1C34EDD2" w14:textId="77777777" w:rsidR="004C558F" w:rsidRDefault="00461887">
            <w:pPr>
              <w:pStyle w:val="TableParagraph"/>
              <w:ind w:right="98"/>
              <w:rPr>
                <w:sz w:val="20"/>
              </w:rPr>
            </w:pPr>
            <w:r>
              <w:rPr>
                <w:spacing w:val="-4"/>
                <w:sz w:val="20"/>
              </w:rPr>
              <w:t>1.9%</w:t>
            </w:r>
          </w:p>
        </w:tc>
        <w:tc>
          <w:tcPr>
            <w:tcW w:w="1800" w:type="dxa"/>
            <w:shd w:val="clear" w:color="auto" w:fill="D4EBF4"/>
          </w:tcPr>
          <w:p w14:paraId="1C34EDD3" w14:textId="77777777" w:rsidR="004C558F" w:rsidRDefault="00461887">
            <w:pPr>
              <w:pStyle w:val="TableParagraph"/>
              <w:ind w:right="97"/>
              <w:rPr>
                <w:sz w:val="20"/>
              </w:rPr>
            </w:pPr>
            <w:r>
              <w:rPr>
                <w:spacing w:val="-4"/>
                <w:sz w:val="20"/>
              </w:rPr>
              <w:t>3.3%</w:t>
            </w:r>
          </w:p>
        </w:tc>
      </w:tr>
      <w:tr w:rsidR="004C558F" w14:paraId="1C34EDDC" w14:textId="77777777" w:rsidTr="00374C97">
        <w:trPr>
          <w:cantSplit/>
          <w:trHeight w:val="290"/>
        </w:trPr>
        <w:tc>
          <w:tcPr>
            <w:tcW w:w="4140" w:type="dxa"/>
            <w:shd w:val="clear" w:color="auto" w:fill="084875"/>
          </w:tcPr>
          <w:p w14:paraId="1C34EDD5" w14:textId="77777777" w:rsidR="004C558F" w:rsidRDefault="00461887">
            <w:pPr>
              <w:pStyle w:val="TableParagraph"/>
              <w:ind w:left="107"/>
              <w:jc w:val="left"/>
              <w:rPr>
                <w:sz w:val="20"/>
              </w:rPr>
            </w:pPr>
            <w:r>
              <w:rPr>
                <w:color w:val="FFFFFF"/>
                <w:spacing w:val="-2"/>
                <w:sz w:val="20"/>
              </w:rPr>
              <w:t>Total</w:t>
            </w:r>
          </w:p>
        </w:tc>
        <w:tc>
          <w:tcPr>
            <w:tcW w:w="1171" w:type="dxa"/>
            <w:shd w:val="clear" w:color="auto" w:fill="084875"/>
          </w:tcPr>
          <w:p w14:paraId="1C34EDD6" w14:textId="77777777" w:rsidR="004C558F" w:rsidRDefault="00461887">
            <w:pPr>
              <w:pStyle w:val="TableParagraph"/>
              <w:ind w:right="98"/>
              <w:rPr>
                <w:sz w:val="20"/>
              </w:rPr>
            </w:pPr>
            <w:r>
              <w:rPr>
                <w:color w:val="FFFFFF"/>
                <w:spacing w:val="-4"/>
                <w:sz w:val="20"/>
              </w:rPr>
              <w:t>100%</w:t>
            </w:r>
          </w:p>
        </w:tc>
        <w:tc>
          <w:tcPr>
            <w:tcW w:w="1260" w:type="dxa"/>
            <w:shd w:val="clear" w:color="auto" w:fill="084875"/>
          </w:tcPr>
          <w:p w14:paraId="1C34EDD7" w14:textId="77777777" w:rsidR="004C558F" w:rsidRDefault="00461887">
            <w:pPr>
              <w:pStyle w:val="TableParagraph"/>
              <w:ind w:right="98"/>
              <w:rPr>
                <w:sz w:val="20"/>
              </w:rPr>
            </w:pPr>
            <w:r>
              <w:rPr>
                <w:color w:val="FFFFFF"/>
                <w:spacing w:val="-4"/>
                <w:sz w:val="20"/>
              </w:rPr>
              <w:t>100%</w:t>
            </w:r>
          </w:p>
        </w:tc>
        <w:tc>
          <w:tcPr>
            <w:tcW w:w="1709" w:type="dxa"/>
            <w:shd w:val="clear" w:color="auto" w:fill="084875"/>
          </w:tcPr>
          <w:p w14:paraId="1C34EDD8" w14:textId="77777777" w:rsidR="004C558F" w:rsidRDefault="00461887">
            <w:pPr>
              <w:pStyle w:val="TableParagraph"/>
              <w:ind w:right="98"/>
              <w:rPr>
                <w:sz w:val="20"/>
              </w:rPr>
            </w:pPr>
            <w:r>
              <w:rPr>
                <w:color w:val="FFFFFF"/>
                <w:spacing w:val="-4"/>
                <w:sz w:val="20"/>
              </w:rPr>
              <w:t>100%</w:t>
            </w:r>
          </w:p>
        </w:tc>
        <w:tc>
          <w:tcPr>
            <w:tcW w:w="1171" w:type="dxa"/>
            <w:shd w:val="clear" w:color="auto" w:fill="084875"/>
          </w:tcPr>
          <w:p w14:paraId="1C34EDD9" w14:textId="77777777" w:rsidR="004C558F" w:rsidRDefault="00461887">
            <w:pPr>
              <w:pStyle w:val="TableParagraph"/>
              <w:ind w:right="98"/>
              <w:rPr>
                <w:sz w:val="20"/>
              </w:rPr>
            </w:pPr>
            <w:r>
              <w:rPr>
                <w:color w:val="FFFFFF"/>
                <w:spacing w:val="-4"/>
                <w:sz w:val="20"/>
              </w:rPr>
              <w:t>100%</w:t>
            </w:r>
          </w:p>
        </w:tc>
        <w:tc>
          <w:tcPr>
            <w:tcW w:w="1349" w:type="dxa"/>
            <w:shd w:val="clear" w:color="auto" w:fill="084875"/>
          </w:tcPr>
          <w:p w14:paraId="1C34EDDA" w14:textId="77777777" w:rsidR="004C558F" w:rsidRDefault="00461887">
            <w:pPr>
              <w:pStyle w:val="TableParagraph"/>
              <w:ind w:right="98"/>
              <w:rPr>
                <w:sz w:val="20"/>
              </w:rPr>
            </w:pPr>
            <w:r>
              <w:rPr>
                <w:color w:val="FFFFFF"/>
                <w:spacing w:val="-4"/>
                <w:sz w:val="20"/>
              </w:rPr>
              <w:t>100%</w:t>
            </w:r>
          </w:p>
        </w:tc>
        <w:tc>
          <w:tcPr>
            <w:tcW w:w="1800" w:type="dxa"/>
            <w:shd w:val="clear" w:color="auto" w:fill="084875"/>
          </w:tcPr>
          <w:p w14:paraId="1C34EDDB" w14:textId="77777777" w:rsidR="004C558F" w:rsidRDefault="00461887">
            <w:pPr>
              <w:pStyle w:val="TableParagraph"/>
              <w:ind w:right="96"/>
              <w:rPr>
                <w:sz w:val="20"/>
              </w:rPr>
            </w:pPr>
            <w:r>
              <w:rPr>
                <w:color w:val="FFFFFF"/>
                <w:spacing w:val="-4"/>
                <w:sz w:val="20"/>
              </w:rPr>
              <w:t>100%</w:t>
            </w:r>
          </w:p>
        </w:tc>
      </w:tr>
      <w:tr w:rsidR="004C558F" w14:paraId="1C34EDDE" w14:textId="77777777">
        <w:trPr>
          <w:trHeight w:val="290"/>
        </w:trPr>
        <w:tc>
          <w:tcPr>
            <w:tcW w:w="12600" w:type="dxa"/>
            <w:gridSpan w:val="7"/>
            <w:tcBorders>
              <w:left w:val="nil"/>
              <w:right w:val="nil"/>
            </w:tcBorders>
          </w:tcPr>
          <w:p w14:paraId="1C34EDDD" w14:textId="77777777" w:rsidR="004C558F" w:rsidRDefault="004C558F">
            <w:pPr>
              <w:pStyle w:val="TableParagraph"/>
              <w:spacing w:before="0"/>
              <w:jc w:val="left"/>
              <w:rPr>
                <w:rFonts w:ascii="Times New Roman"/>
                <w:sz w:val="20"/>
              </w:rPr>
            </w:pPr>
          </w:p>
        </w:tc>
      </w:tr>
      <w:tr w:rsidR="004C558F" w14:paraId="1C34EDE6" w14:textId="77777777">
        <w:trPr>
          <w:trHeight w:val="289"/>
        </w:trPr>
        <w:tc>
          <w:tcPr>
            <w:tcW w:w="4140" w:type="dxa"/>
          </w:tcPr>
          <w:p w14:paraId="1C34EDDF" w14:textId="77777777" w:rsidR="004C558F" w:rsidRDefault="00461887">
            <w:pPr>
              <w:pStyle w:val="TableParagraph"/>
              <w:ind w:left="107"/>
              <w:jc w:val="left"/>
              <w:rPr>
                <w:sz w:val="20"/>
              </w:rPr>
            </w:pPr>
            <w:r>
              <w:rPr>
                <w:sz w:val="20"/>
              </w:rPr>
              <w:t>Current-State</w:t>
            </w:r>
            <w:r>
              <w:rPr>
                <w:spacing w:val="-13"/>
                <w:sz w:val="20"/>
              </w:rPr>
              <w:t xml:space="preserve"> </w:t>
            </w:r>
            <w:r>
              <w:rPr>
                <w:spacing w:val="-5"/>
                <w:sz w:val="20"/>
              </w:rPr>
              <w:t>HHI</w:t>
            </w:r>
          </w:p>
        </w:tc>
        <w:tc>
          <w:tcPr>
            <w:tcW w:w="1171" w:type="dxa"/>
          </w:tcPr>
          <w:p w14:paraId="1C34EDE0" w14:textId="77777777" w:rsidR="004C558F" w:rsidRDefault="00461887">
            <w:pPr>
              <w:pStyle w:val="TableParagraph"/>
              <w:ind w:right="96"/>
              <w:rPr>
                <w:sz w:val="20"/>
              </w:rPr>
            </w:pPr>
            <w:r>
              <w:rPr>
                <w:spacing w:val="-2"/>
                <w:sz w:val="20"/>
              </w:rPr>
              <w:t>1,491</w:t>
            </w:r>
          </w:p>
        </w:tc>
        <w:tc>
          <w:tcPr>
            <w:tcW w:w="1260" w:type="dxa"/>
          </w:tcPr>
          <w:p w14:paraId="1C34EDE1" w14:textId="77777777" w:rsidR="004C558F" w:rsidRDefault="00461887">
            <w:pPr>
              <w:pStyle w:val="TableParagraph"/>
              <w:ind w:right="96"/>
              <w:rPr>
                <w:sz w:val="20"/>
              </w:rPr>
            </w:pPr>
            <w:r>
              <w:rPr>
                <w:spacing w:val="-2"/>
                <w:sz w:val="20"/>
              </w:rPr>
              <w:t>2,560</w:t>
            </w:r>
          </w:p>
        </w:tc>
        <w:tc>
          <w:tcPr>
            <w:tcW w:w="1709" w:type="dxa"/>
          </w:tcPr>
          <w:p w14:paraId="1C34EDE2" w14:textId="77777777" w:rsidR="004C558F" w:rsidRDefault="00461887">
            <w:pPr>
              <w:pStyle w:val="TableParagraph"/>
              <w:ind w:right="96"/>
              <w:rPr>
                <w:sz w:val="20"/>
              </w:rPr>
            </w:pPr>
            <w:r>
              <w:rPr>
                <w:spacing w:val="-2"/>
                <w:sz w:val="20"/>
              </w:rPr>
              <w:t>2,168</w:t>
            </w:r>
          </w:p>
        </w:tc>
        <w:tc>
          <w:tcPr>
            <w:tcW w:w="1171" w:type="dxa"/>
          </w:tcPr>
          <w:p w14:paraId="1C34EDE3" w14:textId="77777777" w:rsidR="004C558F" w:rsidRDefault="00461887">
            <w:pPr>
              <w:pStyle w:val="TableParagraph"/>
              <w:ind w:right="96"/>
              <w:rPr>
                <w:sz w:val="20"/>
              </w:rPr>
            </w:pPr>
            <w:r>
              <w:rPr>
                <w:spacing w:val="-2"/>
                <w:sz w:val="20"/>
              </w:rPr>
              <w:t>2,091</w:t>
            </w:r>
          </w:p>
        </w:tc>
        <w:tc>
          <w:tcPr>
            <w:tcW w:w="1349" w:type="dxa"/>
          </w:tcPr>
          <w:p w14:paraId="1C34EDE4" w14:textId="77777777" w:rsidR="004C558F" w:rsidRDefault="00461887">
            <w:pPr>
              <w:pStyle w:val="TableParagraph"/>
              <w:ind w:right="96"/>
              <w:rPr>
                <w:sz w:val="20"/>
              </w:rPr>
            </w:pPr>
            <w:r>
              <w:rPr>
                <w:spacing w:val="-2"/>
                <w:sz w:val="20"/>
              </w:rPr>
              <w:t>3,173</w:t>
            </w:r>
          </w:p>
        </w:tc>
        <w:tc>
          <w:tcPr>
            <w:tcW w:w="1800" w:type="dxa"/>
          </w:tcPr>
          <w:p w14:paraId="1C34EDE5" w14:textId="77777777" w:rsidR="004C558F" w:rsidRDefault="00461887">
            <w:pPr>
              <w:pStyle w:val="TableParagraph"/>
              <w:ind w:right="94"/>
              <w:rPr>
                <w:sz w:val="20"/>
              </w:rPr>
            </w:pPr>
            <w:r>
              <w:rPr>
                <w:spacing w:val="-2"/>
                <w:sz w:val="20"/>
              </w:rPr>
              <w:t>2,863</w:t>
            </w:r>
          </w:p>
        </w:tc>
      </w:tr>
    </w:tbl>
    <w:p w14:paraId="1C34EDE7" w14:textId="77777777" w:rsidR="004C558F" w:rsidRDefault="004C558F">
      <w:pPr>
        <w:pStyle w:val="BodyText"/>
        <w:spacing w:before="122"/>
      </w:pPr>
    </w:p>
    <w:p w14:paraId="1C34EDE8" w14:textId="77777777" w:rsidR="004C558F" w:rsidRDefault="00461887">
      <w:pPr>
        <w:pStyle w:val="BodyText"/>
        <w:ind w:left="460"/>
      </w:pPr>
      <w:r>
        <w:t>Source:</w:t>
      </w:r>
      <w:r>
        <w:rPr>
          <w:spacing w:val="-4"/>
        </w:rPr>
        <w:t xml:space="preserve"> </w:t>
      </w:r>
      <w:r>
        <w:t>CHIA</w:t>
      </w:r>
      <w:r>
        <w:rPr>
          <w:spacing w:val="-5"/>
        </w:rPr>
        <w:t xml:space="preserve"> </w:t>
      </w:r>
      <w:r>
        <w:t>Hospital</w:t>
      </w:r>
      <w:r>
        <w:rPr>
          <w:spacing w:val="-7"/>
        </w:rPr>
        <w:t xml:space="preserve"> </w:t>
      </w:r>
      <w:r>
        <w:t>Discharge</w:t>
      </w:r>
      <w:r>
        <w:rPr>
          <w:spacing w:val="-6"/>
        </w:rPr>
        <w:t xml:space="preserve"> </w:t>
      </w:r>
      <w:r>
        <w:t>Data</w:t>
      </w:r>
      <w:r>
        <w:rPr>
          <w:spacing w:val="-2"/>
        </w:rPr>
        <w:t xml:space="preserve"> (2022).</w:t>
      </w:r>
    </w:p>
    <w:p w14:paraId="1C34EDE9" w14:textId="77777777" w:rsidR="004C558F" w:rsidRDefault="00461887">
      <w:pPr>
        <w:pStyle w:val="BodyText"/>
        <w:spacing w:before="39"/>
        <w:ind w:left="460"/>
      </w:pPr>
      <w:r>
        <w:t>Note:</w:t>
      </w:r>
      <w:r>
        <w:rPr>
          <w:spacing w:val="-5"/>
        </w:rPr>
        <w:t xml:space="preserve"> </w:t>
      </w:r>
      <w:r>
        <w:t>Hospitals</w:t>
      </w:r>
      <w:r>
        <w:rPr>
          <w:spacing w:val="-4"/>
        </w:rPr>
        <w:t xml:space="preserve"> </w:t>
      </w:r>
      <w:r>
        <w:t>and</w:t>
      </w:r>
      <w:r>
        <w:rPr>
          <w:spacing w:val="-2"/>
        </w:rPr>
        <w:t xml:space="preserve"> </w:t>
      </w:r>
      <w:r>
        <w:t>systems</w:t>
      </w:r>
      <w:r>
        <w:rPr>
          <w:spacing w:val="-2"/>
        </w:rPr>
        <w:t xml:space="preserve"> </w:t>
      </w:r>
      <w:r>
        <w:t>shown</w:t>
      </w:r>
      <w:r>
        <w:rPr>
          <w:spacing w:val="-3"/>
        </w:rPr>
        <w:t xml:space="preserve"> </w:t>
      </w:r>
      <w:r>
        <w:t>in</w:t>
      </w:r>
      <w:r>
        <w:rPr>
          <w:spacing w:val="-2"/>
        </w:rPr>
        <w:t xml:space="preserve"> </w:t>
      </w:r>
      <w:proofErr w:type="gramStart"/>
      <w:r>
        <w:t>table</w:t>
      </w:r>
      <w:proofErr w:type="gramEnd"/>
      <w:r>
        <w:rPr>
          <w:spacing w:val="-5"/>
        </w:rPr>
        <w:t xml:space="preserve"> </w:t>
      </w:r>
      <w:r>
        <w:t>have</w:t>
      </w:r>
      <w:r>
        <w:rPr>
          <w:spacing w:val="-2"/>
        </w:rPr>
        <w:t xml:space="preserve"> </w:t>
      </w:r>
      <w:r>
        <w:t>at</w:t>
      </w:r>
      <w:r>
        <w:rPr>
          <w:spacing w:val="-6"/>
        </w:rPr>
        <w:t xml:space="preserve"> </w:t>
      </w:r>
      <w:r>
        <w:t>least</w:t>
      </w:r>
      <w:r>
        <w:rPr>
          <w:spacing w:val="-3"/>
        </w:rPr>
        <w:t xml:space="preserve"> </w:t>
      </w:r>
      <w:r>
        <w:t>3%</w:t>
      </w:r>
      <w:r>
        <w:rPr>
          <w:spacing w:val="-5"/>
        </w:rPr>
        <w:t xml:space="preserve"> </w:t>
      </w:r>
      <w:r>
        <w:t>share</w:t>
      </w:r>
      <w:r>
        <w:rPr>
          <w:spacing w:val="-3"/>
        </w:rPr>
        <w:t xml:space="preserve"> </w:t>
      </w:r>
      <w:r>
        <w:t>in</w:t>
      </w:r>
      <w:r>
        <w:rPr>
          <w:spacing w:val="-4"/>
        </w:rPr>
        <w:t xml:space="preserve"> </w:t>
      </w:r>
      <w:r>
        <w:t>one</w:t>
      </w:r>
      <w:r>
        <w:rPr>
          <w:spacing w:val="-5"/>
        </w:rPr>
        <w:t xml:space="preserve"> </w:t>
      </w:r>
      <w:r>
        <w:t>or</w:t>
      </w:r>
      <w:r>
        <w:rPr>
          <w:spacing w:val="-5"/>
        </w:rPr>
        <w:t xml:space="preserve"> </w:t>
      </w:r>
      <w:r>
        <w:t>more</w:t>
      </w:r>
      <w:r>
        <w:rPr>
          <w:spacing w:val="-2"/>
        </w:rPr>
        <w:t xml:space="preserve"> PSAs.</w:t>
      </w:r>
    </w:p>
    <w:p w14:paraId="1C34EDEA" w14:textId="77777777" w:rsidR="004C558F" w:rsidRDefault="004C558F">
      <w:pPr>
        <w:sectPr w:rsidR="004C558F">
          <w:pgSz w:w="15840" w:h="12240" w:orient="landscape"/>
          <w:pgMar w:top="1280" w:right="1320" w:bottom="720" w:left="980" w:header="0" w:footer="521" w:gutter="0"/>
          <w:cols w:space="720"/>
        </w:sectPr>
      </w:pPr>
    </w:p>
    <w:p w14:paraId="1C34EDEB" w14:textId="77777777" w:rsidR="004C558F" w:rsidRDefault="00461887">
      <w:pPr>
        <w:pStyle w:val="BodyText"/>
        <w:spacing w:before="80"/>
        <w:ind w:left="2" w:right="238"/>
        <w:jc w:val="center"/>
      </w:pPr>
      <w:r>
        <w:lastRenderedPageBreak/>
        <w:t>Figure</w:t>
      </w:r>
      <w:r>
        <w:rPr>
          <w:spacing w:val="-6"/>
        </w:rPr>
        <w:t xml:space="preserve"> </w:t>
      </w:r>
      <w:r>
        <w:t>A3:</w:t>
      </w:r>
      <w:r>
        <w:rPr>
          <w:spacing w:val="-4"/>
        </w:rPr>
        <w:t xml:space="preserve"> </w:t>
      </w:r>
      <w:r>
        <w:t>Statewide</w:t>
      </w:r>
      <w:r>
        <w:rPr>
          <w:spacing w:val="-6"/>
        </w:rPr>
        <w:t xml:space="preserve"> </w:t>
      </w:r>
      <w:r>
        <w:t>Commercial</w:t>
      </w:r>
      <w:r>
        <w:rPr>
          <w:spacing w:val="-4"/>
        </w:rPr>
        <w:t xml:space="preserve"> </w:t>
      </w:r>
      <w:r>
        <w:t>Shares</w:t>
      </w:r>
      <w:r>
        <w:rPr>
          <w:spacing w:val="-4"/>
        </w:rPr>
        <w:t xml:space="preserve"> </w:t>
      </w:r>
      <w:r>
        <w:t>of</w:t>
      </w:r>
      <w:r>
        <w:rPr>
          <w:spacing w:val="-3"/>
        </w:rPr>
        <w:t xml:space="preserve"> </w:t>
      </w:r>
      <w:r>
        <w:t>Outpatient</w:t>
      </w:r>
      <w:r>
        <w:rPr>
          <w:spacing w:val="-5"/>
        </w:rPr>
        <w:t xml:space="preserve"> </w:t>
      </w:r>
      <w:r>
        <w:t>Oncology</w:t>
      </w:r>
      <w:r>
        <w:rPr>
          <w:spacing w:val="-4"/>
        </w:rPr>
        <w:t xml:space="preserve"> </w:t>
      </w:r>
      <w:r>
        <w:rPr>
          <w:spacing w:val="-2"/>
        </w:rPr>
        <w:t>Services</w:t>
      </w:r>
    </w:p>
    <w:p w14:paraId="1C34EDEC" w14:textId="77777777" w:rsidR="004C558F" w:rsidRDefault="004C558F">
      <w:pPr>
        <w:pStyle w:val="BodyText"/>
        <w:spacing w:before="176"/>
        <w:rPr>
          <w:sz w:val="20"/>
        </w:rPr>
      </w:pPr>
    </w:p>
    <w:tbl>
      <w:tblPr>
        <w:tblW w:w="0" w:type="auto"/>
        <w:tblInd w:w="3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4382"/>
        <w:gridCol w:w="1567"/>
        <w:gridCol w:w="1233"/>
        <w:gridCol w:w="1175"/>
        <w:gridCol w:w="1801"/>
      </w:tblGrid>
      <w:tr w:rsidR="004C558F" w14:paraId="1C34EDF7" w14:textId="77777777" w:rsidTr="00CB08BE">
        <w:trPr>
          <w:cantSplit/>
          <w:trHeight w:val="573"/>
          <w:tblHeader/>
        </w:trPr>
        <w:tc>
          <w:tcPr>
            <w:tcW w:w="4382" w:type="dxa"/>
            <w:shd w:val="clear" w:color="auto" w:fill="084875"/>
          </w:tcPr>
          <w:p w14:paraId="1C34EDED" w14:textId="77777777" w:rsidR="004C558F" w:rsidRDefault="004C558F">
            <w:pPr>
              <w:pStyle w:val="TableParagraph"/>
              <w:spacing w:before="35"/>
              <w:jc w:val="left"/>
            </w:pPr>
          </w:p>
          <w:p w14:paraId="1C34EDEE" w14:textId="77777777" w:rsidR="004C558F" w:rsidRDefault="00461887">
            <w:pPr>
              <w:pStyle w:val="TableParagraph"/>
              <w:spacing w:before="1"/>
              <w:ind w:left="7"/>
              <w:jc w:val="center"/>
              <w:rPr>
                <w:rFonts w:ascii="Franklin Gothic Medium Cond"/>
              </w:rPr>
            </w:pPr>
            <w:r>
              <w:rPr>
                <w:rFonts w:ascii="Franklin Gothic Medium Cond"/>
                <w:color w:val="FFFFFF"/>
                <w:spacing w:val="-2"/>
              </w:rPr>
              <w:t>Hospital/System</w:t>
            </w:r>
          </w:p>
        </w:tc>
        <w:tc>
          <w:tcPr>
            <w:tcW w:w="1567" w:type="dxa"/>
            <w:shd w:val="clear" w:color="auto" w:fill="084875"/>
          </w:tcPr>
          <w:p w14:paraId="1C34EDEF" w14:textId="77777777" w:rsidR="004C558F" w:rsidRDefault="00461887">
            <w:pPr>
              <w:pStyle w:val="TableParagraph"/>
              <w:spacing w:before="0" w:line="249" w:lineRule="exact"/>
              <w:ind w:left="9"/>
              <w:jc w:val="center"/>
              <w:rPr>
                <w:rFonts w:ascii="Franklin Gothic Medium Cond"/>
              </w:rPr>
            </w:pPr>
            <w:r>
              <w:rPr>
                <w:rFonts w:ascii="Franklin Gothic Medium Cond"/>
                <w:color w:val="FFFFFF"/>
                <w:spacing w:val="-2"/>
              </w:rPr>
              <w:t>Infusion</w:t>
            </w:r>
          </w:p>
          <w:p w14:paraId="1C34EDF0" w14:textId="77777777" w:rsidR="004C558F" w:rsidRDefault="00461887">
            <w:pPr>
              <w:pStyle w:val="TableParagraph"/>
              <w:spacing w:before="36"/>
              <w:ind w:left="9" w:right="3"/>
              <w:jc w:val="center"/>
              <w:rPr>
                <w:rFonts w:ascii="Franklin Gothic Medium Cond"/>
              </w:rPr>
            </w:pPr>
            <w:r>
              <w:rPr>
                <w:rFonts w:ascii="Franklin Gothic Medium Cond"/>
                <w:color w:val="FFFFFF"/>
                <w:spacing w:val="-2"/>
              </w:rPr>
              <w:t>administration</w:t>
            </w:r>
          </w:p>
        </w:tc>
        <w:tc>
          <w:tcPr>
            <w:tcW w:w="1233" w:type="dxa"/>
            <w:shd w:val="clear" w:color="auto" w:fill="084875"/>
          </w:tcPr>
          <w:p w14:paraId="1C34EDF1" w14:textId="77777777" w:rsidR="004C558F" w:rsidRDefault="00461887">
            <w:pPr>
              <w:pStyle w:val="TableParagraph"/>
              <w:spacing w:before="0" w:line="249" w:lineRule="exact"/>
              <w:ind w:left="16" w:right="3"/>
              <w:jc w:val="center"/>
              <w:rPr>
                <w:rFonts w:ascii="Franklin Gothic Medium Cond"/>
              </w:rPr>
            </w:pPr>
            <w:r>
              <w:rPr>
                <w:rFonts w:ascii="Franklin Gothic Medium Cond"/>
                <w:color w:val="FFFFFF"/>
                <w:spacing w:val="-2"/>
              </w:rPr>
              <w:t>Oncologic</w:t>
            </w:r>
          </w:p>
          <w:p w14:paraId="1C34EDF2" w14:textId="77777777" w:rsidR="004C558F" w:rsidRDefault="00461887">
            <w:pPr>
              <w:pStyle w:val="TableParagraph"/>
              <w:spacing w:before="36"/>
              <w:ind w:left="16"/>
              <w:jc w:val="center"/>
              <w:rPr>
                <w:rFonts w:ascii="Franklin Gothic Medium Cond"/>
              </w:rPr>
            </w:pPr>
            <w:r>
              <w:rPr>
                <w:rFonts w:ascii="Franklin Gothic Medium Cond"/>
                <w:color w:val="FFFFFF"/>
                <w:spacing w:val="-2"/>
              </w:rPr>
              <w:t>drugs</w:t>
            </w:r>
          </w:p>
        </w:tc>
        <w:tc>
          <w:tcPr>
            <w:tcW w:w="1175" w:type="dxa"/>
            <w:shd w:val="clear" w:color="auto" w:fill="084875"/>
          </w:tcPr>
          <w:p w14:paraId="1C34EDF3" w14:textId="77777777" w:rsidR="004C558F" w:rsidRDefault="00461887">
            <w:pPr>
              <w:pStyle w:val="TableParagraph"/>
              <w:spacing w:before="0" w:line="249" w:lineRule="exact"/>
              <w:ind w:left="195"/>
              <w:jc w:val="left"/>
              <w:rPr>
                <w:rFonts w:ascii="Franklin Gothic Medium Cond"/>
              </w:rPr>
            </w:pPr>
            <w:r>
              <w:rPr>
                <w:rFonts w:ascii="Franklin Gothic Medium Cond"/>
                <w:color w:val="FFFFFF"/>
                <w:spacing w:val="-2"/>
              </w:rPr>
              <w:t>Radiation</w:t>
            </w:r>
          </w:p>
          <w:p w14:paraId="1C34EDF4" w14:textId="77777777" w:rsidR="004C558F" w:rsidRDefault="00461887">
            <w:pPr>
              <w:pStyle w:val="TableParagraph"/>
              <w:spacing w:before="36"/>
              <w:ind w:left="226"/>
              <w:jc w:val="left"/>
              <w:rPr>
                <w:rFonts w:ascii="Franklin Gothic Medium Cond"/>
              </w:rPr>
            </w:pPr>
            <w:r>
              <w:rPr>
                <w:rFonts w:ascii="Franklin Gothic Medium Cond"/>
                <w:color w:val="FFFFFF"/>
                <w:spacing w:val="-2"/>
              </w:rPr>
              <w:t>oncology</w:t>
            </w:r>
          </w:p>
        </w:tc>
        <w:tc>
          <w:tcPr>
            <w:tcW w:w="1801" w:type="dxa"/>
            <w:shd w:val="clear" w:color="auto" w:fill="084875"/>
          </w:tcPr>
          <w:p w14:paraId="1C34EDF5" w14:textId="77777777" w:rsidR="004C558F" w:rsidRDefault="004C558F">
            <w:pPr>
              <w:pStyle w:val="TableParagraph"/>
              <w:spacing w:before="35"/>
              <w:jc w:val="left"/>
            </w:pPr>
          </w:p>
          <w:p w14:paraId="1C34EDF6" w14:textId="77777777" w:rsidR="004C558F" w:rsidRDefault="00461887">
            <w:pPr>
              <w:pStyle w:val="TableParagraph"/>
              <w:spacing w:before="1"/>
              <w:ind w:left="297"/>
              <w:jc w:val="left"/>
              <w:rPr>
                <w:rFonts w:ascii="Franklin Gothic Medium Cond"/>
              </w:rPr>
            </w:pPr>
            <w:r>
              <w:rPr>
                <w:rFonts w:ascii="Franklin Gothic Medium Cond"/>
                <w:color w:val="FFFFFF"/>
                <w:spacing w:val="-2"/>
              </w:rPr>
              <w:t>Mammography</w:t>
            </w:r>
          </w:p>
        </w:tc>
      </w:tr>
      <w:tr w:rsidR="004C558F" w14:paraId="1C34EDFD" w14:textId="77777777" w:rsidTr="00C24152">
        <w:trPr>
          <w:cantSplit/>
          <w:trHeight w:val="261"/>
        </w:trPr>
        <w:tc>
          <w:tcPr>
            <w:tcW w:w="4382" w:type="dxa"/>
            <w:shd w:val="clear" w:color="auto" w:fill="FBDFD3"/>
          </w:tcPr>
          <w:p w14:paraId="1C34EDF8" w14:textId="77777777" w:rsidR="004C558F" w:rsidRDefault="00461887">
            <w:pPr>
              <w:pStyle w:val="TableParagraph"/>
              <w:spacing w:before="1"/>
              <w:ind w:left="107"/>
              <w:jc w:val="left"/>
              <w:rPr>
                <w:sz w:val="20"/>
              </w:rPr>
            </w:pPr>
            <w:r>
              <w:rPr>
                <w:sz w:val="20"/>
              </w:rPr>
              <w:t>Dana-Farber</w:t>
            </w:r>
            <w:r>
              <w:rPr>
                <w:spacing w:val="-8"/>
                <w:sz w:val="20"/>
              </w:rPr>
              <w:t xml:space="preserve"> </w:t>
            </w:r>
            <w:r>
              <w:rPr>
                <w:sz w:val="20"/>
              </w:rPr>
              <w:t>Cancer</w:t>
            </w:r>
            <w:r>
              <w:rPr>
                <w:spacing w:val="-7"/>
                <w:sz w:val="20"/>
              </w:rPr>
              <w:t xml:space="preserve"> </w:t>
            </w:r>
            <w:r>
              <w:rPr>
                <w:spacing w:val="-2"/>
                <w:sz w:val="20"/>
              </w:rPr>
              <w:t>Institute</w:t>
            </w:r>
          </w:p>
        </w:tc>
        <w:tc>
          <w:tcPr>
            <w:tcW w:w="1567" w:type="dxa"/>
            <w:shd w:val="clear" w:color="auto" w:fill="FBDFD3"/>
          </w:tcPr>
          <w:p w14:paraId="1C34EDF9" w14:textId="77777777" w:rsidR="004C558F" w:rsidRDefault="00461887">
            <w:pPr>
              <w:pStyle w:val="TableParagraph"/>
              <w:spacing w:before="1"/>
              <w:ind w:right="95"/>
              <w:rPr>
                <w:sz w:val="20"/>
              </w:rPr>
            </w:pPr>
            <w:r>
              <w:rPr>
                <w:spacing w:val="-2"/>
                <w:sz w:val="20"/>
              </w:rPr>
              <w:t>38.7%</w:t>
            </w:r>
          </w:p>
        </w:tc>
        <w:tc>
          <w:tcPr>
            <w:tcW w:w="1233" w:type="dxa"/>
            <w:shd w:val="clear" w:color="auto" w:fill="FBDFD3"/>
          </w:tcPr>
          <w:p w14:paraId="1C34EDFA" w14:textId="77777777" w:rsidR="004C558F" w:rsidRDefault="00461887">
            <w:pPr>
              <w:pStyle w:val="TableParagraph"/>
              <w:spacing w:before="1"/>
              <w:ind w:right="92"/>
              <w:rPr>
                <w:sz w:val="20"/>
              </w:rPr>
            </w:pPr>
            <w:r>
              <w:rPr>
                <w:spacing w:val="-2"/>
                <w:sz w:val="20"/>
              </w:rPr>
              <w:t>34.7%</w:t>
            </w:r>
          </w:p>
        </w:tc>
        <w:tc>
          <w:tcPr>
            <w:tcW w:w="1175" w:type="dxa"/>
            <w:shd w:val="clear" w:color="auto" w:fill="FBDFD3"/>
          </w:tcPr>
          <w:p w14:paraId="1C34EDFB" w14:textId="77777777" w:rsidR="004C558F" w:rsidRDefault="00461887">
            <w:pPr>
              <w:pStyle w:val="TableParagraph"/>
              <w:spacing w:before="1"/>
              <w:ind w:right="96"/>
              <w:rPr>
                <w:sz w:val="20"/>
              </w:rPr>
            </w:pPr>
            <w:r>
              <w:rPr>
                <w:spacing w:val="-2"/>
                <w:sz w:val="20"/>
              </w:rPr>
              <w:t>15.1%</w:t>
            </w:r>
          </w:p>
        </w:tc>
        <w:tc>
          <w:tcPr>
            <w:tcW w:w="1801" w:type="dxa"/>
            <w:shd w:val="clear" w:color="auto" w:fill="FBDFD3"/>
          </w:tcPr>
          <w:p w14:paraId="1C34EDFC" w14:textId="77777777" w:rsidR="004C558F" w:rsidRDefault="00461887">
            <w:pPr>
              <w:pStyle w:val="TableParagraph"/>
              <w:spacing w:before="1"/>
              <w:ind w:right="92"/>
              <w:rPr>
                <w:sz w:val="20"/>
              </w:rPr>
            </w:pPr>
            <w:r>
              <w:rPr>
                <w:spacing w:val="-2"/>
                <w:sz w:val="20"/>
              </w:rPr>
              <w:t>25.2%</w:t>
            </w:r>
          </w:p>
        </w:tc>
      </w:tr>
      <w:tr w:rsidR="004C558F" w14:paraId="1C34EE03" w14:textId="77777777" w:rsidTr="00C24152">
        <w:trPr>
          <w:cantSplit/>
          <w:trHeight w:val="261"/>
        </w:trPr>
        <w:tc>
          <w:tcPr>
            <w:tcW w:w="4382" w:type="dxa"/>
            <w:shd w:val="clear" w:color="auto" w:fill="D4EBF4"/>
          </w:tcPr>
          <w:p w14:paraId="1C34EDFE" w14:textId="77777777" w:rsidR="004C558F" w:rsidRDefault="00461887">
            <w:pPr>
              <w:pStyle w:val="TableParagraph"/>
              <w:spacing w:before="1"/>
              <w:ind w:left="107"/>
              <w:jc w:val="left"/>
              <w:rPr>
                <w:sz w:val="20"/>
              </w:rPr>
            </w:pPr>
            <w:r>
              <w:rPr>
                <w:sz w:val="20"/>
              </w:rPr>
              <w:t>Mass</w:t>
            </w:r>
            <w:r>
              <w:rPr>
                <w:spacing w:val="-5"/>
                <w:sz w:val="20"/>
              </w:rPr>
              <w:t xml:space="preserve"> </w:t>
            </w:r>
            <w:r>
              <w:rPr>
                <w:sz w:val="20"/>
              </w:rPr>
              <w:t>General</w:t>
            </w:r>
            <w:r>
              <w:rPr>
                <w:spacing w:val="-5"/>
                <w:sz w:val="20"/>
              </w:rPr>
              <w:t xml:space="preserve"> </w:t>
            </w:r>
            <w:r>
              <w:rPr>
                <w:spacing w:val="-2"/>
                <w:sz w:val="20"/>
              </w:rPr>
              <w:t>Brigham</w:t>
            </w:r>
          </w:p>
        </w:tc>
        <w:tc>
          <w:tcPr>
            <w:tcW w:w="1567" w:type="dxa"/>
            <w:shd w:val="clear" w:color="auto" w:fill="D4EBF4"/>
          </w:tcPr>
          <w:p w14:paraId="1C34EDFF" w14:textId="77777777" w:rsidR="004C558F" w:rsidRDefault="00461887">
            <w:pPr>
              <w:pStyle w:val="TableParagraph"/>
              <w:spacing w:before="1"/>
              <w:ind w:right="95"/>
              <w:rPr>
                <w:sz w:val="20"/>
              </w:rPr>
            </w:pPr>
            <w:r>
              <w:rPr>
                <w:spacing w:val="-2"/>
                <w:sz w:val="20"/>
              </w:rPr>
              <w:t>21.2%</w:t>
            </w:r>
          </w:p>
        </w:tc>
        <w:tc>
          <w:tcPr>
            <w:tcW w:w="1233" w:type="dxa"/>
            <w:shd w:val="clear" w:color="auto" w:fill="D4EBF4"/>
          </w:tcPr>
          <w:p w14:paraId="1C34EE00" w14:textId="77777777" w:rsidR="004C558F" w:rsidRDefault="00461887">
            <w:pPr>
              <w:pStyle w:val="TableParagraph"/>
              <w:spacing w:before="1"/>
              <w:ind w:right="92"/>
              <w:rPr>
                <w:sz w:val="20"/>
              </w:rPr>
            </w:pPr>
            <w:r>
              <w:rPr>
                <w:spacing w:val="-2"/>
                <w:sz w:val="20"/>
              </w:rPr>
              <w:t>20.3%</w:t>
            </w:r>
          </w:p>
        </w:tc>
        <w:tc>
          <w:tcPr>
            <w:tcW w:w="1175" w:type="dxa"/>
            <w:shd w:val="clear" w:color="auto" w:fill="D4EBF4"/>
          </w:tcPr>
          <w:p w14:paraId="1C34EE01" w14:textId="77777777" w:rsidR="004C558F" w:rsidRDefault="00461887">
            <w:pPr>
              <w:pStyle w:val="TableParagraph"/>
              <w:spacing w:before="1"/>
              <w:ind w:right="96"/>
              <w:rPr>
                <w:sz w:val="20"/>
              </w:rPr>
            </w:pPr>
            <w:r>
              <w:rPr>
                <w:spacing w:val="-2"/>
                <w:sz w:val="20"/>
              </w:rPr>
              <w:t>48.8%</w:t>
            </w:r>
          </w:p>
        </w:tc>
        <w:tc>
          <w:tcPr>
            <w:tcW w:w="1801" w:type="dxa"/>
            <w:shd w:val="clear" w:color="auto" w:fill="D4EBF4"/>
          </w:tcPr>
          <w:p w14:paraId="1C34EE02" w14:textId="77777777" w:rsidR="004C558F" w:rsidRDefault="00461887">
            <w:pPr>
              <w:pStyle w:val="TableParagraph"/>
              <w:spacing w:before="1"/>
              <w:ind w:right="92"/>
              <w:rPr>
                <w:sz w:val="20"/>
              </w:rPr>
            </w:pPr>
            <w:r>
              <w:rPr>
                <w:spacing w:val="-2"/>
                <w:sz w:val="20"/>
              </w:rPr>
              <w:t>42.8%</w:t>
            </w:r>
          </w:p>
        </w:tc>
      </w:tr>
      <w:tr w:rsidR="004C558F" w14:paraId="1C34EE09" w14:textId="77777777" w:rsidTr="00C24152">
        <w:trPr>
          <w:cantSplit/>
          <w:trHeight w:val="261"/>
        </w:trPr>
        <w:tc>
          <w:tcPr>
            <w:tcW w:w="4382" w:type="dxa"/>
          </w:tcPr>
          <w:p w14:paraId="1C34EE04" w14:textId="77777777" w:rsidR="004C558F" w:rsidRDefault="00461887">
            <w:pPr>
              <w:pStyle w:val="TableParagraph"/>
              <w:spacing w:before="1"/>
              <w:ind w:left="439"/>
              <w:jc w:val="left"/>
              <w:rPr>
                <w:sz w:val="20"/>
              </w:rPr>
            </w:pPr>
            <w:r>
              <w:rPr>
                <w:sz w:val="20"/>
              </w:rPr>
              <w:t>Massachusetts</w:t>
            </w:r>
            <w:r>
              <w:rPr>
                <w:spacing w:val="-9"/>
                <w:sz w:val="20"/>
              </w:rPr>
              <w:t xml:space="preserve"> </w:t>
            </w:r>
            <w:r>
              <w:rPr>
                <w:sz w:val="20"/>
              </w:rPr>
              <w:t>General</w:t>
            </w:r>
            <w:r>
              <w:rPr>
                <w:spacing w:val="-10"/>
                <w:sz w:val="20"/>
              </w:rPr>
              <w:t xml:space="preserve"> </w:t>
            </w:r>
            <w:r>
              <w:rPr>
                <w:spacing w:val="-2"/>
                <w:sz w:val="20"/>
              </w:rPr>
              <w:t>Hospital</w:t>
            </w:r>
          </w:p>
        </w:tc>
        <w:tc>
          <w:tcPr>
            <w:tcW w:w="1567" w:type="dxa"/>
          </w:tcPr>
          <w:p w14:paraId="1C34EE05" w14:textId="77777777" w:rsidR="004C558F" w:rsidRDefault="00461887">
            <w:pPr>
              <w:pStyle w:val="TableParagraph"/>
              <w:spacing w:before="1"/>
              <w:ind w:right="92"/>
              <w:rPr>
                <w:sz w:val="20"/>
              </w:rPr>
            </w:pPr>
            <w:r>
              <w:rPr>
                <w:spacing w:val="-2"/>
                <w:sz w:val="20"/>
              </w:rPr>
              <w:t>15.4%</w:t>
            </w:r>
          </w:p>
        </w:tc>
        <w:tc>
          <w:tcPr>
            <w:tcW w:w="1233" w:type="dxa"/>
          </w:tcPr>
          <w:p w14:paraId="1C34EE06" w14:textId="77777777" w:rsidR="004C558F" w:rsidRDefault="00461887">
            <w:pPr>
              <w:pStyle w:val="TableParagraph"/>
              <w:spacing w:before="1"/>
              <w:ind w:right="89"/>
              <w:rPr>
                <w:sz w:val="20"/>
              </w:rPr>
            </w:pPr>
            <w:r>
              <w:rPr>
                <w:spacing w:val="-2"/>
                <w:sz w:val="20"/>
              </w:rPr>
              <w:t>12.6%</w:t>
            </w:r>
          </w:p>
        </w:tc>
        <w:tc>
          <w:tcPr>
            <w:tcW w:w="1175" w:type="dxa"/>
          </w:tcPr>
          <w:p w14:paraId="1C34EE07" w14:textId="77777777" w:rsidR="004C558F" w:rsidRDefault="00461887">
            <w:pPr>
              <w:pStyle w:val="TableParagraph"/>
              <w:spacing w:before="1"/>
              <w:ind w:right="93"/>
              <w:rPr>
                <w:sz w:val="20"/>
              </w:rPr>
            </w:pPr>
            <w:r>
              <w:rPr>
                <w:spacing w:val="-2"/>
                <w:sz w:val="20"/>
              </w:rPr>
              <w:t>35.8%</w:t>
            </w:r>
          </w:p>
        </w:tc>
        <w:tc>
          <w:tcPr>
            <w:tcW w:w="1801" w:type="dxa"/>
          </w:tcPr>
          <w:p w14:paraId="1C34EE08" w14:textId="77777777" w:rsidR="004C558F" w:rsidRDefault="00461887">
            <w:pPr>
              <w:pStyle w:val="TableParagraph"/>
              <w:spacing w:before="1"/>
              <w:ind w:right="89"/>
              <w:rPr>
                <w:sz w:val="20"/>
              </w:rPr>
            </w:pPr>
            <w:r>
              <w:rPr>
                <w:spacing w:val="-2"/>
                <w:sz w:val="20"/>
              </w:rPr>
              <w:t>25.5%</w:t>
            </w:r>
          </w:p>
        </w:tc>
      </w:tr>
      <w:tr w:rsidR="004C558F" w14:paraId="1C34EE0F" w14:textId="77777777" w:rsidTr="00C24152">
        <w:trPr>
          <w:cantSplit/>
          <w:trHeight w:val="261"/>
        </w:trPr>
        <w:tc>
          <w:tcPr>
            <w:tcW w:w="4382" w:type="dxa"/>
          </w:tcPr>
          <w:p w14:paraId="1C34EE0A" w14:textId="77777777" w:rsidR="004C558F" w:rsidRDefault="00461887">
            <w:pPr>
              <w:pStyle w:val="TableParagraph"/>
              <w:spacing w:before="1"/>
              <w:ind w:left="439"/>
              <w:jc w:val="left"/>
              <w:rPr>
                <w:sz w:val="20"/>
              </w:rPr>
            </w:pPr>
            <w:r>
              <w:rPr>
                <w:spacing w:val="-2"/>
                <w:sz w:val="20"/>
              </w:rPr>
              <w:t>Newton-Wellesley</w:t>
            </w:r>
            <w:r>
              <w:rPr>
                <w:spacing w:val="14"/>
                <w:sz w:val="20"/>
              </w:rPr>
              <w:t xml:space="preserve"> </w:t>
            </w:r>
            <w:r>
              <w:rPr>
                <w:spacing w:val="-2"/>
                <w:sz w:val="20"/>
              </w:rPr>
              <w:t>Hospital</w:t>
            </w:r>
          </w:p>
        </w:tc>
        <w:tc>
          <w:tcPr>
            <w:tcW w:w="1567" w:type="dxa"/>
          </w:tcPr>
          <w:p w14:paraId="1C34EE0B" w14:textId="77777777" w:rsidR="004C558F" w:rsidRDefault="00461887">
            <w:pPr>
              <w:pStyle w:val="TableParagraph"/>
              <w:spacing w:before="1"/>
              <w:ind w:right="95"/>
              <w:rPr>
                <w:sz w:val="20"/>
              </w:rPr>
            </w:pPr>
            <w:r>
              <w:rPr>
                <w:spacing w:val="-4"/>
                <w:sz w:val="20"/>
              </w:rPr>
              <w:t>1.8%</w:t>
            </w:r>
          </w:p>
        </w:tc>
        <w:tc>
          <w:tcPr>
            <w:tcW w:w="1233" w:type="dxa"/>
          </w:tcPr>
          <w:p w14:paraId="1C34EE0C" w14:textId="77777777" w:rsidR="004C558F" w:rsidRDefault="00461887">
            <w:pPr>
              <w:pStyle w:val="TableParagraph"/>
              <w:spacing w:before="1"/>
              <w:ind w:right="92"/>
              <w:rPr>
                <w:sz w:val="20"/>
              </w:rPr>
            </w:pPr>
            <w:r>
              <w:rPr>
                <w:spacing w:val="-4"/>
                <w:sz w:val="20"/>
              </w:rPr>
              <w:t>1.6%</w:t>
            </w:r>
          </w:p>
        </w:tc>
        <w:tc>
          <w:tcPr>
            <w:tcW w:w="1175" w:type="dxa"/>
          </w:tcPr>
          <w:p w14:paraId="1C34EE0D" w14:textId="77777777" w:rsidR="004C558F" w:rsidRDefault="004C558F">
            <w:pPr>
              <w:pStyle w:val="TableParagraph"/>
              <w:spacing w:before="0"/>
              <w:jc w:val="left"/>
              <w:rPr>
                <w:rFonts w:ascii="Times New Roman"/>
                <w:sz w:val="18"/>
              </w:rPr>
            </w:pPr>
          </w:p>
        </w:tc>
        <w:tc>
          <w:tcPr>
            <w:tcW w:w="1801" w:type="dxa"/>
          </w:tcPr>
          <w:p w14:paraId="1C34EE0E" w14:textId="77777777" w:rsidR="004C558F" w:rsidRDefault="00461887">
            <w:pPr>
              <w:pStyle w:val="TableParagraph"/>
              <w:spacing w:before="1"/>
              <w:ind w:right="92"/>
              <w:rPr>
                <w:sz w:val="20"/>
              </w:rPr>
            </w:pPr>
            <w:r>
              <w:rPr>
                <w:spacing w:val="-4"/>
                <w:sz w:val="20"/>
              </w:rPr>
              <w:t>7.7%</w:t>
            </w:r>
          </w:p>
        </w:tc>
      </w:tr>
      <w:tr w:rsidR="004C558F" w14:paraId="1C34EE15" w14:textId="77777777" w:rsidTr="00C24152">
        <w:trPr>
          <w:cantSplit/>
          <w:trHeight w:val="258"/>
        </w:trPr>
        <w:tc>
          <w:tcPr>
            <w:tcW w:w="4382" w:type="dxa"/>
          </w:tcPr>
          <w:p w14:paraId="1C34EE10" w14:textId="77777777" w:rsidR="004C558F" w:rsidRDefault="00461887">
            <w:pPr>
              <w:pStyle w:val="TableParagraph"/>
              <w:spacing w:before="1"/>
              <w:ind w:left="439"/>
              <w:jc w:val="left"/>
              <w:rPr>
                <w:sz w:val="20"/>
              </w:rPr>
            </w:pPr>
            <w:r>
              <w:rPr>
                <w:sz w:val="20"/>
              </w:rPr>
              <w:t>Cooley</w:t>
            </w:r>
            <w:r>
              <w:rPr>
                <w:spacing w:val="-10"/>
                <w:sz w:val="20"/>
              </w:rPr>
              <w:t xml:space="preserve"> </w:t>
            </w:r>
            <w:r>
              <w:rPr>
                <w:sz w:val="20"/>
              </w:rPr>
              <w:t>Dickinson</w:t>
            </w:r>
            <w:r>
              <w:rPr>
                <w:spacing w:val="-9"/>
                <w:sz w:val="20"/>
              </w:rPr>
              <w:t xml:space="preserve"> </w:t>
            </w:r>
            <w:r>
              <w:rPr>
                <w:spacing w:val="-2"/>
                <w:sz w:val="20"/>
              </w:rPr>
              <w:t>Hospital</w:t>
            </w:r>
          </w:p>
        </w:tc>
        <w:tc>
          <w:tcPr>
            <w:tcW w:w="1567" w:type="dxa"/>
          </w:tcPr>
          <w:p w14:paraId="1C34EE11" w14:textId="77777777" w:rsidR="004C558F" w:rsidRDefault="00461887">
            <w:pPr>
              <w:pStyle w:val="TableParagraph"/>
              <w:spacing w:before="1"/>
              <w:ind w:right="95"/>
              <w:rPr>
                <w:sz w:val="20"/>
              </w:rPr>
            </w:pPr>
            <w:r>
              <w:rPr>
                <w:spacing w:val="-4"/>
                <w:sz w:val="20"/>
              </w:rPr>
              <w:t>1.8%</w:t>
            </w:r>
          </w:p>
        </w:tc>
        <w:tc>
          <w:tcPr>
            <w:tcW w:w="1233" w:type="dxa"/>
          </w:tcPr>
          <w:p w14:paraId="1C34EE12" w14:textId="77777777" w:rsidR="004C558F" w:rsidRDefault="00461887">
            <w:pPr>
              <w:pStyle w:val="TableParagraph"/>
              <w:spacing w:before="1"/>
              <w:ind w:right="92"/>
              <w:rPr>
                <w:sz w:val="20"/>
              </w:rPr>
            </w:pPr>
            <w:r>
              <w:rPr>
                <w:spacing w:val="-4"/>
                <w:sz w:val="20"/>
              </w:rPr>
              <w:t>1.6%</w:t>
            </w:r>
          </w:p>
        </w:tc>
        <w:tc>
          <w:tcPr>
            <w:tcW w:w="1175" w:type="dxa"/>
          </w:tcPr>
          <w:p w14:paraId="1C34EE13" w14:textId="77777777" w:rsidR="004C558F" w:rsidRDefault="00461887">
            <w:pPr>
              <w:pStyle w:val="TableParagraph"/>
              <w:spacing w:before="1"/>
              <w:ind w:right="96"/>
              <w:rPr>
                <w:sz w:val="20"/>
              </w:rPr>
            </w:pPr>
            <w:r>
              <w:rPr>
                <w:spacing w:val="-4"/>
                <w:sz w:val="20"/>
              </w:rPr>
              <w:t>2.9%</w:t>
            </w:r>
          </w:p>
        </w:tc>
        <w:tc>
          <w:tcPr>
            <w:tcW w:w="1801" w:type="dxa"/>
          </w:tcPr>
          <w:p w14:paraId="1C34EE14" w14:textId="77777777" w:rsidR="004C558F" w:rsidRDefault="00461887">
            <w:pPr>
              <w:pStyle w:val="TableParagraph"/>
              <w:spacing w:before="1"/>
              <w:ind w:right="92"/>
              <w:rPr>
                <w:sz w:val="20"/>
              </w:rPr>
            </w:pPr>
            <w:r>
              <w:rPr>
                <w:spacing w:val="-4"/>
                <w:sz w:val="20"/>
              </w:rPr>
              <w:t>2.4%</w:t>
            </w:r>
          </w:p>
        </w:tc>
      </w:tr>
      <w:tr w:rsidR="004C558F" w14:paraId="1C34EE1B" w14:textId="77777777" w:rsidTr="00C24152">
        <w:trPr>
          <w:cantSplit/>
          <w:trHeight w:val="261"/>
        </w:trPr>
        <w:tc>
          <w:tcPr>
            <w:tcW w:w="4382" w:type="dxa"/>
          </w:tcPr>
          <w:p w14:paraId="1C34EE16" w14:textId="77777777" w:rsidR="004C558F" w:rsidRDefault="00461887">
            <w:pPr>
              <w:pStyle w:val="TableParagraph"/>
              <w:spacing w:before="3"/>
              <w:ind w:left="439"/>
              <w:jc w:val="left"/>
              <w:rPr>
                <w:sz w:val="20"/>
              </w:rPr>
            </w:pPr>
            <w:r>
              <w:rPr>
                <w:sz w:val="20"/>
              </w:rPr>
              <w:t>Emerson</w:t>
            </w:r>
            <w:r>
              <w:rPr>
                <w:spacing w:val="-8"/>
                <w:sz w:val="20"/>
              </w:rPr>
              <w:t xml:space="preserve"> </w:t>
            </w:r>
            <w:r>
              <w:rPr>
                <w:spacing w:val="-2"/>
                <w:sz w:val="20"/>
              </w:rPr>
              <w:t>Hospital</w:t>
            </w:r>
          </w:p>
        </w:tc>
        <w:tc>
          <w:tcPr>
            <w:tcW w:w="1567" w:type="dxa"/>
          </w:tcPr>
          <w:p w14:paraId="1C34EE17" w14:textId="77777777" w:rsidR="004C558F" w:rsidRDefault="00461887">
            <w:pPr>
              <w:pStyle w:val="TableParagraph"/>
              <w:spacing w:before="3"/>
              <w:ind w:right="95"/>
              <w:rPr>
                <w:sz w:val="20"/>
              </w:rPr>
            </w:pPr>
            <w:r>
              <w:rPr>
                <w:spacing w:val="-4"/>
                <w:sz w:val="20"/>
              </w:rPr>
              <w:t>1.3%</w:t>
            </w:r>
          </w:p>
        </w:tc>
        <w:tc>
          <w:tcPr>
            <w:tcW w:w="1233" w:type="dxa"/>
          </w:tcPr>
          <w:p w14:paraId="1C34EE18" w14:textId="77777777" w:rsidR="004C558F" w:rsidRDefault="00461887">
            <w:pPr>
              <w:pStyle w:val="TableParagraph"/>
              <w:spacing w:before="3"/>
              <w:ind w:right="92"/>
              <w:rPr>
                <w:sz w:val="20"/>
              </w:rPr>
            </w:pPr>
            <w:r>
              <w:rPr>
                <w:spacing w:val="-4"/>
                <w:sz w:val="20"/>
              </w:rPr>
              <w:t>1.6%</w:t>
            </w:r>
          </w:p>
        </w:tc>
        <w:tc>
          <w:tcPr>
            <w:tcW w:w="1175" w:type="dxa"/>
          </w:tcPr>
          <w:p w14:paraId="1C34EE19" w14:textId="77777777" w:rsidR="004C558F" w:rsidRDefault="004C558F">
            <w:pPr>
              <w:pStyle w:val="TableParagraph"/>
              <w:spacing w:before="0"/>
              <w:jc w:val="left"/>
              <w:rPr>
                <w:rFonts w:ascii="Times New Roman"/>
                <w:sz w:val="18"/>
              </w:rPr>
            </w:pPr>
          </w:p>
        </w:tc>
        <w:tc>
          <w:tcPr>
            <w:tcW w:w="1801" w:type="dxa"/>
          </w:tcPr>
          <w:p w14:paraId="1C34EE1A" w14:textId="77777777" w:rsidR="004C558F" w:rsidRDefault="00461887">
            <w:pPr>
              <w:pStyle w:val="TableParagraph"/>
              <w:spacing w:before="3"/>
              <w:ind w:right="92"/>
              <w:rPr>
                <w:sz w:val="20"/>
              </w:rPr>
            </w:pPr>
            <w:r>
              <w:rPr>
                <w:spacing w:val="-4"/>
                <w:sz w:val="20"/>
              </w:rPr>
              <w:t>1.0%</w:t>
            </w:r>
          </w:p>
        </w:tc>
      </w:tr>
      <w:tr w:rsidR="004C558F" w14:paraId="1C34EE21" w14:textId="77777777" w:rsidTr="00C24152">
        <w:trPr>
          <w:cantSplit/>
          <w:trHeight w:val="261"/>
        </w:trPr>
        <w:tc>
          <w:tcPr>
            <w:tcW w:w="4382" w:type="dxa"/>
          </w:tcPr>
          <w:p w14:paraId="1C34EE1C" w14:textId="77777777" w:rsidR="004C558F" w:rsidRDefault="00461887">
            <w:pPr>
              <w:pStyle w:val="TableParagraph"/>
              <w:spacing w:before="3"/>
              <w:ind w:left="439"/>
              <w:jc w:val="left"/>
              <w:rPr>
                <w:sz w:val="20"/>
              </w:rPr>
            </w:pPr>
            <w:r>
              <w:rPr>
                <w:sz w:val="20"/>
              </w:rPr>
              <w:t>Brigham</w:t>
            </w:r>
            <w:r>
              <w:rPr>
                <w:spacing w:val="-6"/>
                <w:sz w:val="20"/>
              </w:rPr>
              <w:t xml:space="preserve"> </w:t>
            </w:r>
            <w:r>
              <w:rPr>
                <w:sz w:val="20"/>
              </w:rPr>
              <w:t>and</w:t>
            </w:r>
            <w:r>
              <w:rPr>
                <w:spacing w:val="-6"/>
                <w:sz w:val="20"/>
              </w:rPr>
              <w:t xml:space="preserve"> </w:t>
            </w:r>
            <w:r>
              <w:rPr>
                <w:sz w:val="20"/>
              </w:rPr>
              <w:t>Women's</w:t>
            </w:r>
            <w:r>
              <w:rPr>
                <w:spacing w:val="-7"/>
                <w:sz w:val="20"/>
              </w:rPr>
              <w:t xml:space="preserve"> </w:t>
            </w:r>
            <w:r>
              <w:rPr>
                <w:spacing w:val="-2"/>
                <w:sz w:val="20"/>
              </w:rPr>
              <w:t>Hospital</w:t>
            </w:r>
          </w:p>
        </w:tc>
        <w:tc>
          <w:tcPr>
            <w:tcW w:w="1567" w:type="dxa"/>
          </w:tcPr>
          <w:p w14:paraId="1C34EE1D" w14:textId="77777777" w:rsidR="004C558F" w:rsidRDefault="00461887">
            <w:pPr>
              <w:pStyle w:val="TableParagraph"/>
              <w:spacing w:before="3"/>
              <w:ind w:right="95"/>
              <w:rPr>
                <w:sz w:val="20"/>
              </w:rPr>
            </w:pPr>
            <w:r>
              <w:rPr>
                <w:spacing w:val="-4"/>
                <w:sz w:val="20"/>
              </w:rPr>
              <w:t>0.2%</w:t>
            </w:r>
          </w:p>
        </w:tc>
        <w:tc>
          <w:tcPr>
            <w:tcW w:w="1233" w:type="dxa"/>
          </w:tcPr>
          <w:p w14:paraId="1C34EE1E" w14:textId="77777777" w:rsidR="004C558F" w:rsidRDefault="00461887">
            <w:pPr>
              <w:pStyle w:val="TableParagraph"/>
              <w:spacing w:before="3"/>
              <w:ind w:right="92"/>
              <w:rPr>
                <w:sz w:val="20"/>
              </w:rPr>
            </w:pPr>
            <w:r>
              <w:rPr>
                <w:spacing w:val="-4"/>
                <w:sz w:val="20"/>
              </w:rPr>
              <w:t>1.5%</w:t>
            </w:r>
          </w:p>
        </w:tc>
        <w:tc>
          <w:tcPr>
            <w:tcW w:w="1175" w:type="dxa"/>
          </w:tcPr>
          <w:p w14:paraId="1C34EE1F" w14:textId="77777777" w:rsidR="004C558F" w:rsidRDefault="00461887">
            <w:pPr>
              <w:pStyle w:val="TableParagraph"/>
              <w:spacing w:before="3"/>
              <w:ind w:right="93"/>
              <w:rPr>
                <w:sz w:val="20"/>
              </w:rPr>
            </w:pPr>
            <w:r>
              <w:rPr>
                <w:spacing w:val="-2"/>
                <w:sz w:val="20"/>
              </w:rPr>
              <w:t>10.1%</w:t>
            </w:r>
          </w:p>
        </w:tc>
        <w:tc>
          <w:tcPr>
            <w:tcW w:w="1801" w:type="dxa"/>
          </w:tcPr>
          <w:p w14:paraId="1C34EE20" w14:textId="77777777" w:rsidR="004C558F" w:rsidRDefault="00461887">
            <w:pPr>
              <w:pStyle w:val="TableParagraph"/>
              <w:spacing w:before="3"/>
              <w:ind w:right="92"/>
              <w:rPr>
                <w:sz w:val="20"/>
              </w:rPr>
            </w:pPr>
            <w:r>
              <w:rPr>
                <w:spacing w:val="-4"/>
                <w:sz w:val="20"/>
              </w:rPr>
              <w:t>2.8%</w:t>
            </w:r>
          </w:p>
        </w:tc>
      </w:tr>
      <w:tr w:rsidR="004C558F" w14:paraId="1C34EE27" w14:textId="77777777" w:rsidTr="00C24152">
        <w:trPr>
          <w:cantSplit/>
          <w:trHeight w:val="261"/>
        </w:trPr>
        <w:tc>
          <w:tcPr>
            <w:tcW w:w="4382" w:type="dxa"/>
          </w:tcPr>
          <w:p w14:paraId="1C34EE22" w14:textId="77777777" w:rsidR="004C558F" w:rsidRDefault="00461887">
            <w:pPr>
              <w:pStyle w:val="TableParagraph"/>
              <w:spacing w:before="3"/>
              <w:ind w:left="439"/>
              <w:jc w:val="left"/>
              <w:rPr>
                <w:sz w:val="20"/>
              </w:rPr>
            </w:pPr>
            <w:r>
              <w:rPr>
                <w:sz w:val="20"/>
              </w:rPr>
              <w:t>Brigham</w:t>
            </w:r>
            <w:r>
              <w:rPr>
                <w:spacing w:val="-7"/>
                <w:sz w:val="20"/>
              </w:rPr>
              <w:t xml:space="preserve"> </w:t>
            </w:r>
            <w:r>
              <w:rPr>
                <w:sz w:val="20"/>
              </w:rPr>
              <w:t>and</w:t>
            </w:r>
            <w:r>
              <w:rPr>
                <w:spacing w:val="-7"/>
                <w:sz w:val="20"/>
              </w:rPr>
              <w:t xml:space="preserve"> </w:t>
            </w:r>
            <w:r>
              <w:rPr>
                <w:sz w:val="20"/>
              </w:rPr>
              <w:t>Women's</w:t>
            </w:r>
            <w:r>
              <w:rPr>
                <w:spacing w:val="-7"/>
                <w:sz w:val="20"/>
              </w:rPr>
              <w:t xml:space="preserve"> </w:t>
            </w:r>
            <w:r>
              <w:rPr>
                <w:sz w:val="20"/>
              </w:rPr>
              <w:t>Faulkner</w:t>
            </w:r>
            <w:r>
              <w:rPr>
                <w:spacing w:val="-8"/>
                <w:sz w:val="20"/>
              </w:rPr>
              <w:t xml:space="preserve"> </w:t>
            </w:r>
            <w:r>
              <w:rPr>
                <w:spacing w:val="-2"/>
                <w:sz w:val="20"/>
              </w:rPr>
              <w:t>Hospital</w:t>
            </w:r>
          </w:p>
        </w:tc>
        <w:tc>
          <w:tcPr>
            <w:tcW w:w="1567" w:type="dxa"/>
          </w:tcPr>
          <w:p w14:paraId="1C34EE23" w14:textId="77777777" w:rsidR="004C558F" w:rsidRDefault="00461887">
            <w:pPr>
              <w:pStyle w:val="TableParagraph"/>
              <w:spacing w:before="3"/>
              <w:ind w:right="95"/>
              <w:rPr>
                <w:sz w:val="20"/>
              </w:rPr>
            </w:pPr>
            <w:r>
              <w:rPr>
                <w:spacing w:val="-4"/>
                <w:sz w:val="20"/>
              </w:rPr>
              <w:t>0.0%</w:t>
            </w:r>
          </w:p>
        </w:tc>
        <w:tc>
          <w:tcPr>
            <w:tcW w:w="1233" w:type="dxa"/>
          </w:tcPr>
          <w:p w14:paraId="1C34EE24" w14:textId="77777777" w:rsidR="004C558F" w:rsidRDefault="00461887">
            <w:pPr>
              <w:pStyle w:val="TableParagraph"/>
              <w:spacing w:before="3"/>
              <w:ind w:right="92"/>
              <w:rPr>
                <w:sz w:val="20"/>
              </w:rPr>
            </w:pPr>
            <w:r>
              <w:rPr>
                <w:spacing w:val="-4"/>
                <w:sz w:val="20"/>
              </w:rPr>
              <w:t>0.4%</w:t>
            </w:r>
          </w:p>
        </w:tc>
        <w:tc>
          <w:tcPr>
            <w:tcW w:w="1175" w:type="dxa"/>
          </w:tcPr>
          <w:p w14:paraId="1C34EE25" w14:textId="77777777" w:rsidR="004C558F" w:rsidRDefault="004C558F">
            <w:pPr>
              <w:pStyle w:val="TableParagraph"/>
              <w:spacing w:before="0"/>
              <w:jc w:val="left"/>
              <w:rPr>
                <w:rFonts w:ascii="Times New Roman"/>
                <w:sz w:val="18"/>
              </w:rPr>
            </w:pPr>
          </w:p>
        </w:tc>
        <w:tc>
          <w:tcPr>
            <w:tcW w:w="1801" w:type="dxa"/>
          </w:tcPr>
          <w:p w14:paraId="1C34EE26" w14:textId="77777777" w:rsidR="004C558F" w:rsidRDefault="00461887">
            <w:pPr>
              <w:pStyle w:val="TableParagraph"/>
              <w:spacing w:before="3"/>
              <w:ind w:right="92"/>
              <w:rPr>
                <w:sz w:val="20"/>
              </w:rPr>
            </w:pPr>
            <w:r>
              <w:rPr>
                <w:spacing w:val="-4"/>
                <w:sz w:val="20"/>
              </w:rPr>
              <w:t>2.0%</w:t>
            </w:r>
          </w:p>
        </w:tc>
      </w:tr>
      <w:tr w:rsidR="004C558F" w14:paraId="1C34EE2D" w14:textId="77777777" w:rsidTr="00C24152">
        <w:trPr>
          <w:cantSplit/>
          <w:trHeight w:val="261"/>
        </w:trPr>
        <w:tc>
          <w:tcPr>
            <w:tcW w:w="4382" w:type="dxa"/>
            <w:shd w:val="clear" w:color="auto" w:fill="FBDFD3"/>
          </w:tcPr>
          <w:p w14:paraId="1C34EE28" w14:textId="77777777" w:rsidR="004C558F" w:rsidRDefault="00461887">
            <w:pPr>
              <w:pStyle w:val="TableParagraph"/>
              <w:spacing w:before="1"/>
              <w:ind w:left="107"/>
              <w:jc w:val="left"/>
              <w:rPr>
                <w:sz w:val="20"/>
              </w:rPr>
            </w:pPr>
            <w:r>
              <w:rPr>
                <w:sz w:val="20"/>
              </w:rPr>
              <w:t>Beth</w:t>
            </w:r>
            <w:r>
              <w:rPr>
                <w:spacing w:val="-4"/>
                <w:sz w:val="20"/>
              </w:rPr>
              <w:t xml:space="preserve"> </w:t>
            </w:r>
            <w:r>
              <w:rPr>
                <w:sz w:val="20"/>
              </w:rPr>
              <w:t>Israel</w:t>
            </w:r>
            <w:r>
              <w:rPr>
                <w:spacing w:val="-4"/>
                <w:sz w:val="20"/>
              </w:rPr>
              <w:t xml:space="preserve"> </w:t>
            </w:r>
            <w:r>
              <w:rPr>
                <w:sz w:val="20"/>
              </w:rPr>
              <w:t>Lahey</w:t>
            </w:r>
            <w:r>
              <w:rPr>
                <w:spacing w:val="-3"/>
                <w:sz w:val="20"/>
              </w:rPr>
              <w:t xml:space="preserve"> </w:t>
            </w:r>
            <w:r>
              <w:rPr>
                <w:spacing w:val="-2"/>
                <w:sz w:val="20"/>
              </w:rPr>
              <w:t>Health</w:t>
            </w:r>
          </w:p>
        </w:tc>
        <w:tc>
          <w:tcPr>
            <w:tcW w:w="1567" w:type="dxa"/>
            <w:shd w:val="clear" w:color="auto" w:fill="FBDFD3"/>
          </w:tcPr>
          <w:p w14:paraId="1C34EE29" w14:textId="77777777" w:rsidR="004C558F" w:rsidRDefault="00461887">
            <w:pPr>
              <w:pStyle w:val="TableParagraph"/>
              <w:spacing w:before="1"/>
              <w:ind w:right="95"/>
              <w:rPr>
                <w:sz w:val="20"/>
              </w:rPr>
            </w:pPr>
            <w:r>
              <w:rPr>
                <w:spacing w:val="-2"/>
                <w:sz w:val="20"/>
              </w:rPr>
              <w:t>15.7%</w:t>
            </w:r>
          </w:p>
        </w:tc>
        <w:tc>
          <w:tcPr>
            <w:tcW w:w="1233" w:type="dxa"/>
            <w:shd w:val="clear" w:color="auto" w:fill="FBDFD3"/>
          </w:tcPr>
          <w:p w14:paraId="1C34EE2A" w14:textId="77777777" w:rsidR="004C558F" w:rsidRDefault="00461887">
            <w:pPr>
              <w:pStyle w:val="TableParagraph"/>
              <w:spacing w:before="1"/>
              <w:ind w:right="92"/>
              <w:rPr>
                <w:sz w:val="20"/>
              </w:rPr>
            </w:pPr>
            <w:r>
              <w:rPr>
                <w:spacing w:val="-2"/>
                <w:sz w:val="20"/>
              </w:rPr>
              <w:t>16.8%</w:t>
            </w:r>
          </w:p>
        </w:tc>
        <w:tc>
          <w:tcPr>
            <w:tcW w:w="1175" w:type="dxa"/>
            <w:shd w:val="clear" w:color="auto" w:fill="FBDFD3"/>
          </w:tcPr>
          <w:p w14:paraId="1C34EE2B" w14:textId="77777777" w:rsidR="004C558F" w:rsidRDefault="00461887">
            <w:pPr>
              <w:pStyle w:val="TableParagraph"/>
              <w:spacing w:before="1"/>
              <w:ind w:right="96"/>
              <w:rPr>
                <w:sz w:val="20"/>
              </w:rPr>
            </w:pPr>
            <w:r>
              <w:rPr>
                <w:spacing w:val="-2"/>
                <w:sz w:val="20"/>
              </w:rPr>
              <w:t>12.0%</w:t>
            </w:r>
          </w:p>
        </w:tc>
        <w:tc>
          <w:tcPr>
            <w:tcW w:w="1801" w:type="dxa"/>
            <w:shd w:val="clear" w:color="auto" w:fill="FBDFD3"/>
          </w:tcPr>
          <w:p w14:paraId="1C34EE2C" w14:textId="77777777" w:rsidR="004C558F" w:rsidRDefault="00461887">
            <w:pPr>
              <w:pStyle w:val="TableParagraph"/>
              <w:spacing w:before="1"/>
              <w:ind w:right="92"/>
              <w:rPr>
                <w:sz w:val="20"/>
              </w:rPr>
            </w:pPr>
            <w:r>
              <w:rPr>
                <w:spacing w:val="-2"/>
                <w:sz w:val="20"/>
              </w:rPr>
              <w:t>20.0%</w:t>
            </w:r>
          </w:p>
        </w:tc>
      </w:tr>
      <w:tr w:rsidR="004C558F" w14:paraId="1C34EE33" w14:textId="77777777" w:rsidTr="00C24152">
        <w:trPr>
          <w:cantSplit/>
          <w:trHeight w:val="261"/>
        </w:trPr>
        <w:tc>
          <w:tcPr>
            <w:tcW w:w="4382" w:type="dxa"/>
          </w:tcPr>
          <w:p w14:paraId="1C34EE2E" w14:textId="77777777" w:rsidR="004C558F" w:rsidRDefault="00461887">
            <w:pPr>
              <w:pStyle w:val="TableParagraph"/>
              <w:spacing w:before="1"/>
              <w:ind w:left="439"/>
              <w:jc w:val="left"/>
              <w:rPr>
                <w:sz w:val="20"/>
              </w:rPr>
            </w:pPr>
            <w:r>
              <w:rPr>
                <w:sz w:val="20"/>
              </w:rPr>
              <w:t>Beth</w:t>
            </w:r>
            <w:r>
              <w:rPr>
                <w:spacing w:val="-7"/>
                <w:sz w:val="20"/>
              </w:rPr>
              <w:t xml:space="preserve"> </w:t>
            </w:r>
            <w:r>
              <w:rPr>
                <w:sz w:val="20"/>
              </w:rPr>
              <w:t>Israel</w:t>
            </w:r>
            <w:r>
              <w:rPr>
                <w:spacing w:val="-7"/>
                <w:sz w:val="20"/>
              </w:rPr>
              <w:t xml:space="preserve"> </w:t>
            </w:r>
            <w:r>
              <w:rPr>
                <w:sz w:val="20"/>
              </w:rPr>
              <w:t>Deaconess</w:t>
            </w:r>
            <w:r>
              <w:rPr>
                <w:spacing w:val="-5"/>
                <w:sz w:val="20"/>
              </w:rPr>
              <w:t xml:space="preserve"> </w:t>
            </w:r>
            <w:r>
              <w:rPr>
                <w:sz w:val="20"/>
              </w:rPr>
              <w:t>Medical</w:t>
            </w:r>
            <w:r>
              <w:rPr>
                <w:spacing w:val="-7"/>
                <w:sz w:val="20"/>
              </w:rPr>
              <w:t xml:space="preserve"> </w:t>
            </w:r>
            <w:r>
              <w:rPr>
                <w:spacing w:val="-2"/>
                <w:sz w:val="20"/>
              </w:rPr>
              <w:t>Center</w:t>
            </w:r>
          </w:p>
        </w:tc>
        <w:tc>
          <w:tcPr>
            <w:tcW w:w="1567" w:type="dxa"/>
          </w:tcPr>
          <w:p w14:paraId="1C34EE2F" w14:textId="77777777" w:rsidR="004C558F" w:rsidRDefault="00461887">
            <w:pPr>
              <w:pStyle w:val="TableParagraph"/>
              <w:spacing w:before="1"/>
              <w:ind w:right="92"/>
              <w:rPr>
                <w:sz w:val="20"/>
              </w:rPr>
            </w:pPr>
            <w:r>
              <w:rPr>
                <w:spacing w:val="-2"/>
                <w:sz w:val="20"/>
              </w:rPr>
              <w:t>10.4%</w:t>
            </w:r>
          </w:p>
        </w:tc>
        <w:tc>
          <w:tcPr>
            <w:tcW w:w="1233" w:type="dxa"/>
          </w:tcPr>
          <w:p w14:paraId="1C34EE30" w14:textId="77777777" w:rsidR="004C558F" w:rsidRDefault="00461887">
            <w:pPr>
              <w:pStyle w:val="TableParagraph"/>
              <w:spacing w:before="1"/>
              <w:ind w:right="92"/>
              <w:rPr>
                <w:sz w:val="20"/>
              </w:rPr>
            </w:pPr>
            <w:r>
              <w:rPr>
                <w:spacing w:val="-4"/>
                <w:sz w:val="20"/>
              </w:rPr>
              <w:t>8.7%</w:t>
            </w:r>
          </w:p>
        </w:tc>
        <w:tc>
          <w:tcPr>
            <w:tcW w:w="1175" w:type="dxa"/>
          </w:tcPr>
          <w:p w14:paraId="1C34EE31" w14:textId="77777777" w:rsidR="004C558F" w:rsidRDefault="00461887">
            <w:pPr>
              <w:pStyle w:val="TableParagraph"/>
              <w:spacing w:before="1"/>
              <w:ind w:right="96"/>
              <w:rPr>
                <w:sz w:val="20"/>
              </w:rPr>
            </w:pPr>
            <w:r>
              <w:rPr>
                <w:spacing w:val="-4"/>
                <w:sz w:val="20"/>
              </w:rPr>
              <w:t>2.3%</w:t>
            </w:r>
          </w:p>
        </w:tc>
        <w:tc>
          <w:tcPr>
            <w:tcW w:w="1801" w:type="dxa"/>
          </w:tcPr>
          <w:p w14:paraId="1C34EE32" w14:textId="77777777" w:rsidR="004C558F" w:rsidRDefault="00461887">
            <w:pPr>
              <w:pStyle w:val="TableParagraph"/>
              <w:spacing w:before="1"/>
              <w:ind w:right="92"/>
              <w:rPr>
                <w:sz w:val="20"/>
              </w:rPr>
            </w:pPr>
            <w:r>
              <w:rPr>
                <w:spacing w:val="-4"/>
                <w:sz w:val="20"/>
              </w:rPr>
              <w:t>4.5%</w:t>
            </w:r>
          </w:p>
        </w:tc>
      </w:tr>
      <w:tr w:rsidR="004C558F" w14:paraId="1C34EE39" w14:textId="77777777" w:rsidTr="00C24152">
        <w:trPr>
          <w:cantSplit/>
          <w:trHeight w:val="261"/>
        </w:trPr>
        <w:tc>
          <w:tcPr>
            <w:tcW w:w="4382" w:type="dxa"/>
          </w:tcPr>
          <w:p w14:paraId="1C34EE34" w14:textId="77777777" w:rsidR="004C558F" w:rsidRDefault="00461887">
            <w:pPr>
              <w:pStyle w:val="TableParagraph"/>
              <w:spacing w:before="1"/>
              <w:ind w:left="439"/>
              <w:jc w:val="left"/>
              <w:rPr>
                <w:sz w:val="20"/>
              </w:rPr>
            </w:pPr>
            <w:r>
              <w:rPr>
                <w:sz w:val="20"/>
              </w:rPr>
              <w:t>Beth</w:t>
            </w:r>
            <w:r>
              <w:rPr>
                <w:spacing w:val="-6"/>
                <w:sz w:val="20"/>
              </w:rPr>
              <w:t xml:space="preserve"> </w:t>
            </w:r>
            <w:r>
              <w:rPr>
                <w:sz w:val="20"/>
              </w:rPr>
              <w:t>Israel</w:t>
            </w:r>
            <w:r>
              <w:rPr>
                <w:spacing w:val="-5"/>
                <w:sz w:val="20"/>
              </w:rPr>
              <w:t xml:space="preserve"> </w:t>
            </w:r>
            <w:r>
              <w:rPr>
                <w:sz w:val="20"/>
              </w:rPr>
              <w:t>Deaconess</w:t>
            </w:r>
            <w:r>
              <w:rPr>
                <w:spacing w:val="-4"/>
                <w:sz w:val="20"/>
              </w:rPr>
              <w:t xml:space="preserve"> </w:t>
            </w:r>
            <w:r>
              <w:rPr>
                <w:sz w:val="20"/>
              </w:rPr>
              <w:t>Hospital</w:t>
            </w:r>
            <w:r>
              <w:rPr>
                <w:spacing w:val="-6"/>
                <w:sz w:val="20"/>
              </w:rPr>
              <w:t xml:space="preserve"> </w:t>
            </w:r>
            <w:r>
              <w:rPr>
                <w:sz w:val="20"/>
              </w:rPr>
              <w:t>-</w:t>
            </w:r>
            <w:r>
              <w:rPr>
                <w:spacing w:val="-4"/>
                <w:sz w:val="20"/>
              </w:rPr>
              <w:t xml:space="preserve"> </w:t>
            </w:r>
            <w:r>
              <w:rPr>
                <w:spacing w:val="-2"/>
                <w:sz w:val="20"/>
              </w:rPr>
              <w:t>Plymouth</w:t>
            </w:r>
          </w:p>
        </w:tc>
        <w:tc>
          <w:tcPr>
            <w:tcW w:w="1567" w:type="dxa"/>
          </w:tcPr>
          <w:p w14:paraId="1C34EE35" w14:textId="77777777" w:rsidR="004C558F" w:rsidRDefault="00461887">
            <w:pPr>
              <w:pStyle w:val="TableParagraph"/>
              <w:spacing w:before="1"/>
              <w:ind w:right="95"/>
              <w:rPr>
                <w:sz w:val="20"/>
              </w:rPr>
            </w:pPr>
            <w:r>
              <w:rPr>
                <w:spacing w:val="-4"/>
                <w:sz w:val="20"/>
              </w:rPr>
              <w:t>1.5%</w:t>
            </w:r>
          </w:p>
        </w:tc>
        <w:tc>
          <w:tcPr>
            <w:tcW w:w="1233" w:type="dxa"/>
          </w:tcPr>
          <w:p w14:paraId="1C34EE36" w14:textId="77777777" w:rsidR="004C558F" w:rsidRDefault="00461887">
            <w:pPr>
              <w:pStyle w:val="TableParagraph"/>
              <w:spacing w:before="1"/>
              <w:ind w:right="92"/>
              <w:rPr>
                <w:sz w:val="20"/>
              </w:rPr>
            </w:pPr>
            <w:r>
              <w:rPr>
                <w:spacing w:val="-4"/>
                <w:sz w:val="20"/>
              </w:rPr>
              <w:t>1.8%</w:t>
            </w:r>
          </w:p>
        </w:tc>
        <w:tc>
          <w:tcPr>
            <w:tcW w:w="1175" w:type="dxa"/>
          </w:tcPr>
          <w:p w14:paraId="1C34EE37" w14:textId="77777777" w:rsidR="004C558F" w:rsidRDefault="00461887">
            <w:pPr>
              <w:pStyle w:val="TableParagraph"/>
              <w:spacing w:before="1"/>
              <w:ind w:right="96"/>
              <w:rPr>
                <w:sz w:val="20"/>
              </w:rPr>
            </w:pPr>
            <w:r>
              <w:rPr>
                <w:spacing w:val="-4"/>
                <w:sz w:val="20"/>
              </w:rPr>
              <w:t>1.2%</w:t>
            </w:r>
          </w:p>
        </w:tc>
        <w:tc>
          <w:tcPr>
            <w:tcW w:w="1801" w:type="dxa"/>
          </w:tcPr>
          <w:p w14:paraId="1C34EE38" w14:textId="77777777" w:rsidR="004C558F" w:rsidRDefault="004C558F">
            <w:pPr>
              <w:pStyle w:val="TableParagraph"/>
              <w:spacing w:before="0"/>
              <w:jc w:val="left"/>
              <w:rPr>
                <w:rFonts w:ascii="Times New Roman"/>
                <w:sz w:val="18"/>
              </w:rPr>
            </w:pPr>
          </w:p>
        </w:tc>
      </w:tr>
      <w:tr w:rsidR="004C558F" w14:paraId="1C34EE3F" w14:textId="77777777" w:rsidTr="00C24152">
        <w:trPr>
          <w:cantSplit/>
          <w:trHeight w:val="261"/>
        </w:trPr>
        <w:tc>
          <w:tcPr>
            <w:tcW w:w="4382" w:type="dxa"/>
          </w:tcPr>
          <w:p w14:paraId="1C34EE3A" w14:textId="77777777" w:rsidR="004C558F" w:rsidRDefault="00461887">
            <w:pPr>
              <w:pStyle w:val="TableParagraph"/>
              <w:spacing w:before="1"/>
              <w:ind w:left="439"/>
              <w:jc w:val="left"/>
              <w:rPr>
                <w:sz w:val="20"/>
              </w:rPr>
            </w:pPr>
            <w:r>
              <w:rPr>
                <w:sz w:val="20"/>
              </w:rPr>
              <w:t>Winchester</w:t>
            </w:r>
            <w:r>
              <w:rPr>
                <w:spacing w:val="-12"/>
                <w:sz w:val="20"/>
              </w:rPr>
              <w:t xml:space="preserve"> </w:t>
            </w:r>
            <w:r>
              <w:rPr>
                <w:spacing w:val="-2"/>
                <w:sz w:val="20"/>
              </w:rPr>
              <w:t>Hospital</w:t>
            </w:r>
          </w:p>
        </w:tc>
        <w:tc>
          <w:tcPr>
            <w:tcW w:w="1567" w:type="dxa"/>
          </w:tcPr>
          <w:p w14:paraId="1C34EE3B" w14:textId="77777777" w:rsidR="004C558F" w:rsidRDefault="00461887">
            <w:pPr>
              <w:pStyle w:val="TableParagraph"/>
              <w:spacing w:before="1"/>
              <w:ind w:right="95"/>
              <w:rPr>
                <w:sz w:val="20"/>
              </w:rPr>
            </w:pPr>
            <w:r>
              <w:rPr>
                <w:spacing w:val="-4"/>
                <w:sz w:val="20"/>
              </w:rPr>
              <w:t>1.2%</w:t>
            </w:r>
          </w:p>
        </w:tc>
        <w:tc>
          <w:tcPr>
            <w:tcW w:w="1233" w:type="dxa"/>
          </w:tcPr>
          <w:p w14:paraId="1C34EE3C" w14:textId="77777777" w:rsidR="004C558F" w:rsidRDefault="00461887">
            <w:pPr>
              <w:pStyle w:val="TableParagraph"/>
              <w:spacing w:before="1"/>
              <w:ind w:right="92"/>
              <w:rPr>
                <w:sz w:val="20"/>
              </w:rPr>
            </w:pPr>
            <w:r>
              <w:rPr>
                <w:spacing w:val="-4"/>
                <w:sz w:val="20"/>
              </w:rPr>
              <w:t>1.5%</w:t>
            </w:r>
          </w:p>
        </w:tc>
        <w:tc>
          <w:tcPr>
            <w:tcW w:w="1175" w:type="dxa"/>
          </w:tcPr>
          <w:p w14:paraId="1C34EE3D" w14:textId="77777777" w:rsidR="004C558F" w:rsidRDefault="004C558F">
            <w:pPr>
              <w:pStyle w:val="TableParagraph"/>
              <w:spacing w:before="0"/>
              <w:jc w:val="left"/>
              <w:rPr>
                <w:rFonts w:ascii="Times New Roman"/>
                <w:sz w:val="18"/>
              </w:rPr>
            </w:pPr>
          </w:p>
        </w:tc>
        <w:tc>
          <w:tcPr>
            <w:tcW w:w="1801" w:type="dxa"/>
          </w:tcPr>
          <w:p w14:paraId="1C34EE3E" w14:textId="77777777" w:rsidR="004C558F" w:rsidRDefault="00461887">
            <w:pPr>
              <w:pStyle w:val="TableParagraph"/>
              <w:spacing w:before="1"/>
              <w:ind w:right="92"/>
              <w:rPr>
                <w:sz w:val="20"/>
              </w:rPr>
            </w:pPr>
            <w:r>
              <w:rPr>
                <w:spacing w:val="-4"/>
                <w:sz w:val="20"/>
              </w:rPr>
              <w:t>4.0%</w:t>
            </w:r>
          </w:p>
        </w:tc>
      </w:tr>
      <w:tr w:rsidR="004C558F" w14:paraId="1C34EE45" w14:textId="77777777" w:rsidTr="00C24152">
        <w:trPr>
          <w:cantSplit/>
          <w:trHeight w:val="261"/>
        </w:trPr>
        <w:tc>
          <w:tcPr>
            <w:tcW w:w="4382" w:type="dxa"/>
          </w:tcPr>
          <w:p w14:paraId="1C34EE40" w14:textId="77777777" w:rsidR="004C558F" w:rsidRDefault="00461887">
            <w:pPr>
              <w:pStyle w:val="TableParagraph"/>
              <w:spacing w:before="1"/>
              <w:ind w:left="439"/>
              <w:jc w:val="left"/>
              <w:rPr>
                <w:sz w:val="20"/>
              </w:rPr>
            </w:pPr>
            <w:r>
              <w:rPr>
                <w:sz w:val="20"/>
              </w:rPr>
              <w:t>Northeast</w:t>
            </w:r>
            <w:r>
              <w:rPr>
                <w:spacing w:val="-8"/>
                <w:sz w:val="20"/>
              </w:rPr>
              <w:t xml:space="preserve"> </w:t>
            </w:r>
            <w:r>
              <w:rPr>
                <w:spacing w:val="-2"/>
                <w:sz w:val="20"/>
              </w:rPr>
              <w:t>Hospital</w:t>
            </w:r>
          </w:p>
        </w:tc>
        <w:tc>
          <w:tcPr>
            <w:tcW w:w="1567" w:type="dxa"/>
          </w:tcPr>
          <w:p w14:paraId="1C34EE41" w14:textId="77777777" w:rsidR="004C558F" w:rsidRDefault="00461887">
            <w:pPr>
              <w:pStyle w:val="TableParagraph"/>
              <w:spacing w:before="1"/>
              <w:ind w:right="95"/>
              <w:rPr>
                <w:sz w:val="20"/>
              </w:rPr>
            </w:pPr>
            <w:r>
              <w:rPr>
                <w:spacing w:val="-4"/>
                <w:sz w:val="20"/>
              </w:rPr>
              <w:t>0.9%</w:t>
            </w:r>
          </w:p>
        </w:tc>
        <w:tc>
          <w:tcPr>
            <w:tcW w:w="1233" w:type="dxa"/>
          </w:tcPr>
          <w:p w14:paraId="1C34EE42" w14:textId="77777777" w:rsidR="004C558F" w:rsidRDefault="00461887">
            <w:pPr>
              <w:pStyle w:val="TableParagraph"/>
              <w:spacing w:before="1"/>
              <w:ind w:right="92"/>
              <w:rPr>
                <w:sz w:val="20"/>
              </w:rPr>
            </w:pPr>
            <w:r>
              <w:rPr>
                <w:spacing w:val="-4"/>
                <w:sz w:val="20"/>
              </w:rPr>
              <w:t>1.1%</w:t>
            </w:r>
          </w:p>
        </w:tc>
        <w:tc>
          <w:tcPr>
            <w:tcW w:w="1175" w:type="dxa"/>
          </w:tcPr>
          <w:p w14:paraId="1C34EE43" w14:textId="77777777" w:rsidR="004C558F" w:rsidRDefault="004C558F">
            <w:pPr>
              <w:pStyle w:val="TableParagraph"/>
              <w:spacing w:before="0"/>
              <w:jc w:val="left"/>
              <w:rPr>
                <w:rFonts w:ascii="Times New Roman"/>
                <w:sz w:val="18"/>
              </w:rPr>
            </w:pPr>
          </w:p>
        </w:tc>
        <w:tc>
          <w:tcPr>
            <w:tcW w:w="1801" w:type="dxa"/>
          </w:tcPr>
          <w:p w14:paraId="1C34EE44" w14:textId="77777777" w:rsidR="004C558F" w:rsidRDefault="00461887">
            <w:pPr>
              <w:pStyle w:val="TableParagraph"/>
              <w:spacing w:before="1"/>
              <w:ind w:right="92"/>
              <w:rPr>
                <w:sz w:val="20"/>
              </w:rPr>
            </w:pPr>
            <w:r>
              <w:rPr>
                <w:spacing w:val="-4"/>
                <w:sz w:val="20"/>
              </w:rPr>
              <w:t>3.5%</w:t>
            </w:r>
          </w:p>
        </w:tc>
      </w:tr>
      <w:tr w:rsidR="004C558F" w14:paraId="1C34EE4B" w14:textId="77777777" w:rsidTr="00C24152">
        <w:trPr>
          <w:cantSplit/>
          <w:trHeight w:val="261"/>
        </w:trPr>
        <w:tc>
          <w:tcPr>
            <w:tcW w:w="4382" w:type="dxa"/>
          </w:tcPr>
          <w:p w14:paraId="1C34EE46" w14:textId="77777777" w:rsidR="004C558F" w:rsidRDefault="00461887">
            <w:pPr>
              <w:pStyle w:val="TableParagraph"/>
              <w:spacing w:before="1"/>
              <w:ind w:left="439"/>
              <w:jc w:val="left"/>
              <w:rPr>
                <w:sz w:val="20"/>
              </w:rPr>
            </w:pPr>
            <w:r>
              <w:rPr>
                <w:sz w:val="20"/>
              </w:rPr>
              <w:t>Mount</w:t>
            </w:r>
            <w:r>
              <w:rPr>
                <w:spacing w:val="-6"/>
                <w:sz w:val="20"/>
              </w:rPr>
              <w:t xml:space="preserve"> </w:t>
            </w:r>
            <w:r>
              <w:rPr>
                <w:sz w:val="20"/>
              </w:rPr>
              <w:t>Auburn</w:t>
            </w:r>
            <w:r>
              <w:rPr>
                <w:spacing w:val="-7"/>
                <w:sz w:val="20"/>
              </w:rPr>
              <w:t xml:space="preserve"> </w:t>
            </w:r>
            <w:r>
              <w:rPr>
                <w:spacing w:val="-2"/>
                <w:sz w:val="20"/>
              </w:rPr>
              <w:t>Hospital</w:t>
            </w:r>
          </w:p>
        </w:tc>
        <w:tc>
          <w:tcPr>
            <w:tcW w:w="1567" w:type="dxa"/>
          </w:tcPr>
          <w:p w14:paraId="1C34EE47" w14:textId="77777777" w:rsidR="004C558F" w:rsidRDefault="00461887">
            <w:pPr>
              <w:pStyle w:val="TableParagraph"/>
              <w:spacing w:before="1"/>
              <w:ind w:right="95"/>
              <w:rPr>
                <w:sz w:val="20"/>
              </w:rPr>
            </w:pPr>
            <w:r>
              <w:rPr>
                <w:spacing w:val="-4"/>
                <w:sz w:val="20"/>
              </w:rPr>
              <w:t>0.8%</w:t>
            </w:r>
          </w:p>
        </w:tc>
        <w:tc>
          <w:tcPr>
            <w:tcW w:w="1233" w:type="dxa"/>
          </w:tcPr>
          <w:p w14:paraId="1C34EE48" w14:textId="77777777" w:rsidR="004C558F" w:rsidRDefault="00461887">
            <w:pPr>
              <w:pStyle w:val="TableParagraph"/>
              <w:spacing w:before="1"/>
              <w:ind w:right="92"/>
              <w:rPr>
                <w:sz w:val="20"/>
              </w:rPr>
            </w:pPr>
            <w:r>
              <w:rPr>
                <w:spacing w:val="-4"/>
                <w:sz w:val="20"/>
              </w:rPr>
              <w:t>0.9%</w:t>
            </w:r>
          </w:p>
        </w:tc>
        <w:tc>
          <w:tcPr>
            <w:tcW w:w="1175" w:type="dxa"/>
          </w:tcPr>
          <w:p w14:paraId="1C34EE49" w14:textId="77777777" w:rsidR="004C558F" w:rsidRDefault="00461887">
            <w:pPr>
              <w:pStyle w:val="TableParagraph"/>
              <w:spacing w:before="1"/>
              <w:ind w:right="96"/>
              <w:rPr>
                <w:sz w:val="20"/>
              </w:rPr>
            </w:pPr>
            <w:r>
              <w:rPr>
                <w:spacing w:val="-4"/>
                <w:sz w:val="20"/>
              </w:rPr>
              <w:t>0.9%</w:t>
            </w:r>
          </w:p>
        </w:tc>
        <w:tc>
          <w:tcPr>
            <w:tcW w:w="1801" w:type="dxa"/>
          </w:tcPr>
          <w:p w14:paraId="1C34EE4A" w14:textId="77777777" w:rsidR="004C558F" w:rsidRDefault="00461887">
            <w:pPr>
              <w:pStyle w:val="TableParagraph"/>
              <w:spacing w:before="1"/>
              <w:ind w:right="92"/>
              <w:rPr>
                <w:sz w:val="20"/>
              </w:rPr>
            </w:pPr>
            <w:r>
              <w:rPr>
                <w:spacing w:val="-4"/>
                <w:sz w:val="20"/>
              </w:rPr>
              <w:t>3.5%</w:t>
            </w:r>
          </w:p>
        </w:tc>
      </w:tr>
      <w:tr w:rsidR="004C558F" w14:paraId="1C34EE51" w14:textId="77777777" w:rsidTr="00C24152">
        <w:trPr>
          <w:cantSplit/>
          <w:trHeight w:val="261"/>
        </w:trPr>
        <w:tc>
          <w:tcPr>
            <w:tcW w:w="4382" w:type="dxa"/>
          </w:tcPr>
          <w:p w14:paraId="1C34EE4C" w14:textId="77777777" w:rsidR="004C558F" w:rsidRDefault="00461887">
            <w:pPr>
              <w:pStyle w:val="TableParagraph"/>
              <w:spacing w:before="1"/>
              <w:ind w:left="439"/>
              <w:jc w:val="left"/>
              <w:rPr>
                <w:sz w:val="20"/>
              </w:rPr>
            </w:pPr>
            <w:r>
              <w:rPr>
                <w:sz w:val="20"/>
              </w:rPr>
              <w:t>Lahey</w:t>
            </w:r>
            <w:r>
              <w:rPr>
                <w:spacing w:val="-8"/>
                <w:sz w:val="20"/>
              </w:rPr>
              <w:t xml:space="preserve"> </w:t>
            </w:r>
            <w:r>
              <w:rPr>
                <w:sz w:val="20"/>
              </w:rPr>
              <w:t>Hospital</w:t>
            </w:r>
            <w:r>
              <w:rPr>
                <w:spacing w:val="-6"/>
                <w:sz w:val="20"/>
              </w:rPr>
              <w:t xml:space="preserve"> </w:t>
            </w:r>
            <w:r>
              <w:rPr>
                <w:sz w:val="20"/>
              </w:rPr>
              <w:t>and</w:t>
            </w:r>
            <w:r>
              <w:rPr>
                <w:spacing w:val="-6"/>
                <w:sz w:val="20"/>
              </w:rPr>
              <w:t xml:space="preserve"> </w:t>
            </w:r>
            <w:r>
              <w:rPr>
                <w:sz w:val="20"/>
              </w:rPr>
              <w:t>Medical</w:t>
            </w:r>
            <w:r>
              <w:rPr>
                <w:spacing w:val="-4"/>
                <w:sz w:val="20"/>
              </w:rPr>
              <w:t xml:space="preserve"> </w:t>
            </w:r>
            <w:r>
              <w:rPr>
                <w:spacing w:val="-2"/>
                <w:sz w:val="20"/>
              </w:rPr>
              <w:t>Center</w:t>
            </w:r>
          </w:p>
        </w:tc>
        <w:tc>
          <w:tcPr>
            <w:tcW w:w="1567" w:type="dxa"/>
          </w:tcPr>
          <w:p w14:paraId="1C34EE4D" w14:textId="77777777" w:rsidR="004C558F" w:rsidRDefault="00461887">
            <w:pPr>
              <w:pStyle w:val="TableParagraph"/>
              <w:spacing w:before="1"/>
              <w:ind w:right="95"/>
              <w:rPr>
                <w:sz w:val="20"/>
              </w:rPr>
            </w:pPr>
            <w:r>
              <w:rPr>
                <w:spacing w:val="-4"/>
                <w:sz w:val="20"/>
              </w:rPr>
              <w:t>0.1%</w:t>
            </w:r>
          </w:p>
        </w:tc>
        <w:tc>
          <w:tcPr>
            <w:tcW w:w="1233" w:type="dxa"/>
          </w:tcPr>
          <w:p w14:paraId="1C34EE4E" w14:textId="77777777" w:rsidR="004C558F" w:rsidRDefault="00461887">
            <w:pPr>
              <w:pStyle w:val="TableParagraph"/>
              <w:spacing w:before="1"/>
              <w:ind w:right="92"/>
              <w:rPr>
                <w:sz w:val="20"/>
              </w:rPr>
            </w:pPr>
            <w:r>
              <w:rPr>
                <w:spacing w:val="-4"/>
                <w:sz w:val="20"/>
              </w:rPr>
              <w:t>1.6%</w:t>
            </w:r>
          </w:p>
        </w:tc>
        <w:tc>
          <w:tcPr>
            <w:tcW w:w="1175" w:type="dxa"/>
          </w:tcPr>
          <w:p w14:paraId="1C34EE4F" w14:textId="77777777" w:rsidR="004C558F" w:rsidRDefault="00461887">
            <w:pPr>
              <w:pStyle w:val="TableParagraph"/>
              <w:spacing w:before="1"/>
              <w:ind w:right="96"/>
              <w:rPr>
                <w:sz w:val="20"/>
              </w:rPr>
            </w:pPr>
            <w:r>
              <w:rPr>
                <w:spacing w:val="-4"/>
                <w:sz w:val="20"/>
              </w:rPr>
              <w:t>7.6%</w:t>
            </w:r>
          </w:p>
        </w:tc>
        <w:tc>
          <w:tcPr>
            <w:tcW w:w="1801" w:type="dxa"/>
          </w:tcPr>
          <w:p w14:paraId="1C34EE50" w14:textId="77777777" w:rsidR="004C558F" w:rsidRDefault="00461887">
            <w:pPr>
              <w:pStyle w:val="TableParagraph"/>
              <w:spacing w:before="1"/>
              <w:ind w:right="92"/>
              <w:rPr>
                <w:sz w:val="20"/>
              </w:rPr>
            </w:pPr>
            <w:r>
              <w:rPr>
                <w:spacing w:val="-4"/>
                <w:sz w:val="20"/>
              </w:rPr>
              <w:t>4.2%</w:t>
            </w:r>
          </w:p>
        </w:tc>
      </w:tr>
      <w:tr w:rsidR="004C558F" w14:paraId="1C34EE57" w14:textId="77777777" w:rsidTr="00C24152">
        <w:trPr>
          <w:cantSplit/>
          <w:trHeight w:val="261"/>
        </w:trPr>
        <w:tc>
          <w:tcPr>
            <w:tcW w:w="4382" w:type="dxa"/>
            <w:shd w:val="clear" w:color="auto" w:fill="D4EBF4"/>
          </w:tcPr>
          <w:p w14:paraId="1C34EE52" w14:textId="77777777" w:rsidR="004C558F" w:rsidRDefault="00461887">
            <w:pPr>
              <w:pStyle w:val="TableParagraph"/>
              <w:spacing w:before="1"/>
              <w:ind w:left="107"/>
              <w:jc w:val="left"/>
              <w:rPr>
                <w:sz w:val="20"/>
              </w:rPr>
            </w:pPr>
            <w:r>
              <w:rPr>
                <w:sz w:val="20"/>
              </w:rPr>
              <w:t>Baystate</w:t>
            </w:r>
            <w:r>
              <w:rPr>
                <w:spacing w:val="-6"/>
                <w:sz w:val="20"/>
              </w:rPr>
              <w:t xml:space="preserve"> </w:t>
            </w:r>
            <w:r>
              <w:rPr>
                <w:spacing w:val="-2"/>
                <w:sz w:val="20"/>
              </w:rPr>
              <w:t>Health</w:t>
            </w:r>
          </w:p>
        </w:tc>
        <w:tc>
          <w:tcPr>
            <w:tcW w:w="1567" w:type="dxa"/>
            <w:shd w:val="clear" w:color="auto" w:fill="D4EBF4"/>
          </w:tcPr>
          <w:p w14:paraId="1C34EE53" w14:textId="77777777" w:rsidR="004C558F" w:rsidRDefault="00461887">
            <w:pPr>
              <w:pStyle w:val="TableParagraph"/>
              <w:spacing w:before="1"/>
              <w:ind w:right="95"/>
              <w:rPr>
                <w:sz w:val="20"/>
              </w:rPr>
            </w:pPr>
            <w:r>
              <w:rPr>
                <w:spacing w:val="-4"/>
                <w:sz w:val="20"/>
              </w:rPr>
              <w:t>6.4%</w:t>
            </w:r>
          </w:p>
        </w:tc>
        <w:tc>
          <w:tcPr>
            <w:tcW w:w="1233" w:type="dxa"/>
            <w:shd w:val="clear" w:color="auto" w:fill="D4EBF4"/>
          </w:tcPr>
          <w:p w14:paraId="1C34EE54" w14:textId="77777777" w:rsidR="004C558F" w:rsidRDefault="00461887">
            <w:pPr>
              <w:pStyle w:val="TableParagraph"/>
              <w:spacing w:before="1"/>
              <w:ind w:right="92"/>
              <w:rPr>
                <w:sz w:val="20"/>
              </w:rPr>
            </w:pPr>
            <w:r>
              <w:rPr>
                <w:spacing w:val="-4"/>
                <w:sz w:val="20"/>
              </w:rPr>
              <w:t>9.1%</w:t>
            </w:r>
          </w:p>
        </w:tc>
        <w:tc>
          <w:tcPr>
            <w:tcW w:w="1175" w:type="dxa"/>
            <w:shd w:val="clear" w:color="auto" w:fill="D4EBF4"/>
          </w:tcPr>
          <w:p w14:paraId="1C34EE55" w14:textId="77777777" w:rsidR="004C558F" w:rsidRDefault="00461887">
            <w:pPr>
              <w:pStyle w:val="TableParagraph"/>
              <w:spacing w:before="1"/>
              <w:ind w:right="96"/>
              <w:rPr>
                <w:sz w:val="20"/>
              </w:rPr>
            </w:pPr>
            <w:r>
              <w:rPr>
                <w:spacing w:val="-4"/>
                <w:sz w:val="20"/>
              </w:rPr>
              <w:t>4.4%</w:t>
            </w:r>
          </w:p>
        </w:tc>
        <w:tc>
          <w:tcPr>
            <w:tcW w:w="1801" w:type="dxa"/>
            <w:shd w:val="clear" w:color="auto" w:fill="D4EBF4"/>
          </w:tcPr>
          <w:p w14:paraId="1C34EE56" w14:textId="77777777" w:rsidR="004C558F" w:rsidRDefault="00461887">
            <w:pPr>
              <w:pStyle w:val="TableParagraph"/>
              <w:spacing w:before="1"/>
              <w:ind w:right="92"/>
              <w:rPr>
                <w:sz w:val="20"/>
              </w:rPr>
            </w:pPr>
            <w:r>
              <w:rPr>
                <w:spacing w:val="-4"/>
                <w:sz w:val="20"/>
              </w:rPr>
              <w:t>2.8%</w:t>
            </w:r>
          </w:p>
        </w:tc>
      </w:tr>
      <w:tr w:rsidR="004C558F" w14:paraId="1C34EE5D" w14:textId="77777777" w:rsidTr="00C24152">
        <w:trPr>
          <w:cantSplit/>
          <w:trHeight w:val="258"/>
        </w:trPr>
        <w:tc>
          <w:tcPr>
            <w:tcW w:w="4382" w:type="dxa"/>
          </w:tcPr>
          <w:p w14:paraId="1C34EE58" w14:textId="77777777" w:rsidR="004C558F" w:rsidRDefault="00461887">
            <w:pPr>
              <w:pStyle w:val="TableParagraph"/>
              <w:spacing w:before="1"/>
              <w:ind w:left="439"/>
              <w:jc w:val="left"/>
              <w:rPr>
                <w:sz w:val="20"/>
              </w:rPr>
            </w:pPr>
            <w:r>
              <w:rPr>
                <w:sz w:val="20"/>
              </w:rPr>
              <w:t>Baystate</w:t>
            </w:r>
            <w:r>
              <w:rPr>
                <w:spacing w:val="-10"/>
                <w:sz w:val="20"/>
              </w:rPr>
              <w:t xml:space="preserve"> </w:t>
            </w:r>
            <w:r>
              <w:rPr>
                <w:sz w:val="20"/>
              </w:rPr>
              <w:t>Medical</w:t>
            </w:r>
            <w:r>
              <w:rPr>
                <w:spacing w:val="-8"/>
                <w:sz w:val="20"/>
              </w:rPr>
              <w:t xml:space="preserve"> </w:t>
            </w:r>
            <w:r>
              <w:rPr>
                <w:spacing w:val="-2"/>
                <w:sz w:val="20"/>
              </w:rPr>
              <w:t>Center</w:t>
            </w:r>
          </w:p>
        </w:tc>
        <w:tc>
          <w:tcPr>
            <w:tcW w:w="1567" w:type="dxa"/>
          </w:tcPr>
          <w:p w14:paraId="1C34EE59" w14:textId="77777777" w:rsidR="004C558F" w:rsidRDefault="00461887">
            <w:pPr>
              <w:pStyle w:val="TableParagraph"/>
              <w:spacing w:before="1"/>
              <w:ind w:right="95"/>
              <w:rPr>
                <w:sz w:val="20"/>
              </w:rPr>
            </w:pPr>
            <w:r>
              <w:rPr>
                <w:spacing w:val="-4"/>
                <w:sz w:val="20"/>
              </w:rPr>
              <w:t>5.1%</w:t>
            </w:r>
          </w:p>
        </w:tc>
        <w:tc>
          <w:tcPr>
            <w:tcW w:w="1233" w:type="dxa"/>
          </w:tcPr>
          <w:p w14:paraId="1C34EE5A" w14:textId="77777777" w:rsidR="004C558F" w:rsidRDefault="00461887">
            <w:pPr>
              <w:pStyle w:val="TableParagraph"/>
              <w:spacing w:before="1"/>
              <w:ind w:right="92"/>
              <w:rPr>
                <w:sz w:val="20"/>
              </w:rPr>
            </w:pPr>
            <w:r>
              <w:rPr>
                <w:spacing w:val="-4"/>
                <w:sz w:val="20"/>
              </w:rPr>
              <w:t>7.0%</w:t>
            </w:r>
          </w:p>
        </w:tc>
        <w:tc>
          <w:tcPr>
            <w:tcW w:w="1175" w:type="dxa"/>
          </w:tcPr>
          <w:p w14:paraId="1C34EE5B" w14:textId="77777777" w:rsidR="004C558F" w:rsidRDefault="00461887">
            <w:pPr>
              <w:pStyle w:val="TableParagraph"/>
              <w:spacing w:before="1"/>
              <w:ind w:right="96"/>
              <w:rPr>
                <w:sz w:val="20"/>
              </w:rPr>
            </w:pPr>
            <w:r>
              <w:rPr>
                <w:spacing w:val="-4"/>
                <w:sz w:val="20"/>
              </w:rPr>
              <w:t>3.9%</w:t>
            </w:r>
          </w:p>
        </w:tc>
        <w:tc>
          <w:tcPr>
            <w:tcW w:w="1801" w:type="dxa"/>
          </w:tcPr>
          <w:p w14:paraId="1C34EE5C" w14:textId="77777777" w:rsidR="004C558F" w:rsidRDefault="00461887">
            <w:pPr>
              <w:pStyle w:val="TableParagraph"/>
              <w:spacing w:before="1"/>
              <w:ind w:right="92"/>
              <w:rPr>
                <w:sz w:val="20"/>
              </w:rPr>
            </w:pPr>
            <w:r>
              <w:rPr>
                <w:spacing w:val="-4"/>
                <w:sz w:val="20"/>
              </w:rPr>
              <w:t>2.1%</w:t>
            </w:r>
          </w:p>
        </w:tc>
      </w:tr>
      <w:tr w:rsidR="004C558F" w14:paraId="1C34EE63" w14:textId="77777777" w:rsidTr="00C24152">
        <w:trPr>
          <w:cantSplit/>
          <w:trHeight w:val="261"/>
        </w:trPr>
        <w:tc>
          <w:tcPr>
            <w:tcW w:w="4382" w:type="dxa"/>
          </w:tcPr>
          <w:p w14:paraId="1C34EE5E" w14:textId="77777777" w:rsidR="004C558F" w:rsidRDefault="00461887">
            <w:pPr>
              <w:pStyle w:val="TableParagraph"/>
              <w:spacing w:before="3"/>
              <w:ind w:left="439"/>
              <w:jc w:val="left"/>
              <w:rPr>
                <w:sz w:val="20"/>
              </w:rPr>
            </w:pPr>
            <w:r>
              <w:rPr>
                <w:sz w:val="20"/>
              </w:rPr>
              <w:t>Baystate</w:t>
            </w:r>
            <w:r>
              <w:rPr>
                <w:spacing w:val="-10"/>
                <w:sz w:val="20"/>
              </w:rPr>
              <w:t xml:space="preserve"> </w:t>
            </w:r>
            <w:r>
              <w:rPr>
                <w:sz w:val="20"/>
              </w:rPr>
              <w:t>Reference</w:t>
            </w:r>
            <w:r>
              <w:rPr>
                <w:spacing w:val="-11"/>
                <w:sz w:val="20"/>
              </w:rPr>
              <w:t xml:space="preserve"> </w:t>
            </w:r>
            <w:r>
              <w:rPr>
                <w:spacing w:val="-2"/>
                <w:sz w:val="20"/>
              </w:rPr>
              <w:t>Laboratory</w:t>
            </w:r>
          </w:p>
        </w:tc>
        <w:tc>
          <w:tcPr>
            <w:tcW w:w="1567" w:type="dxa"/>
          </w:tcPr>
          <w:p w14:paraId="1C34EE5F" w14:textId="77777777" w:rsidR="004C558F" w:rsidRDefault="00461887">
            <w:pPr>
              <w:pStyle w:val="TableParagraph"/>
              <w:spacing w:before="3"/>
              <w:ind w:right="95"/>
              <w:rPr>
                <w:sz w:val="20"/>
              </w:rPr>
            </w:pPr>
            <w:r>
              <w:rPr>
                <w:spacing w:val="-4"/>
                <w:sz w:val="20"/>
              </w:rPr>
              <w:t>0.7%</w:t>
            </w:r>
          </w:p>
        </w:tc>
        <w:tc>
          <w:tcPr>
            <w:tcW w:w="1233" w:type="dxa"/>
          </w:tcPr>
          <w:p w14:paraId="1C34EE60" w14:textId="77777777" w:rsidR="004C558F" w:rsidRDefault="00461887">
            <w:pPr>
              <w:pStyle w:val="TableParagraph"/>
              <w:spacing w:before="3"/>
              <w:ind w:right="92"/>
              <w:rPr>
                <w:sz w:val="20"/>
              </w:rPr>
            </w:pPr>
            <w:r>
              <w:rPr>
                <w:spacing w:val="-4"/>
                <w:sz w:val="20"/>
              </w:rPr>
              <w:t>1.1%</w:t>
            </w:r>
          </w:p>
        </w:tc>
        <w:tc>
          <w:tcPr>
            <w:tcW w:w="1175" w:type="dxa"/>
          </w:tcPr>
          <w:p w14:paraId="1C34EE61" w14:textId="77777777" w:rsidR="004C558F" w:rsidRDefault="00461887">
            <w:pPr>
              <w:pStyle w:val="TableParagraph"/>
              <w:spacing w:before="3"/>
              <w:ind w:right="96"/>
              <w:rPr>
                <w:sz w:val="20"/>
              </w:rPr>
            </w:pPr>
            <w:r>
              <w:rPr>
                <w:spacing w:val="-4"/>
                <w:sz w:val="20"/>
              </w:rPr>
              <w:t>0.5%</w:t>
            </w:r>
          </w:p>
        </w:tc>
        <w:tc>
          <w:tcPr>
            <w:tcW w:w="1801" w:type="dxa"/>
          </w:tcPr>
          <w:p w14:paraId="1C34EE62" w14:textId="77777777" w:rsidR="004C558F" w:rsidRDefault="00461887">
            <w:pPr>
              <w:pStyle w:val="TableParagraph"/>
              <w:spacing w:before="3"/>
              <w:ind w:right="92"/>
              <w:rPr>
                <w:sz w:val="20"/>
              </w:rPr>
            </w:pPr>
            <w:r>
              <w:rPr>
                <w:spacing w:val="-4"/>
                <w:sz w:val="20"/>
              </w:rPr>
              <w:t>0.6%</w:t>
            </w:r>
          </w:p>
        </w:tc>
      </w:tr>
      <w:tr w:rsidR="004C558F" w14:paraId="1C34EE69" w14:textId="77777777" w:rsidTr="00C24152">
        <w:trPr>
          <w:cantSplit/>
          <w:trHeight w:val="261"/>
        </w:trPr>
        <w:tc>
          <w:tcPr>
            <w:tcW w:w="4382" w:type="dxa"/>
            <w:shd w:val="clear" w:color="auto" w:fill="D4EBF4"/>
          </w:tcPr>
          <w:p w14:paraId="1C34EE64" w14:textId="77777777" w:rsidR="004C558F" w:rsidRDefault="00461887">
            <w:pPr>
              <w:pStyle w:val="TableParagraph"/>
              <w:spacing w:before="3"/>
              <w:ind w:left="107"/>
              <w:jc w:val="left"/>
              <w:rPr>
                <w:sz w:val="20"/>
              </w:rPr>
            </w:pPr>
            <w:r>
              <w:rPr>
                <w:sz w:val="20"/>
              </w:rPr>
              <w:t>UMass</w:t>
            </w:r>
            <w:r>
              <w:rPr>
                <w:spacing w:val="-6"/>
                <w:sz w:val="20"/>
              </w:rPr>
              <w:t xml:space="preserve"> </w:t>
            </w:r>
            <w:r>
              <w:rPr>
                <w:sz w:val="20"/>
              </w:rPr>
              <w:t>Memorial</w:t>
            </w:r>
            <w:r>
              <w:rPr>
                <w:spacing w:val="-6"/>
                <w:sz w:val="20"/>
              </w:rPr>
              <w:t xml:space="preserve"> </w:t>
            </w:r>
            <w:r>
              <w:rPr>
                <w:sz w:val="20"/>
              </w:rPr>
              <w:t>Health</w:t>
            </w:r>
            <w:r>
              <w:rPr>
                <w:spacing w:val="-6"/>
                <w:sz w:val="20"/>
              </w:rPr>
              <w:t xml:space="preserve"> </w:t>
            </w:r>
            <w:r>
              <w:rPr>
                <w:spacing w:val="-4"/>
                <w:sz w:val="20"/>
              </w:rPr>
              <w:t>Care</w:t>
            </w:r>
          </w:p>
        </w:tc>
        <w:tc>
          <w:tcPr>
            <w:tcW w:w="1567" w:type="dxa"/>
            <w:shd w:val="clear" w:color="auto" w:fill="D4EBF4"/>
          </w:tcPr>
          <w:p w14:paraId="1C34EE65" w14:textId="77777777" w:rsidR="004C558F" w:rsidRDefault="00461887">
            <w:pPr>
              <w:pStyle w:val="TableParagraph"/>
              <w:spacing w:before="3"/>
              <w:ind w:right="95"/>
              <w:rPr>
                <w:sz w:val="20"/>
              </w:rPr>
            </w:pPr>
            <w:r>
              <w:rPr>
                <w:spacing w:val="-4"/>
                <w:sz w:val="20"/>
              </w:rPr>
              <w:t>4.7%</w:t>
            </w:r>
          </w:p>
        </w:tc>
        <w:tc>
          <w:tcPr>
            <w:tcW w:w="1233" w:type="dxa"/>
            <w:shd w:val="clear" w:color="auto" w:fill="D4EBF4"/>
          </w:tcPr>
          <w:p w14:paraId="1C34EE66" w14:textId="77777777" w:rsidR="004C558F" w:rsidRDefault="00461887">
            <w:pPr>
              <w:pStyle w:val="TableParagraph"/>
              <w:spacing w:before="3"/>
              <w:ind w:right="93"/>
              <w:rPr>
                <w:sz w:val="20"/>
              </w:rPr>
            </w:pPr>
            <w:r>
              <w:rPr>
                <w:spacing w:val="-4"/>
                <w:sz w:val="20"/>
              </w:rPr>
              <w:t>4.5%</w:t>
            </w:r>
          </w:p>
        </w:tc>
        <w:tc>
          <w:tcPr>
            <w:tcW w:w="1175" w:type="dxa"/>
            <w:shd w:val="clear" w:color="auto" w:fill="D4EBF4"/>
          </w:tcPr>
          <w:p w14:paraId="1C34EE67" w14:textId="77777777" w:rsidR="004C558F" w:rsidRDefault="00461887">
            <w:pPr>
              <w:pStyle w:val="TableParagraph"/>
              <w:spacing w:before="3"/>
              <w:ind w:right="96"/>
              <w:rPr>
                <w:sz w:val="20"/>
              </w:rPr>
            </w:pPr>
            <w:r>
              <w:rPr>
                <w:spacing w:val="-4"/>
                <w:sz w:val="20"/>
              </w:rPr>
              <w:t>1.6%</w:t>
            </w:r>
          </w:p>
        </w:tc>
        <w:tc>
          <w:tcPr>
            <w:tcW w:w="1801" w:type="dxa"/>
            <w:shd w:val="clear" w:color="auto" w:fill="D4EBF4"/>
          </w:tcPr>
          <w:p w14:paraId="1C34EE68" w14:textId="77777777" w:rsidR="004C558F" w:rsidRDefault="00461887">
            <w:pPr>
              <w:pStyle w:val="TableParagraph"/>
              <w:spacing w:before="3"/>
              <w:ind w:right="93"/>
              <w:rPr>
                <w:sz w:val="20"/>
              </w:rPr>
            </w:pPr>
            <w:r>
              <w:rPr>
                <w:spacing w:val="-4"/>
                <w:sz w:val="20"/>
              </w:rPr>
              <w:t>3.5%</w:t>
            </w:r>
          </w:p>
        </w:tc>
      </w:tr>
      <w:tr w:rsidR="004C558F" w14:paraId="1C34EE6F" w14:textId="77777777" w:rsidTr="00C24152">
        <w:trPr>
          <w:cantSplit/>
          <w:trHeight w:val="261"/>
        </w:trPr>
        <w:tc>
          <w:tcPr>
            <w:tcW w:w="4382" w:type="dxa"/>
          </w:tcPr>
          <w:p w14:paraId="1C34EE6A" w14:textId="77777777" w:rsidR="004C558F" w:rsidRDefault="00461887">
            <w:pPr>
              <w:pStyle w:val="TableParagraph"/>
              <w:spacing w:before="3"/>
              <w:ind w:left="439"/>
              <w:jc w:val="left"/>
              <w:rPr>
                <w:sz w:val="20"/>
              </w:rPr>
            </w:pPr>
            <w:r>
              <w:rPr>
                <w:sz w:val="20"/>
              </w:rPr>
              <w:t>UMass</w:t>
            </w:r>
            <w:r>
              <w:rPr>
                <w:spacing w:val="-7"/>
                <w:sz w:val="20"/>
              </w:rPr>
              <w:t xml:space="preserve"> </w:t>
            </w:r>
            <w:r>
              <w:rPr>
                <w:sz w:val="20"/>
              </w:rPr>
              <w:t>Memorial</w:t>
            </w:r>
            <w:r>
              <w:rPr>
                <w:spacing w:val="-8"/>
                <w:sz w:val="20"/>
              </w:rPr>
              <w:t xml:space="preserve"> </w:t>
            </w:r>
            <w:r>
              <w:rPr>
                <w:sz w:val="20"/>
              </w:rPr>
              <w:t>Medical</w:t>
            </w:r>
            <w:r>
              <w:rPr>
                <w:spacing w:val="-8"/>
                <w:sz w:val="20"/>
              </w:rPr>
              <w:t xml:space="preserve"> </w:t>
            </w:r>
            <w:r>
              <w:rPr>
                <w:spacing w:val="-2"/>
                <w:sz w:val="20"/>
              </w:rPr>
              <w:t>Center</w:t>
            </w:r>
          </w:p>
        </w:tc>
        <w:tc>
          <w:tcPr>
            <w:tcW w:w="1567" w:type="dxa"/>
          </w:tcPr>
          <w:p w14:paraId="1C34EE6B" w14:textId="77777777" w:rsidR="004C558F" w:rsidRDefault="00461887">
            <w:pPr>
              <w:pStyle w:val="TableParagraph"/>
              <w:spacing w:before="3"/>
              <w:ind w:right="95"/>
              <w:rPr>
                <w:sz w:val="20"/>
              </w:rPr>
            </w:pPr>
            <w:r>
              <w:rPr>
                <w:spacing w:val="-4"/>
                <w:sz w:val="20"/>
              </w:rPr>
              <w:t>3.9%</w:t>
            </w:r>
          </w:p>
        </w:tc>
        <w:tc>
          <w:tcPr>
            <w:tcW w:w="1233" w:type="dxa"/>
          </w:tcPr>
          <w:p w14:paraId="1C34EE6C" w14:textId="77777777" w:rsidR="004C558F" w:rsidRDefault="00461887">
            <w:pPr>
              <w:pStyle w:val="TableParagraph"/>
              <w:spacing w:before="3"/>
              <w:ind w:right="92"/>
              <w:rPr>
                <w:sz w:val="20"/>
              </w:rPr>
            </w:pPr>
            <w:r>
              <w:rPr>
                <w:spacing w:val="-4"/>
                <w:sz w:val="20"/>
              </w:rPr>
              <w:t>3.7%</w:t>
            </w:r>
          </w:p>
        </w:tc>
        <w:tc>
          <w:tcPr>
            <w:tcW w:w="1175" w:type="dxa"/>
          </w:tcPr>
          <w:p w14:paraId="1C34EE6D" w14:textId="77777777" w:rsidR="004C558F" w:rsidRDefault="00461887">
            <w:pPr>
              <w:pStyle w:val="TableParagraph"/>
              <w:spacing w:before="3"/>
              <w:ind w:right="96"/>
              <w:rPr>
                <w:sz w:val="20"/>
              </w:rPr>
            </w:pPr>
            <w:r>
              <w:rPr>
                <w:spacing w:val="-4"/>
                <w:sz w:val="20"/>
              </w:rPr>
              <w:t>1.6%</w:t>
            </w:r>
          </w:p>
        </w:tc>
        <w:tc>
          <w:tcPr>
            <w:tcW w:w="1801" w:type="dxa"/>
          </w:tcPr>
          <w:p w14:paraId="1C34EE6E" w14:textId="77777777" w:rsidR="004C558F" w:rsidRDefault="00461887">
            <w:pPr>
              <w:pStyle w:val="TableParagraph"/>
              <w:spacing w:before="3"/>
              <w:ind w:right="92"/>
              <w:rPr>
                <w:sz w:val="20"/>
              </w:rPr>
            </w:pPr>
            <w:r>
              <w:rPr>
                <w:spacing w:val="-4"/>
                <w:sz w:val="20"/>
              </w:rPr>
              <w:t>2.0%</w:t>
            </w:r>
          </w:p>
        </w:tc>
      </w:tr>
      <w:tr w:rsidR="004C558F" w14:paraId="1C34EE75" w14:textId="77777777" w:rsidTr="00C24152">
        <w:trPr>
          <w:cantSplit/>
          <w:trHeight w:val="261"/>
        </w:trPr>
        <w:tc>
          <w:tcPr>
            <w:tcW w:w="4382" w:type="dxa"/>
            <w:shd w:val="clear" w:color="auto" w:fill="D4EBF4"/>
          </w:tcPr>
          <w:p w14:paraId="1C34EE70" w14:textId="77777777" w:rsidR="004C558F" w:rsidRDefault="00461887">
            <w:pPr>
              <w:pStyle w:val="TableParagraph"/>
              <w:spacing w:before="1"/>
              <w:ind w:left="107"/>
              <w:jc w:val="left"/>
              <w:rPr>
                <w:sz w:val="20"/>
              </w:rPr>
            </w:pPr>
            <w:r>
              <w:rPr>
                <w:sz w:val="20"/>
              </w:rPr>
              <w:t>Tufts</w:t>
            </w:r>
            <w:r>
              <w:rPr>
                <w:spacing w:val="-2"/>
                <w:sz w:val="20"/>
              </w:rPr>
              <w:t xml:space="preserve"> Medicine</w:t>
            </w:r>
          </w:p>
        </w:tc>
        <w:tc>
          <w:tcPr>
            <w:tcW w:w="1567" w:type="dxa"/>
            <w:shd w:val="clear" w:color="auto" w:fill="D4EBF4"/>
          </w:tcPr>
          <w:p w14:paraId="1C34EE71" w14:textId="77777777" w:rsidR="004C558F" w:rsidRDefault="00461887">
            <w:pPr>
              <w:pStyle w:val="TableParagraph"/>
              <w:spacing w:before="1"/>
              <w:ind w:right="95"/>
              <w:rPr>
                <w:sz w:val="20"/>
              </w:rPr>
            </w:pPr>
            <w:r>
              <w:rPr>
                <w:spacing w:val="-4"/>
                <w:sz w:val="20"/>
              </w:rPr>
              <w:t>2.6%</w:t>
            </w:r>
          </w:p>
        </w:tc>
        <w:tc>
          <w:tcPr>
            <w:tcW w:w="1233" w:type="dxa"/>
            <w:shd w:val="clear" w:color="auto" w:fill="D4EBF4"/>
          </w:tcPr>
          <w:p w14:paraId="1C34EE72" w14:textId="77777777" w:rsidR="004C558F" w:rsidRDefault="00461887">
            <w:pPr>
              <w:pStyle w:val="TableParagraph"/>
              <w:spacing w:before="1"/>
              <w:ind w:right="92"/>
              <w:rPr>
                <w:sz w:val="20"/>
              </w:rPr>
            </w:pPr>
            <w:r>
              <w:rPr>
                <w:spacing w:val="-4"/>
                <w:sz w:val="20"/>
              </w:rPr>
              <w:t>2.8%</w:t>
            </w:r>
          </w:p>
        </w:tc>
        <w:tc>
          <w:tcPr>
            <w:tcW w:w="1175" w:type="dxa"/>
            <w:shd w:val="clear" w:color="auto" w:fill="D4EBF4"/>
          </w:tcPr>
          <w:p w14:paraId="1C34EE73" w14:textId="77777777" w:rsidR="004C558F" w:rsidRDefault="00461887">
            <w:pPr>
              <w:pStyle w:val="TableParagraph"/>
              <w:spacing w:before="1"/>
              <w:ind w:right="96"/>
              <w:rPr>
                <w:sz w:val="20"/>
              </w:rPr>
            </w:pPr>
            <w:r>
              <w:rPr>
                <w:spacing w:val="-4"/>
                <w:sz w:val="20"/>
              </w:rPr>
              <w:t>3.0%</w:t>
            </w:r>
          </w:p>
        </w:tc>
        <w:tc>
          <w:tcPr>
            <w:tcW w:w="1801" w:type="dxa"/>
            <w:shd w:val="clear" w:color="auto" w:fill="D4EBF4"/>
          </w:tcPr>
          <w:p w14:paraId="1C34EE74" w14:textId="77777777" w:rsidR="004C558F" w:rsidRDefault="00461887">
            <w:pPr>
              <w:pStyle w:val="TableParagraph"/>
              <w:spacing w:before="1"/>
              <w:ind w:right="92"/>
              <w:rPr>
                <w:sz w:val="20"/>
              </w:rPr>
            </w:pPr>
            <w:r>
              <w:rPr>
                <w:spacing w:val="-4"/>
                <w:sz w:val="20"/>
              </w:rPr>
              <w:t>2.3%</w:t>
            </w:r>
          </w:p>
        </w:tc>
      </w:tr>
      <w:tr w:rsidR="004C558F" w14:paraId="1C34EE7B" w14:textId="77777777" w:rsidTr="00C24152">
        <w:trPr>
          <w:cantSplit/>
          <w:trHeight w:val="261"/>
        </w:trPr>
        <w:tc>
          <w:tcPr>
            <w:tcW w:w="4382" w:type="dxa"/>
          </w:tcPr>
          <w:p w14:paraId="1C34EE76" w14:textId="77777777" w:rsidR="004C558F" w:rsidRDefault="00461887">
            <w:pPr>
              <w:pStyle w:val="TableParagraph"/>
              <w:spacing w:before="1"/>
              <w:ind w:left="439"/>
              <w:jc w:val="left"/>
              <w:rPr>
                <w:sz w:val="20"/>
              </w:rPr>
            </w:pPr>
            <w:r>
              <w:rPr>
                <w:sz w:val="20"/>
              </w:rPr>
              <w:t>Tufts</w:t>
            </w:r>
            <w:r>
              <w:rPr>
                <w:spacing w:val="-6"/>
                <w:sz w:val="20"/>
              </w:rPr>
              <w:t xml:space="preserve"> </w:t>
            </w:r>
            <w:r>
              <w:rPr>
                <w:sz w:val="20"/>
              </w:rPr>
              <w:t>Medical</w:t>
            </w:r>
            <w:r>
              <w:rPr>
                <w:spacing w:val="-7"/>
                <w:sz w:val="20"/>
              </w:rPr>
              <w:t xml:space="preserve"> </w:t>
            </w:r>
            <w:r>
              <w:rPr>
                <w:spacing w:val="-2"/>
                <w:sz w:val="20"/>
              </w:rPr>
              <w:t>Center</w:t>
            </w:r>
          </w:p>
        </w:tc>
        <w:tc>
          <w:tcPr>
            <w:tcW w:w="1567" w:type="dxa"/>
          </w:tcPr>
          <w:p w14:paraId="1C34EE77" w14:textId="77777777" w:rsidR="004C558F" w:rsidRDefault="00461887">
            <w:pPr>
              <w:pStyle w:val="TableParagraph"/>
              <w:spacing w:before="1"/>
              <w:ind w:right="95"/>
              <w:rPr>
                <w:sz w:val="20"/>
              </w:rPr>
            </w:pPr>
            <w:r>
              <w:rPr>
                <w:spacing w:val="-4"/>
                <w:sz w:val="20"/>
              </w:rPr>
              <w:t>1.6%</w:t>
            </w:r>
          </w:p>
        </w:tc>
        <w:tc>
          <w:tcPr>
            <w:tcW w:w="1233" w:type="dxa"/>
          </w:tcPr>
          <w:p w14:paraId="1C34EE78" w14:textId="77777777" w:rsidR="004C558F" w:rsidRDefault="00461887">
            <w:pPr>
              <w:pStyle w:val="TableParagraph"/>
              <w:spacing w:before="1"/>
              <w:ind w:right="92"/>
              <w:rPr>
                <w:sz w:val="20"/>
              </w:rPr>
            </w:pPr>
            <w:r>
              <w:rPr>
                <w:spacing w:val="-4"/>
                <w:sz w:val="20"/>
              </w:rPr>
              <w:t>1.7%</w:t>
            </w:r>
          </w:p>
        </w:tc>
        <w:tc>
          <w:tcPr>
            <w:tcW w:w="1175" w:type="dxa"/>
          </w:tcPr>
          <w:p w14:paraId="1C34EE79" w14:textId="77777777" w:rsidR="004C558F" w:rsidRDefault="00461887">
            <w:pPr>
              <w:pStyle w:val="TableParagraph"/>
              <w:spacing w:before="1"/>
              <w:ind w:right="96"/>
              <w:rPr>
                <w:sz w:val="20"/>
              </w:rPr>
            </w:pPr>
            <w:r>
              <w:rPr>
                <w:spacing w:val="-4"/>
                <w:sz w:val="20"/>
              </w:rPr>
              <w:t>0.3%</w:t>
            </w:r>
          </w:p>
        </w:tc>
        <w:tc>
          <w:tcPr>
            <w:tcW w:w="1801" w:type="dxa"/>
          </w:tcPr>
          <w:p w14:paraId="1C34EE7A" w14:textId="77777777" w:rsidR="004C558F" w:rsidRDefault="00461887">
            <w:pPr>
              <w:pStyle w:val="TableParagraph"/>
              <w:spacing w:before="1"/>
              <w:ind w:right="92"/>
              <w:rPr>
                <w:sz w:val="20"/>
              </w:rPr>
            </w:pPr>
            <w:r>
              <w:rPr>
                <w:spacing w:val="-4"/>
                <w:sz w:val="20"/>
              </w:rPr>
              <w:t>0.7%</w:t>
            </w:r>
          </w:p>
        </w:tc>
      </w:tr>
      <w:tr w:rsidR="004C558F" w14:paraId="1C34EE81" w14:textId="77777777" w:rsidTr="00C24152">
        <w:trPr>
          <w:cantSplit/>
          <w:trHeight w:val="261"/>
        </w:trPr>
        <w:tc>
          <w:tcPr>
            <w:tcW w:w="4382" w:type="dxa"/>
          </w:tcPr>
          <w:p w14:paraId="1C34EE7C" w14:textId="77777777" w:rsidR="004C558F" w:rsidRDefault="00461887">
            <w:pPr>
              <w:pStyle w:val="TableParagraph"/>
              <w:spacing w:before="1"/>
              <w:ind w:left="439"/>
              <w:jc w:val="left"/>
              <w:rPr>
                <w:sz w:val="20"/>
              </w:rPr>
            </w:pPr>
            <w:r>
              <w:rPr>
                <w:sz w:val="20"/>
              </w:rPr>
              <w:t>Lowell</w:t>
            </w:r>
            <w:r>
              <w:rPr>
                <w:spacing w:val="-8"/>
                <w:sz w:val="20"/>
              </w:rPr>
              <w:t xml:space="preserve"> </w:t>
            </w:r>
            <w:r>
              <w:rPr>
                <w:sz w:val="20"/>
              </w:rPr>
              <w:t>General</w:t>
            </w:r>
            <w:r>
              <w:rPr>
                <w:spacing w:val="-7"/>
                <w:sz w:val="20"/>
              </w:rPr>
              <w:t xml:space="preserve"> </w:t>
            </w:r>
            <w:r>
              <w:rPr>
                <w:spacing w:val="-2"/>
                <w:sz w:val="20"/>
              </w:rPr>
              <w:t>Hospital</w:t>
            </w:r>
          </w:p>
        </w:tc>
        <w:tc>
          <w:tcPr>
            <w:tcW w:w="1567" w:type="dxa"/>
          </w:tcPr>
          <w:p w14:paraId="1C34EE7D" w14:textId="77777777" w:rsidR="004C558F" w:rsidRDefault="00461887">
            <w:pPr>
              <w:pStyle w:val="TableParagraph"/>
              <w:spacing w:before="1"/>
              <w:ind w:right="95"/>
              <w:rPr>
                <w:sz w:val="20"/>
              </w:rPr>
            </w:pPr>
            <w:r>
              <w:rPr>
                <w:spacing w:val="-4"/>
                <w:sz w:val="20"/>
              </w:rPr>
              <w:t>0.9%</w:t>
            </w:r>
          </w:p>
        </w:tc>
        <w:tc>
          <w:tcPr>
            <w:tcW w:w="1233" w:type="dxa"/>
          </w:tcPr>
          <w:p w14:paraId="1C34EE7E" w14:textId="77777777" w:rsidR="004C558F" w:rsidRDefault="00461887">
            <w:pPr>
              <w:pStyle w:val="TableParagraph"/>
              <w:spacing w:before="1"/>
              <w:ind w:right="92"/>
              <w:rPr>
                <w:sz w:val="20"/>
              </w:rPr>
            </w:pPr>
            <w:r>
              <w:rPr>
                <w:spacing w:val="-4"/>
                <w:sz w:val="20"/>
              </w:rPr>
              <w:t>1.0%</w:t>
            </w:r>
          </w:p>
        </w:tc>
        <w:tc>
          <w:tcPr>
            <w:tcW w:w="1175" w:type="dxa"/>
          </w:tcPr>
          <w:p w14:paraId="1C34EE7F" w14:textId="77777777" w:rsidR="004C558F" w:rsidRDefault="00461887">
            <w:pPr>
              <w:pStyle w:val="TableParagraph"/>
              <w:spacing w:before="1"/>
              <w:ind w:right="96"/>
              <w:rPr>
                <w:sz w:val="20"/>
              </w:rPr>
            </w:pPr>
            <w:r>
              <w:rPr>
                <w:spacing w:val="-4"/>
                <w:sz w:val="20"/>
              </w:rPr>
              <w:t>1.8%</w:t>
            </w:r>
          </w:p>
        </w:tc>
        <w:tc>
          <w:tcPr>
            <w:tcW w:w="1801" w:type="dxa"/>
          </w:tcPr>
          <w:p w14:paraId="1C34EE80" w14:textId="77777777" w:rsidR="004C558F" w:rsidRDefault="00461887">
            <w:pPr>
              <w:pStyle w:val="TableParagraph"/>
              <w:spacing w:before="1"/>
              <w:ind w:right="92"/>
              <w:rPr>
                <w:sz w:val="20"/>
              </w:rPr>
            </w:pPr>
            <w:r>
              <w:rPr>
                <w:spacing w:val="-4"/>
                <w:sz w:val="20"/>
              </w:rPr>
              <w:t>0.4%</w:t>
            </w:r>
          </w:p>
        </w:tc>
      </w:tr>
      <w:tr w:rsidR="004C558F" w14:paraId="1C34EE87" w14:textId="77777777" w:rsidTr="00C24152">
        <w:trPr>
          <w:cantSplit/>
          <w:trHeight w:val="261"/>
        </w:trPr>
        <w:tc>
          <w:tcPr>
            <w:tcW w:w="4382" w:type="dxa"/>
          </w:tcPr>
          <w:p w14:paraId="1C34EE82" w14:textId="77777777" w:rsidR="004C558F" w:rsidRDefault="00461887">
            <w:pPr>
              <w:pStyle w:val="TableParagraph"/>
              <w:spacing w:before="1"/>
              <w:ind w:left="439"/>
              <w:jc w:val="left"/>
              <w:rPr>
                <w:sz w:val="20"/>
              </w:rPr>
            </w:pPr>
            <w:proofErr w:type="spellStart"/>
            <w:r>
              <w:rPr>
                <w:spacing w:val="-2"/>
                <w:sz w:val="20"/>
              </w:rPr>
              <w:t>MelroseWakefield</w:t>
            </w:r>
            <w:proofErr w:type="spellEnd"/>
            <w:r>
              <w:rPr>
                <w:spacing w:val="15"/>
                <w:sz w:val="20"/>
              </w:rPr>
              <w:t xml:space="preserve"> </w:t>
            </w:r>
            <w:r>
              <w:rPr>
                <w:spacing w:val="-2"/>
                <w:sz w:val="20"/>
              </w:rPr>
              <w:t>Hospital</w:t>
            </w:r>
          </w:p>
        </w:tc>
        <w:tc>
          <w:tcPr>
            <w:tcW w:w="1567" w:type="dxa"/>
          </w:tcPr>
          <w:p w14:paraId="1C34EE83" w14:textId="77777777" w:rsidR="004C558F" w:rsidRDefault="00461887">
            <w:pPr>
              <w:pStyle w:val="TableParagraph"/>
              <w:spacing w:before="1"/>
              <w:ind w:right="95"/>
              <w:rPr>
                <w:sz w:val="20"/>
              </w:rPr>
            </w:pPr>
            <w:r>
              <w:rPr>
                <w:spacing w:val="-4"/>
                <w:sz w:val="20"/>
              </w:rPr>
              <w:t>0.0%</w:t>
            </w:r>
          </w:p>
        </w:tc>
        <w:tc>
          <w:tcPr>
            <w:tcW w:w="1233" w:type="dxa"/>
          </w:tcPr>
          <w:p w14:paraId="1C34EE84" w14:textId="77777777" w:rsidR="004C558F" w:rsidRDefault="00461887">
            <w:pPr>
              <w:pStyle w:val="TableParagraph"/>
              <w:spacing w:before="1"/>
              <w:ind w:right="92"/>
              <w:rPr>
                <w:sz w:val="20"/>
              </w:rPr>
            </w:pPr>
            <w:r>
              <w:rPr>
                <w:spacing w:val="-4"/>
                <w:sz w:val="20"/>
              </w:rPr>
              <w:t>0.1%</w:t>
            </w:r>
          </w:p>
        </w:tc>
        <w:tc>
          <w:tcPr>
            <w:tcW w:w="1175" w:type="dxa"/>
          </w:tcPr>
          <w:p w14:paraId="1C34EE85" w14:textId="77777777" w:rsidR="004C558F" w:rsidRDefault="00461887">
            <w:pPr>
              <w:pStyle w:val="TableParagraph"/>
              <w:spacing w:before="1"/>
              <w:ind w:right="96"/>
              <w:rPr>
                <w:sz w:val="20"/>
              </w:rPr>
            </w:pPr>
            <w:r>
              <w:rPr>
                <w:spacing w:val="-4"/>
                <w:sz w:val="20"/>
              </w:rPr>
              <w:t>0.9%</w:t>
            </w:r>
          </w:p>
        </w:tc>
        <w:tc>
          <w:tcPr>
            <w:tcW w:w="1801" w:type="dxa"/>
          </w:tcPr>
          <w:p w14:paraId="1C34EE86" w14:textId="77777777" w:rsidR="004C558F" w:rsidRDefault="00461887">
            <w:pPr>
              <w:pStyle w:val="TableParagraph"/>
              <w:spacing w:before="1"/>
              <w:ind w:right="92"/>
              <w:rPr>
                <w:sz w:val="20"/>
              </w:rPr>
            </w:pPr>
            <w:r>
              <w:rPr>
                <w:spacing w:val="-4"/>
                <w:sz w:val="20"/>
              </w:rPr>
              <w:t>1.1%</w:t>
            </w:r>
          </w:p>
        </w:tc>
      </w:tr>
      <w:tr w:rsidR="004C558F" w14:paraId="1C34EE8D" w14:textId="77777777" w:rsidTr="00C24152">
        <w:trPr>
          <w:cantSplit/>
          <w:trHeight w:val="261"/>
        </w:trPr>
        <w:tc>
          <w:tcPr>
            <w:tcW w:w="4382" w:type="dxa"/>
            <w:shd w:val="clear" w:color="auto" w:fill="D4EBF4"/>
          </w:tcPr>
          <w:p w14:paraId="1C34EE88" w14:textId="77777777" w:rsidR="004C558F" w:rsidRDefault="00461887">
            <w:pPr>
              <w:pStyle w:val="TableParagraph"/>
              <w:spacing w:before="1"/>
              <w:ind w:left="107"/>
              <w:jc w:val="left"/>
              <w:rPr>
                <w:sz w:val="20"/>
              </w:rPr>
            </w:pPr>
            <w:r>
              <w:rPr>
                <w:sz w:val="20"/>
              </w:rPr>
              <w:t>Cape</w:t>
            </w:r>
            <w:r>
              <w:rPr>
                <w:spacing w:val="-3"/>
                <w:sz w:val="20"/>
              </w:rPr>
              <w:t xml:space="preserve"> </w:t>
            </w:r>
            <w:r>
              <w:rPr>
                <w:sz w:val="20"/>
              </w:rPr>
              <w:t>Cod</w:t>
            </w:r>
            <w:r>
              <w:rPr>
                <w:spacing w:val="-4"/>
                <w:sz w:val="20"/>
              </w:rPr>
              <w:t xml:space="preserve"> </w:t>
            </w:r>
            <w:r>
              <w:rPr>
                <w:spacing w:val="-2"/>
                <w:sz w:val="20"/>
              </w:rPr>
              <w:t>Healthcare</w:t>
            </w:r>
          </w:p>
        </w:tc>
        <w:tc>
          <w:tcPr>
            <w:tcW w:w="1567" w:type="dxa"/>
            <w:shd w:val="clear" w:color="auto" w:fill="D4EBF4"/>
          </w:tcPr>
          <w:p w14:paraId="1C34EE89" w14:textId="77777777" w:rsidR="004C558F" w:rsidRDefault="00461887">
            <w:pPr>
              <w:pStyle w:val="TableParagraph"/>
              <w:spacing w:before="1"/>
              <w:ind w:right="95"/>
              <w:rPr>
                <w:sz w:val="20"/>
              </w:rPr>
            </w:pPr>
            <w:r>
              <w:rPr>
                <w:spacing w:val="-4"/>
                <w:sz w:val="20"/>
              </w:rPr>
              <w:t>1.7%</w:t>
            </w:r>
          </w:p>
        </w:tc>
        <w:tc>
          <w:tcPr>
            <w:tcW w:w="1233" w:type="dxa"/>
            <w:shd w:val="clear" w:color="auto" w:fill="D4EBF4"/>
          </w:tcPr>
          <w:p w14:paraId="1C34EE8A" w14:textId="77777777" w:rsidR="004C558F" w:rsidRDefault="00461887">
            <w:pPr>
              <w:pStyle w:val="TableParagraph"/>
              <w:spacing w:before="1"/>
              <w:ind w:right="92"/>
              <w:rPr>
                <w:sz w:val="20"/>
              </w:rPr>
            </w:pPr>
            <w:r>
              <w:rPr>
                <w:spacing w:val="-4"/>
                <w:sz w:val="20"/>
              </w:rPr>
              <w:t>1.9%</w:t>
            </w:r>
          </w:p>
        </w:tc>
        <w:tc>
          <w:tcPr>
            <w:tcW w:w="1175" w:type="dxa"/>
            <w:shd w:val="clear" w:color="auto" w:fill="D4EBF4"/>
          </w:tcPr>
          <w:p w14:paraId="1C34EE8B" w14:textId="77777777" w:rsidR="004C558F" w:rsidRDefault="00461887">
            <w:pPr>
              <w:pStyle w:val="TableParagraph"/>
              <w:spacing w:before="1"/>
              <w:ind w:right="96"/>
              <w:rPr>
                <w:sz w:val="20"/>
              </w:rPr>
            </w:pPr>
            <w:r>
              <w:rPr>
                <w:spacing w:val="-4"/>
                <w:sz w:val="20"/>
              </w:rPr>
              <w:t>3.4%</w:t>
            </w:r>
          </w:p>
        </w:tc>
        <w:tc>
          <w:tcPr>
            <w:tcW w:w="1801" w:type="dxa"/>
            <w:shd w:val="clear" w:color="auto" w:fill="D4EBF4"/>
          </w:tcPr>
          <w:p w14:paraId="1C34EE8C" w14:textId="77777777" w:rsidR="004C558F" w:rsidRDefault="00461887">
            <w:pPr>
              <w:pStyle w:val="TableParagraph"/>
              <w:spacing w:before="1"/>
              <w:ind w:right="92"/>
              <w:rPr>
                <w:sz w:val="20"/>
              </w:rPr>
            </w:pPr>
            <w:r>
              <w:rPr>
                <w:spacing w:val="-4"/>
                <w:sz w:val="20"/>
              </w:rPr>
              <w:t>0.3%</w:t>
            </w:r>
          </w:p>
        </w:tc>
      </w:tr>
      <w:tr w:rsidR="004C558F" w14:paraId="1C34EE93" w14:textId="77777777" w:rsidTr="00C24152">
        <w:trPr>
          <w:cantSplit/>
          <w:trHeight w:val="261"/>
        </w:trPr>
        <w:tc>
          <w:tcPr>
            <w:tcW w:w="4382" w:type="dxa"/>
          </w:tcPr>
          <w:p w14:paraId="1C34EE8E" w14:textId="77777777" w:rsidR="004C558F" w:rsidRDefault="00461887">
            <w:pPr>
              <w:pStyle w:val="TableParagraph"/>
              <w:spacing w:before="1"/>
              <w:ind w:left="439"/>
              <w:jc w:val="left"/>
              <w:rPr>
                <w:sz w:val="20"/>
              </w:rPr>
            </w:pPr>
            <w:r>
              <w:rPr>
                <w:sz w:val="20"/>
              </w:rPr>
              <w:t>Cape</w:t>
            </w:r>
            <w:r>
              <w:rPr>
                <w:spacing w:val="-6"/>
                <w:sz w:val="20"/>
              </w:rPr>
              <w:t xml:space="preserve"> </w:t>
            </w:r>
            <w:r>
              <w:rPr>
                <w:sz w:val="20"/>
              </w:rPr>
              <w:t>Cod</w:t>
            </w:r>
            <w:r>
              <w:rPr>
                <w:spacing w:val="-3"/>
                <w:sz w:val="20"/>
              </w:rPr>
              <w:t xml:space="preserve"> </w:t>
            </w:r>
            <w:r>
              <w:rPr>
                <w:spacing w:val="-2"/>
                <w:sz w:val="20"/>
              </w:rPr>
              <w:t>Hospital</w:t>
            </w:r>
          </w:p>
        </w:tc>
        <w:tc>
          <w:tcPr>
            <w:tcW w:w="1567" w:type="dxa"/>
          </w:tcPr>
          <w:p w14:paraId="1C34EE8F" w14:textId="77777777" w:rsidR="004C558F" w:rsidRDefault="00461887">
            <w:pPr>
              <w:pStyle w:val="TableParagraph"/>
              <w:spacing w:before="1"/>
              <w:ind w:right="95"/>
              <w:rPr>
                <w:sz w:val="20"/>
              </w:rPr>
            </w:pPr>
            <w:r>
              <w:rPr>
                <w:spacing w:val="-4"/>
                <w:sz w:val="20"/>
              </w:rPr>
              <w:t>1.7%</w:t>
            </w:r>
          </w:p>
        </w:tc>
        <w:tc>
          <w:tcPr>
            <w:tcW w:w="1233" w:type="dxa"/>
          </w:tcPr>
          <w:p w14:paraId="1C34EE90" w14:textId="77777777" w:rsidR="004C558F" w:rsidRDefault="00461887">
            <w:pPr>
              <w:pStyle w:val="TableParagraph"/>
              <w:spacing w:before="1"/>
              <w:ind w:right="92"/>
              <w:rPr>
                <w:sz w:val="20"/>
              </w:rPr>
            </w:pPr>
            <w:r>
              <w:rPr>
                <w:spacing w:val="-4"/>
                <w:sz w:val="20"/>
              </w:rPr>
              <w:t>1.8%</w:t>
            </w:r>
          </w:p>
        </w:tc>
        <w:tc>
          <w:tcPr>
            <w:tcW w:w="1175" w:type="dxa"/>
          </w:tcPr>
          <w:p w14:paraId="1C34EE91" w14:textId="77777777" w:rsidR="004C558F" w:rsidRDefault="00461887">
            <w:pPr>
              <w:pStyle w:val="TableParagraph"/>
              <w:spacing w:before="1"/>
              <w:ind w:right="96"/>
              <w:rPr>
                <w:sz w:val="20"/>
              </w:rPr>
            </w:pPr>
            <w:r>
              <w:rPr>
                <w:spacing w:val="-4"/>
                <w:sz w:val="20"/>
              </w:rPr>
              <w:t>3.4%</w:t>
            </w:r>
          </w:p>
        </w:tc>
        <w:tc>
          <w:tcPr>
            <w:tcW w:w="1801" w:type="dxa"/>
          </w:tcPr>
          <w:p w14:paraId="1C34EE92" w14:textId="77777777" w:rsidR="004C558F" w:rsidRDefault="00461887">
            <w:pPr>
              <w:pStyle w:val="TableParagraph"/>
              <w:spacing w:before="1"/>
              <w:ind w:right="92"/>
              <w:rPr>
                <w:sz w:val="20"/>
              </w:rPr>
            </w:pPr>
            <w:r>
              <w:rPr>
                <w:spacing w:val="-4"/>
                <w:sz w:val="20"/>
              </w:rPr>
              <w:t>0.3%</w:t>
            </w:r>
          </w:p>
        </w:tc>
      </w:tr>
      <w:tr w:rsidR="004C558F" w14:paraId="1C34EE99" w14:textId="77777777" w:rsidTr="00C24152">
        <w:trPr>
          <w:cantSplit/>
          <w:trHeight w:val="261"/>
        </w:trPr>
        <w:tc>
          <w:tcPr>
            <w:tcW w:w="4382" w:type="dxa"/>
            <w:shd w:val="clear" w:color="auto" w:fill="D4EBF4"/>
          </w:tcPr>
          <w:p w14:paraId="1C34EE94" w14:textId="77777777" w:rsidR="004C558F" w:rsidRDefault="00461887">
            <w:pPr>
              <w:pStyle w:val="TableParagraph"/>
              <w:spacing w:before="1"/>
              <w:ind w:left="107"/>
              <w:jc w:val="left"/>
              <w:rPr>
                <w:sz w:val="20"/>
              </w:rPr>
            </w:pPr>
            <w:r>
              <w:rPr>
                <w:sz w:val="20"/>
              </w:rPr>
              <w:t>Mercy</w:t>
            </w:r>
            <w:r>
              <w:rPr>
                <w:spacing w:val="-7"/>
                <w:sz w:val="20"/>
              </w:rPr>
              <w:t xml:space="preserve"> </w:t>
            </w:r>
            <w:r>
              <w:rPr>
                <w:sz w:val="20"/>
              </w:rPr>
              <w:t>Medical</w:t>
            </w:r>
            <w:r>
              <w:rPr>
                <w:spacing w:val="-5"/>
                <w:sz w:val="20"/>
              </w:rPr>
              <w:t xml:space="preserve"> </w:t>
            </w:r>
            <w:r>
              <w:rPr>
                <w:spacing w:val="-2"/>
                <w:sz w:val="20"/>
              </w:rPr>
              <w:t>Center</w:t>
            </w:r>
          </w:p>
        </w:tc>
        <w:tc>
          <w:tcPr>
            <w:tcW w:w="1567" w:type="dxa"/>
            <w:shd w:val="clear" w:color="auto" w:fill="D4EBF4"/>
          </w:tcPr>
          <w:p w14:paraId="1C34EE95" w14:textId="77777777" w:rsidR="004C558F" w:rsidRDefault="00461887">
            <w:pPr>
              <w:pStyle w:val="TableParagraph"/>
              <w:spacing w:before="1"/>
              <w:ind w:right="95"/>
              <w:rPr>
                <w:sz w:val="20"/>
              </w:rPr>
            </w:pPr>
            <w:r>
              <w:rPr>
                <w:spacing w:val="-4"/>
                <w:sz w:val="20"/>
              </w:rPr>
              <w:t>1.5%</w:t>
            </w:r>
          </w:p>
        </w:tc>
        <w:tc>
          <w:tcPr>
            <w:tcW w:w="1233" w:type="dxa"/>
            <w:shd w:val="clear" w:color="auto" w:fill="D4EBF4"/>
          </w:tcPr>
          <w:p w14:paraId="1C34EE96" w14:textId="77777777" w:rsidR="004C558F" w:rsidRDefault="00461887">
            <w:pPr>
              <w:pStyle w:val="TableParagraph"/>
              <w:spacing w:before="1"/>
              <w:ind w:right="92"/>
              <w:rPr>
                <w:sz w:val="20"/>
              </w:rPr>
            </w:pPr>
            <w:r>
              <w:rPr>
                <w:spacing w:val="-4"/>
                <w:sz w:val="20"/>
              </w:rPr>
              <w:t>1.0%</w:t>
            </w:r>
          </w:p>
        </w:tc>
        <w:tc>
          <w:tcPr>
            <w:tcW w:w="1175" w:type="dxa"/>
            <w:shd w:val="clear" w:color="auto" w:fill="D4EBF4"/>
          </w:tcPr>
          <w:p w14:paraId="1C34EE97" w14:textId="77777777" w:rsidR="004C558F" w:rsidRDefault="00461887">
            <w:pPr>
              <w:pStyle w:val="TableParagraph"/>
              <w:spacing w:before="1"/>
              <w:ind w:right="96"/>
              <w:rPr>
                <w:sz w:val="20"/>
              </w:rPr>
            </w:pPr>
            <w:r>
              <w:rPr>
                <w:spacing w:val="-4"/>
                <w:sz w:val="20"/>
              </w:rPr>
              <w:t>2.1%</w:t>
            </w:r>
          </w:p>
        </w:tc>
        <w:tc>
          <w:tcPr>
            <w:tcW w:w="1801" w:type="dxa"/>
            <w:shd w:val="clear" w:color="auto" w:fill="D4EBF4"/>
          </w:tcPr>
          <w:p w14:paraId="1C34EE98" w14:textId="77777777" w:rsidR="004C558F" w:rsidRDefault="00461887">
            <w:pPr>
              <w:pStyle w:val="TableParagraph"/>
              <w:spacing w:before="1"/>
              <w:ind w:right="92"/>
              <w:rPr>
                <w:sz w:val="20"/>
              </w:rPr>
            </w:pPr>
            <w:r>
              <w:rPr>
                <w:spacing w:val="-4"/>
                <w:sz w:val="20"/>
              </w:rPr>
              <w:t>0.1%</w:t>
            </w:r>
          </w:p>
        </w:tc>
      </w:tr>
      <w:tr w:rsidR="004C558F" w14:paraId="1C34EE9F" w14:textId="77777777" w:rsidTr="00C24152">
        <w:trPr>
          <w:cantSplit/>
          <w:trHeight w:val="261"/>
        </w:trPr>
        <w:tc>
          <w:tcPr>
            <w:tcW w:w="4382" w:type="dxa"/>
            <w:shd w:val="clear" w:color="auto" w:fill="D4EBF4"/>
          </w:tcPr>
          <w:p w14:paraId="1C34EE9A" w14:textId="77777777" w:rsidR="004C558F" w:rsidRDefault="00461887">
            <w:pPr>
              <w:pStyle w:val="TableParagraph"/>
              <w:spacing w:before="1"/>
              <w:ind w:left="107"/>
              <w:jc w:val="left"/>
              <w:rPr>
                <w:sz w:val="20"/>
              </w:rPr>
            </w:pPr>
            <w:r>
              <w:rPr>
                <w:sz w:val="20"/>
              </w:rPr>
              <w:t>Berkshire</w:t>
            </w:r>
            <w:r>
              <w:rPr>
                <w:spacing w:val="-7"/>
                <w:sz w:val="20"/>
              </w:rPr>
              <w:t xml:space="preserve"> </w:t>
            </w:r>
            <w:r>
              <w:rPr>
                <w:sz w:val="20"/>
              </w:rPr>
              <w:t>Health</w:t>
            </w:r>
            <w:r>
              <w:rPr>
                <w:spacing w:val="-5"/>
                <w:sz w:val="20"/>
              </w:rPr>
              <w:t xml:space="preserve"> </w:t>
            </w:r>
            <w:r>
              <w:rPr>
                <w:spacing w:val="-2"/>
                <w:sz w:val="20"/>
              </w:rPr>
              <w:t>Systems</w:t>
            </w:r>
          </w:p>
        </w:tc>
        <w:tc>
          <w:tcPr>
            <w:tcW w:w="1567" w:type="dxa"/>
            <w:shd w:val="clear" w:color="auto" w:fill="D4EBF4"/>
          </w:tcPr>
          <w:p w14:paraId="1C34EE9B" w14:textId="77777777" w:rsidR="004C558F" w:rsidRDefault="00461887">
            <w:pPr>
              <w:pStyle w:val="TableParagraph"/>
              <w:spacing w:before="1"/>
              <w:ind w:right="95"/>
              <w:rPr>
                <w:sz w:val="20"/>
              </w:rPr>
            </w:pPr>
            <w:r>
              <w:rPr>
                <w:spacing w:val="-4"/>
                <w:sz w:val="20"/>
              </w:rPr>
              <w:t>1.5%</w:t>
            </w:r>
          </w:p>
        </w:tc>
        <w:tc>
          <w:tcPr>
            <w:tcW w:w="1233" w:type="dxa"/>
            <w:shd w:val="clear" w:color="auto" w:fill="D4EBF4"/>
          </w:tcPr>
          <w:p w14:paraId="1C34EE9C" w14:textId="77777777" w:rsidR="004C558F" w:rsidRDefault="00461887">
            <w:pPr>
              <w:pStyle w:val="TableParagraph"/>
              <w:spacing w:before="1"/>
              <w:ind w:right="92"/>
              <w:rPr>
                <w:sz w:val="20"/>
              </w:rPr>
            </w:pPr>
            <w:r>
              <w:rPr>
                <w:spacing w:val="-4"/>
                <w:sz w:val="20"/>
              </w:rPr>
              <w:t>1.6%</w:t>
            </w:r>
          </w:p>
        </w:tc>
        <w:tc>
          <w:tcPr>
            <w:tcW w:w="1175" w:type="dxa"/>
            <w:shd w:val="clear" w:color="auto" w:fill="D4EBF4"/>
          </w:tcPr>
          <w:p w14:paraId="1C34EE9D" w14:textId="77777777" w:rsidR="004C558F" w:rsidRDefault="00461887">
            <w:pPr>
              <w:pStyle w:val="TableParagraph"/>
              <w:spacing w:before="1"/>
              <w:ind w:right="96"/>
              <w:rPr>
                <w:sz w:val="20"/>
              </w:rPr>
            </w:pPr>
            <w:r>
              <w:rPr>
                <w:spacing w:val="-4"/>
                <w:sz w:val="20"/>
              </w:rPr>
              <w:t>1.4%</w:t>
            </w:r>
          </w:p>
        </w:tc>
        <w:tc>
          <w:tcPr>
            <w:tcW w:w="1801" w:type="dxa"/>
            <w:shd w:val="clear" w:color="auto" w:fill="D4EBF4"/>
          </w:tcPr>
          <w:p w14:paraId="1C34EE9E" w14:textId="77777777" w:rsidR="004C558F" w:rsidRDefault="00461887">
            <w:pPr>
              <w:pStyle w:val="TableParagraph"/>
              <w:spacing w:before="1"/>
              <w:ind w:right="92"/>
              <w:rPr>
                <w:sz w:val="20"/>
              </w:rPr>
            </w:pPr>
            <w:r>
              <w:rPr>
                <w:spacing w:val="-4"/>
                <w:sz w:val="20"/>
              </w:rPr>
              <w:t>0.4%</w:t>
            </w:r>
          </w:p>
        </w:tc>
      </w:tr>
      <w:tr w:rsidR="004C558F" w14:paraId="1C34EEA5" w14:textId="77777777" w:rsidTr="00C24152">
        <w:trPr>
          <w:cantSplit/>
          <w:trHeight w:val="258"/>
        </w:trPr>
        <w:tc>
          <w:tcPr>
            <w:tcW w:w="4382" w:type="dxa"/>
          </w:tcPr>
          <w:p w14:paraId="1C34EEA0" w14:textId="77777777" w:rsidR="004C558F" w:rsidRDefault="00461887">
            <w:pPr>
              <w:pStyle w:val="TableParagraph"/>
              <w:spacing w:before="1"/>
              <w:ind w:left="439"/>
              <w:jc w:val="left"/>
              <w:rPr>
                <w:sz w:val="20"/>
              </w:rPr>
            </w:pPr>
            <w:r>
              <w:rPr>
                <w:sz w:val="20"/>
              </w:rPr>
              <w:t>Berkshire</w:t>
            </w:r>
            <w:r>
              <w:rPr>
                <w:spacing w:val="-11"/>
                <w:sz w:val="20"/>
              </w:rPr>
              <w:t xml:space="preserve"> </w:t>
            </w:r>
            <w:r>
              <w:rPr>
                <w:sz w:val="20"/>
              </w:rPr>
              <w:t>Medical</w:t>
            </w:r>
            <w:r>
              <w:rPr>
                <w:spacing w:val="-7"/>
                <w:sz w:val="20"/>
              </w:rPr>
              <w:t xml:space="preserve"> </w:t>
            </w:r>
            <w:r>
              <w:rPr>
                <w:spacing w:val="-2"/>
                <w:sz w:val="20"/>
              </w:rPr>
              <w:t>Center</w:t>
            </w:r>
          </w:p>
        </w:tc>
        <w:tc>
          <w:tcPr>
            <w:tcW w:w="1567" w:type="dxa"/>
          </w:tcPr>
          <w:p w14:paraId="1C34EEA1" w14:textId="77777777" w:rsidR="004C558F" w:rsidRDefault="00461887">
            <w:pPr>
              <w:pStyle w:val="TableParagraph"/>
              <w:spacing w:before="1"/>
              <w:ind w:right="95"/>
              <w:rPr>
                <w:sz w:val="20"/>
              </w:rPr>
            </w:pPr>
            <w:r>
              <w:rPr>
                <w:spacing w:val="-4"/>
                <w:sz w:val="20"/>
              </w:rPr>
              <w:t>1.4%</w:t>
            </w:r>
          </w:p>
        </w:tc>
        <w:tc>
          <w:tcPr>
            <w:tcW w:w="1233" w:type="dxa"/>
          </w:tcPr>
          <w:p w14:paraId="1C34EEA2" w14:textId="77777777" w:rsidR="004C558F" w:rsidRDefault="00461887">
            <w:pPr>
              <w:pStyle w:val="TableParagraph"/>
              <w:spacing w:before="1"/>
              <w:ind w:right="92"/>
              <w:rPr>
                <w:sz w:val="20"/>
              </w:rPr>
            </w:pPr>
            <w:r>
              <w:rPr>
                <w:spacing w:val="-4"/>
                <w:sz w:val="20"/>
              </w:rPr>
              <w:t>1.6%</w:t>
            </w:r>
          </w:p>
        </w:tc>
        <w:tc>
          <w:tcPr>
            <w:tcW w:w="1175" w:type="dxa"/>
          </w:tcPr>
          <w:p w14:paraId="1C34EEA3" w14:textId="77777777" w:rsidR="004C558F" w:rsidRDefault="00461887">
            <w:pPr>
              <w:pStyle w:val="TableParagraph"/>
              <w:spacing w:before="1"/>
              <w:ind w:right="96"/>
              <w:rPr>
                <w:sz w:val="20"/>
              </w:rPr>
            </w:pPr>
            <w:r>
              <w:rPr>
                <w:spacing w:val="-4"/>
                <w:sz w:val="20"/>
              </w:rPr>
              <w:t>1.4%</w:t>
            </w:r>
          </w:p>
        </w:tc>
        <w:tc>
          <w:tcPr>
            <w:tcW w:w="1801" w:type="dxa"/>
          </w:tcPr>
          <w:p w14:paraId="1C34EEA4" w14:textId="77777777" w:rsidR="004C558F" w:rsidRDefault="00461887">
            <w:pPr>
              <w:pStyle w:val="TableParagraph"/>
              <w:spacing w:before="1"/>
              <w:ind w:right="92"/>
              <w:rPr>
                <w:sz w:val="20"/>
              </w:rPr>
            </w:pPr>
            <w:r>
              <w:rPr>
                <w:spacing w:val="-4"/>
                <w:sz w:val="20"/>
              </w:rPr>
              <w:t>0.4%</w:t>
            </w:r>
          </w:p>
        </w:tc>
      </w:tr>
      <w:tr w:rsidR="004C558F" w14:paraId="1C34EEAB" w14:textId="77777777" w:rsidTr="00C24152">
        <w:trPr>
          <w:cantSplit/>
          <w:trHeight w:val="261"/>
        </w:trPr>
        <w:tc>
          <w:tcPr>
            <w:tcW w:w="4382" w:type="dxa"/>
            <w:shd w:val="clear" w:color="auto" w:fill="D4EBF4"/>
          </w:tcPr>
          <w:p w14:paraId="1C34EEA6" w14:textId="77777777" w:rsidR="004C558F" w:rsidRDefault="00461887">
            <w:pPr>
              <w:pStyle w:val="TableParagraph"/>
              <w:spacing w:before="3"/>
              <w:ind w:left="107"/>
              <w:jc w:val="left"/>
              <w:rPr>
                <w:sz w:val="20"/>
              </w:rPr>
            </w:pPr>
            <w:r>
              <w:rPr>
                <w:spacing w:val="-2"/>
                <w:sz w:val="20"/>
              </w:rPr>
              <w:t>Southcoast</w:t>
            </w:r>
          </w:p>
        </w:tc>
        <w:tc>
          <w:tcPr>
            <w:tcW w:w="1567" w:type="dxa"/>
            <w:shd w:val="clear" w:color="auto" w:fill="D4EBF4"/>
          </w:tcPr>
          <w:p w14:paraId="1C34EEA7" w14:textId="77777777" w:rsidR="004C558F" w:rsidRDefault="00461887">
            <w:pPr>
              <w:pStyle w:val="TableParagraph"/>
              <w:spacing w:before="3"/>
              <w:ind w:right="95"/>
              <w:rPr>
                <w:sz w:val="20"/>
              </w:rPr>
            </w:pPr>
            <w:r>
              <w:rPr>
                <w:spacing w:val="-4"/>
                <w:sz w:val="20"/>
              </w:rPr>
              <w:t>1.2%</w:t>
            </w:r>
          </w:p>
        </w:tc>
        <w:tc>
          <w:tcPr>
            <w:tcW w:w="1233" w:type="dxa"/>
            <w:shd w:val="clear" w:color="auto" w:fill="D4EBF4"/>
          </w:tcPr>
          <w:p w14:paraId="1C34EEA8" w14:textId="77777777" w:rsidR="004C558F" w:rsidRDefault="00461887">
            <w:pPr>
              <w:pStyle w:val="TableParagraph"/>
              <w:spacing w:before="3"/>
              <w:ind w:right="92"/>
              <w:rPr>
                <w:sz w:val="20"/>
              </w:rPr>
            </w:pPr>
            <w:r>
              <w:rPr>
                <w:spacing w:val="-4"/>
                <w:sz w:val="20"/>
              </w:rPr>
              <w:t>1.3%</w:t>
            </w:r>
          </w:p>
        </w:tc>
        <w:tc>
          <w:tcPr>
            <w:tcW w:w="1175" w:type="dxa"/>
            <w:shd w:val="clear" w:color="auto" w:fill="D4EBF4"/>
          </w:tcPr>
          <w:p w14:paraId="1C34EEA9" w14:textId="77777777" w:rsidR="004C558F" w:rsidRDefault="00461887">
            <w:pPr>
              <w:pStyle w:val="TableParagraph"/>
              <w:spacing w:before="3"/>
              <w:ind w:right="96"/>
              <w:rPr>
                <w:sz w:val="20"/>
              </w:rPr>
            </w:pPr>
            <w:r>
              <w:rPr>
                <w:spacing w:val="-4"/>
                <w:sz w:val="20"/>
              </w:rPr>
              <w:t>2.2%</w:t>
            </w:r>
          </w:p>
        </w:tc>
        <w:tc>
          <w:tcPr>
            <w:tcW w:w="1801" w:type="dxa"/>
            <w:shd w:val="clear" w:color="auto" w:fill="D4EBF4"/>
          </w:tcPr>
          <w:p w14:paraId="1C34EEAA" w14:textId="77777777" w:rsidR="004C558F" w:rsidRDefault="00461887">
            <w:pPr>
              <w:pStyle w:val="TableParagraph"/>
              <w:spacing w:before="3"/>
              <w:ind w:right="92"/>
              <w:rPr>
                <w:sz w:val="20"/>
              </w:rPr>
            </w:pPr>
            <w:r>
              <w:rPr>
                <w:spacing w:val="-4"/>
                <w:sz w:val="20"/>
              </w:rPr>
              <w:t>0.2%</w:t>
            </w:r>
          </w:p>
        </w:tc>
      </w:tr>
      <w:tr w:rsidR="004C558F" w14:paraId="1C34EEB1" w14:textId="77777777" w:rsidTr="00C24152">
        <w:trPr>
          <w:cantSplit/>
          <w:trHeight w:val="261"/>
        </w:trPr>
        <w:tc>
          <w:tcPr>
            <w:tcW w:w="4382" w:type="dxa"/>
            <w:shd w:val="clear" w:color="auto" w:fill="D4EBF4"/>
          </w:tcPr>
          <w:p w14:paraId="1C34EEAC" w14:textId="77777777" w:rsidR="004C558F" w:rsidRDefault="00461887">
            <w:pPr>
              <w:pStyle w:val="TableParagraph"/>
              <w:spacing w:before="3"/>
              <w:ind w:left="107"/>
              <w:jc w:val="left"/>
              <w:rPr>
                <w:sz w:val="20"/>
              </w:rPr>
            </w:pPr>
            <w:r>
              <w:rPr>
                <w:sz w:val="20"/>
              </w:rPr>
              <w:t>Boston</w:t>
            </w:r>
            <w:r>
              <w:rPr>
                <w:spacing w:val="-7"/>
                <w:sz w:val="20"/>
              </w:rPr>
              <w:t xml:space="preserve"> </w:t>
            </w:r>
            <w:r>
              <w:rPr>
                <w:sz w:val="20"/>
              </w:rPr>
              <w:t>Medical</w:t>
            </w:r>
            <w:r>
              <w:rPr>
                <w:spacing w:val="-6"/>
                <w:sz w:val="20"/>
              </w:rPr>
              <w:t xml:space="preserve"> </w:t>
            </w:r>
            <w:r>
              <w:rPr>
                <w:sz w:val="20"/>
              </w:rPr>
              <w:t>Center</w:t>
            </w:r>
            <w:r>
              <w:rPr>
                <w:spacing w:val="-5"/>
                <w:sz w:val="20"/>
              </w:rPr>
              <w:t xml:space="preserve"> </w:t>
            </w:r>
            <w:r>
              <w:rPr>
                <w:sz w:val="20"/>
              </w:rPr>
              <w:t>Health</w:t>
            </w:r>
            <w:r>
              <w:rPr>
                <w:spacing w:val="-6"/>
                <w:sz w:val="20"/>
              </w:rPr>
              <w:t xml:space="preserve"> </w:t>
            </w:r>
            <w:r>
              <w:rPr>
                <w:spacing w:val="-2"/>
                <w:sz w:val="20"/>
              </w:rPr>
              <w:t>System</w:t>
            </w:r>
          </w:p>
        </w:tc>
        <w:tc>
          <w:tcPr>
            <w:tcW w:w="1567" w:type="dxa"/>
            <w:shd w:val="clear" w:color="auto" w:fill="D4EBF4"/>
          </w:tcPr>
          <w:p w14:paraId="1C34EEAD" w14:textId="77777777" w:rsidR="004C558F" w:rsidRDefault="00461887">
            <w:pPr>
              <w:pStyle w:val="TableParagraph"/>
              <w:spacing w:before="3"/>
              <w:ind w:right="95"/>
              <w:rPr>
                <w:sz w:val="20"/>
              </w:rPr>
            </w:pPr>
            <w:r>
              <w:rPr>
                <w:spacing w:val="-4"/>
                <w:sz w:val="20"/>
              </w:rPr>
              <w:t>1.0%</w:t>
            </w:r>
          </w:p>
        </w:tc>
        <w:tc>
          <w:tcPr>
            <w:tcW w:w="1233" w:type="dxa"/>
            <w:shd w:val="clear" w:color="auto" w:fill="D4EBF4"/>
          </w:tcPr>
          <w:p w14:paraId="1C34EEAE" w14:textId="77777777" w:rsidR="004C558F" w:rsidRDefault="00461887">
            <w:pPr>
              <w:pStyle w:val="TableParagraph"/>
              <w:spacing w:before="3"/>
              <w:ind w:right="92"/>
              <w:rPr>
                <w:sz w:val="20"/>
              </w:rPr>
            </w:pPr>
            <w:r>
              <w:rPr>
                <w:spacing w:val="-4"/>
                <w:sz w:val="20"/>
              </w:rPr>
              <w:t>1.4%</w:t>
            </w:r>
          </w:p>
        </w:tc>
        <w:tc>
          <w:tcPr>
            <w:tcW w:w="1175" w:type="dxa"/>
            <w:shd w:val="clear" w:color="auto" w:fill="D4EBF4"/>
          </w:tcPr>
          <w:p w14:paraId="1C34EEAF" w14:textId="77777777" w:rsidR="004C558F" w:rsidRDefault="00461887">
            <w:pPr>
              <w:pStyle w:val="TableParagraph"/>
              <w:spacing w:before="3"/>
              <w:ind w:right="96"/>
              <w:rPr>
                <w:sz w:val="20"/>
              </w:rPr>
            </w:pPr>
            <w:r>
              <w:rPr>
                <w:spacing w:val="-4"/>
                <w:sz w:val="20"/>
              </w:rPr>
              <w:t>0.7%</w:t>
            </w:r>
          </w:p>
        </w:tc>
        <w:tc>
          <w:tcPr>
            <w:tcW w:w="1801" w:type="dxa"/>
            <w:shd w:val="clear" w:color="auto" w:fill="D4EBF4"/>
          </w:tcPr>
          <w:p w14:paraId="1C34EEB0" w14:textId="77777777" w:rsidR="004C558F" w:rsidRDefault="00461887">
            <w:pPr>
              <w:pStyle w:val="TableParagraph"/>
              <w:spacing w:before="3"/>
              <w:ind w:right="92"/>
              <w:rPr>
                <w:sz w:val="20"/>
              </w:rPr>
            </w:pPr>
            <w:r>
              <w:rPr>
                <w:spacing w:val="-4"/>
                <w:sz w:val="20"/>
              </w:rPr>
              <w:t>0.6%</w:t>
            </w:r>
          </w:p>
        </w:tc>
      </w:tr>
      <w:tr w:rsidR="004C558F" w14:paraId="1C34EEB7" w14:textId="77777777" w:rsidTr="00C24152">
        <w:trPr>
          <w:cantSplit/>
          <w:trHeight w:val="261"/>
        </w:trPr>
        <w:tc>
          <w:tcPr>
            <w:tcW w:w="4382" w:type="dxa"/>
          </w:tcPr>
          <w:p w14:paraId="1C34EEB2" w14:textId="77777777" w:rsidR="004C558F" w:rsidRDefault="00461887">
            <w:pPr>
              <w:pStyle w:val="TableParagraph"/>
              <w:spacing w:before="3"/>
              <w:ind w:left="439"/>
              <w:jc w:val="left"/>
              <w:rPr>
                <w:sz w:val="20"/>
              </w:rPr>
            </w:pPr>
            <w:r>
              <w:rPr>
                <w:sz w:val="20"/>
              </w:rPr>
              <w:t>Boston</w:t>
            </w:r>
            <w:r>
              <w:rPr>
                <w:spacing w:val="-9"/>
                <w:sz w:val="20"/>
              </w:rPr>
              <w:t xml:space="preserve"> </w:t>
            </w:r>
            <w:r>
              <w:rPr>
                <w:sz w:val="20"/>
              </w:rPr>
              <w:t>Medical</w:t>
            </w:r>
            <w:r>
              <w:rPr>
                <w:spacing w:val="-8"/>
                <w:sz w:val="20"/>
              </w:rPr>
              <w:t xml:space="preserve"> </w:t>
            </w:r>
            <w:r>
              <w:rPr>
                <w:spacing w:val="-2"/>
                <w:sz w:val="20"/>
              </w:rPr>
              <w:t>Center</w:t>
            </w:r>
          </w:p>
        </w:tc>
        <w:tc>
          <w:tcPr>
            <w:tcW w:w="1567" w:type="dxa"/>
          </w:tcPr>
          <w:p w14:paraId="1C34EEB3" w14:textId="77777777" w:rsidR="004C558F" w:rsidRDefault="00461887">
            <w:pPr>
              <w:pStyle w:val="TableParagraph"/>
              <w:spacing w:before="3"/>
              <w:ind w:right="95"/>
              <w:rPr>
                <w:sz w:val="20"/>
              </w:rPr>
            </w:pPr>
            <w:r>
              <w:rPr>
                <w:spacing w:val="-4"/>
                <w:sz w:val="20"/>
              </w:rPr>
              <w:t>0.9%</w:t>
            </w:r>
          </w:p>
        </w:tc>
        <w:tc>
          <w:tcPr>
            <w:tcW w:w="1233" w:type="dxa"/>
          </w:tcPr>
          <w:p w14:paraId="1C34EEB4" w14:textId="77777777" w:rsidR="004C558F" w:rsidRDefault="00461887">
            <w:pPr>
              <w:pStyle w:val="TableParagraph"/>
              <w:spacing w:before="3"/>
              <w:ind w:right="92"/>
              <w:rPr>
                <w:sz w:val="20"/>
              </w:rPr>
            </w:pPr>
            <w:r>
              <w:rPr>
                <w:spacing w:val="-4"/>
                <w:sz w:val="20"/>
              </w:rPr>
              <w:t>1.3%</w:t>
            </w:r>
          </w:p>
        </w:tc>
        <w:tc>
          <w:tcPr>
            <w:tcW w:w="1175" w:type="dxa"/>
          </w:tcPr>
          <w:p w14:paraId="1C34EEB5" w14:textId="77777777" w:rsidR="004C558F" w:rsidRDefault="00461887">
            <w:pPr>
              <w:pStyle w:val="TableParagraph"/>
              <w:spacing w:before="3"/>
              <w:ind w:right="96"/>
              <w:rPr>
                <w:sz w:val="20"/>
              </w:rPr>
            </w:pPr>
            <w:r>
              <w:rPr>
                <w:spacing w:val="-4"/>
                <w:sz w:val="20"/>
              </w:rPr>
              <w:t>0.3%</w:t>
            </w:r>
          </w:p>
        </w:tc>
        <w:tc>
          <w:tcPr>
            <w:tcW w:w="1801" w:type="dxa"/>
          </w:tcPr>
          <w:p w14:paraId="1C34EEB6" w14:textId="77777777" w:rsidR="004C558F" w:rsidRDefault="00461887">
            <w:pPr>
              <w:pStyle w:val="TableParagraph"/>
              <w:spacing w:before="3"/>
              <w:ind w:right="92"/>
              <w:rPr>
                <w:sz w:val="20"/>
              </w:rPr>
            </w:pPr>
            <w:r>
              <w:rPr>
                <w:spacing w:val="-4"/>
                <w:sz w:val="20"/>
              </w:rPr>
              <w:t>0.4%</w:t>
            </w:r>
          </w:p>
        </w:tc>
      </w:tr>
      <w:tr w:rsidR="004C558F" w14:paraId="1C34EEBD" w14:textId="77777777" w:rsidTr="00C24152">
        <w:trPr>
          <w:cantSplit/>
          <w:trHeight w:val="261"/>
        </w:trPr>
        <w:tc>
          <w:tcPr>
            <w:tcW w:w="4382" w:type="dxa"/>
            <w:shd w:val="clear" w:color="auto" w:fill="D4EBF4"/>
          </w:tcPr>
          <w:p w14:paraId="1C34EEB8" w14:textId="77777777" w:rsidR="004C558F" w:rsidRDefault="00461887">
            <w:pPr>
              <w:pStyle w:val="TableParagraph"/>
              <w:spacing w:before="1"/>
              <w:ind w:left="107"/>
              <w:jc w:val="left"/>
              <w:rPr>
                <w:sz w:val="20"/>
              </w:rPr>
            </w:pPr>
            <w:r>
              <w:rPr>
                <w:sz w:val="20"/>
              </w:rPr>
              <w:t>Tenet</w:t>
            </w:r>
            <w:r>
              <w:rPr>
                <w:spacing w:val="-3"/>
                <w:sz w:val="20"/>
              </w:rPr>
              <w:t xml:space="preserve"> </w:t>
            </w:r>
            <w:r>
              <w:rPr>
                <w:spacing w:val="-2"/>
                <w:sz w:val="20"/>
              </w:rPr>
              <w:t>Healthcare</w:t>
            </w:r>
          </w:p>
        </w:tc>
        <w:tc>
          <w:tcPr>
            <w:tcW w:w="1567" w:type="dxa"/>
            <w:shd w:val="clear" w:color="auto" w:fill="D4EBF4"/>
          </w:tcPr>
          <w:p w14:paraId="1C34EEB9" w14:textId="77777777" w:rsidR="004C558F" w:rsidRDefault="00461887">
            <w:pPr>
              <w:pStyle w:val="TableParagraph"/>
              <w:spacing w:before="1"/>
              <w:ind w:right="95"/>
              <w:rPr>
                <w:sz w:val="20"/>
              </w:rPr>
            </w:pPr>
            <w:r>
              <w:rPr>
                <w:spacing w:val="-4"/>
                <w:sz w:val="20"/>
              </w:rPr>
              <w:t>0.8%</w:t>
            </w:r>
          </w:p>
        </w:tc>
        <w:tc>
          <w:tcPr>
            <w:tcW w:w="1233" w:type="dxa"/>
            <w:shd w:val="clear" w:color="auto" w:fill="D4EBF4"/>
          </w:tcPr>
          <w:p w14:paraId="1C34EEBA" w14:textId="77777777" w:rsidR="004C558F" w:rsidRDefault="00461887">
            <w:pPr>
              <w:pStyle w:val="TableParagraph"/>
              <w:spacing w:before="1"/>
              <w:ind w:right="92"/>
              <w:rPr>
                <w:sz w:val="20"/>
              </w:rPr>
            </w:pPr>
            <w:r>
              <w:rPr>
                <w:spacing w:val="-4"/>
                <w:sz w:val="20"/>
              </w:rPr>
              <w:t>1.0%</w:t>
            </w:r>
          </w:p>
        </w:tc>
        <w:tc>
          <w:tcPr>
            <w:tcW w:w="1175" w:type="dxa"/>
            <w:shd w:val="clear" w:color="auto" w:fill="D4EBF4"/>
          </w:tcPr>
          <w:p w14:paraId="1C34EEBB" w14:textId="77777777" w:rsidR="004C558F" w:rsidRDefault="00461887">
            <w:pPr>
              <w:pStyle w:val="TableParagraph"/>
              <w:spacing w:before="1"/>
              <w:ind w:right="96"/>
              <w:rPr>
                <w:sz w:val="20"/>
              </w:rPr>
            </w:pPr>
            <w:r>
              <w:rPr>
                <w:spacing w:val="-4"/>
                <w:sz w:val="20"/>
              </w:rPr>
              <w:t>1.7%</w:t>
            </w:r>
          </w:p>
        </w:tc>
        <w:tc>
          <w:tcPr>
            <w:tcW w:w="1801" w:type="dxa"/>
            <w:shd w:val="clear" w:color="auto" w:fill="D4EBF4"/>
          </w:tcPr>
          <w:p w14:paraId="1C34EEBC" w14:textId="77777777" w:rsidR="004C558F" w:rsidRDefault="00461887">
            <w:pPr>
              <w:pStyle w:val="TableParagraph"/>
              <w:spacing w:before="1"/>
              <w:ind w:right="92"/>
              <w:rPr>
                <w:sz w:val="20"/>
              </w:rPr>
            </w:pPr>
            <w:r>
              <w:rPr>
                <w:spacing w:val="-4"/>
                <w:sz w:val="20"/>
              </w:rPr>
              <w:t>0.4%</w:t>
            </w:r>
          </w:p>
        </w:tc>
      </w:tr>
      <w:tr w:rsidR="004C558F" w14:paraId="1C34EEC3" w14:textId="77777777" w:rsidTr="00C24152">
        <w:trPr>
          <w:cantSplit/>
          <w:trHeight w:val="261"/>
        </w:trPr>
        <w:tc>
          <w:tcPr>
            <w:tcW w:w="4382" w:type="dxa"/>
          </w:tcPr>
          <w:p w14:paraId="1C34EEBE" w14:textId="77777777" w:rsidR="004C558F" w:rsidRDefault="00461887">
            <w:pPr>
              <w:pStyle w:val="TableParagraph"/>
              <w:spacing w:before="1"/>
              <w:ind w:left="439"/>
              <w:jc w:val="left"/>
              <w:rPr>
                <w:sz w:val="20"/>
              </w:rPr>
            </w:pPr>
            <w:r>
              <w:rPr>
                <w:sz w:val="20"/>
              </w:rPr>
              <w:t>Saint</w:t>
            </w:r>
            <w:r>
              <w:rPr>
                <w:spacing w:val="-6"/>
                <w:sz w:val="20"/>
              </w:rPr>
              <w:t xml:space="preserve"> </w:t>
            </w:r>
            <w:r>
              <w:rPr>
                <w:sz w:val="20"/>
              </w:rPr>
              <w:t>Vincent</w:t>
            </w:r>
            <w:r>
              <w:rPr>
                <w:spacing w:val="-6"/>
                <w:sz w:val="20"/>
              </w:rPr>
              <w:t xml:space="preserve"> </w:t>
            </w:r>
            <w:r>
              <w:rPr>
                <w:spacing w:val="-2"/>
                <w:sz w:val="20"/>
              </w:rPr>
              <w:t>Hospital</w:t>
            </w:r>
          </w:p>
        </w:tc>
        <w:tc>
          <w:tcPr>
            <w:tcW w:w="1567" w:type="dxa"/>
          </w:tcPr>
          <w:p w14:paraId="1C34EEBF" w14:textId="77777777" w:rsidR="004C558F" w:rsidRDefault="00461887">
            <w:pPr>
              <w:pStyle w:val="TableParagraph"/>
              <w:spacing w:before="1"/>
              <w:ind w:right="95"/>
              <w:rPr>
                <w:sz w:val="20"/>
              </w:rPr>
            </w:pPr>
            <w:r>
              <w:rPr>
                <w:spacing w:val="-4"/>
                <w:sz w:val="20"/>
              </w:rPr>
              <w:t>0.5%</w:t>
            </w:r>
          </w:p>
        </w:tc>
        <w:tc>
          <w:tcPr>
            <w:tcW w:w="1233" w:type="dxa"/>
          </w:tcPr>
          <w:p w14:paraId="1C34EEC0" w14:textId="77777777" w:rsidR="004C558F" w:rsidRDefault="00461887">
            <w:pPr>
              <w:pStyle w:val="TableParagraph"/>
              <w:spacing w:before="1"/>
              <w:ind w:right="92"/>
              <w:rPr>
                <w:sz w:val="20"/>
              </w:rPr>
            </w:pPr>
            <w:r>
              <w:rPr>
                <w:spacing w:val="-4"/>
                <w:sz w:val="20"/>
              </w:rPr>
              <w:t>0.6%</w:t>
            </w:r>
          </w:p>
        </w:tc>
        <w:tc>
          <w:tcPr>
            <w:tcW w:w="1175" w:type="dxa"/>
          </w:tcPr>
          <w:p w14:paraId="1C34EEC1" w14:textId="77777777" w:rsidR="004C558F" w:rsidRDefault="00461887">
            <w:pPr>
              <w:pStyle w:val="TableParagraph"/>
              <w:spacing w:before="1"/>
              <w:ind w:right="96"/>
              <w:rPr>
                <w:sz w:val="20"/>
              </w:rPr>
            </w:pPr>
            <w:r>
              <w:rPr>
                <w:spacing w:val="-4"/>
                <w:sz w:val="20"/>
              </w:rPr>
              <w:t>1.2%</w:t>
            </w:r>
          </w:p>
        </w:tc>
        <w:tc>
          <w:tcPr>
            <w:tcW w:w="1801" w:type="dxa"/>
          </w:tcPr>
          <w:p w14:paraId="1C34EEC2" w14:textId="77777777" w:rsidR="004C558F" w:rsidRDefault="00461887">
            <w:pPr>
              <w:pStyle w:val="TableParagraph"/>
              <w:spacing w:before="1"/>
              <w:ind w:right="92"/>
              <w:rPr>
                <w:sz w:val="20"/>
              </w:rPr>
            </w:pPr>
            <w:r>
              <w:rPr>
                <w:spacing w:val="-4"/>
                <w:sz w:val="20"/>
              </w:rPr>
              <w:t>0.2%</w:t>
            </w:r>
          </w:p>
        </w:tc>
      </w:tr>
      <w:tr w:rsidR="004C558F" w14:paraId="1C34EEC9" w14:textId="77777777" w:rsidTr="00C24152">
        <w:trPr>
          <w:cantSplit/>
          <w:trHeight w:val="261"/>
        </w:trPr>
        <w:tc>
          <w:tcPr>
            <w:tcW w:w="4382" w:type="dxa"/>
            <w:shd w:val="clear" w:color="auto" w:fill="D4EBF4"/>
          </w:tcPr>
          <w:p w14:paraId="1C34EEC4" w14:textId="77777777" w:rsidR="004C558F" w:rsidRDefault="00461887">
            <w:pPr>
              <w:pStyle w:val="TableParagraph"/>
              <w:spacing w:before="1"/>
              <w:ind w:left="107"/>
              <w:jc w:val="left"/>
              <w:rPr>
                <w:sz w:val="20"/>
              </w:rPr>
            </w:pPr>
            <w:r>
              <w:rPr>
                <w:sz w:val="20"/>
              </w:rPr>
              <w:t>Brown</w:t>
            </w:r>
            <w:r>
              <w:rPr>
                <w:spacing w:val="-6"/>
                <w:sz w:val="20"/>
              </w:rPr>
              <w:t xml:space="preserve"> </w:t>
            </w:r>
            <w:r>
              <w:rPr>
                <w:sz w:val="20"/>
              </w:rPr>
              <w:t>University</w:t>
            </w:r>
            <w:r>
              <w:rPr>
                <w:spacing w:val="-5"/>
                <w:sz w:val="20"/>
              </w:rPr>
              <w:t xml:space="preserve"> </w:t>
            </w:r>
            <w:r>
              <w:rPr>
                <w:spacing w:val="-2"/>
                <w:sz w:val="20"/>
              </w:rPr>
              <w:t>Health</w:t>
            </w:r>
          </w:p>
        </w:tc>
        <w:tc>
          <w:tcPr>
            <w:tcW w:w="1567" w:type="dxa"/>
            <w:shd w:val="clear" w:color="auto" w:fill="D4EBF4"/>
          </w:tcPr>
          <w:p w14:paraId="1C34EEC5" w14:textId="77777777" w:rsidR="004C558F" w:rsidRDefault="00461887">
            <w:pPr>
              <w:pStyle w:val="TableParagraph"/>
              <w:spacing w:before="1"/>
              <w:ind w:right="95"/>
              <w:rPr>
                <w:sz w:val="20"/>
              </w:rPr>
            </w:pPr>
            <w:r>
              <w:rPr>
                <w:spacing w:val="-4"/>
                <w:sz w:val="20"/>
              </w:rPr>
              <w:t>0.4%</w:t>
            </w:r>
          </w:p>
        </w:tc>
        <w:tc>
          <w:tcPr>
            <w:tcW w:w="1233" w:type="dxa"/>
            <w:shd w:val="clear" w:color="auto" w:fill="D4EBF4"/>
          </w:tcPr>
          <w:p w14:paraId="1C34EEC6" w14:textId="77777777" w:rsidR="004C558F" w:rsidRDefault="00461887">
            <w:pPr>
              <w:pStyle w:val="TableParagraph"/>
              <w:spacing w:before="1"/>
              <w:ind w:right="92"/>
              <w:rPr>
                <w:sz w:val="20"/>
              </w:rPr>
            </w:pPr>
            <w:r>
              <w:rPr>
                <w:spacing w:val="-4"/>
                <w:sz w:val="20"/>
              </w:rPr>
              <w:t>0.4%</w:t>
            </w:r>
          </w:p>
        </w:tc>
        <w:tc>
          <w:tcPr>
            <w:tcW w:w="1175" w:type="dxa"/>
            <w:shd w:val="clear" w:color="auto" w:fill="D4EBF4"/>
          </w:tcPr>
          <w:p w14:paraId="1C34EEC7" w14:textId="77777777" w:rsidR="004C558F" w:rsidRDefault="00461887">
            <w:pPr>
              <w:pStyle w:val="TableParagraph"/>
              <w:spacing w:before="1"/>
              <w:ind w:right="96"/>
              <w:rPr>
                <w:sz w:val="20"/>
              </w:rPr>
            </w:pPr>
            <w:r>
              <w:rPr>
                <w:spacing w:val="-4"/>
                <w:sz w:val="20"/>
              </w:rPr>
              <w:t>1.5%</w:t>
            </w:r>
          </w:p>
        </w:tc>
        <w:tc>
          <w:tcPr>
            <w:tcW w:w="1801" w:type="dxa"/>
            <w:shd w:val="clear" w:color="auto" w:fill="D4EBF4"/>
          </w:tcPr>
          <w:p w14:paraId="1C34EEC8" w14:textId="77777777" w:rsidR="004C558F" w:rsidRDefault="00461887">
            <w:pPr>
              <w:pStyle w:val="TableParagraph"/>
              <w:spacing w:before="1"/>
              <w:ind w:right="92"/>
              <w:rPr>
                <w:sz w:val="20"/>
              </w:rPr>
            </w:pPr>
            <w:r>
              <w:rPr>
                <w:spacing w:val="-4"/>
                <w:sz w:val="20"/>
              </w:rPr>
              <w:t>0.3%</w:t>
            </w:r>
          </w:p>
        </w:tc>
      </w:tr>
      <w:tr w:rsidR="004C558F" w14:paraId="1C34EECF" w14:textId="77777777" w:rsidTr="00C24152">
        <w:trPr>
          <w:cantSplit/>
          <w:trHeight w:val="261"/>
        </w:trPr>
        <w:tc>
          <w:tcPr>
            <w:tcW w:w="4382" w:type="dxa"/>
          </w:tcPr>
          <w:p w14:paraId="1C34EECA" w14:textId="77777777" w:rsidR="004C558F" w:rsidRDefault="00461887">
            <w:pPr>
              <w:pStyle w:val="TableParagraph"/>
              <w:spacing w:before="1"/>
              <w:ind w:left="439"/>
              <w:jc w:val="left"/>
              <w:rPr>
                <w:sz w:val="20"/>
              </w:rPr>
            </w:pPr>
            <w:r>
              <w:rPr>
                <w:sz w:val="20"/>
              </w:rPr>
              <w:t>Steward</w:t>
            </w:r>
            <w:r>
              <w:rPr>
                <w:spacing w:val="-6"/>
                <w:sz w:val="20"/>
              </w:rPr>
              <w:t xml:space="preserve"> </w:t>
            </w:r>
            <w:r>
              <w:rPr>
                <w:sz w:val="20"/>
              </w:rPr>
              <w:t>Saint</w:t>
            </w:r>
            <w:r>
              <w:rPr>
                <w:spacing w:val="-6"/>
                <w:sz w:val="20"/>
              </w:rPr>
              <w:t xml:space="preserve"> </w:t>
            </w:r>
            <w:r>
              <w:rPr>
                <w:sz w:val="20"/>
              </w:rPr>
              <w:t>Anne's</w:t>
            </w:r>
            <w:r>
              <w:rPr>
                <w:spacing w:val="-7"/>
                <w:sz w:val="20"/>
              </w:rPr>
              <w:t xml:space="preserve"> </w:t>
            </w:r>
            <w:r>
              <w:rPr>
                <w:spacing w:val="-2"/>
                <w:sz w:val="20"/>
              </w:rPr>
              <w:t>Hospital</w:t>
            </w:r>
          </w:p>
        </w:tc>
        <w:tc>
          <w:tcPr>
            <w:tcW w:w="1567" w:type="dxa"/>
          </w:tcPr>
          <w:p w14:paraId="1C34EECB" w14:textId="77777777" w:rsidR="004C558F" w:rsidRDefault="00461887">
            <w:pPr>
              <w:pStyle w:val="TableParagraph"/>
              <w:spacing w:before="1"/>
              <w:ind w:right="95"/>
              <w:rPr>
                <w:sz w:val="20"/>
              </w:rPr>
            </w:pPr>
            <w:r>
              <w:rPr>
                <w:spacing w:val="-4"/>
                <w:sz w:val="20"/>
              </w:rPr>
              <w:t>0.4%</w:t>
            </w:r>
          </w:p>
        </w:tc>
        <w:tc>
          <w:tcPr>
            <w:tcW w:w="1233" w:type="dxa"/>
          </w:tcPr>
          <w:p w14:paraId="1C34EECC" w14:textId="77777777" w:rsidR="004C558F" w:rsidRDefault="00461887">
            <w:pPr>
              <w:pStyle w:val="TableParagraph"/>
              <w:spacing w:before="1"/>
              <w:ind w:right="92"/>
              <w:rPr>
                <w:sz w:val="20"/>
              </w:rPr>
            </w:pPr>
            <w:r>
              <w:rPr>
                <w:spacing w:val="-4"/>
                <w:sz w:val="20"/>
              </w:rPr>
              <w:t>0.3%</w:t>
            </w:r>
          </w:p>
        </w:tc>
        <w:tc>
          <w:tcPr>
            <w:tcW w:w="1175" w:type="dxa"/>
          </w:tcPr>
          <w:p w14:paraId="1C34EECD" w14:textId="77777777" w:rsidR="004C558F" w:rsidRDefault="00461887">
            <w:pPr>
              <w:pStyle w:val="TableParagraph"/>
              <w:spacing w:before="1"/>
              <w:ind w:right="96"/>
              <w:rPr>
                <w:sz w:val="20"/>
              </w:rPr>
            </w:pPr>
            <w:r>
              <w:rPr>
                <w:spacing w:val="-4"/>
                <w:sz w:val="20"/>
              </w:rPr>
              <w:t>1.5%</w:t>
            </w:r>
          </w:p>
        </w:tc>
        <w:tc>
          <w:tcPr>
            <w:tcW w:w="1801" w:type="dxa"/>
          </w:tcPr>
          <w:p w14:paraId="1C34EECE" w14:textId="77777777" w:rsidR="004C558F" w:rsidRDefault="00461887">
            <w:pPr>
              <w:pStyle w:val="TableParagraph"/>
              <w:spacing w:before="1"/>
              <w:ind w:right="92"/>
              <w:rPr>
                <w:sz w:val="20"/>
              </w:rPr>
            </w:pPr>
            <w:r>
              <w:rPr>
                <w:spacing w:val="-4"/>
                <w:sz w:val="20"/>
              </w:rPr>
              <w:t>0.2%</w:t>
            </w:r>
          </w:p>
        </w:tc>
      </w:tr>
      <w:tr w:rsidR="004C558F" w14:paraId="1C34EED5" w14:textId="77777777" w:rsidTr="00C24152">
        <w:trPr>
          <w:cantSplit/>
          <w:trHeight w:val="261"/>
        </w:trPr>
        <w:tc>
          <w:tcPr>
            <w:tcW w:w="4382" w:type="dxa"/>
            <w:shd w:val="clear" w:color="auto" w:fill="D4EBF4"/>
          </w:tcPr>
          <w:p w14:paraId="1C34EED0" w14:textId="77777777" w:rsidR="004C558F" w:rsidRDefault="00461887">
            <w:pPr>
              <w:pStyle w:val="TableParagraph"/>
              <w:spacing w:before="1"/>
              <w:ind w:left="107"/>
              <w:jc w:val="left"/>
              <w:rPr>
                <w:sz w:val="20"/>
              </w:rPr>
            </w:pPr>
            <w:r>
              <w:rPr>
                <w:sz w:val="20"/>
              </w:rPr>
              <w:t>Other</w:t>
            </w:r>
            <w:r>
              <w:rPr>
                <w:spacing w:val="-3"/>
                <w:sz w:val="20"/>
              </w:rPr>
              <w:t xml:space="preserve"> </w:t>
            </w:r>
            <w:r>
              <w:rPr>
                <w:spacing w:val="-2"/>
                <w:sz w:val="20"/>
              </w:rPr>
              <w:t>Hospitals</w:t>
            </w:r>
          </w:p>
        </w:tc>
        <w:tc>
          <w:tcPr>
            <w:tcW w:w="1567" w:type="dxa"/>
            <w:shd w:val="clear" w:color="auto" w:fill="D4EBF4"/>
          </w:tcPr>
          <w:p w14:paraId="1C34EED1" w14:textId="77777777" w:rsidR="004C558F" w:rsidRDefault="00461887">
            <w:pPr>
              <w:pStyle w:val="TableParagraph"/>
              <w:spacing w:before="1"/>
              <w:ind w:right="95"/>
              <w:rPr>
                <w:sz w:val="20"/>
              </w:rPr>
            </w:pPr>
            <w:r>
              <w:rPr>
                <w:spacing w:val="-4"/>
                <w:sz w:val="20"/>
              </w:rPr>
              <w:t>2.6%</w:t>
            </w:r>
          </w:p>
        </w:tc>
        <w:tc>
          <w:tcPr>
            <w:tcW w:w="1233" w:type="dxa"/>
            <w:shd w:val="clear" w:color="auto" w:fill="D4EBF4"/>
          </w:tcPr>
          <w:p w14:paraId="1C34EED2" w14:textId="77777777" w:rsidR="004C558F" w:rsidRDefault="00461887">
            <w:pPr>
              <w:pStyle w:val="TableParagraph"/>
              <w:spacing w:before="1"/>
              <w:ind w:right="92"/>
              <w:rPr>
                <w:sz w:val="20"/>
              </w:rPr>
            </w:pPr>
            <w:r>
              <w:rPr>
                <w:spacing w:val="-4"/>
                <w:sz w:val="20"/>
              </w:rPr>
              <w:t>3.2%</w:t>
            </w:r>
          </w:p>
        </w:tc>
        <w:tc>
          <w:tcPr>
            <w:tcW w:w="1175" w:type="dxa"/>
            <w:shd w:val="clear" w:color="auto" w:fill="D4EBF4"/>
          </w:tcPr>
          <w:p w14:paraId="1C34EED3" w14:textId="77777777" w:rsidR="004C558F" w:rsidRDefault="00461887">
            <w:pPr>
              <w:pStyle w:val="TableParagraph"/>
              <w:spacing w:before="1"/>
              <w:ind w:right="96"/>
              <w:rPr>
                <w:sz w:val="20"/>
              </w:rPr>
            </w:pPr>
            <w:r>
              <w:rPr>
                <w:spacing w:val="-4"/>
                <w:sz w:val="20"/>
              </w:rPr>
              <w:t>2.1%</w:t>
            </w:r>
          </w:p>
        </w:tc>
        <w:tc>
          <w:tcPr>
            <w:tcW w:w="1801" w:type="dxa"/>
            <w:shd w:val="clear" w:color="auto" w:fill="D4EBF4"/>
          </w:tcPr>
          <w:p w14:paraId="1C34EED4" w14:textId="77777777" w:rsidR="004C558F" w:rsidRDefault="00461887">
            <w:pPr>
              <w:pStyle w:val="TableParagraph"/>
              <w:spacing w:before="1"/>
              <w:ind w:right="92"/>
              <w:rPr>
                <w:sz w:val="20"/>
              </w:rPr>
            </w:pPr>
            <w:r>
              <w:rPr>
                <w:spacing w:val="-4"/>
                <w:sz w:val="20"/>
              </w:rPr>
              <w:t>1.2%</w:t>
            </w:r>
          </w:p>
        </w:tc>
      </w:tr>
      <w:tr w:rsidR="004C558F" w14:paraId="1C34EEDB" w14:textId="77777777" w:rsidTr="00C24152">
        <w:trPr>
          <w:cantSplit/>
          <w:trHeight w:val="261"/>
        </w:trPr>
        <w:tc>
          <w:tcPr>
            <w:tcW w:w="4382" w:type="dxa"/>
            <w:shd w:val="clear" w:color="auto" w:fill="084875"/>
          </w:tcPr>
          <w:p w14:paraId="1C34EED6" w14:textId="77777777" w:rsidR="004C558F" w:rsidRDefault="00461887">
            <w:pPr>
              <w:pStyle w:val="TableParagraph"/>
              <w:spacing w:before="1"/>
              <w:ind w:left="107"/>
              <w:jc w:val="left"/>
              <w:rPr>
                <w:sz w:val="20"/>
              </w:rPr>
            </w:pPr>
            <w:r>
              <w:rPr>
                <w:color w:val="FFFFFF"/>
                <w:spacing w:val="-2"/>
                <w:sz w:val="20"/>
              </w:rPr>
              <w:t>Total</w:t>
            </w:r>
          </w:p>
        </w:tc>
        <w:tc>
          <w:tcPr>
            <w:tcW w:w="1567" w:type="dxa"/>
            <w:shd w:val="clear" w:color="auto" w:fill="084875"/>
          </w:tcPr>
          <w:p w14:paraId="1C34EED7" w14:textId="77777777" w:rsidR="004C558F" w:rsidRDefault="00461887">
            <w:pPr>
              <w:pStyle w:val="TableParagraph"/>
              <w:spacing w:before="1"/>
              <w:ind w:right="95"/>
              <w:rPr>
                <w:sz w:val="20"/>
              </w:rPr>
            </w:pPr>
            <w:r>
              <w:rPr>
                <w:color w:val="FFFFFF"/>
                <w:spacing w:val="-4"/>
                <w:sz w:val="20"/>
              </w:rPr>
              <w:t>100%</w:t>
            </w:r>
          </w:p>
        </w:tc>
        <w:tc>
          <w:tcPr>
            <w:tcW w:w="1233" w:type="dxa"/>
            <w:shd w:val="clear" w:color="auto" w:fill="084875"/>
          </w:tcPr>
          <w:p w14:paraId="1C34EED8" w14:textId="77777777" w:rsidR="004C558F" w:rsidRDefault="00461887">
            <w:pPr>
              <w:pStyle w:val="TableParagraph"/>
              <w:spacing w:before="1"/>
              <w:ind w:right="92"/>
              <w:rPr>
                <w:sz w:val="20"/>
              </w:rPr>
            </w:pPr>
            <w:r>
              <w:rPr>
                <w:color w:val="FFFFFF"/>
                <w:spacing w:val="-4"/>
                <w:sz w:val="20"/>
              </w:rPr>
              <w:t>100%</w:t>
            </w:r>
          </w:p>
        </w:tc>
        <w:tc>
          <w:tcPr>
            <w:tcW w:w="1175" w:type="dxa"/>
            <w:shd w:val="clear" w:color="auto" w:fill="084875"/>
          </w:tcPr>
          <w:p w14:paraId="1C34EED9" w14:textId="77777777" w:rsidR="004C558F" w:rsidRDefault="00461887">
            <w:pPr>
              <w:pStyle w:val="TableParagraph"/>
              <w:spacing w:before="1"/>
              <w:ind w:right="96"/>
              <w:rPr>
                <w:sz w:val="20"/>
              </w:rPr>
            </w:pPr>
            <w:r>
              <w:rPr>
                <w:color w:val="FFFFFF"/>
                <w:spacing w:val="-4"/>
                <w:sz w:val="20"/>
              </w:rPr>
              <w:t>100%</w:t>
            </w:r>
          </w:p>
        </w:tc>
        <w:tc>
          <w:tcPr>
            <w:tcW w:w="1801" w:type="dxa"/>
            <w:shd w:val="clear" w:color="auto" w:fill="084875"/>
          </w:tcPr>
          <w:p w14:paraId="1C34EEDA" w14:textId="77777777" w:rsidR="004C558F" w:rsidRDefault="00461887">
            <w:pPr>
              <w:pStyle w:val="TableParagraph"/>
              <w:spacing w:before="1"/>
              <w:ind w:right="92"/>
              <w:rPr>
                <w:sz w:val="20"/>
              </w:rPr>
            </w:pPr>
            <w:r>
              <w:rPr>
                <w:color w:val="FFFFFF"/>
                <w:spacing w:val="-4"/>
                <w:sz w:val="20"/>
              </w:rPr>
              <w:t>100%</w:t>
            </w:r>
          </w:p>
        </w:tc>
      </w:tr>
    </w:tbl>
    <w:p w14:paraId="1C34EEDC" w14:textId="77777777" w:rsidR="004C558F" w:rsidRDefault="00461887">
      <w:pPr>
        <w:pStyle w:val="BodyText"/>
        <w:spacing w:before="9"/>
        <w:ind w:left="472"/>
      </w:pPr>
      <w:r>
        <w:t>Source:</w:t>
      </w:r>
      <w:r>
        <w:rPr>
          <w:spacing w:val="-5"/>
        </w:rPr>
        <w:t xml:space="preserve"> </w:t>
      </w:r>
      <w:r>
        <w:t>CHIA</w:t>
      </w:r>
      <w:r>
        <w:rPr>
          <w:spacing w:val="-6"/>
        </w:rPr>
        <w:t xml:space="preserve"> </w:t>
      </w:r>
      <w:r>
        <w:t>All-Payer</w:t>
      </w:r>
      <w:r>
        <w:rPr>
          <w:spacing w:val="-5"/>
        </w:rPr>
        <w:t xml:space="preserve"> </w:t>
      </w:r>
      <w:r>
        <w:t>Claims</w:t>
      </w:r>
      <w:r>
        <w:rPr>
          <w:spacing w:val="-7"/>
        </w:rPr>
        <w:t xml:space="preserve"> </w:t>
      </w:r>
      <w:r>
        <w:t>Database</w:t>
      </w:r>
      <w:r>
        <w:rPr>
          <w:spacing w:val="-4"/>
        </w:rPr>
        <w:t xml:space="preserve"> </w:t>
      </w:r>
      <w:r>
        <w:rPr>
          <w:spacing w:val="-2"/>
        </w:rPr>
        <w:t>(2022).</w:t>
      </w:r>
    </w:p>
    <w:p w14:paraId="1C34EEDD" w14:textId="77777777" w:rsidR="004C558F" w:rsidRDefault="00461887">
      <w:pPr>
        <w:pStyle w:val="BodyText"/>
        <w:spacing w:before="36"/>
        <w:ind w:left="472"/>
      </w:pPr>
      <w:r>
        <w:t>Note:</w:t>
      </w:r>
      <w:r>
        <w:rPr>
          <w:spacing w:val="-5"/>
        </w:rPr>
        <w:t xml:space="preserve"> </w:t>
      </w:r>
      <w:r>
        <w:t>Hospitals</w:t>
      </w:r>
      <w:r>
        <w:rPr>
          <w:spacing w:val="-5"/>
        </w:rPr>
        <w:t xml:space="preserve"> </w:t>
      </w:r>
      <w:r>
        <w:t>and</w:t>
      </w:r>
      <w:r>
        <w:rPr>
          <w:spacing w:val="-2"/>
        </w:rPr>
        <w:t xml:space="preserve"> </w:t>
      </w:r>
      <w:r>
        <w:t>systems</w:t>
      </w:r>
      <w:r>
        <w:rPr>
          <w:spacing w:val="-2"/>
        </w:rPr>
        <w:t xml:space="preserve"> </w:t>
      </w:r>
      <w:r>
        <w:t>shown</w:t>
      </w:r>
      <w:r>
        <w:rPr>
          <w:spacing w:val="-3"/>
        </w:rPr>
        <w:t xml:space="preserve"> </w:t>
      </w:r>
      <w:r>
        <w:t>in</w:t>
      </w:r>
      <w:r>
        <w:rPr>
          <w:spacing w:val="-3"/>
        </w:rPr>
        <w:t xml:space="preserve"> </w:t>
      </w:r>
      <w:proofErr w:type="gramStart"/>
      <w:r>
        <w:t>table</w:t>
      </w:r>
      <w:proofErr w:type="gramEnd"/>
      <w:r>
        <w:rPr>
          <w:spacing w:val="-4"/>
        </w:rPr>
        <w:t xml:space="preserve"> </w:t>
      </w:r>
      <w:r>
        <w:t>have</w:t>
      </w:r>
      <w:r>
        <w:rPr>
          <w:spacing w:val="-3"/>
        </w:rPr>
        <w:t xml:space="preserve"> </w:t>
      </w:r>
      <w:r>
        <w:t>at</w:t>
      </w:r>
      <w:r>
        <w:rPr>
          <w:spacing w:val="-5"/>
        </w:rPr>
        <w:t xml:space="preserve"> </w:t>
      </w:r>
      <w:r>
        <w:t>least</w:t>
      </w:r>
      <w:r>
        <w:rPr>
          <w:spacing w:val="-4"/>
        </w:rPr>
        <w:t xml:space="preserve"> </w:t>
      </w:r>
      <w:r>
        <w:t>1%</w:t>
      </w:r>
      <w:r>
        <w:rPr>
          <w:spacing w:val="-6"/>
        </w:rPr>
        <w:t xml:space="preserve"> </w:t>
      </w:r>
      <w:r>
        <w:t>share</w:t>
      </w:r>
      <w:r>
        <w:rPr>
          <w:spacing w:val="-2"/>
        </w:rPr>
        <w:t xml:space="preserve"> </w:t>
      </w:r>
      <w:r>
        <w:t>in</w:t>
      </w:r>
      <w:r>
        <w:rPr>
          <w:spacing w:val="-6"/>
        </w:rPr>
        <w:t xml:space="preserve"> </w:t>
      </w:r>
      <w:r>
        <w:t>one</w:t>
      </w:r>
      <w:r>
        <w:rPr>
          <w:spacing w:val="-5"/>
        </w:rPr>
        <w:t xml:space="preserve"> </w:t>
      </w:r>
      <w:r>
        <w:t>or</w:t>
      </w:r>
      <w:r>
        <w:rPr>
          <w:spacing w:val="-5"/>
        </w:rPr>
        <w:t xml:space="preserve"> </w:t>
      </w:r>
      <w:r>
        <w:t>more</w:t>
      </w:r>
      <w:r>
        <w:rPr>
          <w:spacing w:val="-3"/>
        </w:rPr>
        <w:t xml:space="preserve"> </w:t>
      </w:r>
      <w:r>
        <w:t>service</w:t>
      </w:r>
      <w:r>
        <w:rPr>
          <w:spacing w:val="-2"/>
        </w:rPr>
        <w:t xml:space="preserve"> lines.</w:t>
      </w:r>
    </w:p>
    <w:p w14:paraId="1C34EEDE" w14:textId="77777777" w:rsidR="004C558F" w:rsidRDefault="004C558F">
      <w:pPr>
        <w:sectPr w:rsidR="004C558F">
          <w:footerReference w:type="default" r:id="rId123"/>
          <w:pgSz w:w="12240" w:h="15840"/>
          <w:pgMar w:top="1360" w:right="440" w:bottom="720" w:left="680" w:header="0" w:footer="521" w:gutter="0"/>
          <w:cols w:space="720"/>
        </w:sectPr>
      </w:pPr>
    </w:p>
    <w:p w14:paraId="1C34EEDF" w14:textId="77777777" w:rsidR="004C558F" w:rsidRDefault="00461887">
      <w:pPr>
        <w:pStyle w:val="BodyText"/>
        <w:spacing w:before="80"/>
        <w:ind w:right="238"/>
        <w:jc w:val="center"/>
      </w:pPr>
      <w:r>
        <w:lastRenderedPageBreak/>
        <w:t>Figure</w:t>
      </w:r>
      <w:r>
        <w:rPr>
          <w:spacing w:val="-5"/>
        </w:rPr>
        <w:t xml:space="preserve"> </w:t>
      </w:r>
      <w:r>
        <w:t>A4:</w:t>
      </w:r>
      <w:r>
        <w:rPr>
          <w:spacing w:val="-4"/>
        </w:rPr>
        <w:t xml:space="preserve"> </w:t>
      </w:r>
      <w:r>
        <w:t>Outpatient</w:t>
      </w:r>
      <w:r>
        <w:rPr>
          <w:spacing w:val="-6"/>
        </w:rPr>
        <w:t xml:space="preserve"> </w:t>
      </w:r>
      <w:r>
        <w:t>Commercial</w:t>
      </w:r>
      <w:r>
        <w:rPr>
          <w:spacing w:val="-5"/>
        </w:rPr>
        <w:t xml:space="preserve"> </w:t>
      </w:r>
      <w:r>
        <w:t>Price</w:t>
      </w:r>
      <w:r>
        <w:rPr>
          <w:spacing w:val="-4"/>
        </w:rPr>
        <w:t xml:space="preserve"> </w:t>
      </w:r>
      <w:r>
        <w:rPr>
          <w:spacing w:val="-2"/>
        </w:rPr>
        <w:t>Relativities</w:t>
      </w:r>
    </w:p>
    <w:p w14:paraId="1C34EEE0" w14:textId="77777777" w:rsidR="004C558F" w:rsidRDefault="004C558F">
      <w:pPr>
        <w:pStyle w:val="BodyText"/>
        <w:spacing w:before="4"/>
        <w:rPr>
          <w:sz w:val="17"/>
        </w:rPr>
      </w:pPr>
    </w:p>
    <w:tbl>
      <w:tblPr>
        <w:tblW w:w="0" w:type="auto"/>
        <w:tblInd w:w="48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2921"/>
        <w:gridCol w:w="1332"/>
        <w:gridCol w:w="1370"/>
        <w:gridCol w:w="2260"/>
        <w:gridCol w:w="2042"/>
      </w:tblGrid>
      <w:tr w:rsidR="004C558F" w14:paraId="1C34EEEC" w14:textId="77777777">
        <w:trPr>
          <w:trHeight w:val="861"/>
        </w:trPr>
        <w:tc>
          <w:tcPr>
            <w:tcW w:w="2921" w:type="dxa"/>
            <w:shd w:val="clear" w:color="auto" w:fill="084875"/>
          </w:tcPr>
          <w:p w14:paraId="1C34EEE1" w14:textId="77777777" w:rsidR="004C558F" w:rsidRDefault="004C558F">
            <w:pPr>
              <w:pStyle w:val="TableParagraph"/>
              <w:spacing w:before="0"/>
              <w:jc w:val="left"/>
            </w:pPr>
          </w:p>
          <w:p w14:paraId="1C34EEE2" w14:textId="77777777" w:rsidR="004C558F" w:rsidRDefault="004C558F">
            <w:pPr>
              <w:pStyle w:val="TableParagraph"/>
              <w:spacing w:before="74"/>
              <w:jc w:val="left"/>
            </w:pPr>
          </w:p>
          <w:p w14:paraId="1C34EEE3" w14:textId="77777777" w:rsidR="004C558F" w:rsidRDefault="00461887">
            <w:pPr>
              <w:pStyle w:val="TableParagraph"/>
              <w:spacing w:before="0"/>
              <w:ind w:left="979"/>
              <w:jc w:val="left"/>
              <w:rPr>
                <w:rFonts w:ascii="Franklin Gothic Medium Cond"/>
              </w:rPr>
            </w:pPr>
            <w:r>
              <w:rPr>
                <w:rFonts w:ascii="Franklin Gothic Medium Cond"/>
                <w:color w:val="FFFFFF"/>
              </w:rPr>
              <w:t>Service</w:t>
            </w:r>
            <w:r>
              <w:rPr>
                <w:rFonts w:ascii="Franklin Gothic Medium Cond"/>
                <w:color w:val="FFFFFF"/>
                <w:spacing w:val="-8"/>
              </w:rPr>
              <w:t xml:space="preserve"> </w:t>
            </w:r>
            <w:r>
              <w:rPr>
                <w:rFonts w:ascii="Franklin Gothic Medium Cond"/>
                <w:color w:val="FFFFFF"/>
                <w:spacing w:val="-4"/>
              </w:rPr>
              <w:t>Line</w:t>
            </w:r>
          </w:p>
        </w:tc>
        <w:tc>
          <w:tcPr>
            <w:tcW w:w="1332" w:type="dxa"/>
            <w:shd w:val="clear" w:color="auto" w:fill="084875"/>
          </w:tcPr>
          <w:p w14:paraId="1C34EEE4" w14:textId="77777777" w:rsidR="004C558F" w:rsidRDefault="004C558F">
            <w:pPr>
              <w:pStyle w:val="TableParagraph"/>
              <w:spacing w:before="7"/>
              <w:jc w:val="left"/>
            </w:pPr>
          </w:p>
          <w:p w14:paraId="1C34EEE5" w14:textId="77777777" w:rsidR="004C558F" w:rsidRDefault="00461887">
            <w:pPr>
              <w:pStyle w:val="TableParagraph"/>
              <w:spacing w:before="0" w:line="280" w:lineRule="atLeast"/>
              <w:ind w:left="328" w:right="319" w:firstLine="55"/>
              <w:jc w:val="left"/>
              <w:rPr>
                <w:rFonts w:ascii="Franklin Gothic Medium Cond"/>
              </w:rPr>
            </w:pPr>
            <w:r>
              <w:rPr>
                <w:rFonts w:ascii="Franklin Gothic Medium Cond"/>
                <w:color w:val="FFFFFF"/>
                <w:spacing w:val="-2"/>
              </w:rPr>
              <w:t>Source</w:t>
            </w:r>
            <w:r>
              <w:rPr>
                <w:rFonts w:ascii="Franklin Gothic Medium Cond"/>
                <w:color w:val="FFFFFF"/>
              </w:rPr>
              <w:t xml:space="preserve"> </w:t>
            </w:r>
            <w:r>
              <w:rPr>
                <w:rFonts w:ascii="Franklin Gothic Medium Cond"/>
                <w:color w:val="FFFFFF"/>
                <w:spacing w:val="-2"/>
              </w:rPr>
              <w:t>Hospital</w:t>
            </w:r>
          </w:p>
        </w:tc>
        <w:tc>
          <w:tcPr>
            <w:tcW w:w="1370" w:type="dxa"/>
            <w:shd w:val="clear" w:color="auto" w:fill="084875"/>
          </w:tcPr>
          <w:p w14:paraId="1C34EEE6" w14:textId="77777777" w:rsidR="004C558F" w:rsidRDefault="004C558F">
            <w:pPr>
              <w:pStyle w:val="TableParagraph"/>
              <w:spacing w:before="7"/>
              <w:jc w:val="left"/>
            </w:pPr>
          </w:p>
          <w:p w14:paraId="1C34EEE7" w14:textId="77777777" w:rsidR="004C558F" w:rsidRDefault="00461887">
            <w:pPr>
              <w:pStyle w:val="TableParagraph"/>
              <w:spacing w:before="0" w:line="280" w:lineRule="atLeast"/>
              <w:ind w:left="350" w:hanging="48"/>
              <w:jc w:val="left"/>
              <w:rPr>
                <w:rFonts w:ascii="Franklin Gothic Medium Cond"/>
              </w:rPr>
            </w:pPr>
            <w:r>
              <w:rPr>
                <w:rFonts w:ascii="Franklin Gothic Medium Cond"/>
                <w:color w:val="FFFFFF"/>
                <w:spacing w:val="-2"/>
              </w:rPr>
              <w:t>Recipient</w:t>
            </w:r>
            <w:r>
              <w:rPr>
                <w:rFonts w:ascii="Franklin Gothic Medium Cond"/>
                <w:color w:val="FFFFFF"/>
              </w:rPr>
              <w:t xml:space="preserve"> </w:t>
            </w:r>
            <w:r>
              <w:rPr>
                <w:rFonts w:ascii="Franklin Gothic Medium Cond"/>
                <w:color w:val="FFFFFF"/>
                <w:spacing w:val="-2"/>
              </w:rPr>
              <w:t>Hospital</w:t>
            </w:r>
          </w:p>
        </w:tc>
        <w:tc>
          <w:tcPr>
            <w:tcW w:w="2260" w:type="dxa"/>
            <w:shd w:val="clear" w:color="auto" w:fill="084875"/>
          </w:tcPr>
          <w:p w14:paraId="1C34EEE8" w14:textId="77777777" w:rsidR="004C558F" w:rsidRDefault="004C558F">
            <w:pPr>
              <w:pStyle w:val="TableParagraph"/>
              <w:spacing w:before="7"/>
              <w:jc w:val="left"/>
            </w:pPr>
          </w:p>
          <w:p w14:paraId="1C34EEE9" w14:textId="77777777" w:rsidR="004C558F" w:rsidRDefault="00461887">
            <w:pPr>
              <w:pStyle w:val="TableParagraph"/>
              <w:spacing w:before="0" w:line="280" w:lineRule="atLeast"/>
              <w:ind w:left="914" w:hanging="720"/>
              <w:jc w:val="left"/>
              <w:rPr>
                <w:rFonts w:ascii="Franklin Gothic Medium Cond"/>
              </w:rPr>
            </w:pPr>
            <w:r>
              <w:rPr>
                <w:rFonts w:ascii="Franklin Gothic Medium Cond"/>
                <w:color w:val="FFFFFF"/>
              </w:rPr>
              <w:t>Recipient:</w:t>
            </w:r>
            <w:r>
              <w:rPr>
                <w:rFonts w:ascii="Franklin Gothic Medium Cond"/>
                <w:color w:val="FFFFFF"/>
                <w:spacing w:val="-11"/>
              </w:rPr>
              <w:t xml:space="preserve"> </w:t>
            </w:r>
            <w:r>
              <w:rPr>
                <w:rFonts w:ascii="Franklin Gothic Medium Cond"/>
                <w:color w:val="FFFFFF"/>
              </w:rPr>
              <w:t>Source</w:t>
            </w:r>
            <w:r>
              <w:rPr>
                <w:rFonts w:ascii="Franklin Gothic Medium Cond"/>
                <w:color w:val="FFFFFF"/>
                <w:spacing w:val="-10"/>
              </w:rPr>
              <w:t xml:space="preserve"> </w:t>
            </w:r>
            <w:r>
              <w:rPr>
                <w:rFonts w:ascii="Franklin Gothic Medium Cond"/>
                <w:color w:val="FFFFFF"/>
              </w:rPr>
              <w:t xml:space="preserve">Price </w:t>
            </w:r>
            <w:r>
              <w:rPr>
                <w:rFonts w:ascii="Franklin Gothic Medium Cond"/>
                <w:color w:val="FFFFFF"/>
                <w:spacing w:val="-2"/>
              </w:rPr>
              <w:t>Ratio</w:t>
            </w:r>
          </w:p>
        </w:tc>
        <w:tc>
          <w:tcPr>
            <w:tcW w:w="2042" w:type="dxa"/>
            <w:shd w:val="clear" w:color="auto" w:fill="084875"/>
          </w:tcPr>
          <w:p w14:paraId="1C34EEEA" w14:textId="77777777" w:rsidR="004C558F" w:rsidRDefault="00461887">
            <w:pPr>
              <w:pStyle w:val="TableParagraph"/>
              <w:spacing w:before="0" w:line="249" w:lineRule="exact"/>
              <w:ind w:left="454" w:firstLine="21"/>
              <w:jc w:val="left"/>
              <w:rPr>
                <w:rFonts w:ascii="Franklin Gothic Medium Cond"/>
              </w:rPr>
            </w:pPr>
            <w:r>
              <w:rPr>
                <w:rFonts w:ascii="Franklin Gothic Medium Cond"/>
                <w:color w:val="FFFFFF"/>
              </w:rPr>
              <w:t>Average</w:t>
            </w:r>
            <w:r>
              <w:rPr>
                <w:rFonts w:ascii="Franklin Gothic Medium Cond"/>
                <w:color w:val="FFFFFF"/>
                <w:spacing w:val="-6"/>
              </w:rPr>
              <w:t xml:space="preserve"> </w:t>
            </w:r>
            <w:r>
              <w:rPr>
                <w:rFonts w:ascii="Franklin Gothic Medium Cond"/>
                <w:color w:val="FFFFFF"/>
                <w:spacing w:val="-2"/>
              </w:rPr>
              <w:t>Price</w:t>
            </w:r>
          </w:p>
          <w:p w14:paraId="1C34EEEB" w14:textId="77777777" w:rsidR="004C558F" w:rsidRDefault="00461887">
            <w:pPr>
              <w:pStyle w:val="TableParagraph"/>
              <w:spacing w:before="8" w:line="280" w:lineRule="atLeast"/>
              <w:ind w:left="615" w:right="437" w:hanging="161"/>
              <w:jc w:val="left"/>
              <w:rPr>
                <w:rFonts w:ascii="Franklin Gothic Medium Cond"/>
              </w:rPr>
            </w:pPr>
            <w:r>
              <w:rPr>
                <w:rFonts w:ascii="Franklin Gothic Medium Cond"/>
                <w:color w:val="FFFFFF"/>
              </w:rPr>
              <w:t>Difference</w:t>
            </w:r>
            <w:r>
              <w:rPr>
                <w:rFonts w:ascii="Franklin Gothic Medium Cond"/>
                <w:color w:val="FFFFFF"/>
                <w:spacing w:val="-11"/>
              </w:rPr>
              <w:t xml:space="preserve"> </w:t>
            </w:r>
            <w:r>
              <w:rPr>
                <w:rFonts w:ascii="Franklin Gothic Medium Cond"/>
                <w:color w:val="FFFFFF"/>
              </w:rPr>
              <w:t xml:space="preserve">per </w:t>
            </w:r>
            <w:r>
              <w:rPr>
                <w:rFonts w:ascii="Franklin Gothic Medium Cond"/>
                <w:color w:val="FFFFFF"/>
                <w:spacing w:val="-2"/>
              </w:rPr>
              <w:t>Encounter</w:t>
            </w:r>
          </w:p>
        </w:tc>
      </w:tr>
      <w:tr w:rsidR="004C558F" w14:paraId="1C34EEF2" w14:textId="77777777">
        <w:trPr>
          <w:trHeight w:val="330"/>
        </w:trPr>
        <w:tc>
          <w:tcPr>
            <w:tcW w:w="2921" w:type="dxa"/>
            <w:shd w:val="clear" w:color="auto" w:fill="D4EBF4"/>
          </w:tcPr>
          <w:p w14:paraId="1C34EEED" w14:textId="77777777" w:rsidR="004C558F" w:rsidRDefault="00461887">
            <w:pPr>
              <w:pStyle w:val="TableParagraph"/>
              <w:spacing w:before="37"/>
              <w:ind w:left="107"/>
              <w:jc w:val="left"/>
              <w:rPr>
                <w:sz w:val="20"/>
              </w:rPr>
            </w:pPr>
            <w:r>
              <w:rPr>
                <w:sz w:val="20"/>
              </w:rPr>
              <w:t>Medical</w:t>
            </w:r>
            <w:r>
              <w:rPr>
                <w:spacing w:val="-10"/>
                <w:sz w:val="20"/>
              </w:rPr>
              <w:t xml:space="preserve"> </w:t>
            </w:r>
            <w:r>
              <w:rPr>
                <w:spacing w:val="-2"/>
                <w:sz w:val="20"/>
              </w:rPr>
              <w:t>oncology</w:t>
            </w:r>
          </w:p>
        </w:tc>
        <w:tc>
          <w:tcPr>
            <w:tcW w:w="1332" w:type="dxa"/>
            <w:shd w:val="clear" w:color="auto" w:fill="D4EBF4"/>
          </w:tcPr>
          <w:p w14:paraId="1C34EEEE" w14:textId="77777777" w:rsidR="004C558F" w:rsidRDefault="004C558F">
            <w:pPr>
              <w:pStyle w:val="TableParagraph"/>
              <w:spacing w:before="0"/>
              <w:jc w:val="left"/>
              <w:rPr>
                <w:rFonts w:ascii="Times New Roman"/>
                <w:sz w:val="20"/>
              </w:rPr>
            </w:pPr>
          </w:p>
        </w:tc>
        <w:tc>
          <w:tcPr>
            <w:tcW w:w="1370" w:type="dxa"/>
            <w:shd w:val="clear" w:color="auto" w:fill="D4EBF4"/>
          </w:tcPr>
          <w:p w14:paraId="1C34EEEF" w14:textId="77777777" w:rsidR="004C558F" w:rsidRDefault="004C558F">
            <w:pPr>
              <w:pStyle w:val="TableParagraph"/>
              <w:spacing w:before="0"/>
              <w:jc w:val="left"/>
              <w:rPr>
                <w:rFonts w:ascii="Times New Roman"/>
                <w:sz w:val="20"/>
              </w:rPr>
            </w:pPr>
          </w:p>
        </w:tc>
        <w:tc>
          <w:tcPr>
            <w:tcW w:w="2260" w:type="dxa"/>
            <w:shd w:val="clear" w:color="auto" w:fill="D4EBF4"/>
          </w:tcPr>
          <w:p w14:paraId="1C34EEF0" w14:textId="77777777" w:rsidR="004C558F" w:rsidRDefault="004C558F">
            <w:pPr>
              <w:pStyle w:val="TableParagraph"/>
              <w:spacing w:before="0"/>
              <w:jc w:val="left"/>
              <w:rPr>
                <w:rFonts w:ascii="Times New Roman"/>
                <w:sz w:val="20"/>
              </w:rPr>
            </w:pPr>
          </w:p>
        </w:tc>
        <w:tc>
          <w:tcPr>
            <w:tcW w:w="2042" w:type="dxa"/>
            <w:shd w:val="clear" w:color="auto" w:fill="D4EBF4"/>
          </w:tcPr>
          <w:p w14:paraId="1C34EEF1" w14:textId="77777777" w:rsidR="004C558F" w:rsidRDefault="004C558F">
            <w:pPr>
              <w:pStyle w:val="TableParagraph"/>
              <w:spacing w:before="0"/>
              <w:jc w:val="left"/>
              <w:rPr>
                <w:rFonts w:ascii="Times New Roman"/>
                <w:sz w:val="20"/>
              </w:rPr>
            </w:pPr>
          </w:p>
        </w:tc>
      </w:tr>
      <w:tr w:rsidR="004C558F" w14:paraId="1C34EEF8" w14:textId="77777777">
        <w:trPr>
          <w:trHeight w:val="330"/>
        </w:trPr>
        <w:tc>
          <w:tcPr>
            <w:tcW w:w="2921" w:type="dxa"/>
          </w:tcPr>
          <w:p w14:paraId="1C34EEF3" w14:textId="77777777" w:rsidR="004C558F" w:rsidRDefault="00461887">
            <w:pPr>
              <w:pStyle w:val="TableParagraph"/>
              <w:spacing w:before="37"/>
              <w:ind w:left="307"/>
              <w:jc w:val="left"/>
              <w:rPr>
                <w:sz w:val="20"/>
              </w:rPr>
            </w:pPr>
            <w:r>
              <w:rPr>
                <w:spacing w:val="-2"/>
                <w:sz w:val="20"/>
              </w:rPr>
              <w:t>Infusion</w:t>
            </w:r>
          </w:p>
        </w:tc>
        <w:tc>
          <w:tcPr>
            <w:tcW w:w="1332" w:type="dxa"/>
          </w:tcPr>
          <w:p w14:paraId="1C34EEF4" w14:textId="77777777" w:rsidR="004C558F" w:rsidRDefault="00461887">
            <w:pPr>
              <w:pStyle w:val="TableParagraph"/>
              <w:spacing w:before="37"/>
              <w:ind w:left="107"/>
              <w:jc w:val="left"/>
              <w:rPr>
                <w:sz w:val="20"/>
              </w:rPr>
            </w:pPr>
            <w:r>
              <w:rPr>
                <w:spacing w:val="-2"/>
                <w:sz w:val="20"/>
              </w:rPr>
              <w:t>BIDMC</w:t>
            </w:r>
          </w:p>
        </w:tc>
        <w:tc>
          <w:tcPr>
            <w:tcW w:w="1370" w:type="dxa"/>
          </w:tcPr>
          <w:p w14:paraId="1C34EEF5" w14:textId="77777777" w:rsidR="004C558F" w:rsidRDefault="00461887">
            <w:pPr>
              <w:pStyle w:val="TableParagraph"/>
              <w:spacing w:before="37"/>
              <w:ind w:left="107"/>
              <w:jc w:val="left"/>
              <w:rPr>
                <w:sz w:val="20"/>
              </w:rPr>
            </w:pPr>
            <w:r>
              <w:rPr>
                <w:spacing w:val="-4"/>
                <w:sz w:val="20"/>
              </w:rPr>
              <w:t>DFCI</w:t>
            </w:r>
          </w:p>
        </w:tc>
        <w:tc>
          <w:tcPr>
            <w:tcW w:w="2260" w:type="dxa"/>
          </w:tcPr>
          <w:p w14:paraId="1C34EEF6" w14:textId="77777777" w:rsidR="004C558F" w:rsidRDefault="00461887">
            <w:pPr>
              <w:pStyle w:val="TableParagraph"/>
              <w:spacing w:before="37"/>
              <w:ind w:right="95"/>
              <w:rPr>
                <w:sz w:val="20"/>
              </w:rPr>
            </w:pPr>
            <w:r>
              <w:rPr>
                <w:spacing w:val="-4"/>
                <w:sz w:val="20"/>
              </w:rPr>
              <w:t>1.28</w:t>
            </w:r>
          </w:p>
        </w:tc>
        <w:tc>
          <w:tcPr>
            <w:tcW w:w="2042" w:type="dxa"/>
          </w:tcPr>
          <w:p w14:paraId="1C34EEF7" w14:textId="77777777" w:rsidR="004C558F" w:rsidRDefault="00461887">
            <w:pPr>
              <w:pStyle w:val="TableParagraph"/>
              <w:spacing w:before="37"/>
              <w:ind w:right="95"/>
              <w:rPr>
                <w:sz w:val="20"/>
              </w:rPr>
            </w:pPr>
            <w:r>
              <w:rPr>
                <w:spacing w:val="-4"/>
                <w:sz w:val="20"/>
              </w:rPr>
              <w:t>$114</w:t>
            </w:r>
          </w:p>
        </w:tc>
      </w:tr>
      <w:tr w:rsidR="004C558F" w14:paraId="1C34EEFE" w14:textId="77777777">
        <w:trPr>
          <w:trHeight w:val="330"/>
        </w:trPr>
        <w:tc>
          <w:tcPr>
            <w:tcW w:w="2921" w:type="dxa"/>
          </w:tcPr>
          <w:p w14:paraId="1C34EEF9" w14:textId="77777777" w:rsidR="004C558F" w:rsidRDefault="00461887">
            <w:pPr>
              <w:pStyle w:val="TableParagraph"/>
              <w:spacing w:before="37"/>
              <w:ind w:left="307"/>
              <w:jc w:val="left"/>
              <w:rPr>
                <w:sz w:val="20"/>
              </w:rPr>
            </w:pPr>
            <w:r>
              <w:rPr>
                <w:sz w:val="20"/>
              </w:rPr>
              <w:t>Oncologic</w:t>
            </w:r>
            <w:r>
              <w:rPr>
                <w:spacing w:val="-13"/>
                <w:sz w:val="20"/>
              </w:rPr>
              <w:t xml:space="preserve"> </w:t>
            </w:r>
            <w:r>
              <w:rPr>
                <w:spacing w:val="-4"/>
                <w:sz w:val="20"/>
              </w:rPr>
              <w:t>Drugs</w:t>
            </w:r>
          </w:p>
        </w:tc>
        <w:tc>
          <w:tcPr>
            <w:tcW w:w="1332" w:type="dxa"/>
          </w:tcPr>
          <w:p w14:paraId="1C34EEFA" w14:textId="77777777" w:rsidR="004C558F" w:rsidRDefault="00461887">
            <w:pPr>
              <w:pStyle w:val="TableParagraph"/>
              <w:spacing w:before="37"/>
              <w:ind w:left="107"/>
              <w:jc w:val="left"/>
              <w:rPr>
                <w:sz w:val="20"/>
              </w:rPr>
            </w:pPr>
            <w:r>
              <w:rPr>
                <w:spacing w:val="-2"/>
                <w:sz w:val="20"/>
              </w:rPr>
              <w:t>BIDMC</w:t>
            </w:r>
          </w:p>
        </w:tc>
        <w:tc>
          <w:tcPr>
            <w:tcW w:w="1370" w:type="dxa"/>
          </w:tcPr>
          <w:p w14:paraId="1C34EEFB" w14:textId="77777777" w:rsidR="004C558F" w:rsidRDefault="00461887">
            <w:pPr>
              <w:pStyle w:val="TableParagraph"/>
              <w:spacing w:before="37"/>
              <w:ind w:left="107"/>
              <w:jc w:val="left"/>
              <w:rPr>
                <w:sz w:val="20"/>
              </w:rPr>
            </w:pPr>
            <w:r>
              <w:rPr>
                <w:spacing w:val="-4"/>
                <w:sz w:val="20"/>
              </w:rPr>
              <w:t>DFCI</w:t>
            </w:r>
          </w:p>
        </w:tc>
        <w:tc>
          <w:tcPr>
            <w:tcW w:w="2260" w:type="dxa"/>
          </w:tcPr>
          <w:p w14:paraId="1C34EEFC" w14:textId="77777777" w:rsidR="004C558F" w:rsidRDefault="00461887">
            <w:pPr>
              <w:pStyle w:val="TableParagraph"/>
              <w:spacing w:before="37"/>
              <w:ind w:right="95"/>
              <w:rPr>
                <w:sz w:val="20"/>
              </w:rPr>
            </w:pPr>
            <w:r>
              <w:rPr>
                <w:spacing w:val="-4"/>
                <w:sz w:val="20"/>
              </w:rPr>
              <w:t>2.06</w:t>
            </w:r>
          </w:p>
        </w:tc>
        <w:tc>
          <w:tcPr>
            <w:tcW w:w="2042" w:type="dxa"/>
          </w:tcPr>
          <w:p w14:paraId="1C34EEFD" w14:textId="77777777" w:rsidR="004C558F" w:rsidRDefault="00461887">
            <w:pPr>
              <w:pStyle w:val="TableParagraph"/>
              <w:spacing w:before="37"/>
              <w:ind w:right="145"/>
              <w:rPr>
                <w:sz w:val="20"/>
              </w:rPr>
            </w:pPr>
            <w:r>
              <w:rPr>
                <w:spacing w:val="-5"/>
                <w:sz w:val="20"/>
              </w:rPr>
              <w:t>n/a</w:t>
            </w:r>
          </w:p>
        </w:tc>
      </w:tr>
      <w:tr w:rsidR="004C558F" w14:paraId="1C34EF03" w14:textId="77777777">
        <w:trPr>
          <w:trHeight w:val="330"/>
        </w:trPr>
        <w:tc>
          <w:tcPr>
            <w:tcW w:w="4253" w:type="dxa"/>
            <w:gridSpan w:val="2"/>
            <w:shd w:val="clear" w:color="auto" w:fill="D4EBF4"/>
          </w:tcPr>
          <w:p w14:paraId="1C34EEFF" w14:textId="77777777" w:rsidR="004C558F" w:rsidRDefault="00461887">
            <w:pPr>
              <w:pStyle w:val="TableParagraph"/>
              <w:spacing w:before="37"/>
              <w:ind w:left="107"/>
              <w:jc w:val="left"/>
              <w:rPr>
                <w:sz w:val="20"/>
              </w:rPr>
            </w:pPr>
            <w:r>
              <w:rPr>
                <w:sz w:val="20"/>
              </w:rPr>
              <w:t>Radiation</w:t>
            </w:r>
            <w:r>
              <w:rPr>
                <w:spacing w:val="-11"/>
                <w:sz w:val="20"/>
              </w:rPr>
              <w:t xml:space="preserve"> </w:t>
            </w:r>
            <w:r>
              <w:rPr>
                <w:spacing w:val="-2"/>
                <w:sz w:val="20"/>
              </w:rPr>
              <w:t>Oncology</w:t>
            </w:r>
          </w:p>
        </w:tc>
        <w:tc>
          <w:tcPr>
            <w:tcW w:w="1370" w:type="dxa"/>
            <w:shd w:val="clear" w:color="auto" w:fill="D4EBF4"/>
          </w:tcPr>
          <w:p w14:paraId="1C34EF00" w14:textId="77777777" w:rsidR="004C558F" w:rsidRDefault="004C558F">
            <w:pPr>
              <w:pStyle w:val="TableParagraph"/>
              <w:spacing w:before="0"/>
              <w:jc w:val="left"/>
              <w:rPr>
                <w:rFonts w:ascii="Times New Roman"/>
                <w:sz w:val="20"/>
              </w:rPr>
            </w:pPr>
          </w:p>
        </w:tc>
        <w:tc>
          <w:tcPr>
            <w:tcW w:w="2260" w:type="dxa"/>
            <w:shd w:val="clear" w:color="auto" w:fill="D4EBF4"/>
          </w:tcPr>
          <w:p w14:paraId="1C34EF01" w14:textId="77777777" w:rsidR="004C558F" w:rsidRDefault="004C558F">
            <w:pPr>
              <w:pStyle w:val="TableParagraph"/>
              <w:spacing w:before="0"/>
              <w:jc w:val="left"/>
              <w:rPr>
                <w:rFonts w:ascii="Times New Roman"/>
                <w:sz w:val="20"/>
              </w:rPr>
            </w:pPr>
          </w:p>
        </w:tc>
        <w:tc>
          <w:tcPr>
            <w:tcW w:w="2042" w:type="dxa"/>
            <w:shd w:val="clear" w:color="auto" w:fill="D4EBF4"/>
          </w:tcPr>
          <w:p w14:paraId="1C34EF02" w14:textId="77777777" w:rsidR="004C558F" w:rsidRDefault="004C558F">
            <w:pPr>
              <w:pStyle w:val="TableParagraph"/>
              <w:spacing w:before="0"/>
              <w:jc w:val="left"/>
              <w:rPr>
                <w:rFonts w:ascii="Times New Roman"/>
                <w:sz w:val="20"/>
              </w:rPr>
            </w:pPr>
          </w:p>
        </w:tc>
      </w:tr>
      <w:tr w:rsidR="004C558F" w14:paraId="1C34EF09" w14:textId="77777777">
        <w:trPr>
          <w:trHeight w:val="316"/>
        </w:trPr>
        <w:tc>
          <w:tcPr>
            <w:tcW w:w="2921" w:type="dxa"/>
            <w:vMerge w:val="restart"/>
          </w:tcPr>
          <w:p w14:paraId="1C34EF04" w14:textId="77777777" w:rsidR="004C558F" w:rsidRDefault="004C558F">
            <w:pPr>
              <w:pStyle w:val="TableParagraph"/>
              <w:spacing w:before="0"/>
              <w:jc w:val="left"/>
              <w:rPr>
                <w:rFonts w:ascii="Times New Roman"/>
                <w:sz w:val="20"/>
              </w:rPr>
            </w:pPr>
          </w:p>
        </w:tc>
        <w:tc>
          <w:tcPr>
            <w:tcW w:w="1332" w:type="dxa"/>
          </w:tcPr>
          <w:p w14:paraId="1C34EF05" w14:textId="77777777" w:rsidR="004C558F" w:rsidRDefault="00461887">
            <w:pPr>
              <w:pStyle w:val="TableParagraph"/>
              <w:spacing w:before="30"/>
              <w:ind w:left="107"/>
              <w:jc w:val="left"/>
              <w:rPr>
                <w:sz w:val="20"/>
              </w:rPr>
            </w:pPr>
            <w:r>
              <w:rPr>
                <w:spacing w:val="-2"/>
                <w:sz w:val="20"/>
              </w:rPr>
              <w:t>BIDMC</w:t>
            </w:r>
          </w:p>
        </w:tc>
        <w:tc>
          <w:tcPr>
            <w:tcW w:w="1370" w:type="dxa"/>
          </w:tcPr>
          <w:p w14:paraId="1C34EF06" w14:textId="77777777" w:rsidR="004C558F" w:rsidRDefault="00461887">
            <w:pPr>
              <w:pStyle w:val="TableParagraph"/>
              <w:spacing w:before="30"/>
              <w:ind w:left="107"/>
              <w:jc w:val="left"/>
              <w:rPr>
                <w:sz w:val="20"/>
              </w:rPr>
            </w:pPr>
            <w:r>
              <w:rPr>
                <w:spacing w:val="-4"/>
                <w:sz w:val="20"/>
              </w:rPr>
              <w:t>DFCI</w:t>
            </w:r>
          </w:p>
        </w:tc>
        <w:tc>
          <w:tcPr>
            <w:tcW w:w="2260" w:type="dxa"/>
          </w:tcPr>
          <w:p w14:paraId="1C34EF07" w14:textId="77777777" w:rsidR="004C558F" w:rsidRDefault="00461887">
            <w:pPr>
              <w:pStyle w:val="TableParagraph"/>
              <w:spacing w:before="30"/>
              <w:ind w:right="95"/>
              <w:rPr>
                <w:sz w:val="20"/>
              </w:rPr>
            </w:pPr>
            <w:r>
              <w:rPr>
                <w:spacing w:val="-4"/>
                <w:sz w:val="20"/>
              </w:rPr>
              <w:t>1.39</w:t>
            </w:r>
          </w:p>
        </w:tc>
        <w:tc>
          <w:tcPr>
            <w:tcW w:w="2042" w:type="dxa"/>
          </w:tcPr>
          <w:p w14:paraId="1C34EF08" w14:textId="77777777" w:rsidR="004C558F" w:rsidRDefault="00461887">
            <w:pPr>
              <w:pStyle w:val="TableParagraph"/>
              <w:spacing w:before="30"/>
              <w:ind w:right="95"/>
              <w:rPr>
                <w:sz w:val="20"/>
              </w:rPr>
            </w:pPr>
            <w:r>
              <w:rPr>
                <w:spacing w:val="-4"/>
                <w:sz w:val="20"/>
              </w:rPr>
              <w:t>$388</w:t>
            </w:r>
          </w:p>
        </w:tc>
      </w:tr>
      <w:tr w:rsidR="004C558F" w14:paraId="1C34EF0F" w14:textId="77777777">
        <w:trPr>
          <w:trHeight w:val="330"/>
        </w:trPr>
        <w:tc>
          <w:tcPr>
            <w:tcW w:w="2921" w:type="dxa"/>
            <w:vMerge/>
            <w:tcBorders>
              <w:top w:val="nil"/>
            </w:tcBorders>
          </w:tcPr>
          <w:p w14:paraId="1C34EF0A" w14:textId="77777777" w:rsidR="004C558F" w:rsidRDefault="004C558F">
            <w:pPr>
              <w:rPr>
                <w:sz w:val="2"/>
                <w:szCs w:val="2"/>
              </w:rPr>
            </w:pPr>
          </w:p>
        </w:tc>
        <w:tc>
          <w:tcPr>
            <w:tcW w:w="1332" w:type="dxa"/>
          </w:tcPr>
          <w:p w14:paraId="1C34EF0B" w14:textId="77777777" w:rsidR="004C558F" w:rsidRDefault="00461887">
            <w:pPr>
              <w:pStyle w:val="TableParagraph"/>
              <w:spacing w:before="37"/>
              <w:ind w:left="107"/>
              <w:jc w:val="left"/>
              <w:rPr>
                <w:sz w:val="20"/>
              </w:rPr>
            </w:pPr>
            <w:r>
              <w:rPr>
                <w:spacing w:val="-5"/>
                <w:sz w:val="20"/>
              </w:rPr>
              <w:t>BWH</w:t>
            </w:r>
          </w:p>
        </w:tc>
        <w:tc>
          <w:tcPr>
            <w:tcW w:w="1370" w:type="dxa"/>
          </w:tcPr>
          <w:p w14:paraId="1C34EF0C" w14:textId="77777777" w:rsidR="004C558F" w:rsidRDefault="00461887">
            <w:pPr>
              <w:pStyle w:val="TableParagraph"/>
              <w:spacing w:before="37"/>
              <w:ind w:left="107"/>
              <w:jc w:val="left"/>
              <w:rPr>
                <w:sz w:val="20"/>
              </w:rPr>
            </w:pPr>
            <w:r>
              <w:rPr>
                <w:spacing w:val="-4"/>
                <w:sz w:val="20"/>
              </w:rPr>
              <w:t>DFCI</w:t>
            </w:r>
          </w:p>
        </w:tc>
        <w:tc>
          <w:tcPr>
            <w:tcW w:w="2260" w:type="dxa"/>
          </w:tcPr>
          <w:p w14:paraId="1C34EF0D" w14:textId="77777777" w:rsidR="004C558F" w:rsidRDefault="00461887">
            <w:pPr>
              <w:pStyle w:val="TableParagraph"/>
              <w:spacing w:before="37"/>
              <w:ind w:right="95"/>
              <w:rPr>
                <w:sz w:val="20"/>
              </w:rPr>
            </w:pPr>
            <w:r>
              <w:rPr>
                <w:spacing w:val="-4"/>
                <w:sz w:val="20"/>
              </w:rPr>
              <w:t>1.21</w:t>
            </w:r>
          </w:p>
        </w:tc>
        <w:tc>
          <w:tcPr>
            <w:tcW w:w="2042" w:type="dxa"/>
          </w:tcPr>
          <w:p w14:paraId="1C34EF0E" w14:textId="77777777" w:rsidR="004C558F" w:rsidRDefault="00461887">
            <w:pPr>
              <w:pStyle w:val="TableParagraph"/>
              <w:spacing w:before="37"/>
              <w:ind w:right="95"/>
              <w:rPr>
                <w:sz w:val="20"/>
              </w:rPr>
            </w:pPr>
            <w:r>
              <w:rPr>
                <w:spacing w:val="-4"/>
                <w:sz w:val="20"/>
              </w:rPr>
              <w:t>$334</w:t>
            </w:r>
          </w:p>
        </w:tc>
      </w:tr>
      <w:tr w:rsidR="004C558F" w14:paraId="1C34EF15" w14:textId="77777777">
        <w:trPr>
          <w:trHeight w:val="330"/>
        </w:trPr>
        <w:tc>
          <w:tcPr>
            <w:tcW w:w="2921" w:type="dxa"/>
            <w:shd w:val="clear" w:color="auto" w:fill="D4EBF4"/>
          </w:tcPr>
          <w:p w14:paraId="1C34EF10" w14:textId="77777777" w:rsidR="004C558F" w:rsidRDefault="00461887">
            <w:pPr>
              <w:pStyle w:val="TableParagraph"/>
              <w:spacing w:before="37"/>
              <w:ind w:left="107"/>
              <w:jc w:val="left"/>
              <w:rPr>
                <w:sz w:val="20"/>
              </w:rPr>
            </w:pPr>
            <w:r>
              <w:rPr>
                <w:spacing w:val="-2"/>
                <w:sz w:val="20"/>
              </w:rPr>
              <w:t>Radiology</w:t>
            </w:r>
          </w:p>
        </w:tc>
        <w:tc>
          <w:tcPr>
            <w:tcW w:w="1332" w:type="dxa"/>
            <w:shd w:val="clear" w:color="auto" w:fill="D4EBF4"/>
          </w:tcPr>
          <w:p w14:paraId="1C34EF11" w14:textId="77777777" w:rsidR="004C558F" w:rsidRDefault="004C558F">
            <w:pPr>
              <w:pStyle w:val="TableParagraph"/>
              <w:spacing w:before="0"/>
              <w:jc w:val="left"/>
              <w:rPr>
                <w:rFonts w:ascii="Times New Roman"/>
                <w:sz w:val="20"/>
              </w:rPr>
            </w:pPr>
          </w:p>
        </w:tc>
        <w:tc>
          <w:tcPr>
            <w:tcW w:w="1370" w:type="dxa"/>
            <w:shd w:val="clear" w:color="auto" w:fill="D4EBF4"/>
          </w:tcPr>
          <w:p w14:paraId="1C34EF12" w14:textId="77777777" w:rsidR="004C558F" w:rsidRDefault="004C558F">
            <w:pPr>
              <w:pStyle w:val="TableParagraph"/>
              <w:spacing w:before="0"/>
              <w:jc w:val="left"/>
              <w:rPr>
                <w:rFonts w:ascii="Times New Roman"/>
                <w:sz w:val="20"/>
              </w:rPr>
            </w:pPr>
          </w:p>
        </w:tc>
        <w:tc>
          <w:tcPr>
            <w:tcW w:w="2260" w:type="dxa"/>
            <w:shd w:val="clear" w:color="auto" w:fill="D4EBF4"/>
          </w:tcPr>
          <w:p w14:paraId="1C34EF13" w14:textId="77777777" w:rsidR="004C558F" w:rsidRDefault="004C558F">
            <w:pPr>
              <w:pStyle w:val="TableParagraph"/>
              <w:spacing w:before="0"/>
              <w:jc w:val="left"/>
              <w:rPr>
                <w:rFonts w:ascii="Times New Roman"/>
                <w:sz w:val="20"/>
              </w:rPr>
            </w:pPr>
          </w:p>
        </w:tc>
        <w:tc>
          <w:tcPr>
            <w:tcW w:w="2042" w:type="dxa"/>
            <w:shd w:val="clear" w:color="auto" w:fill="D4EBF4"/>
          </w:tcPr>
          <w:p w14:paraId="1C34EF14" w14:textId="77777777" w:rsidR="004C558F" w:rsidRDefault="004C558F">
            <w:pPr>
              <w:pStyle w:val="TableParagraph"/>
              <w:spacing w:before="0"/>
              <w:jc w:val="left"/>
              <w:rPr>
                <w:rFonts w:ascii="Times New Roman"/>
                <w:sz w:val="20"/>
              </w:rPr>
            </w:pPr>
          </w:p>
        </w:tc>
      </w:tr>
      <w:tr w:rsidR="004C558F" w14:paraId="1C34EF1B" w14:textId="77777777">
        <w:trPr>
          <w:trHeight w:val="316"/>
        </w:trPr>
        <w:tc>
          <w:tcPr>
            <w:tcW w:w="2921" w:type="dxa"/>
          </w:tcPr>
          <w:p w14:paraId="1C34EF16" w14:textId="77777777" w:rsidR="004C558F" w:rsidRDefault="00461887">
            <w:pPr>
              <w:pStyle w:val="TableParagraph"/>
              <w:spacing w:before="30"/>
              <w:ind w:left="307"/>
              <w:jc w:val="left"/>
              <w:rPr>
                <w:sz w:val="20"/>
              </w:rPr>
            </w:pPr>
            <w:r>
              <w:rPr>
                <w:spacing w:val="-5"/>
                <w:sz w:val="20"/>
              </w:rPr>
              <w:t>MRI</w:t>
            </w:r>
          </w:p>
        </w:tc>
        <w:tc>
          <w:tcPr>
            <w:tcW w:w="1332" w:type="dxa"/>
          </w:tcPr>
          <w:p w14:paraId="1C34EF17" w14:textId="77777777" w:rsidR="004C558F" w:rsidRDefault="00461887">
            <w:pPr>
              <w:pStyle w:val="TableParagraph"/>
              <w:spacing w:before="30"/>
              <w:ind w:left="107"/>
              <w:jc w:val="left"/>
              <w:rPr>
                <w:sz w:val="20"/>
              </w:rPr>
            </w:pPr>
            <w:r>
              <w:rPr>
                <w:spacing w:val="-2"/>
                <w:sz w:val="20"/>
              </w:rPr>
              <w:t>BIDMC</w:t>
            </w:r>
          </w:p>
        </w:tc>
        <w:tc>
          <w:tcPr>
            <w:tcW w:w="1370" w:type="dxa"/>
          </w:tcPr>
          <w:p w14:paraId="1C34EF18" w14:textId="77777777" w:rsidR="004C558F" w:rsidRDefault="00461887">
            <w:pPr>
              <w:pStyle w:val="TableParagraph"/>
              <w:spacing w:before="30"/>
              <w:ind w:left="107"/>
              <w:jc w:val="left"/>
              <w:rPr>
                <w:sz w:val="20"/>
              </w:rPr>
            </w:pPr>
            <w:r>
              <w:rPr>
                <w:spacing w:val="-4"/>
                <w:sz w:val="20"/>
              </w:rPr>
              <w:t>DFCI</w:t>
            </w:r>
          </w:p>
        </w:tc>
        <w:tc>
          <w:tcPr>
            <w:tcW w:w="2260" w:type="dxa"/>
          </w:tcPr>
          <w:p w14:paraId="1C34EF19" w14:textId="77777777" w:rsidR="004C558F" w:rsidRDefault="00461887">
            <w:pPr>
              <w:pStyle w:val="TableParagraph"/>
              <w:spacing w:before="30"/>
              <w:ind w:right="95"/>
              <w:rPr>
                <w:sz w:val="20"/>
              </w:rPr>
            </w:pPr>
            <w:r>
              <w:rPr>
                <w:spacing w:val="-4"/>
                <w:sz w:val="20"/>
              </w:rPr>
              <w:t>1.93</w:t>
            </w:r>
          </w:p>
        </w:tc>
        <w:tc>
          <w:tcPr>
            <w:tcW w:w="2042" w:type="dxa"/>
          </w:tcPr>
          <w:p w14:paraId="1C34EF1A" w14:textId="77777777" w:rsidR="004C558F" w:rsidRDefault="00461887">
            <w:pPr>
              <w:pStyle w:val="TableParagraph"/>
              <w:spacing w:before="30"/>
              <w:ind w:right="96"/>
              <w:rPr>
                <w:sz w:val="20"/>
              </w:rPr>
            </w:pPr>
            <w:r>
              <w:rPr>
                <w:spacing w:val="-2"/>
                <w:sz w:val="20"/>
              </w:rPr>
              <w:t>$1,090</w:t>
            </w:r>
          </w:p>
        </w:tc>
      </w:tr>
      <w:tr w:rsidR="004C558F" w14:paraId="1C34EF21" w14:textId="77777777">
        <w:trPr>
          <w:trHeight w:val="316"/>
        </w:trPr>
        <w:tc>
          <w:tcPr>
            <w:tcW w:w="2921" w:type="dxa"/>
          </w:tcPr>
          <w:p w14:paraId="1C34EF1C" w14:textId="77777777" w:rsidR="004C558F" w:rsidRDefault="00461887">
            <w:pPr>
              <w:pStyle w:val="TableParagraph"/>
              <w:spacing w:before="30"/>
              <w:ind w:left="307"/>
              <w:jc w:val="left"/>
              <w:rPr>
                <w:sz w:val="20"/>
              </w:rPr>
            </w:pPr>
            <w:r>
              <w:rPr>
                <w:spacing w:val="-5"/>
                <w:sz w:val="20"/>
              </w:rPr>
              <w:t>MRI</w:t>
            </w:r>
          </w:p>
        </w:tc>
        <w:tc>
          <w:tcPr>
            <w:tcW w:w="1332" w:type="dxa"/>
          </w:tcPr>
          <w:p w14:paraId="1C34EF1D" w14:textId="77777777" w:rsidR="004C558F" w:rsidRDefault="00461887">
            <w:pPr>
              <w:pStyle w:val="TableParagraph"/>
              <w:spacing w:before="30"/>
              <w:ind w:left="107"/>
              <w:jc w:val="left"/>
              <w:rPr>
                <w:sz w:val="20"/>
              </w:rPr>
            </w:pPr>
            <w:r>
              <w:rPr>
                <w:spacing w:val="-5"/>
                <w:sz w:val="20"/>
              </w:rPr>
              <w:t>BWH</w:t>
            </w:r>
          </w:p>
        </w:tc>
        <w:tc>
          <w:tcPr>
            <w:tcW w:w="1370" w:type="dxa"/>
          </w:tcPr>
          <w:p w14:paraId="1C34EF1E" w14:textId="77777777" w:rsidR="004C558F" w:rsidRDefault="00461887">
            <w:pPr>
              <w:pStyle w:val="TableParagraph"/>
              <w:spacing w:before="30"/>
              <w:ind w:left="107"/>
              <w:jc w:val="left"/>
              <w:rPr>
                <w:sz w:val="20"/>
              </w:rPr>
            </w:pPr>
            <w:r>
              <w:rPr>
                <w:spacing w:val="-4"/>
                <w:sz w:val="20"/>
              </w:rPr>
              <w:t>DFCI</w:t>
            </w:r>
          </w:p>
        </w:tc>
        <w:tc>
          <w:tcPr>
            <w:tcW w:w="2260" w:type="dxa"/>
          </w:tcPr>
          <w:p w14:paraId="1C34EF1F" w14:textId="77777777" w:rsidR="004C558F" w:rsidRDefault="00461887">
            <w:pPr>
              <w:pStyle w:val="TableParagraph"/>
              <w:spacing w:before="30"/>
              <w:ind w:right="95"/>
              <w:rPr>
                <w:sz w:val="20"/>
              </w:rPr>
            </w:pPr>
            <w:r>
              <w:rPr>
                <w:spacing w:val="-4"/>
                <w:sz w:val="20"/>
              </w:rPr>
              <w:t>1.18</w:t>
            </w:r>
          </w:p>
        </w:tc>
        <w:tc>
          <w:tcPr>
            <w:tcW w:w="2042" w:type="dxa"/>
          </w:tcPr>
          <w:p w14:paraId="1C34EF20" w14:textId="77777777" w:rsidR="004C558F" w:rsidRDefault="00461887">
            <w:pPr>
              <w:pStyle w:val="TableParagraph"/>
              <w:spacing w:before="30"/>
              <w:ind w:right="95"/>
              <w:rPr>
                <w:sz w:val="20"/>
              </w:rPr>
            </w:pPr>
            <w:r>
              <w:rPr>
                <w:spacing w:val="-4"/>
                <w:sz w:val="20"/>
              </w:rPr>
              <w:t>$316</w:t>
            </w:r>
          </w:p>
        </w:tc>
      </w:tr>
      <w:tr w:rsidR="004C558F" w14:paraId="1C34EF27" w14:textId="77777777">
        <w:trPr>
          <w:trHeight w:val="316"/>
        </w:trPr>
        <w:tc>
          <w:tcPr>
            <w:tcW w:w="2921" w:type="dxa"/>
          </w:tcPr>
          <w:p w14:paraId="1C34EF22" w14:textId="77777777" w:rsidR="004C558F" w:rsidRDefault="00461887">
            <w:pPr>
              <w:pStyle w:val="TableParagraph"/>
              <w:spacing w:before="30"/>
              <w:ind w:left="307"/>
              <w:jc w:val="left"/>
              <w:rPr>
                <w:sz w:val="20"/>
              </w:rPr>
            </w:pPr>
            <w:r>
              <w:rPr>
                <w:spacing w:val="-5"/>
                <w:sz w:val="20"/>
              </w:rPr>
              <w:t>MRI</w:t>
            </w:r>
          </w:p>
        </w:tc>
        <w:tc>
          <w:tcPr>
            <w:tcW w:w="1332" w:type="dxa"/>
          </w:tcPr>
          <w:p w14:paraId="1C34EF23" w14:textId="77777777" w:rsidR="004C558F" w:rsidRDefault="00461887">
            <w:pPr>
              <w:pStyle w:val="TableParagraph"/>
              <w:spacing w:before="30"/>
              <w:ind w:left="107"/>
              <w:jc w:val="left"/>
              <w:rPr>
                <w:sz w:val="20"/>
              </w:rPr>
            </w:pPr>
            <w:r>
              <w:rPr>
                <w:spacing w:val="-5"/>
                <w:sz w:val="20"/>
              </w:rPr>
              <w:t>BWH</w:t>
            </w:r>
          </w:p>
        </w:tc>
        <w:tc>
          <w:tcPr>
            <w:tcW w:w="1370" w:type="dxa"/>
          </w:tcPr>
          <w:p w14:paraId="1C34EF24" w14:textId="77777777" w:rsidR="004C558F" w:rsidRDefault="00461887">
            <w:pPr>
              <w:pStyle w:val="TableParagraph"/>
              <w:spacing w:before="30"/>
              <w:ind w:left="107"/>
              <w:jc w:val="left"/>
              <w:rPr>
                <w:sz w:val="20"/>
              </w:rPr>
            </w:pPr>
            <w:r>
              <w:rPr>
                <w:spacing w:val="-2"/>
                <w:sz w:val="20"/>
              </w:rPr>
              <w:t>BIDMC</w:t>
            </w:r>
          </w:p>
        </w:tc>
        <w:tc>
          <w:tcPr>
            <w:tcW w:w="2260" w:type="dxa"/>
          </w:tcPr>
          <w:p w14:paraId="1C34EF25" w14:textId="77777777" w:rsidR="004C558F" w:rsidRDefault="00461887">
            <w:pPr>
              <w:pStyle w:val="TableParagraph"/>
              <w:spacing w:before="30"/>
              <w:ind w:right="95"/>
              <w:rPr>
                <w:sz w:val="20"/>
              </w:rPr>
            </w:pPr>
            <w:r>
              <w:rPr>
                <w:spacing w:val="-4"/>
                <w:sz w:val="20"/>
              </w:rPr>
              <w:t>0.73</w:t>
            </w:r>
          </w:p>
        </w:tc>
        <w:tc>
          <w:tcPr>
            <w:tcW w:w="2042" w:type="dxa"/>
          </w:tcPr>
          <w:p w14:paraId="1C34EF26" w14:textId="77777777" w:rsidR="004C558F" w:rsidRDefault="00461887">
            <w:pPr>
              <w:pStyle w:val="TableParagraph"/>
              <w:spacing w:before="30"/>
              <w:ind w:right="93"/>
              <w:rPr>
                <w:sz w:val="20"/>
              </w:rPr>
            </w:pPr>
            <w:r w:rsidRPr="00961C23">
              <w:rPr>
                <w:color w:val="A20000"/>
                <w:spacing w:val="-2"/>
                <w:sz w:val="20"/>
              </w:rPr>
              <w:t>($450)</w:t>
            </w:r>
          </w:p>
        </w:tc>
      </w:tr>
      <w:tr w:rsidR="004C558F" w14:paraId="1C34EF2D" w14:textId="77777777">
        <w:trPr>
          <w:trHeight w:val="316"/>
        </w:trPr>
        <w:tc>
          <w:tcPr>
            <w:tcW w:w="2921" w:type="dxa"/>
          </w:tcPr>
          <w:p w14:paraId="1C34EF28" w14:textId="77777777" w:rsidR="004C558F" w:rsidRDefault="00461887">
            <w:pPr>
              <w:pStyle w:val="TableParagraph"/>
              <w:spacing w:before="27"/>
              <w:ind w:left="307"/>
              <w:jc w:val="left"/>
              <w:rPr>
                <w:sz w:val="20"/>
              </w:rPr>
            </w:pPr>
            <w:r>
              <w:rPr>
                <w:spacing w:val="-5"/>
                <w:sz w:val="20"/>
              </w:rPr>
              <w:t>CT</w:t>
            </w:r>
          </w:p>
        </w:tc>
        <w:tc>
          <w:tcPr>
            <w:tcW w:w="1332" w:type="dxa"/>
          </w:tcPr>
          <w:p w14:paraId="1C34EF29" w14:textId="77777777" w:rsidR="004C558F" w:rsidRDefault="00461887">
            <w:pPr>
              <w:pStyle w:val="TableParagraph"/>
              <w:spacing w:before="27"/>
              <w:ind w:left="107"/>
              <w:jc w:val="left"/>
              <w:rPr>
                <w:sz w:val="20"/>
              </w:rPr>
            </w:pPr>
            <w:r>
              <w:rPr>
                <w:spacing w:val="-2"/>
                <w:sz w:val="20"/>
              </w:rPr>
              <w:t>BIDMC</w:t>
            </w:r>
          </w:p>
        </w:tc>
        <w:tc>
          <w:tcPr>
            <w:tcW w:w="1370" w:type="dxa"/>
          </w:tcPr>
          <w:p w14:paraId="1C34EF2A" w14:textId="77777777" w:rsidR="004C558F" w:rsidRDefault="00461887">
            <w:pPr>
              <w:pStyle w:val="TableParagraph"/>
              <w:spacing w:before="27"/>
              <w:ind w:left="107"/>
              <w:jc w:val="left"/>
              <w:rPr>
                <w:sz w:val="20"/>
              </w:rPr>
            </w:pPr>
            <w:r>
              <w:rPr>
                <w:spacing w:val="-4"/>
                <w:sz w:val="20"/>
              </w:rPr>
              <w:t>DFCI</w:t>
            </w:r>
          </w:p>
        </w:tc>
        <w:tc>
          <w:tcPr>
            <w:tcW w:w="2260" w:type="dxa"/>
          </w:tcPr>
          <w:p w14:paraId="1C34EF2B" w14:textId="77777777" w:rsidR="004C558F" w:rsidRDefault="00461887">
            <w:pPr>
              <w:pStyle w:val="TableParagraph"/>
              <w:spacing w:before="27"/>
              <w:ind w:right="95"/>
              <w:rPr>
                <w:sz w:val="20"/>
              </w:rPr>
            </w:pPr>
            <w:r>
              <w:rPr>
                <w:spacing w:val="-4"/>
                <w:sz w:val="20"/>
              </w:rPr>
              <w:t>1.80</w:t>
            </w:r>
          </w:p>
        </w:tc>
        <w:tc>
          <w:tcPr>
            <w:tcW w:w="2042" w:type="dxa"/>
          </w:tcPr>
          <w:p w14:paraId="1C34EF2C" w14:textId="77777777" w:rsidR="004C558F" w:rsidRDefault="00461887">
            <w:pPr>
              <w:pStyle w:val="TableParagraph"/>
              <w:spacing w:before="27"/>
              <w:ind w:right="95"/>
              <w:rPr>
                <w:sz w:val="20"/>
              </w:rPr>
            </w:pPr>
            <w:r>
              <w:rPr>
                <w:spacing w:val="-4"/>
                <w:sz w:val="20"/>
              </w:rPr>
              <w:t>$552</w:t>
            </w:r>
          </w:p>
        </w:tc>
      </w:tr>
      <w:tr w:rsidR="004C558F" w14:paraId="1C34EF33" w14:textId="77777777">
        <w:trPr>
          <w:trHeight w:val="313"/>
        </w:trPr>
        <w:tc>
          <w:tcPr>
            <w:tcW w:w="2921" w:type="dxa"/>
          </w:tcPr>
          <w:p w14:paraId="1C34EF2E" w14:textId="77777777" w:rsidR="004C558F" w:rsidRDefault="00461887">
            <w:pPr>
              <w:pStyle w:val="TableParagraph"/>
              <w:spacing w:before="27"/>
              <w:ind w:left="307"/>
              <w:jc w:val="left"/>
              <w:rPr>
                <w:sz w:val="20"/>
              </w:rPr>
            </w:pPr>
            <w:r>
              <w:rPr>
                <w:spacing w:val="-5"/>
                <w:sz w:val="20"/>
              </w:rPr>
              <w:t>CT</w:t>
            </w:r>
          </w:p>
        </w:tc>
        <w:tc>
          <w:tcPr>
            <w:tcW w:w="1332" w:type="dxa"/>
          </w:tcPr>
          <w:p w14:paraId="1C34EF2F" w14:textId="77777777" w:rsidR="004C558F" w:rsidRDefault="00461887">
            <w:pPr>
              <w:pStyle w:val="TableParagraph"/>
              <w:spacing w:before="27"/>
              <w:ind w:left="107"/>
              <w:jc w:val="left"/>
              <w:rPr>
                <w:sz w:val="20"/>
              </w:rPr>
            </w:pPr>
            <w:r>
              <w:rPr>
                <w:spacing w:val="-5"/>
                <w:sz w:val="20"/>
              </w:rPr>
              <w:t>BWH</w:t>
            </w:r>
          </w:p>
        </w:tc>
        <w:tc>
          <w:tcPr>
            <w:tcW w:w="1370" w:type="dxa"/>
          </w:tcPr>
          <w:p w14:paraId="1C34EF30" w14:textId="77777777" w:rsidR="004C558F" w:rsidRDefault="00461887">
            <w:pPr>
              <w:pStyle w:val="TableParagraph"/>
              <w:spacing w:before="27"/>
              <w:ind w:left="107"/>
              <w:jc w:val="left"/>
              <w:rPr>
                <w:sz w:val="20"/>
              </w:rPr>
            </w:pPr>
            <w:r>
              <w:rPr>
                <w:spacing w:val="-4"/>
                <w:sz w:val="20"/>
              </w:rPr>
              <w:t>DFCI</w:t>
            </w:r>
          </w:p>
        </w:tc>
        <w:tc>
          <w:tcPr>
            <w:tcW w:w="2260" w:type="dxa"/>
          </w:tcPr>
          <w:p w14:paraId="1C34EF31" w14:textId="77777777" w:rsidR="004C558F" w:rsidRDefault="00461887">
            <w:pPr>
              <w:pStyle w:val="TableParagraph"/>
              <w:spacing w:before="27"/>
              <w:ind w:right="95"/>
              <w:rPr>
                <w:sz w:val="20"/>
              </w:rPr>
            </w:pPr>
            <w:r>
              <w:rPr>
                <w:spacing w:val="-4"/>
                <w:sz w:val="20"/>
              </w:rPr>
              <w:t>1.30</w:t>
            </w:r>
          </w:p>
        </w:tc>
        <w:tc>
          <w:tcPr>
            <w:tcW w:w="2042" w:type="dxa"/>
          </w:tcPr>
          <w:p w14:paraId="1C34EF32" w14:textId="77777777" w:rsidR="004C558F" w:rsidRDefault="00461887">
            <w:pPr>
              <w:pStyle w:val="TableParagraph"/>
              <w:spacing w:before="27"/>
              <w:ind w:right="95"/>
              <w:rPr>
                <w:sz w:val="20"/>
              </w:rPr>
            </w:pPr>
            <w:r>
              <w:rPr>
                <w:spacing w:val="-4"/>
                <w:sz w:val="20"/>
              </w:rPr>
              <w:t>$285</w:t>
            </w:r>
          </w:p>
        </w:tc>
      </w:tr>
      <w:tr w:rsidR="004C558F" w14:paraId="1C34EF39" w14:textId="77777777">
        <w:trPr>
          <w:trHeight w:val="316"/>
        </w:trPr>
        <w:tc>
          <w:tcPr>
            <w:tcW w:w="2921" w:type="dxa"/>
          </w:tcPr>
          <w:p w14:paraId="1C34EF34" w14:textId="77777777" w:rsidR="004C558F" w:rsidRDefault="00461887">
            <w:pPr>
              <w:pStyle w:val="TableParagraph"/>
              <w:spacing w:before="30"/>
              <w:ind w:left="307"/>
              <w:jc w:val="left"/>
              <w:rPr>
                <w:sz w:val="20"/>
              </w:rPr>
            </w:pPr>
            <w:r>
              <w:rPr>
                <w:spacing w:val="-5"/>
                <w:sz w:val="20"/>
              </w:rPr>
              <w:t>CT</w:t>
            </w:r>
          </w:p>
        </w:tc>
        <w:tc>
          <w:tcPr>
            <w:tcW w:w="1332" w:type="dxa"/>
          </w:tcPr>
          <w:p w14:paraId="1C34EF35" w14:textId="77777777" w:rsidR="004C558F" w:rsidRDefault="00461887">
            <w:pPr>
              <w:pStyle w:val="TableParagraph"/>
              <w:spacing w:before="30"/>
              <w:ind w:left="107"/>
              <w:jc w:val="left"/>
              <w:rPr>
                <w:sz w:val="20"/>
              </w:rPr>
            </w:pPr>
            <w:r>
              <w:rPr>
                <w:spacing w:val="-5"/>
                <w:sz w:val="20"/>
              </w:rPr>
              <w:t>BWH</w:t>
            </w:r>
          </w:p>
        </w:tc>
        <w:tc>
          <w:tcPr>
            <w:tcW w:w="1370" w:type="dxa"/>
          </w:tcPr>
          <w:p w14:paraId="1C34EF36" w14:textId="77777777" w:rsidR="004C558F" w:rsidRDefault="00461887">
            <w:pPr>
              <w:pStyle w:val="TableParagraph"/>
              <w:spacing w:before="30"/>
              <w:ind w:left="107"/>
              <w:jc w:val="left"/>
              <w:rPr>
                <w:sz w:val="20"/>
              </w:rPr>
            </w:pPr>
            <w:r>
              <w:rPr>
                <w:spacing w:val="-2"/>
                <w:sz w:val="20"/>
              </w:rPr>
              <w:t>BIDMC</w:t>
            </w:r>
          </w:p>
        </w:tc>
        <w:tc>
          <w:tcPr>
            <w:tcW w:w="2260" w:type="dxa"/>
          </w:tcPr>
          <w:p w14:paraId="1C34EF37" w14:textId="77777777" w:rsidR="004C558F" w:rsidRDefault="00461887">
            <w:pPr>
              <w:pStyle w:val="TableParagraph"/>
              <w:spacing w:before="30"/>
              <w:ind w:right="95"/>
              <w:rPr>
                <w:sz w:val="20"/>
              </w:rPr>
            </w:pPr>
            <w:r>
              <w:rPr>
                <w:spacing w:val="-4"/>
                <w:sz w:val="20"/>
              </w:rPr>
              <w:t>0.84</w:t>
            </w:r>
          </w:p>
        </w:tc>
        <w:tc>
          <w:tcPr>
            <w:tcW w:w="2042" w:type="dxa"/>
          </w:tcPr>
          <w:p w14:paraId="1C34EF38" w14:textId="77777777" w:rsidR="004C558F" w:rsidRDefault="00461887">
            <w:pPr>
              <w:pStyle w:val="TableParagraph"/>
              <w:spacing w:before="30"/>
              <w:ind w:right="93"/>
              <w:rPr>
                <w:sz w:val="20"/>
              </w:rPr>
            </w:pPr>
            <w:r w:rsidRPr="00961C23">
              <w:rPr>
                <w:color w:val="A20000"/>
                <w:spacing w:val="-2"/>
                <w:sz w:val="20"/>
              </w:rPr>
              <w:t>($148)</w:t>
            </w:r>
          </w:p>
        </w:tc>
      </w:tr>
      <w:tr w:rsidR="004C558F" w14:paraId="1C34EF3F" w14:textId="77777777">
        <w:trPr>
          <w:trHeight w:val="316"/>
        </w:trPr>
        <w:tc>
          <w:tcPr>
            <w:tcW w:w="2921" w:type="dxa"/>
          </w:tcPr>
          <w:p w14:paraId="1C34EF3A" w14:textId="77777777" w:rsidR="004C558F" w:rsidRDefault="00461887">
            <w:pPr>
              <w:pStyle w:val="TableParagraph"/>
              <w:spacing w:before="30"/>
              <w:ind w:left="307"/>
              <w:jc w:val="left"/>
              <w:rPr>
                <w:sz w:val="20"/>
              </w:rPr>
            </w:pPr>
            <w:r>
              <w:rPr>
                <w:spacing w:val="-2"/>
                <w:sz w:val="20"/>
              </w:rPr>
              <w:t>PET-</w:t>
            </w:r>
            <w:r>
              <w:rPr>
                <w:spacing w:val="-5"/>
                <w:sz w:val="20"/>
              </w:rPr>
              <w:t>CT</w:t>
            </w:r>
          </w:p>
        </w:tc>
        <w:tc>
          <w:tcPr>
            <w:tcW w:w="1332" w:type="dxa"/>
          </w:tcPr>
          <w:p w14:paraId="1C34EF3B" w14:textId="77777777" w:rsidR="004C558F" w:rsidRDefault="00461887">
            <w:pPr>
              <w:pStyle w:val="TableParagraph"/>
              <w:spacing w:before="30"/>
              <w:ind w:left="107"/>
              <w:jc w:val="left"/>
              <w:rPr>
                <w:sz w:val="20"/>
              </w:rPr>
            </w:pPr>
            <w:r>
              <w:rPr>
                <w:spacing w:val="-2"/>
                <w:sz w:val="20"/>
              </w:rPr>
              <w:t>BIDMC</w:t>
            </w:r>
          </w:p>
        </w:tc>
        <w:tc>
          <w:tcPr>
            <w:tcW w:w="1370" w:type="dxa"/>
          </w:tcPr>
          <w:p w14:paraId="1C34EF3C" w14:textId="77777777" w:rsidR="004C558F" w:rsidRDefault="00461887">
            <w:pPr>
              <w:pStyle w:val="TableParagraph"/>
              <w:spacing w:before="30"/>
              <w:ind w:left="107"/>
              <w:jc w:val="left"/>
              <w:rPr>
                <w:sz w:val="20"/>
              </w:rPr>
            </w:pPr>
            <w:r>
              <w:rPr>
                <w:spacing w:val="-4"/>
                <w:sz w:val="20"/>
              </w:rPr>
              <w:t>DFCI</w:t>
            </w:r>
          </w:p>
        </w:tc>
        <w:tc>
          <w:tcPr>
            <w:tcW w:w="2260" w:type="dxa"/>
          </w:tcPr>
          <w:p w14:paraId="1C34EF3D" w14:textId="77777777" w:rsidR="004C558F" w:rsidRDefault="00461887">
            <w:pPr>
              <w:pStyle w:val="TableParagraph"/>
              <w:spacing w:before="30"/>
              <w:ind w:right="95"/>
              <w:rPr>
                <w:sz w:val="20"/>
              </w:rPr>
            </w:pPr>
            <w:r>
              <w:rPr>
                <w:spacing w:val="-4"/>
                <w:sz w:val="20"/>
              </w:rPr>
              <w:t>1.08</w:t>
            </w:r>
          </w:p>
        </w:tc>
        <w:tc>
          <w:tcPr>
            <w:tcW w:w="2042" w:type="dxa"/>
          </w:tcPr>
          <w:p w14:paraId="1C34EF3E" w14:textId="77777777" w:rsidR="004C558F" w:rsidRDefault="00461887">
            <w:pPr>
              <w:pStyle w:val="TableParagraph"/>
              <w:spacing w:before="30"/>
              <w:ind w:right="95"/>
              <w:rPr>
                <w:sz w:val="20"/>
              </w:rPr>
            </w:pPr>
            <w:r>
              <w:rPr>
                <w:spacing w:val="-4"/>
                <w:sz w:val="20"/>
              </w:rPr>
              <w:t>$352</w:t>
            </w:r>
          </w:p>
        </w:tc>
      </w:tr>
      <w:tr w:rsidR="004C558F" w14:paraId="1C34EF45" w14:textId="77777777">
        <w:trPr>
          <w:trHeight w:val="316"/>
        </w:trPr>
        <w:tc>
          <w:tcPr>
            <w:tcW w:w="2921" w:type="dxa"/>
          </w:tcPr>
          <w:p w14:paraId="1C34EF40" w14:textId="77777777" w:rsidR="004C558F" w:rsidRDefault="00461887">
            <w:pPr>
              <w:pStyle w:val="TableParagraph"/>
              <w:spacing w:before="30"/>
              <w:ind w:left="307"/>
              <w:jc w:val="left"/>
              <w:rPr>
                <w:sz w:val="20"/>
              </w:rPr>
            </w:pPr>
            <w:r>
              <w:rPr>
                <w:spacing w:val="-2"/>
                <w:sz w:val="20"/>
              </w:rPr>
              <w:t>PET-</w:t>
            </w:r>
            <w:r>
              <w:rPr>
                <w:spacing w:val="-5"/>
                <w:sz w:val="20"/>
              </w:rPr>
              <w:t>CT</w:t>
            </w:r>
          </w:p>
        </w:tc>
        <w:tc>
          <w:tcPr>
            <w:tcW w:w="1332" w:type="dxa"/>
          </w:tcPr>
          <w:p w14:paraId="1C34EF41" w14:textId="77777777" w:rsidR="004C558F" w:rsidRDefault="00461887">
            <w:pPr>
              <w:pStyle w:val="TableParagraph"/>
              <w:spacing w:before="30"/>
              <w:ind w:left="107"/>
              <w:jc w:val="left"/>
              <w:rPr>
                <w:sz w:val="20"/>
              </w:rPr>
            </w:pPr>
            <w:r>
              <w:rPr>
                <w:spacing w:val="-5"/>
                <w:sz w:val="20"/>
              </w:rPr>
              <w:t>BWH</w:t>
            </w:r>
          </w:p>
        </w:tc>
        <w:tc>
          <w:tcPr>
            <w:tcW w:w="1370" w:type="dxa"/>
          </w:tcPr>
          <w:p w14:paraId="1C34EF42" w14:textId="77777777" w:rsidR="004C558F" w:rsidRDefault="00461887">
            <w:pPr>
              <w:pStyle w:val="TableParagraph"/>
              <w:spacing w:before="30"/>
              <w:ind w:left="107"/>
              <w:jc w:val="left"/>
              <w:rPr>
                <w:sz w:val="20"/>
              </w:rPr>
            </w:pPr>
            <w:r>
              <w:rPr>
                <w:spacing w:val="-4"/>
                <w:sz w:val="20"/>
              </w:rPr>
              <w:t>DFCI</w:t>
            </w:r>
          </w:p>
        </w:tc>
        <w:tc>
          <w:tcPr>
            <w:tcW w:w="2260" w:type="dxa"/>
          </w:tcPr>
          <w:p w14:paraId="1C34EF43" w14:textId="77777777" w:rsidR="004C558F" w:rsidRDefault="00461887">
            <w:pPr>
              <w:pStyle w:val="TableParagraph"/>
              <w:spacing w:before="30"/>
              <w:ind w:right="95"/>
              <w:rPr>
                <w:sz w:val="20"/>
              </w:rPr>
            </w:pPr>
            <w:r>
              <w:rPr>
                <w:spacing w:val="-4"/>
                <w:sz w:val="20"/>
              </w:rPr>
              <w:t>0.97</w:t>
            </w:r>
          </w:p>
        </w:tc>
        <w:tc>
          <w:tcPr>
            <w:tcW w:w="2042" w:type="dxa"/>
          </w:tcPr>
          <w:p w14:paraId="1C34EF44" w14:textId="77777777" w:rsidR="004C558F" w:rsidRDefault="00461887">
            <w:pPr>
              <w:pStyle w:val="TableParagraph"/>
              <w:spacing w:before="30"/>
              <w:ind w:right="93"/>
              <w:rPr>
                <w:sz w:val="20"/>
              </w:rPr>
            </w:pPr>
            <w:r w:rsidRPr="00961C23">
              <w:rPr>
                <w:color w:val="A20000"/>
                <w:spacing w:val="-2"/>
                <w:sz w:val="20"/>
              </w:rPr>
              <w:t>($131)</w:t>
            </w:r>
          </w:p>
        </w:tc>
      </w:tr>
      <w:tr w:rsidR="004C558F" w14:paraId="1C34EF4B" w14:textId="77777777">
        <w:trPr>
          <w:trHeight w:val="330"/>
        </w:trPr>
        <w:tc>
          <w:tcPr>
            <w:tcW w:w="2921" w:type="dxa"/>
          </w:tcPr>
          <w:p w14:paraId="1C34EF46" w14:textId="77777777" w:rsidR="004C558F" w:rsidRDefault="00461887">
            <w:pPr>
              <w:pStyle w:val="TableParagraph"/>
              <w:spacing w:before="37"/>
              <w:ind w:left="307"/>
              <w:jc w:val="left"/>
              <w:rPr>
                <w:sz w:val="20"/>
              </w:rPr>
            </w:pPr>
            <w:r>
              <w:rPr>
                <w:spacing w:val="-2"/>
                <w:sz w:val="20"/>
              </w:rPr>
              <w:t>PET-</w:t>
            </w:r>
            <w:r>
              <w:rPr>
                <w:spacing w:val="-5"/>
                <w:sz w:val="20"/>
              </w:rPr>
              <w:t>CT</w:t>
            </w:r>
          </w:p>
        </w:tc>
        <w:tc>
          <w:tcPr>
            <w:tcW w:w="1332" w:type="dxa"/>
          </w:tcPr>
          <w:p w14:paraId="1C34EF47" w14:textId="77777777" w:rsidR="004C558F" w:rsidRDefault="00461887">
            <w:pPr>
              <w:pStyle w:val="TableParagraph"/>
              <w:spacing w:before="37"/>
              <w:ind w:left="107"/>
              <w:jc w:val="left"/>
              <w:rPr>
                <w:sz w:val="20"/>
              </w:rPr>
            </w:pPr>
            <w:r>
              <w:rPr>
                <w:spacing w:val="-5"/>
                <w:sz w:val="20"/>
              </w:rPr>
              <w:t>BWH</w:t>
            </w:r>
          </w:p>
        </w:tc>
        <w:tc>
          <w:tcPr>
            <w:tcW w:w="1370" w:type="dxa"/>
          </w:tcPr>
          <w:p w14:paraId="1C34EF48" w14:textId="77777777" w:rsidR="004C558F" w:rsidRDefault="00461887">
            <w:pPr>
              <w:pStyle w:val="TableParagraph"/>
              <w:spacing w:before="37"/>
              <w:ind w:left="107"/>
              <w:jc w:val="left"/>
              <w:rPr>
                <w:sz w:val="20"/>
              </w:rPr>
            </w:pPr>
            <w:r>
              <w:rPr>
                <w:spacing w:val="-2"/>
                <w:sz w:val="20"/>
              </w:rPr>
              <w:t>BIDMC</w:t>
            </w:r>
          </w:p>
        </w:tc>
        <w:tc>
          <w:tcPr>
            <w:tcW w:w="2260" w:type="dxa"/>
          </w:tcPr>
          <w:p w14:paraId="1C34EF49" w14:textId="77777777" w:rsidR="004C558F" w:rsidRDefault="00461887">
            <w:pPr>
              <w:pStyle w:val="TableParagraph"/>
              <w:spacing w:before="37"/>
              <w:ind w:right="95"/>
              <w:rPr>
                <w:sz w:val="20"/>
              </w:rPr>
            </w:pPr>
            <w:r>
              <w:rPr>
                <w:spacing w:val="-4"/>
                <w:sz w:val="20"/>
              </w:rPr>
              <w:t>1.05</w:t>
            </w:r>
          </w:p>
        </w:tc>
        <w:tc>
          <w:tcPr>
            <w:tcW w:w="2042" w:type="dxa"/>
          </w:tcPr>
          <w:p w14:paraId="1C34EF4A" w14:textId="77777777" w:rsidR="004C558F" w:rsidRDefault="00461887">
            <w:pPr>
              <w:pStyle w:val="TableParagraph"/>
              <w:spacing w:before="37"/>
              <w:ind w:right="95"/>
              <w:rPr>
                <w:sz w:val="20"/>
              </w:rPr>
            </w:pPr>
            <w:r>
              <w:rPr>
                <w:spacing w:val="-4"/>
                <w:sz w:val="20"/>
              </w:rPr>
              <w:t>$212</w:t>
            </w:r>
          </w:p>
        </w:tc>
      </w:tr>
      <w:tr w:rsidR="004C558F" w14:paraId="1C34EF51" w14:textId="77777777">
        <w:trPr>
          <w:trHeight w:val="330"/>
        </w:trPr>
        <w:tc>
          <w:tcPr>
            <w:tcW w:w="2921" w:type="dxa"/>
          </w:tcPr>
          <w:p w14:paraId="1C34EF4C" w14:textId="77777777" w:rsidR="004C558F" w:rsidRDefault="00461887">
            <w:pPr>
              <w:pStyle w:val="TableParagraph"/>
              <w:spacing w:before="37"/>
              <w:ind w:left="307"/>
              <w:jc w:val="left"/>
              <w:rPr>
                <w:sz w:val="20"/>
              </w:rPr>
            </w:pPr>
            <w:r>
              <w:rPr>
                <w:spacing w:val="-2"/>
                <w:sz w:val="20"/>
              </w:rPr>
              <w:t>Mammography</w:t>
            </w:r>
          </w:p>
        </w:tc>
        <w:tc>
          <w:tcPr>
            <w:tcW w:w="1332" w:type="dxa"/>
          </w:tcPr>
          <w:p w14:paraId="1C34EF4D" w14:textId="77777777" w:rsidR="004C558F" w:rsidRDefault="00461887">
            <w:pPr>
              <w:pStyle w:val="TableParagraph"/>
              <w:spacing w:before="37"/>
              <w:ind w:left="107"/>
              <w:jc w:val="left"/>
              <w:rPr>
                <w:sz w:val="20"/>
              </w:rPr>
            </w:pPr>
            <w:r>
              <w:rPr>
                <w:spacing w:val="-2"/>
                <w:sz w:val="20"/>
              </w:rPr>
              <w:t>BIDMC</w:t>
            </w:r>
          </w:p>
        </w:tc>
        <w:tc>
          <w:tcPr>
            <w:tcW w:w="1370" w:type="dxa"/>
          </w:tcPr>
          <w:p w14:paraId="1C34EF4E" w14:textId="77777777" w:rsidR="004C558F" w:rsidRDefault="00461887">
            <w:pPr>
              <w:pStyle w:val="TableParagraph"/>
              <w:spacing w:before="37"/>
              <w:ind w:left="107"/>
              <w:jc w:val="left"/>
              <w:rPr>
                <w:sz w:val="20"/>
              </w:rPr>
            </w:pPr>
            <w:r>
              <w:rPr>
                <w:spacing w:val="-4"/>
                <w:sz w:val="20"/>
              </w:rPr>
              <w:t>DFCI</w:t>
            </w:r>
          </w:p>
        </w:tc>
        <w:tc>
          <w:tcPr>
            <w:tcW w:w="2260" w:type="dxa"/>
          </w:tcPr>
          <w:p w14:paraId="1C34EF4F" w14:textId="77777777" w:rsidR="004C558F" w:rsidRDefault="00461887">
            <w:pPr>
              <w:pStyle w:val="TableParagraph"/>
              <w:spacing w:before="37"/>
              <w:ind w:right="95"/>
              <w:rPr>
                <w:sz w:val="20"/>
              </w:rPr>
            </w:pPr>
            <w:r>
              <w:rPr>
                <w:spacing w:val="-4"/>
                <w:sz w:val="20"/>
              </w:rPr>
              <w:t>1.35</w:t>
            </w:r>
          </w:p>
        </w:tc>
        <w:tc>
          <w:tcPr>
            <w:tcW w:w="2042" w:type="dxa"/>
          </w:tcPr>
          <w:p w14:paraId="1C34EF50" w14:textId="77777777" w:rsidR="004C558F" w:rsidRDefault="00461887">
            <w:pPr>
              <w:pStyle w:val="TableParagraph"/>
              <w:spacing w:before="37"/>
              <w:ind w:right="95"/>
              <w:rPr>
                <w:sz w:val="20"/>
              </w:rPr>
            </w:pPr>
            <w:r>
              <w:rPr>
                <w:spacing w:val="-5"/>
                <w:sz w:val="20"/>
              </w:rPr>
              <w:t>$86</w:t>
            </w:r>
          </w:p>
        </w:tc>
      </w:tr>
      <w:tr w:rsidR="004C558F" w14:paraId="1C34EF57" w14:textId="77777777">
        <w:trPr>
          <w:trHeight w:val="330"/>
        </w:trPr>
        <w:tc>
          <w:tcPr>
            <w:tcW w:w="2921" w:type="dxa"/>
          </w:tcPr>
          <w:p w14:paraId="1C34EF52" w14:textId="77777777" w:rsidR="004C558F" w:rsidRDefault="00461887">
            <w:pPr>
              <w:pStyle w:val="TableParagraph"/>
              <w:spacing w:before="37"/>
              <w:ind w:left="307"/>
              <w:jc w:val="left"/>
              <w:rPr>
                <w:sz w:val="20"/>
              </w:rPr>
            </w:pPr>
            <w:r>
              <w:rPr>
                <w:spacing w:val="-2"/>
                <w:sz w:val="20"/>
              </w:rPr>
              <w:t>Mammography</w:t>
            </w:r>
          </w:p>
        </w:tc>
        <w:tc>
          <w:tcPr>
            <w:tcW w:w="1332" w:type="dxa"/>
          </w:tcPr>
          <w:p w14:paraId="1C34EF53" w14:textId="77777777" w:rsidR="004C558F" w:rsidRDefault="00461887">
            <w:pPr>
              <w:pStyle w:val="TableParagraph"/>
              <w:spacing w:before="37"/>
              <w:ind w:left="107"/>
              <w:jc w:val="left"/>
              <w:rPr>
                <w:sz w:val="20"/>
              </w:rPr>
            </w:pPr>
            <w:r>
              <w:rPr>
                <w:spacing w:val="-5"/>
                <w:sz w:val="20"/>
              </w:rPr>
              <w:t>BWH</w:t>
            </w:r>
          </w:p>
        </w:tc>
        <w:tc>
          <w:tcPr>
            <w:tcW w:w="1370" w:type="dxa"/>
          </w:tcPr>
          <w:p w14:paraId="1C34EF54" w14:textId="77777777" w:rsidR="004C558F" w:rsidRDefault="00461887">
            <w:pPr>
              <w:pStyle w:val="TableParagraph"/>
              <w:spacing w:before="37"/>
              <w:ind w:left="107"/>
              <w:jc w:val="left"/>
              <w:rPr>
                <w:sz w:val="20"/>
              </w:rPr>
            </w:pPr>
            <w:r>
              <w:rPr>
                <w:spacing w:val="-4"/>
                <w:sz w:val="20"/>
              </w:rPr>
              <w:t>DFCI</w:t>
            </w:r>
          </w:p>
        </w:tc>
        <w:tc>
          <w:tcPr>
            <w:tcW w:w="2260" w:type="dxa"/>
          </w:tcPr>
          <w:p w14:paraId="1C34EF55" w14:textId="77777777" w:rsidR="004C558F" w:rsidRDefault="00461887">
            <w:pPr>
              <w:pStyle w:val="TableParagraph"/>
              <w:spacing w:before="37"/>
              <w:ind w:right="95"/>
              <w:rPr>
                <w:sz w:val="20"/>
              </w:rPr>
            </w:pPr>
            <w:r>
              <w:rPr>
                <w:spacing w:val="-4"/>
                <w:sz w:val="20"/>
              </w:rPr>
              <w:t>0.95</w:t>
            </w:r>
          </w:p>
        </w:tc>
        <w:tc>
          <w:tcPr>
            <w:tcW w:w="2042" w:type="dxa"/>
          </w:tcPr>
          <w:p w14:paraId="1C34EF56" w14:textId="77777777" w:rsidR="004C558F" w:rsidRDefault="00461887">
            <w:pPr>
              <w:pStyle w:val="TableParagraph"/>
              <w:spacing w:before="37"/>
              <w:ind w:right="95"/>
              <w:rPr>
                <w:sz w:val="20"/>
              </w:rPr>
            </w:pPr>
            <w:r w:rsidRPr="00961C23">
              <w:rPr>
                <w:color w:val="A20000"/>
                <w:spacing w:val="-2"/>
                <w:sz w:val="20"/>
              </w:rPr>
              <w:t>($13)</w:t>
            </w:r>
          </w:p>
        </w:tc>
      </w:tr>
      <w:tr w:rsidR="004C558F" w14:paraId="1C34EF5D" w14:textId="77777777">
        <w:trPr>
          <w:trHeight w:val="330"/>
        </w:trPr>
        <w:tc>
          <w:tcPr>
            <w:tcW w:w="2921" w:type="dxa"/>
          </w:tcPr>
          <w:p w14:paraId="1C34EF58" w14:textId="77777777" w:rsidR="004C558F" w:rsidRDefault="00461887">
            <w:pPr>
              <w:pStyle w:val="TableParagraph"/>
              <w:spacing w:before="37"/>
              <w:ind w:left="307"/>
              <w:jc w:val="left"/>
              <w:rPr>
                <w:sz w:val="20"/>
              </w:rPr>
            </w:pPr>
            <w:r>
              <w:rPr>
                <w:spacing w:val="-2"/>
                <w:sz w:val="20"/>
              </w:rPr>
              <w:t>Mammography</w:t>
            </w:r>
          </w:p>
        </w:tc>
        <w:tc>
          <w:tcPr>
            <w:tcW w:w="1332" w:type="dxa"/>
          </w:tcPr>
          <w:p w14:paraId="1C34EF59" w14:textId="77777777" w:rsidR="004C558F" w:rsidRDefault="00461887">
            <w:pPr>
              <w:pStyle w:val="TableParagraph"/>
              <w:spacing w:before="37"/>
              <w:ind w:left="107"/>
              <w:jc w:val="left"/>
              <w:rPr>
                <w:sz w:val="20"/>
              </w:rPr>
            </w:pPr>
            <w:r>
              <w:rPr>
                <w:spacing w:val="-5"/>
                <w:sz w:val="20"/>
              </w:rPr>
              <w:t>BWH</w:t>
            </w:r>
          </w:p>
        </w:tc>
        <w:tc>
          <w:tcPr>
            <w:tcW w:w="1370" w:type="dxa"/>
          </w:tcPr>
          <w:p w14:paraId="1C34EF5A" w14:textId="77777777" w:rsidR="004C558F" w:rsidRDefault="00461887">
            <w:pPr>
              <w:pStyle w:val="TableParagraph"/>
              <w:spacing w:before="37"/>
              <w:ind w:left="107"/>
              <w:jc w:val="left"/>
              <w:rPr>
                <w:sz w:val="20"/>
              </w:rPr>
            </w:pPr>
            <w:r>
              <w:rPr>
                <w:spacing w:val="-2"/>
                <w:sz w:val="20"/>
              </w:rPr>
              <w:t>BIDMC</w:t>
            </w:r>
          </w:p>
        </w:tc>
        <w:tc>
          <w:tcPr>
            <w:tcW w:w="2260" w:type="dxa"/>
          </w:tcPr>
          <w:p w14:paraId="1C34EF5B" w14:textId="77777777" w:rsidR="004C558F" w:rsidRDefault="00461887">
            <w:pPr>
              <w:pStyle w:val="TableParagraph"/>
              <w:spacing w:before="37"/>
              <w:ind w:right="95"/>
              <w:rPr>
                <w:sz w:val="20"/>
              </w:rPr>
            </w:pPr>
            <w:r>
              <w:rPr>
                <w:spacing w:val="-4"/>
                <w:sz w:val="20"/>
              </w:rPr>
              <w:t>0.78</w:t>
            </w:r>
          </w:p>
        </w:tc>
        <w:tc>
          <w:tcPr>
            <w:tcW w:w="2042" w:type="dxa"/>
          </w:tcPr>
          <w:p w14:paraId="1C34EF5C" w14:textId="77777777" w:rsidR="004C558F" w:rsidRDefault="00461887">
            <w:pPr>
              <w:pStyle w:val="TableParagraph"/>
              <w:spacing w:before="37"/>
              <w:ind w:right="95"/>
              <w:rPr>
                <w:sz w:val="20"/>
              </w:rPr>
            </w:pPr>
            <w:r w:rsidRPr="00961C23">
              <w:rPr>
                <w:color w:val="A20000"/>
                <w:spacing w:val="-2"/>
                <w:sz w:val="20"/>
              </w:rPr>
              <w:t>($87)</w:t>
            </w:r>
          </w:p>
        </w:tc>
      </w:tr>
      <w:tr w:rsidR="004C558F" w14:paraId="1C34EF63" w14:textId="77777777">
        <w:trPr>
          <w:trHeight w:val="330"/>
        </w:trPr>
        <w:tc>
          <w:tcPr>
            <w:tcW w:w="2921" w:type="dxa"/>
            <w:shd w:val="clear" w:color="auto" w:fill="D4EBF4"/>
          </w:tcPr>
          <w:p w14:paraId="1C34EF5E" w14:textId="77777777" w:rsidR="004C558F" w:rsidRDefault="00461887">
            <w:pPr>
              <w:pStyle w:val="TableParagraph"/>
              <w:spacing w:before="37"/>
              <w:ind w:left="107"/>
              <w:jc w:val="left"/>
              <w:rPr>
                <w:sz w:val="20"/>
              </w:rPr>
            </w:pPr>
            <w:r>
              <w:rPr>
                <w:spacing w:val="-5"/>
                <w:sz w:val="20"/>
              </w:rPr>
              <w:t>Lab</w:t>
            </w:r>
          </w:p>
        </w:tc>
        <w:tc>
          <w:tcPr>
            <w:tcW w:w="1332" w:type="dxa"/>
            <w:shd w:val="clear" w:color="auto" w:fill="D4EBF4"/>
          </w:tcPr>
          <w:p w14:paraId="1C34EF5F" w14:textId="77777777" w:rsidR="004C558F" w:rsidRDefault="004C558F">
            <w:pPr>
              <w:pStyle w:val="TableParagraph"/>
              <w:spacing w:before="0"/>
              <w:jc w:val="left"/>
              <w:rPr>
                <w:rFonts w:ascii="Times New Roman"/>
                <w:sz w:val="20"/>
              </w:rPr>
            </w:pPr>
          </w:p>
        </w:tc>
        <w:tc>
          <w:tcPr>
            <w:tcW w:w="1370" w:type="dxa"/>
            <w:shd w:val="clear" w:color="auto" w:fill="D4EBF4"/>
          </w:tcPr>
          <w:p w14:paraId="1C34EF60" w14:textId="77777777" w:rsidR="004C558F" w:rsidRDefault="004C558F">
            <w:pPr>
              <w:pStyle w:val="TableParagraph"/>
              <w:spacing w:before="0"/>
              <w:jc w:val="left"/>
              <w:rPr>
                <w:rFonts w:ascii="Times New Roman"/>
                <w:sz w:val="20"/>
              </w:rPr>
            </w:pPr>
          </w:p>
        </w:tc>
        <w:tc>
          <w:tcPr>
            <w:tcW w:w="2260" w:type="dxa"/>
            <w:shd w:val="clear" w:color="auto" w:fill="D4EBF4"/>
          </w:tcPr>
          <w:p w14:paraId="1C34EF61" w14:textId="77777777" w:rsidR="004C558F" w:rsidRDefault="004C558F">
            <w:pPr>
              <w:pStyle w:val="TableParagraph"/>
              <w:spacing w:before="0"/>
              <w:jc w:val="left"/>
              <w:rPr>
                <w:rFonts w:ascii="Times New Roman"/>
                <w:sz w:val="20"/>
              </w:rPr>
            </w:pPr>
          </w:p>
        </w:tc>
        <w:tc>
          <w:tcPr>
            <w:tcW w:w="2042" w:type="dxa"/>
            <w:shd w:val="clear" w:color="auto" w:fill="D4EBF4"/>
          </w:tcPr>
          <w:p w14:paraId="1C34EF62" w14:textId="77777777" w:rsidR="004C558F" w:rsidRDefault="004C558F">
            <w:pPr>
              <w:pStyle w:val="TableParagraph"/>
              <w:spacing w:before="0"/>
              <w:jc w:val="left"/>
              <w:rPr>
                <w:rFonts w:ascii="Times New Roman"/>
                <w:sz w:val="20"/>
              </w:rPr>
            </w:pPr>
          </w:p>
        </w:tc>
      </w:tr>
      <w:tr w:rsidR="004C558F" w14:paraId="1C34EF69" w14:textId="77777777">
        <w:trPr>
          <w:trHeight w:val="316"/>
        </w:trPr>
        <w:tc>
          <w:tcPr>
            <w:tcW w:w="2921" w:type="dxa"/>
          </w:tcPr>
          <w:p w14:paraId="1C34EF64" w14:textId="77777777" w:rsidR="004C558F" w:rsidRDefault="00461887">
            <w:pPr>
              <w:pStyle w:val="TableParagraph"/>
              <w:spacing w:before="30"/>
              <w:ind w:left="307"/>
              <w:jc w:val="left"/>
              <w:rPr>
                <w:sz w:val="20"/>
              </w:rPr>
            </w:pPr>
            <w:r>
              <w:rPr>
                <w:spacing w:val="-5"/>
                <w:sz w:val="20"/>
              </w:rPr>
              <w:t>Lab</w:t>
            </w:r>
          </w:p>
        </w:tc>
        <w:tc>
          <w:tcPr>
            <w:tcW w:w="1332" w:type="dxa"/>
          </w:tcPr>
          <w:p w14:paraId="1C34EF65" w14:textId="77777777" w:rsidR="004C558F" w:rsidRDefault="00461887">
            <w:pPr>
              <w:pStyle w:val="TableParagraph"/>
              <w:spacing w:before="30"/>
              <w:ind w:left="107"/>
              <w:jc w:val="left"/>
              <w:rPr>
                <w:sz w:val="20"/>
              </w:rPr>
            </w:pPr>
            <w:r>
              <w:rPr>
                <w:spacing w:val="-2"/>
                <w:sz w:val="20"/>
              </w:rPr>
              <w:t>BIDMC</w:t>
            </w:r>
          </w:p>
        </w:tc>
        <w:tc>
          <w:tcPr>
            <w:tcW w:w="1370" w:type="dxa"/>
          </w:tcPr>
          <w:p w14:paraId="1C34EF66" w14:textId="77777777" w:rsidR="004C558F" w:rsidRDefault="00461887">
            <w:pPr>
              <w:pStyle w:val="TableParagraph"/>
              <w:spacing w:before="30"/>
              <w:ind w:left="107"/>
              <w:jc w:val="left"/>
              <w:rPr>
                <w:sz w:val="20"/>
              </w:rPr>
            </w:pPr>
            <w:r>
              <w:rPr>
                <w:spacing w:val="-4"/>
                <w:sz w:val="20"/>
              </w:rPr>
              <w:t>DFCI</w:t>
            </w:r>
          </w:p>
        </w:tc>
        <w:tc>
          <w:tcPr>
            <w:tcW w:w="2260" w:type="dxa"/>
          </w:tcPr>
          <w:p w14:paraId="1C34EF67" w14:textId="77777777" w:rsidR="004C558F" w:rsidRDefault="00461887">
            <w:pPr>
              <w:pStyle w:val="TableParagraph"/>
              <w:spacing w:before="30"/>
              <w:ind w:right="95"/>
              <w:rPr>
                <w:sz w:val="20"/>
              </w:rPr>
            </w:pPr>
            <w:r>
              <w:rPr>
                <w:spacing w:val="-4"/>
                <w:sz w:val="20"/>
              </w:rPr>
              <w:t>1.83</w:t>
            </w:r>
          </w:p>
        </w:tc>
        <w:tc>
          <w:tcPr>
            <w:tcW w:w="2042" w:type="dxa"/>
          </w:tcPr>
          <w:p w14:paraId="1C34EF68" w14:textId="77777777" w:rsidR="004C558F" w:rsidRDefault="00461887">
            <w:pPr>
              <w:pStyle w:val="TableParagraph"/>
              <w:spacing w:before="30"/>
              <w:ind w:right="95"/>
              <w:rPr>
                <w:sz w:val="20"/>
              </w:rPr>
            </w:pPr>
            <w:r>
              <w:rPr>
                <w:spacing w:val="-5"/>
                <w:sz w:val="20"/>
              </w:rPr>
              <w:t>$36</w:t>
            </w:r>
          </w:p>
        </w:tc>
      </w:tr>
      <w:tr w:rsidR="004C558F" w14:paraId="1C34EF6F" w14:textId="77777777">
        <w:trPr>
          <w:trHeight w:val="316"/>
        </w:trPr>
        <w:tc>
          <w:tcPr>
            <w:tcW w:w="2921" w:type="dxa"/>
          </w:tcPr>
          <w:p w14:paraId="1C34EF6A" w14:textId="77777777" w:rsidR="004C558F" w:rsidRDefault="00461887">
            <w:pPr>
              <w:pStyle w:val="TableParagraph"/>
              <w:spacing w:before="30"/>
              <w:ind w:left="307"/>
              <w:jc w:val="left"/>
              <w:rPr>
                <w:sz w:val="20"/>
              </w:rPr>
            </w:pPr>
            <w:r>
              <w:rPr>
                <w:spacing w:val="-5"/>
                <w:sz w:val="20"/>
              </w:rPr>
              <w:t>Lab</w:t>
            </w:r>
          </w:p>
        </w:tc>
        <w:tc>
          <w:tcPr>
            <w:tcW w:w="1332" w:type="dxa"/>
          </w:tcPr>
          <w:p w14:paraId="1C34EF6B" w14:textId="77777777" w:rsidR="004C558F" w:rsidRDefault="00461887">
            <w:pPr>
              <w:pStyle w:val="TableParagraph"/>
              <w:spacing w:before="30"/>
              <w:ind w:left="107"/>
              <w:jc w:val="left"/>
              <w:rPr>
                <w:sz w:val="20"/>
              </w:rPr>
            </w:pPr>
            <w:r>
              <w:rPr>
                <w:spacing w:val="-5"/>
                <w:sz w:val="20"/>
              </w:rPr>
              <w:t>BWH</w:t>
            </w:r>
          </w:p>
        </w:tc>
        <w:tc>
          <w:tcPr>
            <w:tcW w:w="1370" w:type="dxa"/>
          </w:tcPr>
          <w:p w14:paraId="1C34EF6C" w14:textId="77777777" w:rsidR="004C558F" w:rsidRDefault="00461887">
            <w:pPr>
              <w:pStyle w:val="TableParagraph"/>
              <w:spacing w:before="30"/>
              <w:ind w:left="107"/>
              <w:jc w:val="left"/>
              <w:rPr>
                <w:sz w:val="20"/>
              </w:rPr>
            </w:pPr>
            <w:r>
              <w:rPr>
                <w:spacing w:val="-4"/>
                <w:sz w:val="20"/>
              </w:rPr>
              <w:t>DFCI</w:t>
            </w:r>
          </w:p>
        </w:tc>
        <w:tc>
          <w:tcPr>
            <w:tcW w:w="2260" w:type="dxa"/>
          </w:tcPr>
          <w:p w14:paraId="1C34EF6D" w14:textId="77777777" w:rsidR="004C558F" w:rsidRDefault="00461887">
            <w:pPr>
              <w:pStyle w:val="TableParagraph"/>
              <w:spacing w:before="30"/>
              <w:ind w:right="95"/>
              <w:rPr>
                <w:sz w:val="20"/>
              </w:rPr>
            </w:pPr>
            <w:r>
              <w:rPr>
                <w:spacing w:val="-4"/>
                <w:sz w:val="20"/>
              </w:rPr>
              <w:t>1.65</w:t>
            </w:r>
          </w:p>
        </w:tc>
        <w:tc>
          <w:tcPr>
            <w:tcW w:w="2042" w:type="dxa"/>
          </w:tcPr>
          <w:p w14:paraId="1C34EF6E" w14:textId="77777777" w:rsidR="004C558F" w:rsidRDefault="00461887">
            <w:pPr>
              <w:pStyle w:val="TableParagraph"/>
              <w:spacing w:before="30"/>
              <w:ind w:right="95"/>
              <w:rPr>
                <w:sz w:val="20"/>
              </w:rPr>
            </w:pPr>
            <w:r>
              <w:rPr>
                <w:spacing w:val="-4"/>
                <w:sz w:val="20"/>
              </w:rPr>
              <w:t>$107</w:t>
            </w:r>
          </w:p>
        </w:tc>
      </w:tr>
      <w:tr w:rsidR="004C558F" w14:paraId="1C34EF75" w14:textId="77777777">
        <w:trPr>
          <w:trHeight w:val="330"/>
        </w:trPr>
        <w:tc>
          <w:tcPr>
            <w:tcW w:w="2921" w:type="dxa"/>
          </w:tcPr>
          <w:p w14:paraId="1C34EF70" w14:textId="77777777" w:rsidR="004C558F" w:rsidRDefault="00461887">
            <w:pPr>
              <w:pStyle w:val="TableParagraph"/>
              <w:spacing w:before="37"/>
              <w:ind w:left="307"/>
              <w:jc w:val="left"/>
              <w:rPr>
                <w:sz w:val="20"/>
              </w:rPr>
            </w:pPr>
            <w:r>
              <w:rPr>
                <w:spacing w:val="-5"/>
                <w:sz w:val="20"/>
              </w:rPr>
              <w:t>Lab</w:t>
            </w:r>
          </w:p>
        </w:tc>
        <w:tc>
          <w:tcPr>
            <w:tcW w:w="1332" w:type="dxa"/>
          </w:tcPr>
          <w:p w14:paraId="1C34EF71" w14:textId="77777777" w:rsidR="004C558F" w:rsidRDefault="00461887">
            <w:pPr>
              <w:pStyle w:val="TableParagraph"/>
              <w:spacing w:before="37"/>
              <w:ind w:left="107"/>
              <w:jc w:val="left"/>
              <w:rPr>
                <w:sz w:val="20"/>
              </w:rPr>
            </w:pPr>
            <w:r>
              <w:rPr>
                <w:spacing w:val="-5"/>
                <w:sz w:val="20"/>
              </w:rPr>
              <w:t>BWH</w:t>
            </w:r>
          </w:p>
        </w:tc>
        <w:tc>
          <w:tcPr>
            <w:tcW w:w="1370" w:type="dxa"/>
          </w:tcPr>
          <w:p w14:paraId="1C34EF72" w14:textId="77777777" w:rsidR="004C558F" w:rsidRDefault="00461887">
            <w:pPr>
              <w:pStyle w:val="TableParagraph"/>
              <w:spacing w:before="37"/>
              <w:ind w:left="107"/>
              <w:jc w:val="left"/>
              <w:rPr>
                <w:sz w:val="20"/>
              </w:rPr>
            </w:pPr>
            <w:r>
              <w:rPr>
                <w:spacing w:val="-2"/>
                <w:sz w:val="20"/>
              </w:rPr>
              <w:t>BIDMC</w:t>
            </w:r>
          </w:p>
        </w:tc>
        <w:tc>
          <w:tcPr>
            <w:tcW w:w="2260" w:type="dxa"/>
          </w:tcPr>
          <w:p w14:paraId="1C34EF73" w14:textId="77777777" w:rsidR="004C558F" w:rsidRDefault="00461887">
            <w:pPr>
              <w:pStyle w:val="TableParagraph"/>
              <w:spacing w:before="37"/>
              <w:ind w:right="95"/>
              <w:rPr>
                <w:sz w:val="20"/>
              </w:rPr>
            </w:pPr>
            <w:r>
              <w:rPr>
                <w:spacing w:val="-4"/>
                <w:sz w:val="20"/>
              </w:rPr>
              <w:t>1.13</w:t>
            </w:r>
          </w:p>
        </w:tc>
        <w:tc>
          <w:tcPr>
            <w:tcW w:w="2042" w:type="dxa"/>
          </w:tcPr>
          <w:p w14:paraId="1C34EF74" w14:textId="77777777" w:rsidR="004C558F" w:rsidRDefault="00461887">
            <w:pPr>
              <w:pStyle w:val="TableParagraph"/>
              <w:spacing w:before="37"/>
              <w:ind w:right="95"/>
              <w:rPr>
                <w:sz w:val="20"/>
              </w:rPr>
            </w:pPr>
            <w:r>
              <w:rPr>
                <w:spacing w:val="-5"/>
                <w:sz w:val="20"/>
              </w:rPr>
              <w:t>$21</w:t>
            </w:r>
          </w:p>
        </w:tc>
      </w:tr>
      <w:tr w:rsidR="004C558F" w14:paraId="1C34EF7A" w14:textId="77777777">
        <w:trPr>
          <w:trHeight w:val="357"/>
        </w:trPr>
        <w:tc>
          <w:tcPr>
            <w:tcW w:w="4253" w:type="dxa"/>
            <w:gridSpan w:val="2"/>
            <w:shd w:val="clear" w:color="auto" w:fill="D4EBF4"/>
          </w:tcPr>
          <w:p w14:paraId="1C34EF76" w14:textId="77777777" w:rsidR="004C558F" w:rsidRDefault="00461887">
            <w:pPr>
              <w:pStyle w:val="TableParagraph"/>
              <w:spacing w:before="51"/>
              <w:ind w:left="107"/>
              <w:jc w:val="left"/>
              <w:rPr>
                <w:sz w:val="20"/>
              </w:rPr>
            </w:pPr>
            <w:r>
              <w:rPr>
                <w:sz w:val="20"/>
              </w:rPr>
              <w:t>Evaluation</w:t>
            </w:r>
            <w:r>
              <w:rPr>
                <w:spacing w:val="-8"/>
                <w:sz w:val="20"/>
              </w:rPr>
              <w:t xml:space="preserve"> </w:t>
            </w:r>
            <w:r>
              <w:rPr>
                <w:sz w:val="20"/>
              </w:rPr>
              <w:t>&amp;</w:t>
            </w:r>
            <w:r>
              <w:rPr>
                <w:spacing w:val="-6"/>
                <w:sz w:val="20"/>
              </w:rPr>
              <w:t xml:space="preserve"> </w:t>
            </w:r>
            <w:r>
              <w:rPr>
                <w:sz w:val="20"/>
              </w:rPr>
              <w:t>Management</w:t>
            </w:r>
            <w:r>
              <w:rPr>
                <w:spacing w:val="-7"/>
                <w:sz w:val="20"/>
              </w:rPr>
              <w:t xml:space="preserve"> </w:t>
            </w:r>
            <w:r>
              <w:rPr>
                <w:spacing w:val="-2"/>
                <w:sz w:val="20"/>
              </w:rPr>
              <w:t>Visits</w:t>
            </w:r>
          </w:p>
        </w:tc>
        <w:tc>
          <w:tcPr>
            <w:tcW w:w="1370" w:type="dxa"/>
            <w:shd w:val="clear" w:color="auto" w:fill="D4EBF4"/>
          </w:tcPr>
          <w:p w14:paraId="1C34EF77" w14:textId="77777777" w:rsidR="004C558F" w:rsidRDefault="004C558F">
            <w:pPr>
              <w:pStyle w:val="TableParagraph"/>
              <w:spacing w:before="0"/>
              <w:jc w:val="left"/>
              <w:rPr>
                <w:rFonts w:ascii="Times New Roman"/>
                <w:sz w:val="20"/>
              </w:rPr>
            </w:pPr>
          </w:p>
        </w:tc>
        <w:tc>
          <w:tcPr>
            <w:tcW w:w="2260" w:type="dxa"/>
            <w:shd w:val="clear" w:color="auto" w:fill="D4EBF4"/>
          </w:tcPr>
          <w:p w14:paraId="1C34EF78" w14:textId="77777777" w:rsidR="004C558F" w:rsidRDefault="004C558F">
            <w:pPr>
              <w:pStyle w:val="TableParagraph"/>
              <w:spacing w:before="0"/>
              <w:jc w:val="left"/>
              <w:rPr>
                <w:rFonts w:ascii="Times New Roman"/>
                <w:sz w:val="20"/>
              </w:rPr>
            </w:pPr>
          </w:p>
        </w:tc>
        <w:tc>
          <w:tcPr>
            <w:tcW w:w="2042" w:type="dxa"/>
            <w:shd w:val="clear" w:color="auto" w:fill="D4EBF4"/>
          </w:tcPr>
          <w:p w14:paraId="1C34EF79" w14:textId="77777777" w:rsidR="004C558F" w:rsidRDefault="004C558F">
            <w:pPr>
              <w:pStyle w:val="TableParagraph"/>
              <w:spacing w:before="0"/>
              <w:jc w:val="left"/>
              <w:rPr>
                <w:rFonts w:ascii="Times New Roman"/>
                <w:sz w:val="20"/>
              </w:rPr>
            </w:pPr>
          </w:p>
        </w:tc>
      </w:tr>
      <w:tr w:rsidR="004C558F" w14:paraId="1C34EF80" w14:textId="77777777">
        <w:trPr>
          <w:trHeight w:val="333"/>
        </w:trPr>
        <w:tc>
          <w:tcPr>
            <w:tcW w:w="2921" w:type="dxa"/>
          </w:tcPr>
          <w:p w14:paraId="1C34EF7B" w14:textId="77777777" w:rsidR="004C558F" w:rsidRDefault="004C558F">
            <w:pPr>
              <w:pStyle w:val="TableParagraph"/>
              <w:spacing w:before="0"/>
              <w:jc w:val="left"/>
              <w:rPr>
                <w:rFonts w:ascii="Times New Roman"/>
                <w:sz w:val="20"/>
              </w:rPr>
            </w:pPr>
          </w:p>
        </w:tc>
        <w:tc>
          <w:tcPr>
            <w:tcW w:w="1332" w:type="dxa"/>
          </w:tcPr>
          <w:p w14:paraId="1C34EF7C" w14:textId="77777777" w:rsidR="004C558F" w:rsidRDefault="00461887">
            <w:pPr>
              <w:pStyle w:val="TableParagraph"/>
              <w:spacing w:before="37"/>
              <w:ind w:left="107"/>
              <w:jc w:val="left"/>
              <w:rPr>
                <w:sz w:val="20"/>
              </w:rPr>
            </w:pPr>
            <w:r>
              <w:rPr>
                <w:spacing w:val="-4"/>
                <w:sz w:val="20"/>
              </w:rPr>
              <w:t>BILH</w:t>
            </w:r>
          </w:p>
        </w:tc>
        <w:tc>
          <w:tcPr>
            <w:tcW w:w="1370" w:type="dxa"/>
          </w:tcPr>
          <w:p w14:paraId="1C34EF7D" w14:textId="77777777" w:rsidR="004C558F" w:rsidRDefault="00461887">
            <w:pPr>
              <w:pStyle w:val="TableParagraph"/>
              <w:spacing w:before="37"/>
              <w:ind w:left="107"/>
              <w:jc w:val="left"/>
              <w:rPr>
                <w:sz w:val="20"/>
              </w:rPr>
            </w:pPr>
            <w:r>
              <w:rPr>
                <w:spacing w:val="-4"/>
                <w:sz w:val="20"/>
              </w:rPr>
              <w:t>DFCI</w:t>
            </w:r>
          </w:p>
        </w:tc>
        <w:tc>
          <w:tcPr>
            <w:tcW w:w="2260" w:type="dxa"/>
          </w:tcPr>
          <w:p w14:paraId="1C34EF7E" w14:textId="77777777" w:rsidR="004C558F" w:rsidRDefault="00461887">
            <w:pPr>
              <w:pStyle w:val="TableParagraph"/>
              <w:spacing w:before="37"/>
              <w:ind w:right="95"/>
              <w:rPr>
                <w:sz w:val="20"/>
              </w:rPr>
            </w:pPr>
            <w:r>
              <w:rPr>
                <w:spacing w:val="-4"/>
                <w:sz w:val="20"/>
              </w:rPr>
              <w:t>2.03</w:t>
            </w:r>
          </w:p>
        </w:tc>
        <w:tc>
          <w:tcPr>
            <w:tcW w:w="2042" w:type="dxa"/>
          </w:tcPr>
          <w:p w14:paraId="1C34EF7F" w14:textId="77777777" w:rsidR="004C558F" w:rsidRDefault="00461887">
            <w:pPr>
              <w:pStyle w:val="TableParagraph"/>
              <w:spacing w:before="37"/>
              <w:ind w:right="95"/>
              <w:rPr>
                <w:sz w:val="20"/>
              </w:rPr>
            </w:pPr>
            <w:r>
              <w:rPr>
                <w:spacing w:val="-4"/>
                <w:sz w:val="20"/>
              </w:rPr>
              <w:t>$266</w:t>
            </w:r>
          </w:p>
        </w:tc>
      </w:tr>
      <w:tr w:rsidR="004C558F" w14:paraId="1C34EF86" w14:textId="77777777">
        <w:trPr>
          <w:trHeight w:val="330"/>
        </w:trPr>
        <w:tc>
          <w:tcPr>
            <w:tcW w:w="2921" w:type="dxa"/>
            <w:shd w:val="clear" w:color="auto" w:fill="D4EBF4"/>
          </w:tcPr>
          <w:p w14:paraId="1C34EF81" w14:textId="77777777" w:rsidR="004C558F" w:rsidRDefault="00461887">
            <w:pPr>
              <w:pStyle w:val="TableParagraph"/>
              <w:spacing w:before="35"/>
              <w:ind w:left="107"/>
              <w:jc w:val="left"/>
              <w:rPr>
                <w:sz w:val="20"/>
              </w:rPr>
            </w:pPr>
            <w:r>
              <w:rPr>
                <w:sz w:val="20"/>
              </w:rPr>
              <w:t>Surgical</w:t>
            </w:r>
            <w:r>
              <w:rPr>
                <w:spacing w:val="-8"/>
                <w:sz w:val="20"/>
              </w:rPr>
              <w:t xml:space="preserve"> </w:t>
            </w:r>
            <w:r>
              <w:rPr>
                <w:spacing w:val="-2"/>
                <w:sz w:val="20"/>
              </w:rPr>
              <w:t>Oncology</w:t>
            </w:r>
          </w:p>
        </w:tc>
        <w:tc>
          <w:tcPr>
            <w:tcW w:w="1332" w:type="dxa"/>
            <w:shd w:val="clear" w:color="auto" w:fill="D4EBF4"/>
          </w:tcPr>
          <w:p w14:paraId="1C34EF82" w14:textId="77777777" w:rsidR="004C558F" w:rsidRDefault="004C558F">
            <w:pPr>
              <w:pStyle w:val="TableParagraph"/>
              <w:spacing w:before="0"/>
              <w:jc w:val="left"/>
              <w:rPr>
                <w:rFonts w:ascii="Times New Roman"/>
                <w:sz w:val="20"/>
              </w:rPr>
            </w:pPr>
          </w:p>
        </w:tc>
        <w:tc>
          <w:tcPr>
            <w:tcW w:w="1370" w:type="dxa"/>
            <w:shd w:val="clear" w:color="auto" w:fill="D4EBF4"/>
          </w:tcPr>
          <w:p w14:paraId="1C34EF83" w14:textId="77777777" w:rsidR="004C558F" w:rsidRDefault="004C558F">
            <w:pPr>
              <w:pStyle w:val="TableParagraph"/>
              <w:spacing w:before="0"/>
              <w:jc w:val="left"/>
              <w:rPr>
                <w:rFonts w:ascii="Times New Roman"/>
                <w:sz w:val="20"/>
              </w:rPr>
            </w:pPr>
          </w:p>
        </w:tc>
        <w:tc>
          <w:tcPr>
            <w:tcW w:w="2260" w:type="dxa"/>
            <w:shd w:val="clear" w:color="auto" w:fill="D4EBF4"/>
          </w:tcPr>
          <w:p w14:paraId="1C34EF84" w14:textId="77777777" w:rsidR="004C558F" w:rsidRDefault="004C558F">
            <w:pPr>
              <w:pStyle w:val="TableParagraph"/>
              <w:spacing w:before="0"/>
              <w:jc w:val="left"/>
              <w:rPr>
                <w:rFonts w:ascii="Times New Roman"/>
                <w:sz w:val="20"/>
              </w:rPr>
            </w:pPr>
          </w:p>
        </w:tc>
        <w:tc>
          <w:tcPr>
            <w:tcW w:w="2042" w:type="dxa"/>
            <w:shd w:val="clear" w:color="auto" w:fill="D4EBF4"/>
          </w:tcPr>
          <w:p w14:paraId="1C34EF85" w14:textId="77777777" w:rsidR="004C558F" w:rsidRDefault="004C558F">
            <w:pPr>
              <w:pStyle w:val="TableParagraph"/>
              <w:spacing w:before="0"/>
              <w:jc w:val="left"/>
              <w:rPr>
                <w:rFonts w:ascii="Times New Roman"/>
                <w:sz w:val="20"/>
              </w:rPr>
            </w:pPr>
          </w:p>
        </w:tc>
      </w:tr>
      <w:tr w:rsidR="004C558F" w14:paraId="1C34EF8C" w14:textId="77777777">
        <w:trPr>
          <w:trHeight w:val="313"/>
        </w:trPr>
        <w:tc>
          <w:tcPr>
            <w:tcW w:w="2921" w:type="dxa"/>
          </w:tcPr>
          <w:p w14:paraId="1C34EF87" w14:textId="77777777" w:rsidR="004C558F" w:rsidRDefault="00461887">
            <w:pPr>
              <w:pStyle w:val="TableParagraph"/>
              <w:spacing w:before="27"/>
              <w:ind w:left="307"/>
              <w:jc w:val="left"/>
              <w:rPr>
                <w:sz w:val="20"/>
              </w:rPr>
            </w:pPr>
            <w:r>
              <w:rPr>
                <w:spacing w:val="-2"/>
                <w:sz w:val="20"/>
              </w:rPr>
              <w:t>Endoscopy</w:t>
            </w:r>
          </w:p>
        </w:tc>
        <w:tc>
          <w:tcPr>
            <w:tcW w:w="1332" w:type="dxa"/>
          </w:tcPr>
          <w:p w14:paraId="1C34EF88" w14:textId="77777777" w:rsidR="004C558F" w:rsidRDefault="00461887">
            <w:pPr>
              <w:pStyle w:val="TableParagraph"/>
              <w:spacing w:before="27"/>
              <w:ind w:left="107"/>
              <w:jc w:val="left"/>
              <w:rPr>
                <w:sz w:val="20"/>
              </w:rPr>
            </w:pPr>
            <w:r>
              <w:rPr>
                <w:spacing w:val="-5"/>
                <w:sz w:val="20"/>
              </w:rPr>
              <w:t>BWH</w:t>
            </w:r>
          </w:p>
        </w:tc>
        <w:tc>
          <w:tcPr>
            <w:tcW w:w="1370" w:type="dxa"/>
          </w:tcPr>
          <w:p w14:paraId="1C34EF89" w14:textId="77777777" w:rsidR="004C558F" w:rsidRDefault="00461887">
            <w:pPr>
              <w:pStyle w:val="TableParagraph"/>
              <w:spacing w:before="27"/>
              <w:ind w:left="107"/>
              <w:jc w:val="left"/>
              <w:rPr>
                <w:sz w:val="20"/>
              </w:rPr>
            </w:pPr>
            <w:r>
              <w:rPr>
                <w:spacing w:val="-2"/>
                <w:sz w:val="20"/>
              </w:rPr>
              <w:t>BIDMC</w:t>
            </w:r>
          </w:p>
        </w:tc>
        <w:tc>
          <w:tcPr>
            <w:tcW w:w="2260" w:type="dxa"/>
          </w:tcPr>
          <w:p w14:paraId="1C34EF8A" w14:textId="77777777" w:rsidR="004C558F" w:rsidRDefault="00461887">
            <w:pPr>
              <w:pStyle w:val="TableParagraph"/>
              <w:spacing w:before="27"/>
              <w:ind w:right="95"/>
              <w:rPr>
                <w:sz w:val="20"/>
              </w:rPr>
            </w:pPr>
            <w:r>
              <w:rPr>
                <w:spacing w:val="-4"/>
                <w:sz w:val="20"/>
              </w:rPr>
              <w:t>0.82</w:t>
            </w:r>
          </w:p>
        </w:tc>
        <w:tc>
          <w:tcPr>
            <w:tcW w:w="2042" w:type="dxa"/>
          </w:tcPr>
          <w:p w14:paraId="1C34EF8B" w14:textId="77777777" w:rsidR="004C558F" w:rsidRDefault="00461887">
            <w:pPr>
              <w:pStyle w:val="TableParagraph"/>
              <w:spacing w:before="27"/>
              <w:ind w:right="93"/>
              <w:rPr>
                <w:sz w:val="20"/>
              </w:rPr>
            </w:pPr>
            <w:r w:rsidRPr="00961C23">
              <w:rPr>
                <w:color w:val="A20000"/>
                <w:spacing w:val="-2"/>
                <w:sz w:val="20"/>
              </w:rPr>
              <w:t>($423)</w:t>
            </w:r>
          </w:p>
        </w:tc>
      </w:tr>
      <w:tr w:rsidR="004C558F" w14:paraId="1C34EF92" w14:textId="77777777">
        <w:trPr>
          <w:trHeight w:val="333"/>
        </w:trPr>
        <w:tc>
          <w:tcPr>
            <w:tcW w:w="2921" w:type="dxa"/>
          </w:tcPr>
          <w:p w14:paraId="1C34EF8D" w14:textId="77777777" w:rsidR="004C558F" w:rsidRDefault="00461887">
            <w:pPr>
              <w:pStyle w:val="TableParagraph"/>
              <w:spacing w:before="37"/>
              <w:ind w:left="307"/>
              <w:jc w:val="left"/>
              <w:rPr>
                <w:sz w:val="20"/>
              </w:rPr>
            </w:pPr>
            <w:r>
              <w:rPr>
                <w:spacing w:val="-2"/>
                <w:sz w:val="20"/>
              </w:rPr>
              <w:t>Excision</w:t>
            </w:r>
          </w:p>
        </w:tc>
        <w:tc>
          <w:tcPr>
            <w:tcW w:w="1332" w:type="dxa"/>
          </w:tcPr>
          <w:p w14:paraId="1C34EF8E" w14:textId="77777777" w:rsidR="004C558F" w:rsidRDefault="00461887">
            <w:pPr>
              <w:pStyle w:val="TableParagraph"/>
              <w:spacing w:before="37"/>
              <w:ind w:left="107"/>
              <w:jc w:val="left"/>
              <w:rPr>
                <w:sz w:val="20"/>
              </w:rPr>
            </w:pPr>
            <w:r>
              <w:rPr>
                <w:spacing w:val="-5"/>
                <w:sz w:val="20"/>
              </w:rPr>
              <w:t>BWH</w:t>
            </w:r>
          </w:p>
        </w:tc>
        <w:tc>
          <w:tcPr>
            <w:tcW w:w="1370" w:type="dxa"/>
          </w:tcPr>
          <w:p w14:paraId="1C34EF8F" w14:textId="77777777" w:rsidR="004C558F" w:rsidRDefault="00461887">
            <w:pPr>
              <w:pStyle w:val="TableParagraph"/>
              <w:spacing w:before="37"/>
              <w:ind w:left="107"/>
              <w:jc w:val="left"/>
              <w:rPr>
                <w:sz w:val="20"/>
              </w:rPr>
            </w:pPr>
            <w:r>
              <w:rPr>
                <w:spacing w:val="-2"/>
                <w:sz w:val="20"/>
              </w:rPr>
              <w:t>BIDMC</w:t>
            </w:r>
          </w:p>
        </w:tc>
        <w:tc>
          <w:tcPr>
            <w:tcW w:w="2260" w:type="dxa"/>
          </w:tcPr>
          <w:p w14:paraId="1C34EF90" w14:textId="77777777" w:rsidR="004C558F" w:rsidRDefault="00461887">
            <w:pPr>
              <w:pStyle w:val="TableParagraph"/>
              <w:spacing w:before="37"/>
              <w:ind w:right="95"/>
              <w:rPr>
                <w:sz w:val="20"/>
              </w:rPr>
            </w:pPr>
            <w:r>
              <w:rPr>
                <w:spacing w:val="-4"/>
                <w:sz w:val="20"/>
              </w:rPr>
              <w:t>0.78</w:t>
            </w:r>
          </w:p>
        </w:tc>
        <w:tc>
          <w:tcPr>
            <w:tcW w:w="2042" w:type="dxa"/>
          </w:tcPr>
          <w:p w14:paraId="1C34EF91" w14:textId="77777777" w:rsidR="004C558F" w:rsidRDefault="00461887">
            <w:pPr>
              <w:pStyle w:val="TableParagraph"/>
              <w:spacing w:before="37"/>
              <w:ind w:right="93"/>
              <w:rPr>
                <w:sz w:val="20"/>
              </w:rPr>
            </w:pPr>
            <w:r w:rsidRPr="00961C23">
              <w:rPr>
                <w:color w:val="A20000"/>
                <w:spacing w:val="-2"/>
                <w:sz w:val="20"/>
              </w:rPr>
              <w:t>($256)</w:t>
            </w:r>
          </w:p>
        </w:tc>
      </w:tr>
    </w:tbl>
    <w:p w14:paraId="1C34EF93" w14:textId="77777777" w:rsidR="004C558F" w:rsidRDefault="00461887">
      <w:pPr>
        <w:pStyle w:val="BodyText"/>
        <w:spacing w:before="16"/>
        <w:ind w:left="1191"/>
      </w:pPr>
      <w:r>
        <w:t>Source:</w:t>
      </w:r>
      <w:r>
        <w:rPr>
          <w:spacing w:val="-7"/>
        </w:rPr>
        <w:t xml:space="preserve"> </w:t>
      </w:r>
      <w:r>
        <w:t>HPC</w:t>
      </w:r>
      <w:r>
        <w:rPr>
          <w:spacing w:val="-6"/>
        </w:rPr>
        <w:t xml:space="preserve"> </w:t>
      </w:r>
      <w:r>
        <w:t>analysis</w:t>
      </w:r>
      <w:r>
        <w:rPr>
          <w:spacing w:val="-4"/>
        </w:rPr>
        <w:t xml:space="preserve"> </w:t>
      </w:r>
      <w:r>
        <w:t>of</w:t>
      </w:r>
      <w:r>
        <w:rPr>
          <w:spacing w:val="-4"/>
        </w:rPr>
        <w:t xml:space="preserve"> </w:t>
      </w:r>
      <w:r>
        <w:t>CHIA</w:t>
      </w:r>
      <w:r>
        <w:rPr>
          <w:spacing w:val="-6"/>
        </w:rPr>
        <w:t xml:space="preserve"> </w:t>
      </w:r>
      <w:r>
        <w:t>All-Payer</w:t>
      </w:r>
      <w:r>
        <w:rPr>
          <w:spacing w:val="-5"/>
        </w:rPr>
        <w:t xml:space="preserve"> </w:t>
      </w:r>
      <w:r>
        <w:t>Claims</w:t>
      </w:r>
      <w:r>
        <w:rPr>
          <w:spacing w:val="-5"/>
        </w:rPr>
        <w:t xml:space="preserve"> </w:t>
      </w:r>
      <w:r>
        <w:t>Database</w:t>
      </w:r>
      <w:r>
        <w:rPr>
          <w:spacing w:val="-4"/>
        </w:rPr>
        <w:t xml:space="preserve"> </w:t>
      </w:r>
      <w:r>
        <w:rPr>
          <w:spacing w:val="-2"/>
        </w:rPr>
        <w:t>(2022)</w:t>
      </w:r>
    </w:p>
    <w:p w14:paraId="1C34EF94" w14:textId="77777777" w:rsidR="004C558F" w:rsidRDefault="004C558F">
      <w:pPr>
        <w:sectPr w:rsidR="004C558F">
          <w:pgSz w:w="12240" w:h="15840"/>
          <w:pgMar w:top="1360" w:right="440" w:bottom="720" w:left="680" w:header="0" w:footer="521" w:gutter="0"/>
          <w:cols w:space="720"/>
        </w:sectPr>
      </w:pPr>
    </w:p>
    <w:p w14:paraId="1C34EF95" w14:textId="77777777" w:rsidR="004C558F" w:rsidRDefault="00461887">
      <w:pPr>
        <w:pStyle w:val="BodyText"/>
        <w:spacing w:before="72"/>
        <w:ind w:left="2" w:right="238"/>
        <w:jc w:val="center"/>
        <w:rPr>
          <w:rFonts w:ascii="Franklin Gothic Medium"/>
        </w:rPr>
      </w:pPr>
      <w:r>
        <w:rPr>
          <w:noProof/>
        </w:rPr>
        <w:lastRenderedPageBreak/>
        <mc:AlternateContent>
          <mc:Choice Requires="wpg">
            <w:drawing>
              <wp:anchor distT="0" distB="0" distL="0" distR="0" simplePos="0" relativeHeight="251610112" behindDoc="0" locked="0" layoutInCell="1" allowOverlap="1" wp14:anchorId="1C34F168" wp14:editId="179412C5">
                <wp:simplePos x="0" y="0"/>
                <wp:positionH relativeFrom="page">
                  <wp:posOffset>507745</wp:posOffset>
                </wp:positionH>
                <wp:positionV relativeFrom="page">
                  <wp:posOffset>5276088</wp:posOffset>
                </wp:positionV>
                <wp:extent cx="3090545" cy="3907154"/>
                <wp:effectExtent l="0" t="0" r="0" b="0"/>
                <wp:wrapNone/>
                <wp:docPr id="540" name="Group 540" descr="Social Determinants of Heal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0545" cy="3907154"/>
                          <a:chOff x="0" y="0"/>
                          <a:chExt cx="3090545" cy="3907154"/>
                        </a:xfrm>
                      </wpg:grpSpPr>
                      <wps:wsp>
                        <wps:cNvPr id="541" name="Graphic 541"/>
                        <wps:cNvSpPr/>
                        <wps:spPr>
                          <a:xfrm>
                            <a:off x="18033" y="20574"/>
                            <a:ext cx="3072765" cy="3886200"/>
                          </a:xfrm>
                          <a:custGeom>
                            <a:avLst/>
                            <a:gdLst/>
                            <a:ahLst/>
                            <a:cxnLst/>
                            <a:rect l="l" t="t" r="r" b="b"/>
                            <a:pathLst>
                              <a:path w="3072765" h="3886200">
                                <a:moveTo>
                                  <a:pt x="3072384" y="0"/>
                                </a:moveTo>
                                <a:lnTo>
                                  <a:pt x="0" y="0"/>
                                </a:lnTo>
                                <a:lnTo>
                                  <a:pt x="0" y="3886200"/>
                                </a:lnTo>
                                <a:lnTo>
                                  <a:pt x="3072384" y="3886200"/>
                                </a:lnTo>
                                <a:lnTo>
                                  <a:pt x="3072384" y="0"/>
                                </a:lnTo>
                                <a:close/>
                              </a:path>
                            </a:pathLst>
                          </a:custGeom>
                          <a:solidFill>
                            <a:srgbClr val="000000">
                              <a:alpha val="13998"/>
                            </a:srgbClr>
                          </a:solidFill>
                        </wps:spPr>
                        <wps:bodyPr wrap="square" lIns="0" tIns="0" rIns="0" bIns="0" rtlCol="0">
                          <a:prstTxWarp prst="textNoShape">
                            <a:avLst/>
                          </a:prstTxWarp>
                          <a:noAutofit/>
                        </wps:bodyPr>
                      </wps:wsp>
                      <wps:wsp>
                        <wps:cNvPr id="542" name="Graphic 542"/>
                        <wps:cNvSpPr/>
                        <wps:spPr>
                          <a:xfrm>
                            <a:off x="6350" y="6350"/>
                            <a:ext cx="2919730" cy="3735704"/>
                          </a:xfrm>
                          <a:custGeom>
                            <a:avLst/>
                            <a:gdLst/>
                            <a:ahLst/>
                            <a:cxnLst/>
                            <a:rect l="l" t="t" r="r" b="b"/>
                            <a:pathLst>
                              <a:path w="2919730" h="3735704">
                                <a:moveTo>
                                  <a:pt x="2767330" y="0"/>
                                </a:moveTo>
                                <a:lnTo>
                                  <a:pt x="152400" y="0"/>
                                </a:lnTo>
                                <a:lnTo>
                                  <a:pt x="104231" y="7769"/>
                                </a:lnTo>
                                <a:lnTo>
                                  <a:pt x="62396" y="29405"/>
                                </a:lnTo>
                                <a:lnTo>
                                  <a:pt x="29405" y="62396"/>
                                </a:lnTo>
                                <a:lnTo>
                                  <a:pt x="7769" y="104231"/>
                                </a:lnTo>
                                <a:lnTo>
                                  <a:pt x="0" y="152400"/>
                                </a:lnTo>
                                <a:lnTo>
                                  <a:pt x="0" y="3582924"/>
                                </a:lnTo>
                                <a:lnTo>
                                  <a:pt x="7769" y="3631092"/>
                                </a:lnTo>
                                <a:lnTo>
                                  <a:pt x="29405" y="3672927"/>
                                </a:lnTo>
                                <a:lnTo>
                                  <a:pt x="62396" y="3705918"/>
                                </a:lnTo>
                                <a:lnTo>
                                  <a:pt x="104231" y="3727554"/>
                                </a:lnTo>
                                <a:lnTo>
                                  <a:pt x="152400" y="3735324"/>
                                </a:lnTo>
                                <a:lnTo>
                                  <a:pt x="2767330" y="3735324"/>
                                </a:lnTo>
                                <a:lnTo>
                                  <a:pt x="2815498" y="3727554"/>
                                </a:lnTo>
                                <a:lnTo>
                                  <a:pt x="2857333" y="3705918"/>
                                </a:lnTo>
                                <a:lnTo>
                                  <a:pt x="2890324" y="3672927"/>
                                </a:lnTo>
                                <a:lnTo>
                                  <a:pt x="2911960" y="3631092"/>
                                </a:lnTo>
                                <a:lnTo>
                                  <a:pt x="2919730" y="3582924"/>
                                </a:lnTo>
                                <a:lnTo>
                                  <a:pt x="2919730" y="152400"/>
                                </a:lnTo>
                                <a:lnTo>
                                  <a:pt x="2911960" y="104231"/>
                                </a:lnTo>
                                <a:lnTo>
                                  <a:pt x="2890324" y="62396"/>
                                </a:lnTo>
                                <a:lnTo>
                                  <a:pt x="2857333" y="29405"/>
                                </a:lnTo>
                                <a:lnTo>
                                  <a:pt x="2815498" y="7769"/>
                                </a:lnTo>
                                <a:lnTo>
                                  <a:pt x="2767330" y="0"/>
                                </a:lnTo>
                                <a:close/>
                              </a:path>
                            </a:pathLst>
                          </a:custGeom>
                          <a:solidFill>
                            <a:srgbClr val="FFFFFF"/>
                          </a:solidFill>
                        </wps:spPr>
                        <wps:bodyPr wrap="square" lIns="0" tIns="0" rIns="0" bIns="0" rtlCol="0">
                          <a:prstTxWarp prst="textNoShape">
                            <a:avLst/>
                          </a:prstTxWarp>
                          <a:noAutofit/>
                        </wps:bodyPr>
                      </wps:wsp>
                      <wps:wsp>
                        <wps:cNvPr id="543" name="Graphic 543"/>
                        <wps:cNvSpPr/>
                        <wps:spPr>
                          <a:xfrm>
                            <a:off x="6350" y="6349"/>
                            <a:ext cx="2919730" cy="1082040"/>
                          </a:xfrm>
                          <a:custGeom>
                            <a:avLst/>
                            <a:gdLst/>
                            <a:ahLst/>
                            <a:cxnLst/>
                            <a:rect l="l" t="t" r="r" b="b"/>
                            <a:pathLst>
                              <a:path w="2919730" h="1082040">
                                <a:moveTo>
                                  <a:pt x="2767330" y="0"/>
                                </a:moveTo>
                                <a:lnTo>
                                  <a:pt x="152400" y="0"/>
                                </a:lnTo>
                                <a:lnTo>
                                  <a:pt x="104226" y="7769"/>
                                </a:lnTo>
                                <a:lnTo>
                                  <a:pt x="62391" y="29405"/>
                                </a:lnTo>
                                <a:lnTo>
                                  <a:pt x="29402" y="62396"/>
                                </a:lnTo>
                                <a:lnTo>
                                  <a:pt x="7768" y="104231"/>
                                </a:lnTo>
                                <a:lnTo>
                                  <a:pt x="0" y="152400"/>
                                </a:lnTo>
                                <a:lnTo>
                                  <a:pt x="0" y="572063"/>
                                </a:lnTo>
                                <a:lnTo>
                                  <a:pt x="52075" y="598890"/>
                                </a:lnTo>
                                <a:lnTo>
                                  <a:pt x="98829" y="621915"/>
                                </a:lnTo>
                                <a:lnTo>
                                  <a:pt x="146694" y="644568"/>
                                </a:lnTo>
                                <a:lnTo>
                                  <a:pt x="195645" y="666834"/>
                                </a:lnTo>
                                <a:lnTo>
                                  <a:pt x="245657" y="688697"/>
                                </a:lnTo>
                                <a:lnTo>
                                  <a:pt x="296707" y="710143"/>
                                </a:lnTo>
                                <a:lnTo>
                                  <a:pt x="348770" y="731157"/>
                                </a:lnTo>
                                <a:lnTo>
                                  <a:pt x="401821" y="751723"/>
                                </a:lnTo>
                                <a:lnTo>
                                  <a:pt x="455837" y="771827"/>
                                </a:lnTo>
                                <a:lnTo>
                                  <a:pt x="510793" y="791454"/>
                                </a:lnTo>
                                <a:lnTo>
                                  <a:pt x="566664" y="810588"/>
                                </a:lnTo>
                                <a:lnTo>
                                  <a:pt x="623427" y="829215"/>
                                </a:lnTo>
                                <a:lnTo>
                                  <a:pt x="681057" y="847320"/>
                                </a:lnTo>
                                <a:lnTo>
                                  <a:pt x="739530" y="864887"/>
                                </a:lnTo>
                                <a:lnTo>
                                  <a:pt x="798822" y="881902"/>
                                </a:lnTo>
                                <a:lnTo>
                                  <a:pt x="858907" y="898350"/>
                                </a:lnTo>
                                <a:lnTo>
                                  <a:pt x="919763" y="914215"/>
                                </a:lnTo>
                                <a:lnTo>
                                  <a:pt x="981364" y="929483"/>
                                </a:lnTo>
                                <a:lnTo>
                                  <a:pt x="1043686" y="944139"/>
                                </a:lnTo>
                                <a:lnTo>
                                  <a:pt x="1106705" y="958167"/>
                                </a:lnTo>
                                <a:lnTo>
                                  <a:pt x="1170396" y="971553"/>
                                </a:lnTo>
                                <a:lnTo>
                                  <a:pt x="1234736" y="984282"/>
                                </a:lnTo>
                                <a:lnTo>
                                  <a:pt x="1299700" y="996339"/>
                                </a:lnTo>
                                <a:lnTo>
                                  <a:pt x="1365263" y="1007708"/>
                                </a:lnTo>
                                <a:lnTo>
                                  <a:pt x="1430956" y="1018303"/>
                                </a:lnTo>
                                <a:lnTo>
                                  <a:pt x="1496306" y="1028053"/>
                                </a:lnTo>
                                <a:lnTo>
                                  <a:pt x="1561285" y="1036964"/>
                                </a:lnTo>
                                <a:lnTo>
                                  <a:pt x="1625864" y="1045043"/>
                                </a:lnTo>
                                <a:lnTo>
                                  <a:pt x="1690017" y="1052295"/>
                                </a:lnTo>
                                <a:lnTo>
                                  <a:pt x="1753715" y="1058728"/>
                                </a:lnTo>
                                <a:lnTo>
                                  <a:pt x="1816931" y="1064347"/>
                                </a:lnTo>
                                <a:lnTo>
                                  <a:pt x="1879636" y="1069158"/>
                                </a:lnTo>
                                <a:lnTo>
                                  <a:pt x="1941803" y="1073168"/>
                                </a:lnTo>
                                <a:lnTo>
                                  <a:pt x="2003403" y="1076383"/>
                                </a:lnTo>
                                <a:lnTo>
                                  <a:pt x="2064410" y="1078810"/>
                                </a:lnTo>
                                <a:lnTo>
                                  <a:pt x="2124795" y="1080454"/>
                                </a:lnTo>
                                <a:lnTo>
                                  <a:pt x="2191277" y="1081420"/>
                                </a:lnTo>
                                <a:lnTo>
                                  <a:pt x="2243587" y="1081420"/>
                                </a:lnTo>
                                <a:lnTo>
                                  <a:pt x="2301938" y="1080754"/>
                                </a:lnTo>
                                <a:lnTo>
                                  <a:pt x="2359556" y="1079331"/>
                                </a:lnTo>
                                <a:lnTo>
                                  <a:pt x="2416413" y="1077157"/>
                                </a:lnTo>
                                <a:lnTo>
                                  <a:pt x="2472481" y="1074238"/>
                                </a:lnTo>
                                <a:lnTo>
                                  <a:pt x="2527731" y="1070581"/>
                                </a:lnTo>
                                <a:lnTo>
                                  <a:pt x="2582137" y="1066191"/>
                                </a:lnTo>
                                <a:lnTo>
                                  <a:pt x="2635670" y="1061076"/>
                                </a:lnTo>
                                <a:lnTo>
                                  <a:pt x="2688302" y="1055240"/>
                                </a:lnTo>
                                <a:lnTo>
                                  <a:pt x="2740006" y="1048691"/>
                                </a:lnTo>
                                <a:lnTo>
                                  <a:pt x="2790753" y="1041435"/>
                                </a:lnTo>
                                <a:lnTo>
                                  <a:pt x="2840516" y="1033478"/>
                                </a:lnTo>
                                <a:lnTo>
                                  <a:pt x="2889266" y="1024826"/>
                                </a:lnTo>
                                <a:lnTo>
                                  <a:pt x="2919730" y="1018862"/>
                                </a:lnTo>
                                <a:lnTo>
                                  <a:pt x="2919730" y="152400"/>
                                </a:lnTo>
                                <a:lnTo>
                                  <a:pt x="2911961" y="104231"/>
                                </a:lnTo>
                                <a:lnTo>
                                  <a:pt x="2890327" y="62396"/>
                                </a:lnTo>
                                <a:lnTo>
                                  <a:pt x="2857338" y="29405"/>
                                </a:lnTo>
                                <a:lnTo>
                                  <a:pt x="2815503" y="7769"/>
                                </a:lnTo>
                                <a:lnTo>
                                  <a:pt x="2767330" y="0"/>
                                </a:lnTo>
                                <a:close/>
                              </a:path>
                            </a:pathLst>
                          </a:custGeom>
                          <a:solidFill>
                            <a:srgbClr val="074975"/>
                          </a:solidFill>
                        </wps:spPr>
                        <wps:bodyPr wrap="square" lIns="0" tIns="0" rIns="0" bIns="0" rtlCol="0">
                          <a:prstTxWarp prst="textNoShape">
                            <a:avLst/>
                          </a:prstTxWarp>
                          <a:noAutofit/>
                        </wps:bodyPr>
                      </wps:wsp>
                      <wps:wsp>
                        <wps:cNvPr id="544" name="Graphic 544"/>
                        <wps:cNvSpPr/>
                        <wps:spPr>
                          <a:xfrm>
                            <a:off x="6349" y="6349"/>
                            <a:ext cx="2919730" cy="995680"/>
                          </a:xfrm>
                          <a:custGeom>
                            <a:avLst/>
                            <a:gdLst/>
                            <a:ahLst/>
                            <a:cxnLst/>
                            <a:rect l="l" t="t" r="r" b="b"/>
                            <a:pathLst>
                              <a:path w="2919730" h="995680">
                                <a:moveTo>
                                  <a:pt x="2767330" y="0"/>
                                </a:moveTo>
                                <a:lnTo>
                                  <a:pt x="152400" y="0"/>
                                </a:lnTo>
                                <a:lnTo>
                                  <a:pt x="104226" y="7769"/>
                                </a:lnTo>
                                <a:lnTo>
                                  <a:pt x="62391" y="29405"/>
                                </a:lnTo>
                                <a:lnTo>
                                  <a:pt x="29402" y="62396"/>
                                </a:lnTo>
                                <a:lnTo>
                                  <a:pt x="7768" y="104231"/>
                                </a:lnTo>
                                <a:lnTo>
                                  <a:pt x="0" y="152400"/>
                                </a:lnTo>
                                <a:lnTo>
                                  <a:pt x="0" y="542899"/>
                                </a:lnTo>
                                <a:lnTo>
                                  <a:pt x="81329" y="580489"/>
                                </a:lnTo>
                                <a:lnTo>
                                  <a:pt x="131342" y="602353"/>
                                </a:lnTo>
                                <a:lnTo>
                                  <a:pt x="182392" y="623798"/>
                                </a:lnTo>
                                <a:lnTo>
                                  <a:pt x="234454" y="644812"/>
                                </a:lnTo>
                                <a:lnTo>
                                  <a:pt x="287506" y="665378"/>
                                </a:lnTo>
                                <a:lnTo>
                                  <a:pt x="341522" y="685482"/>
                                </a:lnTo>
                                <a:lnTo>
                                  <a:pt x="396477" y="705109"/>
                                </a:lnTo>
                                <a:lnTo>
                                  <a:pt x="452349" y="724243"/>
                                </a:lnTo>
                                <a:lnTo>
                                  <a:pt x="509112" y="742870"/>
                                </a:lnTo>
                                <a:lnTo>
                                  <a:pt x="566742" y="760975"/>
                                </a:lnTo>
                                <a:lnTo>
                                  <a:pt x="625215" y="778542"/>
                                </a:lnTo>
                                <a:lnTo>
                                  <a:pt x="684506" y="795557"/>
                                </a:lnTo>
                                <a:lnTo>
                                  <a:pt x="744592" y="812005"/>
                                </a:lnTo>
                                <a:lnTo>
                                  <a:pt x="805447" y="827870"/>
                                </a:lnTo>
                                <a:lnTo>
                                  <a:pt x="867048" y="843139"/>
                                </a:lnTo>
                                <a:lnTo>
                                  <a:pt x="929370" y="857794"/>
                                </a:lnTo>
                                <a:lnTo>
                                  <a:pt x="992389" y="871823"/>
                                </a:lnTo>
                                <a:lnTo>
                                  <a:pt x="1056081" y="885209"/>
                                </a:lnTo>
                                <a:lnTo>
                                  <a:pt x="1120421" y="897937"/>
                                </a:lnTo>
                                <a:lnTo>
                                  <a:pt x="1185385" y="909994"/>
                                </a:lnTo>
                                <a:lnTo>
                                  <a:pt x="1250948" y="921363"/>
                                </a:lnTo>
                                <a:lnTo>
                                  <a:pt x="1316641" y="931958"/>
                                </a:lnTo>
                                <a:lnTo>
                                  <a:pt x="1381991" y="941708"/>
                                </a:lnTo>
                                <a:lnTo>
                                  <a:pt x="1446969" y="950619"/>
                                </a:lnTo>
                                <a:lnTo>
                                  <a:pt x="1511549" y="958698"/>
                                </a:lnTo>
                                <a:lnTo>
                                  <a:pt x="1575702" y="965951"/>
                                </a:lnTo>
                                <a:lnTo>
                                  <a:pt x="1639400" y="972383"/>
                                </a:lnTo>
                                <a:lnTo>
                                  <a:pt x="1702616" y="978002"/>
                                </a:lnTo>
                                <a:lnTo>
                                  <a:pt x="1765321" y="982813"/>
                                </a:lnTo>
                                <a:lnTo>
                                  <a:pt x="1827488" y="986823"/>
                                </a:lnTo>
                                <a:lnTo>
                                  <a:pt x="1889088" y="990038"/>
                                </a:lnTo>
                                <a:lnTo>
                                  <a:pt x="1950095" y="992465"/>
                                </a:lnTo>
                                <a:lnTo>
                                  <a:pt x="2010479" y="994109"/>
                                </a:lnTo>
                                <a:lnTo>
                                  <a:pt x="2076962" y="995075"/>
                                </a:lnTo>
                                <a:lnTo>
                                  <a:pt x="2129271" y="995075"/>
                                </a:lnTo>
                                <a:lnTo>
                                  <a:pt x="2187623" y="994409"/>
                                </a:lnTo>
                                <a:lnTo>
                                  <a:pt x="2245241" y="992986"/>
                                </a:lnTo>
                                <a:lnTo>
                                  <a:pt x="2302098" y="990812"/>
                                </a:lnTo>
                                <a:lnTo>
                                  <a:pt x="2358165" y="987894"/>
                                </a:lnTo>
                                <a:lnTo>
                                  <a:pt x="2413416" y="984236"/>
                                </a:lnTo>
                                <a:lnTo>
                                  <a:pt x="2467822" y="979846"/>
                                </a:lnTo>
                                <a:lnTo>
                                  <a:pt x="2521355" y="974731"/>
                                </a:lnTo>
                                <a:lnTo>
                                  <a:pt x="2573987" y="968895"/>
                                </a:lnTo>
                                <a:lnTo>
                                  <a:pt x="2625690" y="962346"/>
                                </a:lnTo>
                                <a:lnTo>
                                  <a:pt x="2676438" y="955090"/>
                                </a:lnTo>
                                <a:lnTo>
                                  <a:pt x="2726200" y="947133"/>
                                </a:lnTo>
                                <a:lnTo>
                                  <a:pt x="2774951" y="938481"/>
                                </a:lnTo>
                                <a:lnTo>
                                  <a:pt x="2822662" y="929141"/>
                                </a:lnTo>
                                <a:lnTo>
                                  <a:pt x="2869304" y="919118"/>
                                </a:lnTo>
                                <a:lnTo>
                                  <a:pt x="2914851" y="908420"/>
                                </a:lnTo>
                                <a:lnTo>
                                  <a:pt x="2919730" y="907171"/>
                                </a:lnTo>
                                <a:lnTo>
                                  <a:pt x="2919730" y="152400"/>
                                </a:lnTo>
                                <a:lnTo>
                                  <a:pt x="2911961" y="104231"/>
                                </a:lnTo>
                                <a:lnTo>
                                  <a:pt x="2890327" y="62396"/>
                                </a:lnTo>
                                <a:lnTo>
                                  <a:pt x="2857338" y="29405"/>
                                </a:lnTo>
                                <a:lnTo>
                                  <a:pt x="2815503" y="7769"/>
                                </a:lnTo>
                                <a:lnTo>
                                  <a:pt x="2767330" y="0"/>
                                </a:lnTo>
                                <a:close/>
                              </a:path>
                            </a:pathLst>
                          </a:custGeom>
                          <a:solidFill>
                            <a:srgbClr val="C2D8E2"/>
                          </a:solidFill>
                        </wps:spPr>
                        <wps:bodyPr wrap="square" lIns="0" tIns="0" rIns="0" bIns="0" rtlCol="0">
                          <a:prstTxWarp prst="textNoShape">
                            <a:avLst/>
                          </a:prstTxWarp>
                          <a:noAutofit/>
                        </wps:bodyPr>
                      </wps:wsp>
                      <wps:wsp>
                        <wps:cNvPr id="545" name="Graphic 545"/>
                        <wps:cNvSpPr/>
                        <wps:spPr>
                          <a:xfrm>
                            <a:off x="6350" y="6350"/>
                            <a:ext cx="2919730" cy="3735704"/>
                          </a:xfrm>
                          <a:custGeom>
                            <a:avLst/>
                            <a:gdLst/>
                            <a:ahLst/>
                            <a:cxnLst/>
                            <a:rect l="l" t="t" r="r" b="b"/>
                            <a:pathLst>
                              <a:path w="2919730" h="3735704">
                                <a:moveTo>
                                  <a:pt x="152400" y="0"/>
                                </a:moveTo>
                                <a:lnTo>
                                  <a:pt x="104231" y="7769"/>
                                </a:lnTo>
                                <a:lnTo>
                                  <a:pt x="62396" y="29405"/>
                                </a:lnTo>
                                <a:lnTo>
                                  <a:pt x="29405" y="62396"/>
                                </a:lnTo>
                                <a:lnTo>
                                  <a:pt x="7769" y="104231"/>
                                </a:lnTo>
                                <a:lnTo>
                                  <a:pt x="0" y="152400"/>
                                </a:lnTo>
                                <a:lnTo>
                                  <a:pt x="0" y="3582924"/>
                                </a:lnTo>
                                <a:lnTo>
                                  <a:pt x="7769" y="3631092"/>
                                </a:lnTo>
                                <a:lnTo>
                                  <a:pt x="29405" y="3672927"/>
                                </a:lnTo>
                                <a:lnTo>
                                  <a:pt x="62396" y="3705918"/>
                                </a:lnTo>
                                <a:lnTo>
                                  <a:pt x="104231" y="3727554"/>
                                </a:lnTo>
                                <a:lnTo>
                                  <a:pt x="152400" y="3735324"/>
                                </a:lnTo>
                                <a:lnTo>
                                  <a:pt x="2767330" y="3735324"/>
                                </a:lnTo>
                                <a:lnTo>
                                  <a:pt x="2815498" y="3727554"/>
                                </a:lnTo>
                                <a:lnTo>
                                  <a:pt x="2857333" y="3705918"/>
                                </a:lnTo>
                                <a:lnTo>
                                  <a:pt x="2890324" y="3672927"/>
                                </a:lnTo>
                                <a:lnTo>
                                  <a:pt x="2911960" y="3631092"/>
                                </a:lnTo>
                                <a:lnTo>
                                  <a:pt x="2919730" y="3582924"/>
                                </a:lnTo>
                                <a:lnTo>
                                  <a:pt x="2919730" y="152400"/>
                                </a:lnTo>
                                <a:lnTo>
                                  <a:pt x="2911960" y="104231"/>
                                </a:lnTo>
                                <a:lnTo>
                                  <a:pt x="2890324" y="62396"/>
                                </a:lnTo>
                                <a:lnTo>
                                  <a:pt x="2857333" y="29405"/>
                                </a:lnTo>
                                <a:lnTo>
                                  <a:pt x="2815498" y="7769"/>
                                </a:lnTo>
                                <a:lnTo>
                                  <a:pt x="2767330" y="0"/>
                                </a:lnTo>
                                <a:lnTo>
                                  <a:pt x="152400" y="0"/>
                                </a:lnTo>
                                <a:close/>
                              </a:path>
                            </a:pathLst>
                          </a:custGeom>
                          <a:ln w="12700">
                            <a:solidFill>
                              <a:srgbClr val="074975"/>
                            </a:solidFill>
                            <a:prstDash val="solid"/>
                          </a:ln>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124" cstate="print"/>
                          <a:stretch>
                            <a:fillRect/>
                          </a:stretch>
                        </pic:blipFill>
                        <pic:spPr>
                          <a:xfrm>
                            <a:off x="1823974" y="139192"/>
                            <a:ext cx="851463" cy="684445"/>
                          </a:xfrm>
                          <a:prstGeom prst="rect">
                            <a:avLst/>
                          </a:prstGeom>
                        </pic:spPr>
                      </pic:pic>
                      <wps:wsp>
                        <wps:cNvPr id="547" name="Textbox 547"/>
                        <wps:cNvSpPr txBox="1"/>
                        <wps:spPr>
                          <a:xfrm>
                            <a:off x="0" y="0"/>
                            <a:ext cx="3090545" cy="3907154"/>
                          </a:xfrm>
                          <a:prstGeom prst="rect">
                            <a:avLst/>
                          </a:prstGeom>
                        </wps:spPr>
                        <wps:txbx>
                          <w:txbxContent>
                            <w:p w14:paraId="1C34F24A" w14:textId="77777777" w:rsidR="004C558F" w:rsidRDefault="004C558F">
                              <w:pPr>
                                <w:rPr>
                                  <w:rFonts w:ascii="Franklin Gothic Medium"/>
                                  <w:sz w:val="36"/>
                                </w:rPr>
                              </w:pPr>
                            </w:p>
                            <w:p w14:paraId="1C34F24B" w14:textId="77777777" w:rsidR="004C558F" w:rsidRDefault="004C558F">
                              <w:pPr>
                                <w:rPr>
                                  <w:rFonts w:ascii="Franklin Gothic Medium"/>
                                  <w:sz w:val="36"/>
                                </w:rPr>
                              </w:pPr>
                            </w:p>
                            <w:p w14:paraId="1C34F24C" w14:textId="77777777" w:rsidR="004C558F" w:rsidRDefault="004C558F">
                              <w:pPr>
                                <w:rPr>
                                  <w:rFonts w:ascii="Franklin Gothic Medium"/>
                                  <w:sz w:val="36"/>
                                </w:rPr>
                              </w:pPr>
                            </w:p>
                            <w:p w14:paraId="1C34F24D" w14:textId="77777777" w:rsidR="004C558F" w:rsidRDefault="004C558F">
                              <w:pPr>
                                <w:spacing w:before="145"/>
                                <w:rPr>
                                  <w:rFonts w:ascii="Franklin Gothic Medium"/>
                                  <w:sz w:val="36"/>
                                </w:rPr>
                              </w:pPr>
                            </w:p>
                            <w:p w14:paraId="1C34F24E" w14:textId="77777777" w:rsidR="004C558F" w:rsidRDefault="00461887">
                              <w:pPr>
                                <w:spacing w:line="394" w:lineRule="exact"/>
                                <w:ind w:left="386"/>
                                <w:rPr>
                                  <w:rFonts w:ascii="Franklin Gothic Demi Cond"/>
                                  <w:b/>
                                  <w:sz w:val="36"/>
                                </w:rPr>
                              </w:pPr>
                              <w:r>
                                <w:rPr>
                                  <w:rFonts w:ascii="Franklin Gothic Demi Cond"/>
                                  <w:b/>
                                  <w:color w:val="074975"/>
                                  <w:spacing w:val="-2"/>
                                  <w:sz w:val="36"/>
                                </w:rPr>
                                <w:t>SOCIAL</w:t>
                              </w:r>
                            </w:p>
                            <w:p w14:paraId="1C34F24F" w14:textId="77777777" w:rsidR="004C558F" w:rsidRDefault="00461887">
                              <w:pPr>
                                <w:spacing w:line="394" w:lineRule="exact"/>
                                <w:ind w:left="386"/>
                                <w:rPr>
                                  <w:rFonts w:ascii="Franklin Gothic Demi Cond"/>
                                  <w:b/>
                                  <w:sz w:val="36"/>
                                </w:rPr>
                              </w:pPr>
                              <w:r>
                                <w:rPr>
                                  <w:rFonts w:ascii="Franklin Gothic Demi Cond"/>
                                  <w:b/>
                                  <w:color w:val="074975"/>
                                  <w:sz w:val="36"/>
                                </w:rPr>
                                <w:t>DETERMINANTS</w:t>
                              </w:r>
                              <w:r>
                                <w:rPr>
                                  <w:rFonts w:ascii="Franklin Gothic Demi Cond"/>
                                  <w:b/>
                                  <w:color w:val="074975"/>
                                  <w:spacing w:val="1"/>
                                  <w:sz w:val="36"/>
                                </w:rPr>
                                <w:t xml:space="preserve"> </w:t>
                              </w:r>
                              <w:r>
                                <w:rPr>
                                  <w:rFonts w:ascii="Franklin Gothic Demi Cond"/>
                                  <w:b/>
                                  <w:color w:val="074975"/>
                                  <w:sz w:val="36"/>
                                </w:rPr>
                                <w:t>OF</w:t>
                              </w:r>
                              <w:r>
                                <w:rPr>
                                  <w:rFonts w:ascii="Franklin Gothic Demi Cond"/>
                                  <w:b/>
                                  <w:color w:val="074975"/>
                                  <w:spacing w:val="2"/>
                                  <w:sz w:val="36"/>
                                </w:rPr>
                                <w:t xml:space="preserve"> </w:t>
                              </w:r>
                              <w:r>
                                <w:rPr>
                                  <w:rFonts w:ascii="Franklin Gothic Demi Cond"/>
                                  <w:b/>
                                  <w:color w:val="074975"/>
                                  <w:spacing w:val="-2"/>
                                  <w:sz w:val="36"/>
                                </w:rPr>
                                <w:t>HEALTH</w:t>
                              </w:r>
                            </w:p>
                            <w:p w14:paraId="1C34F250" w14:textId="77777777" w:rsidR="004C558F" w:rsidRDefault="00461887">
                              <w:pPr>
                                <w:numPr>
                                  <w:ilvl w:val="0"/>
                                  <w:numId w:val="5"/>
                                </w:numPr>
                                <w:tabs>
                                  <w:tab w:val="left" w:pos="398"/>
                                </w:tabs>
                                <w:spacing w:before="155" w:line="254" w:lineRule="auto"/>
                                <w:ind w:right="548"/>
                                <w:jc w:val="both"/>
                                <w:rPr>
                                  <w:sz w:val="20"/>
                                </w:rPr>
                              </w:pPr>
                              <w:r>
                                <w:rPr>
                                  <w:color w:val="3F3E45"/>
                                  <w:sz w:val="20"/>
                                </w:rPr>
                                <w:t>Individuals</w:t>
                              </w:r>
                              <w:r>
                                <w:rPr>
                                  <w:color w:val="3F3E45"/>
                                  <w:spacing w:val="-5"/>
                                  <w:sz w:val="20"/>
                                </w:rPr>
                                <w:t xml:space="preserve"> </w:t>
                              </w:r>
                              <w:r>
                                <w:rPr>
                                  <w:color w:val="3F3E45"/>
                                  <w:sz w:val="20"/>
                                </w:rPr>
                                <w:t>with</w:t>
                              </w:r>
                              <w:r>
                                <w:rPr>
                                  <w:color w:val="3F3E45"/>
                                  <w:spacing w:val="-5"/>
                                  <w:sz w:val="20"/>
                                </w:rPr>
                                <w:t xml:space="preserve"> </w:t>
                              </w:r>
                              <w:r>
                                <w:rPr>
                                  <w:color w:val="3F3E45"/>
                                  <w:sz w:val="20"/>
                                </w:rPr>
                                <w:t>greater</w:t>
                              </w:r>
                              <w:r>
                                <w:rPr>
                                  <w:color w:val="3F3E45"/>
                                  <w:spacing w:val="-5"/>
                                  <w:sz w:val="20"/>
                                </w:rPr>
                                <w:t xml:space="preserve"> </w:t>
                              </w:r>
                              <w:r>
                                <w:rPr>
                                  <w:color w:val="3F3E45"/>
                                  <w:sz w:val="20"/>
                                </w:rPr>
                                <w:t>burden</w:t>
                              </w:r>
                              <w:r>
                                <w:rPr>
                                  <w:color w:val="3F3E45"/>
                                  <w:spacing w:val="-5"/>
                                  <w:sz w:val="20"/>
                                </w:rPr>
                                <w:t xml:space="preserve"> </w:t>
                              </w:r>
                              <w:r>
                                <w:rPr>
                                  <w:color w:val="3F3E45"/>
                                  <w:sz w:val="20"/>
                                </w:rPr>
                                <w:t>from</w:t>
                              </w:r>
                              <w:r>
                                <w:rPr>
                                  <w:color w:val="3F3E45"/>
                                  <w:spacing w:val="-5"/>
                                  <w:sz w:val="20"/>
                                </w:rPr>
                                <w:t xml:space="preserve"> </w:t>
                              </w:r>
                              <w:r>
                                <w:rPr>
                                  <w:color w:val="3F3E45"/>
                                  <w:sz w:val="20"/>
                                </w:rPr>
                                <w:t>social</w:t>
                              </w:r>
                              <w:r>
                                <w:rPr>
                                  <w:color w:val="3F3E45"/>
                                  <w:spacing w:val="-5"/>
                                  <w:sz w:val="20"/>
                                </w:rPr>
                                <w:t xml:space="preserve"> </w:t>
                              </w:r>
                              <w:r>
                                <w:rPr>
                                  <w:color w:val="3F3E45"/>
                                  <w:sz w:val="20"/>
                                </w:rPr>
                                <w:t xml:space="preserve">de- </w:t>
                              </w:r>
                              <w:proofErr w:type="spellStart"/>
                              <w:r>
                                <w:rPr>
                                  <w:color w:val="3F3E45"/>
                                  <w:sz w:val="20"/>
                                </w:rPr>
                                <w:t>terminants</w:t>
                              </w:r>
                              <w:proofErr w:type="spellEnd"/>
                              <w:r>
                                <w:rPr>
                                  <w:color w:val="3F3E45"/>
                                  <w:spacing w:val="-9"/>
                                  <w:sz w:val="20"/>
                                </w:rPr>
                                <w:t xml:space="preserve"> </w:t>
                              </w:r>
                              <w:r>
                                <w:rPr>
                                  <w:color w:val="3F3E45"/>
                                  <w:sz w:val="20"/>
                                </w:rPr>
                                <w:t>of</w:t>
                              </w:r>
                              <w:r>
                                <w:rPr>
                                  <w:color w:val="3F3E45"/>
                                  <w:spacing w:val="-8"/>
                                  <w:sz w:val="20"/>
                                </w:rPr>
                                <w:t xml:space="preserve"> </w:t>
                              </w:r>
                              <w:r>
                                <w:rPr>
                                  <w:color w:val="3F3E45"/>
                                  <w:sz w:val="20"/>
                                </w:rPr>
                                <w:t>health,</w:t>
                              </w:r>
                              <w:r>
                                <w:rPr>
                                  <w:color w:val="3F3E45"/>
                                  <w:spacing w:val="-8"/>
                                  <w:sz w:val="20"/>
                                </w:rPr>
                                <w:t xml:space="preserve"> </w:t>
                              </w:r>
                              <w:r>
                                <w:rPr>
                                  <w:color w:val="3F3E45"/>
                                  <w:sz w:val="20"/>
                                </w:rPr>
                                <w:t>including</w:t>
                              </w:r>
                              <w:r>
                                <w:rPr>
                                  <w:color w:val="3F3E45"/>
                                  <w:spacing w:val="-8"/>
                                  <w:sz w:val="20"/>
                                </w:rPr>
                                <w:t xml:space="preserve"> </w:t>
                              </w:r>
                              <w:r>
                                <w:rPr>
                                  <w:color w:val="3F3E45"/>
                                  <w:sz w:val="20"/>
                                </w:rPr>
                                <w:t>lower</w:t>
                              </w:r>
                              <w:r>
                                <w:rPr>
                                  <w:color w:val="3F3E45"/>
                                  <w:spacing w:val="-8"/>
                                  <w:sz w:val="20"/>
                                </w:rPr>
                                <w:t xml:space="preserve"> </w:t>
                              </w:r>
                              <w:proofErr w:type="spellStart"/>
                              <w:r>
                                <w:rPr>
                                  <w:color w:val="3F3E45"/>
                                  <w:sz w:val="20"/>
                                </w:rPr>
                                <w:t>socioeco</w:t>
                              </w:r>
                              <w:proofErr w:type="spellEnd"/>
                              <w:r>
                                <w:rPr>
                                  <w:color w:val="3F3E45"/>
                                  <w:sz w:val="20"/>
                                </w:rPr>
                                <w:t>- nomic status, have higher mortality</w:t>
                              </w:r>
                              <w:r>
                                <w:rPr>
                                  <w:color w:val="3F3E45"/>
                                  <w:spacing w:val="40"/>
                                  <w:sz w:val="20"/>
                                </w:rPr>
                                <w:t xml:space="preserve"> </w:t>
                              </w:r>
                              <w:r>
                                <w:rPr>
                                  <w:color w:val="3F3E45"/>
                                  <w:sz w:val="20"/>
                                </w:rPr>
                                <w:t xml:space="preserve">and rates </w:t>
                              </w:r>
                              <w:r>
                                <w:rPr>
                                  <w:color w:val="3F3E45"/>
                                  <w:spacing w:val="-2"/>
                                  <w:sz w:val="20"/>
                                </w:rPr>
                                <w:t>of</w:t>
                              </w:r>
                              <w:r>
                                <w:rPr>
                                  <w:color w:val="3F3E45"/>
                                  <w:spacing w:val="-13"/>
                                  <w:sz w:val="20"/>
                                </w:rPr>
                                <w:t xml:space="preserve"> </w:t>
                              </w:r>
                              <w:r>
                                <w:rPr>
                                  <w:color w:val="3F3E45"/>
                                  <w:spacing w:val="-2"/>
                                  <w:sz w:val="20"/>
                                </w:rPr>
                                <w:t>late-stage</w:t>
                              </w:r>
                              <w:r>
                                <w:rPr>
                                  <w:color w:val="3F3E45"/>
                                  <w:spacing w:val="-13"/>
                                  <w:sz w:val="20"/>
                                </w:rPr>
                                <w:t xml:space="preserve"> </w:t>
                              </w:r>
                              <w:r>
                                <w:rPr>
                                  <w:color w:val="3F3E45"/>
                                  <w:spacing w:val="-2"/>
                                  <w:sz w:val="20"/>
                                </w:rPr>
                                <w:t>diagnoses</w:t>
                              </w:r>
                              <w:r>
                                <w:rPr>
                                  <w:color w:val="3F3E45"/>
                                  <w:spacing w:val="-2"/>
                                  <w:position w:val="7"/>
                                  <w:sz w:val="11"/>
                                </w:rPr>
                                <w:t>6</w:t>
                              </w:r>
                              <w:r>
                                <w:rPr>
                                  <w:color w:val="3F3E45"/>
                                  <w:spacing w:val="-4"/>
                                  <w:position w:val="7"/>
                                  <w:sz w:val="11"/>
                                </w:rPr>
                                <w:t xml:space="preserve"> </w:t>
                              </w:r>
                              <w:r>
                                <w:rPr>
                                  <w:color w:val="3F3E45"/>
                                  <w:spacing w:val="-2"/>
                                  <w:sz w:val="20"/>
                                </w:rPr>
                                <w:t>than</w:t>
                              </w:r>
                              <w:r>
                                <w:rPr>
                                  <w:color w:val="3F3E45"/>
                                  <w:spacing w:val="-13"/>
                                  <w:sz w:val="20"/>
                                </w:rPr>
                                <w:t xml:space="preserve"> </w:t>
                              </w:r>
                              <w:r>
                                <w:rPr>
                                  <w:color w:val="3F3E45"/>
                                  <w:spacing w:val="-2"/>
                                  <w:sz w:val="20"/>
                                </w:rPr>
                                <w:t>their</w:t>
                              </w:r>
                              <w:r>
                                <w:rPr>
                                  <w:color w:val="3F3E45"/>
                                  <w:spacing w:val="-13"/>
                                  <w:sz w:val="20"/>
                                </w:rPr>
                                <w:t xml:space="preserve"> </w:t>
                              </w:r>
                              <w:r>
                                <w:rPr>
                                  <w:color w:val="3F3E45"/>
                                  <w:spacing w:val="-2"/>
                                  <w:sz w:val="20"/>
                                </w:rPr>
                                <w:t>counterparts.</w:t>
                              </w:r>
                            </w:p>
                            <w:p w14:paraId="1C34F251" w14:textId="77777777" w:rsidR="004C558F" w:rsidRDefault="00461887">
                              <w:pPr>
                                <w:numPr>
                                  <w:ilvl w:val="0"/>
                                  <w:numId w:val="5"/>
                                </w:numPr>
                                <w:tabs>
                                  <w:tab w:val="left" w:pos="398"/>
                                </w:tabs>
                                <w:spacing w:line="254" w:lineRule="auto"/>
                                <w:ind w:right="546"/>
                                <w:jc w:val="both"/>
                                <w:rPr>
                                  <w:sz w:val="11"/>
                                </w:rPr>
                              </w:pPr>
                              <w:r>
                                <w:rPr>
                                  <w:color w:val="3F3E45"/>
                                  <w:sz w:val="20"/>
                                </w:rPr>
                                <w:t>Per</w:t>
                              </w:r>
                              <w:r>
                                <w:rPr>
                                  <w:color w:val="3F3E45"/>
                                  <w:spacing w:val="-13"/>
                                  <w:sz w:val="20"/>
                                </w:rPr>
                                <w:t xml:space="preserve"> </w:t>
                              </w:r>
                              <w:r>
                                <w:rPr>
                                  <w:color w:val="3F3E45"/>
                                  <w:sz w:val="20"/>
                                </w:rPr>
                                <w:t>the</w:t>
                              </w:r>
                              <w:r>
                                <w:rPr>
                                  <w:color w:val="3F3E45"/>
                                  <w:spacing w:val="-12"/>
                                  <w:sz w:val="20"/>
                                </w:rPr>
                                <w:t xml:space="preserve"> </w:t>
                              </w:r>
                              <w:r>
                                <w:rPr>
                                  <w:color w:val="3F3E45"/>
                                  <w:sz w:val="20"/>
                                </w:rPr>
                                <w:t>American</w:t>
                              </w:r>
                              <w:r>
                                <w:rPr>
                                  <w:color w:val="3F3E45"/>
                                  <w:spacing w:val="-13"/>
                                  <w:sz w:val="20"/>
                                </w:rPr>
                                <w:t xml:space="preserve"> </w:t>
                              </w:r>
                              <w:r>
                                <w:rPr>
                                  <w:color w:val="3F3E45"/>
                                  <w:sz w:val="20"/>
                                </w:rPr>
                                <w:t>Cancer</w:t>
                              </w:r>
                              <w:r>
                                <w:rPr>
                                  <w:color w:val="3F3E45"/>
                                  <w:spacing w:val="-12"/>
                                  <w:sz w:val="20"/>
                                </w:rPr>
                                <w:t xml:space="preserve"> </w:t>
                              </w:r>
                              <w:r>
                                <w:rPr>
                                  <w:color w:val="3F3E45"/>
                                  <w:sz w:val="20"/>
                                </w:rPr>
                                <w:t>Society’s</w:t>
                              </w:r>
                              <w:r>
                                <w:rPr>
                                  <w:color w:val="3F3E45"/>
                                  <w:spacing w:val="-13"/>
                                  <w:sz w:val="20"/>
                                </w:rPr>
                                <w:t xml:space="preserve"> </w:t>
                              </w:r>
                              <w:r>
                                <w:rPr>
                                  <w:color w:val="3F3E45"/>
                                  <w:sz w:val="20"/>
                                </w:rPr>
                                <w:t>2023</w:t>
                              </w:r>
                              <w:r>
                                <w:rPr>
                                  <w:color w:val="3F3E45"/>
                                  <w:spacing w:val="-12"/>
                                  <w:sz w:val="20"/>
                                </w:rPr>
                                <w:t xml:space="preserve"> </w:t>
                              </w:r>
                              <w:r>
                                <w:rPr>
                                  <w:color w:val="3F3E45"/>
                                  <w:sz w:val="20"/>
                                </w:rPr>
                                <w:t xml:space="preserve">report </w:t>
                              </w:r>
                              <w:r>
                                <w:rPr>
                                  <w:color w:val="3F3E45"/>
                                  <w:spacing w:val="-2"/>
                                  <w:sz w:val="20"/>
                                </w:rPr>
                                <w:t>cancer</w:t>
                              </w:r>
                              <w:r>
                                <w:rPr>
                                  <w:color w:val="3F3E45"/>
                                  <w:spacing w:val="-5"/>
                                  <w:sz w:val="20"/>
                                </w:rPr>
                                <w:t xml:space="preserve"> </w:t>
                              </w:r>
                              <w:r>
                                <w:rPr>
                                  <w:color w:val="3F3E45"/>
                                  <w:spacing w:val="-2"/>
                                  <w:sz w:val="20"/>
                                </w:rPr>
                                <w:t>disparities,</w:t>
                              </w:r>
                              <w:r>
                                <w:rPr>
                                  <w:color w:val="3F3E45"/>
                                  <w:spacing w:val="-5"/>
                                  <w:sz w:val="20"/>
                                </w:rPr>
                                <w:t xml:space="preserve"> </w:t>
                              </w:r>
                              <w:r>
                                <w:rPr>
                                  <w:color w:val="3F3E45"/>
                                  <w:spacing w:val="-2"/>
                                  <w:sz w:val="20"/>
                                </w:rPr>
                                <w:t>racial,</w:t>
                              </w:r>
                              <w:r>
                                <w:rPr>
                                  <w:color w:val="3F3E45"/>
                                  <w:spacing w:val="-5"/>
                                  <w:sz w:val="20"/>
                                </w:rPr>
                                <w:t xml:space="preserve"> </w:t>
                              </w:r>
                              <w:r>
                                <w:rPr>
                                  <w:color w:val="3F3E45"/>
                                  <w:spacing w:val="-2"/>
                                  <w:sz w:val="20"/>
                                </w:rPr>
                                <w:t>ethnic,</w:t>
                              </w:r>
                              <w:r>
                                <w:rPr>
                                  <w:color w:val="3F3E45"/>
                                  <w:spacing w:val="-5"/>
                                  <w:sz w:val="20"/>
                                </w:rPr>
                                <w:t xml:space="preserve"> </w:t>
                              </w:r>
                              <w:r>
                                <w:rPr>
                                  <w:color w:val="3F3E45"/>
                                  <w:spacing w:val="-2"/>
                                  <w:sz w:val="20"/>
                                </w:rPr>
                                <w:t>and</w:t>
                              </w:r>
                              <w:r>
                                <w:rPr>
                                  <w:color w:val="3F3E45"/>
                                  <w:spacing w:val="-5"/>
                                  <w:sz w:val="20"/>
                                </w:rPr>
                                <w:t xml:space="preserve"> </w:t>
                              </w:r>
                              <w:proofErr w:type="spellStart"/>
                              <w:r>
                                <w:rPr>
                                  <w:color w:val="3F3E45"/>
                                  <w:spacing w:val="-2"/>
                                  <w:sz w:val="20"/>
                                </w:rPr>
                                <w:t>geograph</w:t>
                              </w:r>
                              <w:proofErr w:type="spellEnd"/>
                              <w:r>
                                <w:rPr>
                                  <w:color w:val="3F3E45"/>
                                  <w:spacing w:val="-2"/>
                                  <w:sz w:val="20"/>
                                </w:rPr>
                                <w:t xml:space="preserve">- </w:t>
                              </w:r>
                              <w:proofErr w:type="spellStart"/>
                              <w:r>
                                <w:rPr>
                                  <w:color w:val="3F3E45"/>
                                  <w:sz w:val="20"/>
                                </w:rPr>
                                <w:t>ic</w:t>
                              </w:r>
                              <w:proofErr w:type="spellEnd"/>
                              <w:r>
                                <w:rPr>
                                  <w:color w:val="3F3E45"/>
                                  <w:sz w:val="20"/>
                                </w:rPr>
                                <w:t xml:space="preserve"> cancer disparities align with “disparities in exposure to risk factors and access to cancer </w:t>
                              </w:r>
                              <w:r>
                                <w:rPr>
                                  <w:color w:val="3F3E45"/>
                                  <w:spacing w:val="-6"/>
                                  <w:sz w:val="20"/>
                                </w:rPr>
                                <w:t xml:space="preserve">prevention, early detection, and treatment, which </w:t>
                              </w:r>
                              <w:r>
                                <w:rPr>
                                  <w:color w:val="3F3E45"/>
                                  <w:sz w:val="20"/>
                                </w:rPr>
                                <w:t>are</w:t>
                              </w:r>
                              <w:r>
                                <w:rPr>
                                  <w:color w:val="3F3E45"/>
                                  <w:spacing w:val="-1"/>
                                  <w:sz w:val="20"/>
                                </w:rPr>
                                <w:t xml:space="preserve"> </w:t>
                              </w:r>
                              <w:r>
                                <w:rPr>
                                  <w:color w:val="3F3E45"/>
                                  <w:sz w:val="20"/>
                                </w:rPr>
                                <w:t>largely</w:t>
                              </w:r>
                              <w:r>
                                <w:rPr>
                                  <w:color w:val="3F3E45"/>
                                  <w:spacing w:val="-1"/>
                                  <w:sz w:val="20"/>
                                </w:rPr>
                                <w:t xml:space="preserve"> </w:t>
                              </w:r>
                              <w:r>
                                <w:rPr>
                                  <w:color w:val="3F3E45"/>
                                  <w:sz w:val="20"/>
                                </w:rPr>
                                <w:t>rooted</w:t>
                              </w:r>
                              <w:r>
                                <w:rPr>
                                  <w:color w:val="3F3E45"/>
                                  <w:spacing w:val="-1"/>
                                  <w:sz w:val="20"/>
                                </w:rPr>
                                <w:t xml:space="preserve"> </w:t>
                              </w:r>
                              <w:r>
                                <w:rPr>
                                  <w:color w:val="3F3E45"/>
                                  <w:sz w:val="20"/>
                                </w:rPr>
                                <w:t>in</w:t>
                              </w:r>
                              <w:r>
                                <w:rPr>
                                  <w:color w:val="3F3E45"/>
                                  <w:spacing w:val="-1"/>
                                  <w:sz w:val="20"/>
                                </w:rPr>
                                <w:t xml:space="preserve"> </w:t>
                              </w:r>
                              <w:r>
                                <w:rPr>
                                  <w:color w:val="3F3E45"/>
                                  <w:sz w:val="20"/>
                                </w:rPr>
                                <w:t>fundamental</w:t>
                              </w:r>
                              <w:r>
                                <w:rPr>
                                  <w:color w:val="3F3E45"/>
                                  <w:spacing w:val="-1"/>
                                  <w:sz w:val="20"/>
                                </w:rPr>
                                <w:t xml:space="preserve"> </w:t>
                              </w:r>
                              <w:r>
                                <w:rPr>
                                  <w:color w:val="3F3E45"/>
                                  <w:sz w:val="20"/>
                                </w:rPr>
                                <w:t>inequities</w:t>
                              </w:r>
                              <w:r>
                                <w:rPr>
                                  <w:color w:val="3F3E45"/>
                                  <w:spacing w:val="-1"/>
                                  <w:sz w:val="20"/>
                                </w:rPr>
                                <w:t xml:space="preserve"> </w:t>
                              </w:r>
                              <w:r>
                                <w:rPr>
                                  <w:color w:val="3F3E45"/>
                                  <w:sz w:val="20"/>
                                </w:rPr>
                                <w:t>in social</w:t>
                              </w:r>
                              <w:r>
                                <w:rPr>
                                  <w:color w:val="3F3E45"/>
                                  <w:spacing w:val="-13"/>
                                  <w:sz w:val="20"/>
                                </w:rPr>
                                <w:t xml:space="preserve"> </w:t>
                              </w:r>
                              <w:r>
                                <w:rPr>
                                  <w:color w:val="3F3E45"/>
                                  <w:sz w:val="20"/>
                                </w:rPr>
                                <w:t>determinants</w:t>
                              </w:r>
                              <w:r>
                                <w:rPr>
                                  <w:color w:val="3F3E45"/>
                                  <w:spacing w:val="-12"/>
                                  <w:sz w:val="20"/>
                                </w:rPr>
                                <w:t xml:space="preserve"> </w:t>
                              </w:r>
                              <w:r>
                                <w:rPr>
                                  <w:color w:val="3F3E45"/>
                                  <w:sz w:val="20"/>
                                </w:rPr>
                                <w:t>of</w:t>
                              </w:r>
                              <w:r>
                                <w:rPr>
                                  <w:color w:val="3F3E45"/>
                                  <w:spacing w:val="-13"/>
                                  <w:sz w:val="20"/>
                                </w:rPr>
                                <w:t xml:space="preserve"> </w:t>
                              </w:r>
                              <w:r>
                                <w:rPr>
                                  <w:color w:val="3F3E45"/>
                                  <w:sz w:val="20"/>
                                </w:rPr>
                                <w:t>health</w:t>
                              </w:r>
                              <w:r>
                                <w:rPr>
                                  <w:color w:val="3F3E45"/>
                                  <w:spacing w:val="-12"/>
                                  <w:sz w:val="20"/>
                                </w:rPr>
                                <w:t xml:space="preserve"> </w:t>
                              </w:r>
                              <w:r>
                                <w:rPr>
                                  <w:color w:val="3F3E45"/>
                                  <w:sz w:val="20"/>
                                </w:rPr>
                                <w:t>in</w:t>
                              </w:r>
                              <w:r>
                                <w:rPr>
                                  <w:color w:val="3F3E45"/>
                                  <w:spacing w:val="-13"/>
                                  <w:sz w:val="20"/>
                                </w:rPr>
                                <w:t xml:space="preserve"> </w:t>
                              </w:r>
                              <w:r>
                                <w:rPr>
                                  <w:color w:val="3F3E45"/>
                                  <w:sz w:val="20"/>
                                </w:rPr>
                                <w:t>social</w:t>
                              </w:r>
                              <w:r>
                                <w:rPr>
                                  <w:color w:val="3F3E45"/>
                                  <w:spacing w:val="-12"/>
                                  <w:sz w:val="20"/>
                                </w:rPr>
                                <w:t xml:space="preserve"> </w:t>
                              </w:r>
                              <w:proofErr w:type="spellStart"/>
                              <w:r>
                                <w:rPr>
                                  <w:color w:val="3F3E45"/>
                                  <w:sz w:val="20"/>
                                </w:rPr>
                                <w:t>determi</w:t>
                              </w:r>
                              <w:proofErr w:type="spellEnd"/>
                              <w:r>
                                <w:rPr>
                                  <w:color w:val="3F3E45"/>
                                  <w:sz w:val="20"/>
                                </w:rPr>
                                <w:t xml:space="preserve">- </w:t>
                              </w:r>
                              <w:proofErr w:type="spellStart"/>
                              <w:r>
                                <w:rPr>
                                  <w:color w:val="3F3E45"/>
                                  <w:sz w:val="20"/>
                                </w:rPr>
                                <w:t>nants</w:t>
                              </w:r>
                              <w:proofErr w:type="spellEnd"/>
                              <w:r>
                                <w:rPr>
                                  <w:color w:val="3F3E45"/>
                                  <w:sz w:val="20"/>
                                </w:rPr>
                                <w:t xml:space="preserve"> of health.”</w:t>
                              </w:r>
                              <w:r>
                                <w:rPr>
                                  <w:color w:val="3F3E45"/>
                                  <w:position w:val="7"/>
                                  <w:sz w:val="11"/>
                                </w:rPr>
                                <w:t>7</w:t>
                              </w:r>
                            </w:p>
                          </w:txbxContent>
                        </wps:txbx>
                        <wps:bodyPr wrap="square" lIns="0" tIns="0" rIns="0" bIns="0" rtlCol="0">
                          <a:noAutofit/>
                        </wps:bodyPr>
                      </wps:wsp>
                    </wpg:wgp>
                  </a:graphicData>
                </a:graphic>
              </wp:anchor>
            </w:drawing>
          </mc:Choice>
          <mc:Fallback>
            <w:pict>
              <v:group w14:anchorId="1C34F168" id="Group 540" o:spid="_x0000_s1452" alt="Social Determinants of Health" style="position:absolute;left:0;text-align:left;margin-left:40pt;margin-top:415.45pt;width:243.35pt;height:307.65pt;z-index:251610112;mso-wrap-distance-left:0;mso-wrap-distance-right:0;mso-position-horizontal-relative:page;mso-position-vertical-relative:page" coordsize="30905,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">
                <v:shape id="Graphic 541" o:spid="_x0000_s1453" style="position:absolute;left:180;top:205;width:30727;height:38862;visibility:visible;mso-wrap-style:square;v-text-anchor:top" coordsize="3072765,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" path="m3072384,l,,,3886200r3072384,l3072384,xe" fillcolor="black" stroked="f">
                  <v:fill opacity="9252f"/>
                  <v:path arrowok="t"/>
                </v:shape>
                <v:shape id="Graphic 542" o:spid="_x0000_s1454" style="position:absolute;left:63;top:63;width:29197;height:37357;visibility:visible;mso-wrap-style:square;v-text-anchor:top" coordsize="2919730,37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" path="m2767330,l152400,,104231,7769,62396,29405,29405,62396,7769,104231,,152400,,3582924r7769,48168l29405,3672927r32991,32991l104231,3727554r48169,7770l2767330,3735324r48168,-7770l2857333,3705918r32991,-32991l2911960,3631092r7770,-48168l2919730,152400r-7770,-48169l2890324,62396,2857333,29405,2815498,7769,2767330,xe" stroked="f">
                  <v:path arrowok="t"/>
                </v:shape>
                <v:shape id="Graphic 543" o:spid="_x0000_s1455" style="position:absolute;left:63;top:63;width:29197;height:10820;visibility:visible;mso-wrap-style:square;v-text-anchor:top" coordsize="291973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" path="m2767330,l152400,,104226,7769,62391,29405,29402,62396,7768,104231,,152400,,572063r52075,26827l98829,621915r47865,22653l195645,666834r50012,21863l296707,710143r52063,21014l401821,751723r54016,20104l510793,791454r55871,19134l623427,829215r57630,18105l739530,864887r59292,17015l858907,898350r60856,15865l981364,929483r62322,14656l1106705,958167r63691,13386l1234736,984282r64964,12057l1365263,1007708r65693,10595l1496306,1028053r64979,8911l1625864,1045043r64153,7252l1753715,1058728r63216,5619l1879636,1069158r62167,4010l2003403,1076383r61007,2427l2124795,1080454r66482,966l2243587,1081420r58351,-666l2359556,1079331r56857,-2174l2472481,1074238r55250,-3657l2582137,1066191r53533,-5115l2688302,1055240r51704,-6549l2790753,1041435r49763,-7957l2889266,1024826r30464,-5964l2919730,152400r-7769,-48169l2890327,62396,2857338,29405,2815503,7769,2767330,xe" fillcolor="#074975" stroked="f">
                  <v:path arrowok="t"/>
                </v:shape>
                <v:shape id="Graphic 544" o:spid="_x0000_s1456" style="position:absolute;left:63;top:63;width:29197;height:9957;visibility:visible;mso-wrap-style:square;v-text-anchor:top" coordsize="291973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" path="m2767330,l152400,,104226,7769,62391,29405,29402,62396,7768,104231,,152400,,542899r81329,37590l131342,602353r51050,21445l234454,644812r53052,20566l341522,685482r54955,19627l452349,724243r56763,18627l566742,760975r58473,17567l684506,795557r60086,16448l805447,827870r61601,15269l929370,857794r63019,14029l1056081,885209r64340,12728l1185385,909994r65563,11369l1316641,931958r65350,9750l1446969,950619r64580,8079l1575702,965951r63698,6432l1702616,978002r62705,4811l1827488,986823r61600,3215l1950095,992465r60384,1644l2076962,995075r52309,l2187623,994409r57618,-1423l2302098,990812r56067,-2918l2413416,984236r54406,-4390l2521355,974731r52632,-5836l2625690,962346r50748,-7256l2726200,947133r48751,-8652l2822662,929141r46642,-10023l2914851,908420r4879,-1249l2919730,152400r-7769,-48169l2890327,62396,2857338,29405,2815503,7769,2767330,xe" fillcolor="#c2d8e2" stroked="f">
                  <v:path arrowok="t"/>
                </v:shape>
                <v:shape id="Graphic 545" o:spid="_x0000_s1457" style="position:absolute;left:63;top:63;width:29197;height:37357;visibility:visible;mso-wrap-style:square;v-text-anchor:top" coordsize="2919730,37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" path="m152400,l104231,7769,62396,29405,29405,62396,7769,104231,,152400,,3582924r7769,48168l29405,3672927r32991,32991l104231,3727554r48169,7770l2767330,3735324r48168,-7770l2857333,3705918r32991,-32991l2911960,3631092r7770,-48168l2919730,152400r-7770,-48169l2890324,62396,2857333,29405,2815498,7769,2767330,,152400,xe" filled="f" strokecolor="#074975" strokeweight="1pt">
                  <v:path arrowok="t"/>
                </v:shape>
                <v:shape id="Image 546" o:spid="_x0000_s1458" type="#_x0000_t75" style="position:absolute;left:18239;top:1391;width:8515;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">
                  <v:imagedata r:id="rId125" o:title=""/>
                </v:shape>
                <v:shape id="Textbox 547" o:spid="_x0000_s1459" type="#_x0000_t202" style="position:absolute;width:30905;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C34F24A" w14:textId="77777777" w:rsidR="004C558F" w:rsidRDefault="004C558F">
                        <w:pPr>
                          <w:rPr>
                            <w:rFonts w:ascii="Franklin Gothic Medium"/>
                            <w:sz w:val="36"/>
                          </w:rPr>
                        </w:pPr>
                      </w:p>
                      <w:p w14:paraId="1C34F24B" w14:textId="77777777" w:rsidR="004C558F" w:rsidRDefault="004C558F">
                        <w:pPr>
                          <w:rPr>
                            <w:rFonts w:ascii="Franklin Gothic Medium"/>
                            <w:sz w:val="36"/>
                          </w:rPr>
                        </w:pPr>
                      </w:p>
                      <w:p w14:paraId="1C34F24C" w14:textId="77777777" w:rsidR="004C558F" w:rsidRDefault="004C558F">
                        <w:pPr>
                          <w:rPr>
                            <w:rFonts w:ascii="Franklin Gothic Medium"/>
                            <w:sz w:val="36"/>
                          </w:rPr>
                        </w:pPr>
                      </w:p>
                      <w:p w14:paraId="1C34F24D" w14:textId="77777777" w:rsidR="004C558F" w:rsidRDefault="004C558F">
                        <w:pPr>
                          <w:spacing w:before="145"/>
                          <w:rPr>
                            <w:rFonts w:ascii="Franklin Gothic Medium"/>
                            <w:sz w:val="36"/>
                          </w:rPr>
                        </w:pPr>
                      </w:p>
                      <w:p w14:paraId="1C34F24E" w14:textId="77777777" w:rsidR="004C558F" w:rsidRDefault="00461887">
                        <w:pPr>
                          <w:spacing w:line="394" w:lineRule="exact"/>
                          <w:ind w:left="386"/>
                          <w:rPr>
                            <w:rFonts w:ascii="Franklin Gothic Demi Cond"/>
                            <w:b/>
                            <w:sz w:val="36"/>
                          </w:rPr>
                        </w:pPr>
                        <w:r>
                          <w:rPr>
                            <w:rFonts w:ascii="Franklin Gothic Demi Cond"/>
                            <w:b/>
                            <w:color w:val="074975"/>
                            <w:spacing w:val="-2"/>
                            <w:sz w:val="36"/>
                          </w:rPr>
                          <w:t>SOCIAL</w:t>
                        </w:r>
                      </w:p>
                      <w:p w14:paraId="1C34F24F" w14:textId="77777777" w:rsidR="004C558F" w:rsidRDefault="00461887">
                        <w:pPr>
                          <w:spacing w:line="394" w:lineRule="exact"/>
                          <w:ind w:left="386"/>
                          <w:rPr>
                            <w:rFonts w:ascii="Franklin Gothic Demi Cond"/>
                            <w:b/>
                            <w:sz w:val="36"/>
                          </w:rPr>
                        </w:pPr>
                        <w:r>
                          <w:rPr>
                            <w:rFonts w:ascii="Franklin Gothic Demi Cond"/>
                            <w:b/>
                            <w:color w:val="074975"/>
                            <w:sz w:val="36"/>
                          </w:rPr>
                          <w:t>DETERMINANTS</w:t>
                        </w:r>
                        <w:r>
                          <w:rPr>
                            <w:rFonts w:ascii="Franklin Gothic Demi Cond"/>
                            <w:b/>
                            <w:color w:val="074975"/>
                            <w:spacing w:val="1"/>
                            <w:sz w:val="36"/>
                          </w:rPr>
                          <w:t xml:space="preserve"> </w:t>
                        </w:r>
                        <w:r>
                          <w:rPr>
                            <w:rFonts w:ascii="Franklin Gothic Demi Cond"/>
                            <w:b/>
                            <w:color w:val="074975"/>
                            <w:sz w:val="36"/>
                          </w:rPr>
                          <w:t>OF</w:t>
                        </w:r>
                        <w:r>
                          <w:rPr>
                            <w:rFonts w:ascii="Franklin Gothic Demi Cond"/>
                            <w:b/>
                            <w:color w:val="074975"/>
                            <w:spacing w:val="2"/>
                            <w:sz w:val="36"/>
                          </w:rPr>
                          <w:t xml:space="preserve"> </w:t>
                        </w:r>
                        <w:r>
                          <w:rPr>
                            <w:rFonts w:ascii="Franklin Gothic Demi Cond"/>
                            <w:b/>
                            <w:color w:val="074975"/>
                            <w:spacing w:val="-2"/>
                            <w:sz w:val="36"/>
                          </w:rPr>
                          <w:t>HEALTH</w:t>
                        </w:r>
                      </w:p>
                      <w:p w14:paraId="1C34F250" w14:textId="77777777" w:rsidR="004C558F" w:rsidRDefault="00461887">
                        <w:pPr>
                          <w:numPr>
                            <w:ilvl w:val="0"/>
                            <w:numId w:val="5"/>
                          </w:numPr>
                          <w:tabs>
                            <w:tab w:val="left" w:pos="398"/>
                          </w:tabs>
                          <w:spacing w:before="155" w:line="254" w:lineRule="auto"/>
                          <w:ind w:right="548"/>
                          <w:jc w:val="both"/>
                          <w:rPr>
                            <w:sz w:val="20"/>
                          </w:rPr>
                        </w:pPr>
                        <w:r>
                          <w:rPr>
                            <w:color w:val="3F3E45"/>
                            <w:sz w:val="20"/>
                          </w:rPr>
                          <w:t>Individuals</w:t>
                        </w:r>
                        <w:r>
                          <w:rPr>
                            <w:color w:val="3F3E45"/>
                            <w:spacing w:val="-5"/>
                            <w:sz w:val="20"/>
                          </w:rPr>
                          <w:t xml:space="preserve"> </w:t>
                        </w:r>
                        <w:r>
                          <w:rPr>
                            <w:color w:val="3F3E45"/>
                            <w:sz w:val="20"/>
                          </w:rPr>
                          <w:t>with</w:t>
                        </w:r>
                        <w:r>
                          <w:rPr>
                            <w:color w:val="3F3E45"/>
                            <w:spacing w:val="-5"/>
                            <w:sz w:val="20"/>
                          </w:rPr>
                          <w:t xml:space="preserve"> </w:t>
                        </w:r>
                        <w:r>
                          <w:rPr>
                            <w:color w:val="3F3E45"/>
                            <w:sz w:val="20"/>
                          </w:rPr>
                          <w:t>greater</w:t>
                        </w:r>
                        <w:r>
                          <w:rPr>
                            <w:color w:val="3F3E45"/>
                            <w:spacing w:val="-5"/>
                            <w:sz w:val="20"/>
                          </w:rPr>
                          <w:t xml:space="preserve"> </w:t>
                        </w:r>
                        <w:r>
                          <w:rPr>
                            <w:color w:val="3F3E45"/>
                            <w:sz w:val="20"/>
                          </w:rPr>
                          <w:t>burden</w:t>
                        </w:r>
                        <w:r>
                          <w:rPr>
                            <w:color w:val="3F3E45"/>
                            <w:spacing w:val="-5"/>
                            <w:sz w:val="20"/>
                          </w:rPr>
                          <w:t xml:space="preserve"> </w:t>
                        </w:r>
                        <w:r>
                          <w:rPr>
                            <w:color w:val="3F3E45"/>
                            <w:sz w:val="20"/>
                          </w:rPr>
                          <w:t>from</w:t>
                        </w:r>
                        <w:r>
                          <w:rPr>
                            <w:color w:val="3F3E45"/>
                            <w:spacing w:val="-5"/>
                            <w:sz w:val="20"/>
                          </w:rPr>
                          <w:t xml:space="preserve"> </w:t>
                        </w:r>
                        <w:r>
                          <w:rPr>
                            <w:color w:val="3F3E45"/>
                            <w:sz w:val="20"/>
                          </w:rPr>
                          <w:t>social</w:t>
                        </w:r>
                        <w:r>
                          <w:rPr>
                            <w:color w:val="3F3E45"/>
                            <w:spacing w:val="-5"/>
                            <w:sz w:val="20"/>
                          </w:rPr>
                          <w:t xml:space="preserve"> </w:t>
                        </w:r>
                        <w:r>
                          <w:rPr>
                            <w:color w:val="3F3E45"/>
                            <w:sz w:val="20"/>
                          </w:rPr>
                          <w:t xml:space="preserve">de- </w:t>
                        </w:r>
                        <w:proofErr w:type="spellStart"/>
                        <w:r>
                          <w:rPr>
                            <w:color w:val="3F3E45"/>
                            <w:sz w:val="20"/>
                          </w:rPr>
                          <w:t>terminants</w:t>
                        </w:r>
                        <w:proofErr w:type="spellEnd"/>
                        <w:r>
                          <w:rPr>
                            <w:color w:val="3F3E45"/>
                            <w:spacing w:val="-9"/>
                            <w:sz w:val="20"/>
                          </w:rPr>
                          <w:t xml:space="preserve"> </w:t>
                        </w:r>
                        <w:r>
                          <w:rPr>
                            <w:color w:val="3F3E45"/>
                            <w:sz w:val="20"/>
                          </w:rPr>
                          <w:t>of</w:t>
                        </w:r>
                        <w:r>
                          <w:rPr>
                            <w:color w:val="3F3E45"/>
                            <w:spacing w:val="-8"/>
                            <w:sz w:val="20"/>
                          </w:rPr>
                          <w:t xml:space="preserve"> </w:t>
                        </w:r>
                        <w:r>
                          <w:rPr>
                            <w:color w:val="3F3E45"/>
                            <w:sz w:val="20"/>
                          </w:rPr>
                          <w:t>health,</w:t>
                        </w:r>
                        <w:r>
                          <w:rPr>
                            <w:color w:val="3F3E45"/>
                            <w:spacing w:val="-8"/>
                            <w:sz w:val="20"/>
                          </w:rPr>
                          <w:t xml:space="preserve"> </w:t>
                        </w:r>
                        <w:r>
                          <w:rPr>
                            <w:color w:val="3F3E45"/>
                            <w:sz w:val="20"/>
                          </w:rPr>
                          <w:t>including</w:t>
                        </w:r>
                        <w:r>
                          <w:rPr>
                            <w:color w:val="3F3E45"/>
                            <w:spacing w:val="-8"/>
                            <w:sz w:val="20"/>
                          </w:rPr>
                          <w:t xml:space="preserve"> </w:t>
                        </w:r>
                        <w:r>
                          <w:rPr>
                            <w:color w:val="3F3E45"/>
                            <w:sz w:val="20"/>
                          </w:rPr>
                          <w:t>lower</w:t>
                        </w:r>
                        <w:r>
                          <w:rPr>
                            <w:color w:val="3F3E45"/>
                            <w:spacing w:val="-8"/>
                            <w:sz w:val="20"/>
                          </w:rPr>
                          <w:t xml:space="preserve"> </w:t>
                        </w:r>
                        <w:proofErr w:type="spellStart"/>
                        <w:r>
                          <w:rPr>
                            <w:color w:val="3F3E45"/>
                            <w:sz w:val="20"/>
                          </w:rPr>
                          <w:t>socioeco</w:t>
                        </w:r>
                        <w:proofErr w:type="spellEnd"/>
                        <w:r>
                          <w:rPr>
                            <w:color w:val="3F3E45"/>
                            <w:sz w:val="20"/>
                          </w:rPr>
                          <w:t>- nomic status, have higher mortality</w:t>
                        </w:r>
                        <w:r>
                          <w:rPr>
                            <w:color w:val="3F3E45"/>
                            <w:spacing w:val="40"/>
                            <w:sz w:val="20"/>
                          </w:rPr>
                          <w:t xml:space="preserve"> </w:t>
                        </w:r>
                        <w:r>
                          <w:rPr>
                            <w:color w:val="3F3E45"/>
                            <w:sz w:val="20"/>
                          </w:rPr>
                          <w:t xml:space="preserve">and rates </w:t>
                        </w:r>
                        <w:r>
                          <w:rPr>
                            <w:color w:val="3F3E45"/>
                            <w:spacing w:val="-2"/>
                            <w:sz w:val="20"/>
                          </w:rPr>
                          <w:t>of</w:t>
                        </w:r>
                        <w:r>
                          <w:rPr>
                            <w:color w:val="3F3E45"/>
                            <w:spacing w:val="-13"/>
                            <w:sz w:val="20"/>
                          </w:rPr>
                          <w:t xml:space="preserve"> </w:t>
                        </w:r>
                        <w:r>
                          <w:rPr>
                            <w:color w:val="3F3E45"/>
                            <w:spacing w:val="-2"/>
                            <w:sz w:val="20"/>
                          </w:rPr>
                          <w:t>late-stage</w:t>
                        </w:r>
                        <w:r>
                          <w:rPr>
                            <w:color w:val="3F3E45"/>
                            <w:spacing w:val="-13"/>
                            <w:sz w:val="20"/>
                          </w:rPr>
                          <w:t xml:space="preserve"> </w:t>
                        </w:r>
                        <w:r>
                          <w:rPr>
                            <w:color w:val="3F3E45"/>
                            <w:spacing w:val="-2"/>
                            <w:sz w:val="20"/>
                          </w:rPr>
                          <w:t>diagnoses</w:t>
                        </w:r>
                        <w:r>
                          <w:rPr>
                            <w:color w:val="3F3E45"/>
                            <w:spacing w:val="-2"/>
                            <w:position w:val="7"/>
                            <w:sz w:val="11"/>
                          </w:rPr>
                          <w:t>6</w:t>
                        </w:r>
                        <w:r>
                          <w:rPr>
                            <w:color w:val="3F3E45"/>
                            <w:spacing w:val="-4"/>
                            <w:position w:val="7"/>
                            <w:sz w:val="11"/>
                          </w:rPr>
                          <w:t xml:space="preserve"> </w:t>
                        </w:r>
                        <w:r>
                          <w:rPr>
                            <w:color w:val="3F3E45"/>
                            <w:spacing w:val="-2"/>
                            <w:sz w:val="20"/>
                          </w:rPr>
                          <w:t>than</w:t>
                        </w:r>
                        <w:r>
                          <w:rPr>
                            <w:color w:val="3F3E45"/>
                            <w:spacing w:val="-13"/>
                            <w:sz w:val="20"/>
                          </w:rPr>
                          <w:t xml:space="preserve"> </w:t>
                        </w:r>
                        <w:r>
                          <w:rPr>
                            <w:color w:val="3F3E45"/>
                            <w:spacing w:val="-2"/>
                            <w:sz w:val="20"/>
                          </w:rPr>
                          <w:t>their</w:t>
                        </w:r>
                        <w:r>
                          <w:rPr>
                            <w:color w:val="3F3E45"/>
                            <w:spacing w:val="-13"/>
                            <w:sz w:val="20"/>
                          </w:rPr>
                          <w:t xml:space="preserve"> </w:t>
                        </w:r>
                        <w:r>
                          <w:rPr>
                            <w:color w:val="3F3E45"/>
                            <w:spacing w:val="-2"/>
                            <w:sz w:val="20"/>
                          </w:rPr>
                          <w:t>counterparts.</w:t>
                        </w:r>
                      </w:p>
                      <w:p w14:paraId="1C34F251" w14:textId="77777777" w:rsidR="004C558F" w:rsidRDefault="00461887">
                        <w:pPr>
                          <w:numPr>
                            <w:ilvl w:val="0"/>
                            <w:numId w:val="5"/>
                          </w:numPr>
                          <w:tabs>
                            <w:tab w:val="left" w:pos="398"/>
                          </w:tabs>
                          <w:spacing w:line="254" w:lineRule="auto"/>
                          <w:ind w:right="546"/>
                          <w:jc w:val="both"/>
                          <w:rPr>
                            <w:sz w:val="11"/>
                          </w:rPr>
                        </w:pPr>
                        <w:r>
                          <w:rPr>
                            <w:color w:val="3F3E45"/>
                            <w:sz w:val="20"/>
                          </w:rPr>
                          <w:t>Per</w:t>
                        </w:r>
                        <w:r>
                          <w:rPr>
                            <w:color w:val="3F3E45"/>
                            <w:spacing w:val="-13"/>
                            <w:sz w:val="20"/>
                          </w:rPr>
                          <w:t xml:space="preserve"> </w:t>
                        </w:r>
                        <w:r>
                          <w:rPr>
                            <w:color w:val="3F3E45"/>
                            <w:sz w:val="20"/>
                          </w:rPr>
                          <w:t>the</w:t>
                        </w:r>
                        <w:r>
                          <w:rPr>
                            <w:color w:val="3F3E45"/>
                            <w:spacing w:val="-12"/>
                            <w:sz w:val="20"/>
                          </w:rPr>
                          <w:t xml:space="preserve"> </w:t>
                        </w:r>
                        <w:r>
                          <w:rPr>
                            <w:color w:val="3F3E45"/>
                            <w:sz w:val="20"/>
                          </w:rPr>
                          <w:t>American</w:t>
                        </w:r>
                        <w:r>
                          <w:rPr>
                            <w:color w:val="3F3E45"/>
                            <w:spacing w:val="-13"/>
                            <w:sz w:val="20"/>
                          </w:rPr>
                          <w:t xml:space="preserve"> </w:t>
                        </w:r>
                        <w:r>
                          <w:rPr>
                            <w:color w:val="3F3E45"/>
                            <w:sz w:val="20"/>
                          </w:rPr>
                          <w:t>Cancer</w:t>
                        </w:r>
                        <w:r>
                          <w:rPr>
                            <w:color w:val="3F3E45"/>
                            <w:spacing w:val="-12"/>
                            <w:sz w:val="20"/>
                          </w:rPr>
                          <w:t xml:space="preserve"> </w:t>
                        </w:r>
                        <w:r>
                          <w:rPr>
                            <w:color w:val="3F3E45"/>
                            <w:sz w:val="20"/>
                          </w:rPr>
                          <w:t>Society’s</w:t>
                        </w:r>
                        <w:r>
                          <w:rPr>
                            <w:color w:val="3F3E45"/>
                            <w:spacing w:val="-13"/>
                            <w:sz w:val="20"/>
                          </w:rPr>
                          <w:t xml:space="preserve"> </w:t>
                        </w:r>
                        <w:r>
                          <w:rPr>
                            <w:color w:val="3F3E45"/>
                            <w:sz w:val="20"/>
                          </w:rPr>
                          <w:t>2023</w:t>
                        </w:r>
                        <w:r>
                          <w:rPr>
                            <w:color w:val="3F3E45"/>
                            <w:spacing w:val="-12"/>
                            <w:sz w:val="20"/>
                          </w:rPr>
                          <w:t xml:space="preserve"> </w:t>
                        </w:r>
                        <w:r>
                          <w:rPr>
                            <w:color w:val="3F3E45"/>
                            <w:sz w:val="20"/>
                          </w:rPr>
                          <w:t xml:space="preserve">report </w:t>
                        </w:r>
                        <w:r>
                          <w:rPr>
                            <w:color w:val="3F3E45"/>
                            <w:spacing w:val="-2"/>
                            <w:sz w:val="20"/>
                          </w:rPr>
                          <w:t>cancer</w:t>
                        </w:r>
                        <w:r>
                          <w:rPr>
                            <w:color w:val="3F3E45"/>
                            <w:spacing w:val="-5"/>
                            <w:sz w:val="20"/>
                          </w:rPr>
                          <w:t xml:space="preserve"> </w:t>
                        </w:r>
                        <w:r>
                          <w:rPr>
                            <w:color w:val="3F3E45"/>
                            <w:spacing w:val="-2"/>
                            <w:sz w:val="20"/>
                          </w:rPr>
                          <w:t>disparities,</w:t>
                        </w:r>
                        <w:r>
                          <w:rPr>
                            <w:color w:val="3F3E45"/>
                            <w:spacing w:val="-5"/>
                            <w:sz w:val="20"/>
                          </w:rPr>
                          <w:t xml:space="preserve"> </w:t>
                        </w:r>
                        <w:r>
                          <w:rPr>
                            <w:color w:val="3F3E45"/>
                            <w:spacing w:val="-2"/>
                            <w:sz w:val="20"/>
                          </w:rPr>
                          <w:t>racial,</w:t>
                        </w:r>
                        <w:r>
                          <w:rPr>
                            <w:color w:val="3F3E45"/>
                            <w:spacing w:val="-5"/>
                            <w:sz w:val="20"/>
                          </w:rPr>
                          <w:t xml:space="preserve"> </w:t>
                        </w:r>
                        <w:r>
                          <w:rPr>
                            <w:color w:val="3F3E45"/>
                            <w:spacing w:val="-2"/>
                            <w:sz w:val="20"/>
                          </w:rPr>
                          <w:t>ethnic,</w:t>
                        </w:r>
                        <w:r>
                          <w:rPr>
                            <w:color w:val="3F3E45"/>
                            <w:spacing w:val="-5"/>
                            <w:sz w:val="20"/>
                          </w:rPr>
                          <w:t xml:space="preserve"> </w:t>
                        </w:r>
                        <w:r>
                          <w:rPr>
                            <w:color w:val="3F3E45"/>
                            <w:spacing w:val="-2"/>
                            <w:sz w:val="20"/>
                          </w:rPr>
                          <w:t>and</w:t>
                        </w:r>
                        <w:r>
                          <w:rPr>
                            <w:color w:val="3F3E45"/>
                            <w:spacing w:val="-5"/>
                            <w:sz w:val="20"/>
                          </w:rPr>
                          <w:t xml:space="preserve"> </w:t>
                        </w:r>
                        <w:proofErr w:type="spellStart"/>
                        <w:r>
                          <w:rPr>
                            <w:color w:val="3F3E45"/>
                            <w:spacing w:val="-2"/>
                            <w:sz w:val="20"/>
                          </w:rPr>
                          <w:t>geograph</w:t>
                        </w:r>
                        <w:proofErr w:type="spellEnd"/>
                        <w:r>
                          <w:rPr>
                            <w:color w:val="3F3E45"/>
                            <w:spacing w:val="-2"/>
                            <w:sz w:val="20"/>
                          </w:rPr>
                          <w:t xml:space="preserve">- </w:t>
                        </w:r>
                        <w:proofErr w:type="spellStart"/>
                        <w:r>
                          <w:rPr>
                            <w:color w:val="3F3E45"/>
                            <w:sz w:val="20"/>
                          </w:rPr>
                          <w:t>ic</w:t>
                        </w:r>
                        <w:proofErr w:type="spellEnd"/>
                        <w:r>
                          <w:rPr>
                            <w:color w:val="3F3E45"/>
                            <w:sz w:val="20"/>
                          </w:rPr>
                          <w:t xml:space="preserve"> cancer disparities align with “disparities in exposure to risk factors and access to cancer </w:t>
                        </w:r>
                        <w:r>
                          <w:rPr>
                            <w:color w:val="3F3E45"/>
                            <w:spacing w:val="-6"/>
                            <w:sz w:val="20"/>
                          </w:rPr>
                          <w:t xml:space="preserve">prevention, early detection, and treatment, which </w:t>
                        </w:r>
                        <w:r>
                          <w:rPr>
                            <w:color w:val="3F3E45"/>
                            <w:sz w:val="20"/>
                          </w:rPr>
                          <w:t>are</w:t>
                        </w:r>
                        <w:r>
                          <w:rPr>
                            <w:color w:val="3F3E45"/>
                            <w:spacing w:val="-1"/>
                            <w:sz w:val="20"/>
                          </w:rPr>
                          <w:t xml:space="preserve"> </w:t>
                        </w:r>
                        <w:r>
                          <w:rPr>
                            <w:color w:val="3F3E45"/>
                            <w:sz w:val="20"/>
                          </w:rPr>
                          <w:t>largely</w:t>
                        </w:r>
                        <w:r>
                          <w:rPr>
                            <w:color w:val="3F3E45"/>
                            <w:spacing w:val="-1"/>
                            <w:sz w:val="20"/>
                          </w:rPr>
                          <w:t xml:space="preserve"> </w:t>
                        </w:r>
                        <w:r>
                          <w:rPr>
                            <w:color w:val="3F3E45"/>
                            <w:sz w:val="20"/>
                          </w:rPr>
                          <w:t>rooted</w:t>
                        </w:r>
                        <w:r>
                          <w:rPr>
                            <w:color w:val="3F3E45"/>
                            <w:spacing w:val="-1"/>
                            <w:sz w:val="20"/>
                          </w:rPr>
                          <w:t xml:space="preserve"> </w:t>
                        </w:r>
                        <w:r>
                          <w:rPr>
                            <w:color w:val="3F3E45"/>
                            <w:sz w:val="20"/>
                          </w:rPr>
                          <w:t>in</w:t>
                        </w:r>
                        <w:r>
                          <w:rPr>
                            <w:color w:val="3F3E45"/>
                            <w:spacing w:val="-1"/>
                            <w:sz w:val="20"/>
                          </w:rPr>
                          <w:t xml:space="preserve"> </w:t>
                        </w:r>
                        <w:r>
                          <w:rPr>
                            <w:color w:val="3F3E45"/>
                            <w:sz w:val="20"/>
                          </w:rPr>
                          <w:t>fundamental</w:t>
                        </w:r>
                        <w:r>
                          <w:rPr>
                            <w:color w:val="3F3E45"/>
                            <w:spacing w:val="-1"/>
                            <w:sz w:val="20"/>
                          </w:rPr>
                          <w:t xml:space="preserve"> </w:t>
                        </w:r>
                        <w:r>
                          <w:rPr>
                            <w:color w:val="3F3E45"/>
                            <w:sz w:val="20"/>
                          </w:rPr>
                          <w:t>inequities</w:t>
                        </w:r>
                        <w:r>
                          <w:rPr>
                            <w:color w:val="3F3E45"/>
                            <w:spacing w:val="-1"/>
                            <w:sz w:val="20"/>
                          </w:rPr>
                          <w:t xml:space="preserve"> </w:t>
                        </w:r>
                        <w:r>
                          <w:rPr>
                            <w:color w:val="3F3E45"/>
                            <w:sz w:val="20"/>
                          </w:rPr>
                          <w:t>in social</w:t>
                        </w:r>
                        <w:r>
                          <w:rPr>
                            <w:color w:val="3F3E45"/>
                            <w:spacing w:val="-13"/>
                            <w:sz w:val="20"/>
                          </w:rPr>
                          <w:t xml:space="preserve"> </w:t>
                        </w:r>
                        <w:r>
                          <w:rPr>
                            <w:color w:val="3F3E45"/>
                            <w:sz w:val="20"/>
                          </w:rPr>
                          <w:t>determinants</w:t>
                        </w:r>
                        <w:r>
                          <w:rPr>
                            <w:color w:val="3F3E45"/>
                            <w:spacing w:val="-12"/>
                            <w:sz w:val="20"/>
                          </w:rPr>
                          <w:t xml:space="preserve"> </w:t>
                        </w:r>
                        <w:r>
                          <w:rPr>
                            <w:color w:val="3F3E45"/>
                            <w:sz w:val="20"/>
                          </w:rPr>
                          <w:t>of</w:t>
                        </w:r>
                        <w:r>
                          <w:rPr>
                            <w:color w:val="3F3E45"/>
                            <w:spacing w:val="-13"/>
                            <w:sz w:val="20"/>
                          </w:rPr>
                          <w:t xml:space="preserve"> </w:t>
                        </w:r>
                        <w:r>
                          <w:rPr>
                            <w:color w:val="3F3E45"/>
                            <w:sz w:val="20"/>
                          </w:rPr>
                          <w:t>health</w:t>
                        </w:r>
                        <w:r>
                          <w:rPr>
                            <w:color w:val="3F3E45"/>
                            <w:spacing w:val="-12"/>
                            <w:sz w:val="20"/>
                          </w:rPr>
                          <w:t xml:space="preserve"> </w:t>
                        </w:r>
                        <w:r>
                          <w:rPr>
                            <w:color w:val="3F3E45"/>
                            <w:sz w:val="20"/>
                          </w:rPr>
                          <w:t>in</w:t>
                        </w:r>
                        <w:r>
                          <w:rPr>
                            <w:color w:val="3F3E45"/>
                            <w:spacing w:val="-13"/>
                            <w:sz w:val="20"/>
                          </w:rPr>
                          <w:t xml:space="preserve"> </w:t>
                        </w:r>
                        <w:r>
                          <w:rPr>
                            <w:color w:val="3F3E45"/>
                            <w:sz w:val="20"/>
                          </w:rPr>
                          <w:t>social</w:t>
                        </w:r>
                        <w:r>
                          <w:rPr>
                            <w:color w:val="3F3E45"/>
                            <w:spacing w:val="-12"/>
                            <w:sz w:val="20"/>
                          </w:rPr>
                          <w:t xml:space="preserve"> </w:t>
                        </w:r>
                        <w:proofErr w:type="spellStart"/>
                        <w:r>
                          <w:rPr>
                            <w:color w:val="3F3E45"/>
                            <w:sz w:val="20"/>
                          </w:rPr>
                          <w:t>determi</w:t>
                        </w:r>
                        <w:proofErr w:type="spellEnd"/>
                        <w:r>
                          <w:rPr>
                            <w:color w:val="3F3E45"/>
                            <w:sz w:val="20"/>
                          </w:rPr>
                          <w:t xml:space="preserve">- </w:t>
                        </w:r>
                        <w:proofErr w:type="spellStart"/>
                        <w:r>
                          <w:rPr>
                            <w:color w:val="3F3E45"/>
                            <w:sz w:val="20"/>
                          </w:rPr>
                          <w:t>nants</w:t>
                        </w:r>
                        <w:proofErr w:type="spellEnd"/>
                        <w:r>
                          <w:rPr>
                            <w:color w:val="3F3E45"/>
                            <w:sz w:val="20"/>
                          </w:rPr>
                          <w:t xml:space="preserve"> of health.”</w:t>
                        </w:r>
                        <w:r>
                          <w:rPr>
                            <w:color w:val="3F3E45"/>
                            <w:position w:val="7"/>
                            <w:sz w:val="11"/>
                          </w:rPr>
                          <w:t>7</w:t>
                        </w:r>
                      </w:p>
                    </w:txbxContent>
                  </v:textbox>
                </v:shape>
                <w10:wrap anchorx="page" anchory="page"/>
              </v:group>
            </w:pict>
          </mc:Fallback>
        </mc:AlternateContent>
      </w:r>
      <w:r>
        <w:rPr>
          <w:noProof/>
        </w:rPr>
        <mc:AlternateContent>
          <mc:Choice Requires="wpg">
            <w:drawing>
              <wp:anchor distT="0" distB="0" distL="0" distR="0" simplePos="0" relativeHeight="251611136" behindDoc="0" locked="0" layoutInCell="1" allowOverlap="1" wp14:anchorId="1C34F16A" wp14:editId="113A5B98">
                <wp:simplePos x="0" y="0"/>
                <wp:positionH relativeFrom="page">
                  <wp:posOffset>507745</wp:posOffset>
                </wp:positionH>
                <wp:positionV relativeFrom="paragraph">
                  <wp:posOffset>488695</wp:posOffset>
                </wp:positionV>
                <wp:extent cx="3090545" cy="3907154"/>
                <wp:effectExtent l="0" t="0" r="0" b="0"/>
                <wp:wrapNone/>
                <wp:docPr id="548" name="Group 548" descr="Pay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0545" cy="3907154"/>
                          <a:chOff x="0" y="0"/>
                          <a:chExt cx="3090545" cy="3907154"/>
                        </a:xfrm>
                      </wpg:grpSpPr>
                      <wps:wsp>
                        <wps:cNvPr id="549" name="Graphic 549"/>
                        <wps:cNvSpPr/>
                        <wps:spPr>
                          <a:xfrm>
                            <a:off x="18033" y="20574"/>
                            <a:ext cx="3072765" cy="3886200"/>
                          </a:xfrm>
                          <a:custGeom>
                            <a:avLst/>
                            <a:gdLst/>
                            <a:ahLst/>
                            <a:cxnLst/>
                            <a:rect l="l" t="t" r="r" b="b"/>
                            <a:pathLst>
                              <a:path w="3072765" h="3886200">
                                <a:moveTo>
                                  <a:pt x="3072384" y="0"/>
                                </a:moveTo>
                                <a:lnTo>
                                  <a:pt x="0" y="0"/>
                                </a:lnTo>
                                <a:lnTo>
                                  <a:pt x="0" y="3886200"/>
                                </a:lnTo>
                                <a:lnTo>
                                  <a:pt x="3072384" y="3886200"/>
                                </a:lnTo>
                                <a:lnTo>
                                  <a:pt x="3072384" y="0"/>
                                </a:lnTo>
                                <a:close/>
                              </a:path>
                            </a:pathLst>
                          </a:custGeom>
                          <a:solidFill>
                            <a:srgbClr val="000000">
                              <a:alpha val="13998"/>
                            </a:srgbClr>
                          </a:solidFill>
                        </wps:spPr>
                        <wps:bodyPr wrap="square" lIns="0" tIns="0" rIns="0" bIns="0" rtlCol="0">
                          <a:prstTxWarp prst="textNoShape">
                            <a:avLst/>
                          </a:prstTxWarp>
                          <a:noAutofit/>
                        </wps:bodyPr>
                      </wps:wsp>
                      <wps:wsp>
                        <wps:cNvPr id="550" name="Graphic 550"/>
                        <wps:cNvSpPr/>
                        <wps:spPr>
                          <a:xfrm>
                            <a:off x="6350" y="6350"/>
                            <a:ext cx="2919730" cy="3738879"/>
                          </a:xfrm>
                          <a:custGeom>
                            <a:avLst/>
                            <a:gdLst/>
                            <a:ahLst/>
                            <a:cxnLst/>
                            <a:rect l="l" t="t" r="r" b="b"/>
                            <a:pathLst>
                              <a:path w="2919730" h="3738879">
                                <a:moveTo>
                                  <a:pt x="2767330" y="0"/>
                                </a:moveTo>
                                <a:lnTo>
                                  <a:pt x="152400" y="0"/>
                                </a:lnTo>
                                <a:lnTo>
                                  <a:pt x="104231" y="7769"/>
                                </a:lnTo>
                                <a:lnTo>
                                  <a:pt x="62396" y="29405"/>
                                </a:lnTo>
                                <a:lnTo>
                                  <a:pt x="29405" y="62396"/>
                                </a:lnTo>
                                <a:lnTo>
                                  <a:pt x="7769" y="104231"/>
                                </a:lnTo>
                                <a:lnTo>
                                  <a:pt x="0" y="152400"/>
                                </a:lnTo>
                                <a:lnTo>
                                  <a:pt x="0" y="3585972"/>
                                </a:lnTo>
                                <a:lnTo>
                                  <a:pt x="7769" y="3634140"/>
                                </a:lnTo>
                                <a:lnTo>
                                  <a:pt x="29405" y="3675975"/>
                                </a:lnTo>
                                <a:lnTo>
                                  <a:pt x="62396" y="3708966"/>
                                </a:lnTo>
                                <a:lnTo>
                                  <a:pt x="104231" y="3730602"/>
                                </a:lnTo>
                                <a:lnTo>
                                  <a:pt x="152400" y="3738372"/>
                                </a:lnTo>
                                <a:lnTo>
                                  <a:pt x="2767330" y="3738372"/>
                                </a:lnTo>
                                <a:lnTo>
                                  <a:pt x="2815498" y="3730602"/>
                                </a:lnTo>
                                <a:lnTo>
                                  <a:pt x="2857333" y="3708966"/>
                                </a:lnTo>
                                <a:lnTo>
                                  <a:pt x="2890324" y="3675975"/>
                                </a:lnTo>
                                <a:lnTo>
                                  <a:pt x="2911960" y="3634140"/>
                                </a:lnTo>
                                <a:lnTo>
                                  <a:pt x="2919730" y="3585972"/>
                                </a:lnTo>
                                <a:lnTo>
                                  <a:pt x="2919730" y="152400"/>
                                </a:lnTo>
                                <a:lnTo>
                                  <a:pt x="2911960" y="104231"/>
                                </a:lnTo>
                                <a:lnTo>
                                  <a:pt x="2890324" y="62396"/>
                                </a:lnTo>
                                <a:lnTo>
                                  <a:pt x="2857333" y="29405"/>
                                </a:lnTo>
                                <a:lnTo>
                                  <a:pt x="2815498" y="7769"/>
                                </a:lnTo>
                                <a:lnTo>
                                  <a:pt x="2767330" y="0"/>
                                </a:lnTo>
                                <a:close/>
                              </a:path>
                            </a:pathLst>
                          </a:custGeom>
                          <a:solidFill>
                            <a:srgbClr val="FFFFFF"/>
                          </a:solidFill>
                        </wps:spPr>
                        <wps:bodyPr wrap="square" lIns="0" tIns="0" rIns="0" bIns="0" rtlCol="0">
                          <a:prstTxWarp prst="textNoShape">
                            <a:avLst/>
                          </a:prstTxWarp>
                          <a:noAutofit/>
                        </wps:bodyPr>
                      </wps:wsp>
                      <wps:wsp>
                        <wps:cNvPr id="551" name="Graphic 551"/>
                        <wps:cNvSpPr/>
                        <wps:spPr>
                          <a:xfrm>
                            <a:off x="6350" y="6350"/>
                            <a:ext cx="2919730" cy="1073785"/>
                          </a:xfrm>
                          <a:custGeom>
                            <a:avLst/>
                            <a:gdLst/>
                            <a:ahLst/>
                            <a:cxnLst/>
                            <a:rect l="l" t="t" r="r" b="b"/>
                            <a:pathLst>
                              <a:path w="2919730" h="1073785">
                                <a:moveTo>
                                  <a:pt x="2767330" y="0"/>
                                </a:moveTo>
                                <a:lnTo>
                                  <a:pt x="152400" y="0"/>
                                </a:lnTo>
                                <a:lnTo>
                                  <a:pt x="104226" y="7769"/>
                                </a:lnTo>
                                <a:lnTo>
                                  <a:pt x="62391" y="29405"/>
                                </a:lnTo>
                                <a:lnTo>
                                  <a:pt x="29402" y="62396"/>
                                </a:lnTo>
                                <a:lnTo>
                                  <a:pt x="7768" y="104231"/>
                                </a:lnTo>
                                <a:lnTo>
                                  <a:pt x="0" y="152400"/>
                                </a:lnTo>
                                <a:lnTo>
                                  <a:pt x="0" y="509918"/>
                                </a:lnTo>
                                <a:lnTo>
                                  <a:pt x="60673" y="544044"/>
                                </a:lnTo>
                                <a:lnTo>
                                  <a:pt x="105134" y="567769"/>
                                </a:lnTo>
                                <a:lnTo>
                                  <a:pt x="150754" y="591152"/>
                                </a:lnTo>
                                <a:lnTo>
                                  <a:pt x="197508" y="614177"/>
                                </a:lnTo>
                                <a:lnTo>
                                  <a:pt x="245373" y="636830"/>
                                </a:lnTo>
                                <a:lnTo>
                                  <a:pt x="294324" y="659096"/>
                                </a:lnTo>
                                <a:lnTo>
                                  <a:pt x="344336" y="680959"/>
                                </a:lnTo>
                                <a:lnTo>
                                  <a:pt x="395386" y="702405"/>
                                </a:lnTo>
                                <a:lnTo>
                                  <a:pt x="447449" y="723419"/>
                                </a:lnTo>
                                <a:lnTo>
                                  <a:pt x="500500" y="743985"/>
                                </a:lnTo>
                                <a:lnTo>
                                  <a:pt x="554516" y="764089"/>
                                </a:lnTo>
                                <a:lnTo>
                                  <a:pt x="609472" y="783716"/>
                                </a:lnTo>
                                <a:lnTo>
                                  <a:pt x="665343" y="802850"/>
                                </a:lnTo>
                                <a:lnTo>
                                  <a:pt x="722106" y="821477"/>
                                </a:lnTo>
                                <a:lnTo>
                                  <a:pt x="779736" y="839582"/>
                                </a:lnTo>
                                <a:lnTo>
                                  <a:pt x="838209" y="857149"/>
                                </a:lnTo>
                                <a:lnTo>
                                  <a:pt x="897501" y="874164"/>
                                </a:lnTo>
                                <a:lnTo>
                                  <a:pt x="957586" y="890612"/>
                                </a:lnTo>
                                <a:lnTo>
                                  <a:pt x="1018442" y="906477"/>
                                </a:lnTo>
                                <a:lnTo>
                                  <a:pt x="1080043" y="921745"/>
                                </a:lnTo>
                                <a:lnTo>
                                  <a:pt x="1142365" y="936401"/>
                                </a:lnTo>
                                <a:lnTo>
                                  <a:pt x="1205384" y="950429"/>
                                </a:lnTo>
                                <a:lnTo>
                                  <a:pt x="1269075" y="963815"/>
                                </a:lnTo>
                                <a:lnTo>
                                  <a:pt x="1333415" y="976544"/>
                                </a:lnTo>
                                <a:lnTo>
                                  <a:pt x="1398379" y="988600"/>
                                </a:lnTo>
                                <a:lnTo>
                                  <a:pt x="1463942" y="999970"/>
                                </a:lnTo>
                                <a:lnTo>
                                  <a:pt x="1529635" y="1010565"/>
                                </a:lnTo>
                                <a:lnTo>
                                  <a:pt x="1594985" y="1020315"/>
                                </a:lnTo>
                                <a:lnTo>
                                  <a:pt x="1659964" y="1029226"/>
                                </a:lnTo>
                                <a:lnTo>
                                  <a:pt x="1724543" y="1037305"/>
                                </a:lnTo>
                                <a:lnTo>
                                  <a:pt x="1788696" y="1044557"/>
                                </a:lnTo>
                                <a:lnTo>
                                  <a:pt x="1852394" y="1050990"/>
                                </a:lnTo>
                                <a:lnTo>
                                  <a:pt x="1915610" y="1056609"/>
                                </a:lnTo>
                                <a:lnTo>
                                  <a:pt x="1978315" y="1061420"/>
                                </a:lnTo>
                                <a:lnTo>
                                  <a:pt x="2040482" y="1065430"/>
                                </a:lnTo>
                                <a:lnTo>
                                  <a:pt x="2102082" y="1068645"/>
                                </a:lnTo>
                                <a:lnTo>
                                  <a:pt x="2163089" y="1071072"/>
                                </a:lnTo>
                                <a:lnTo>
                                  <a:pt x="2223474" y="1072716"/>
                                </a:lnTo>
                                <a:lnTo>
                                  <a:pt x="2289956" y="1073682"/>
                                </a:lnTo>
                                <a:lnTo>
                                  <a:pt x="2342266" y="1073682"/>
                                </a:lnTo>
                                <a:lnTo>
                                  <a:pt x="2400617" y="1073016"/>
                                </a:lnTo>
                                <a:lnTo>
                                  <a:pt x="2458235" y="1071593"/>
                                </a:lnTo>
                                <a:lnTo>
                                  <a:pt x="2515092" y="1069419"/>
                                </a:lnTo>
                                <a:lnTo>
                                  <a:pt x="2571160" y="1066500"/>
                                </a:lnTo>
                                <a:lnTo>
                                  <a:pt x="2626410" y="1062843"/>
                                </a:lnTo>
                                <a:lnTo>
                                  <a:pt x="2680816" y="1058453"/>
                                </a:lnTo>
                                <a:lnTo>
                                  <a:pt x="2734349" y="1053337"/>
                                </a:lnTo>
                                <a:lnTo>
                                  <a:pt x="2786981" y="1047502"/>
                                </a:lnTo>
                                <a:lnTo>
                                  <a:pt x="2838685" y="1040953"/>
                                </a:lnTo>
                                <a:lnTo>
                                  <a:pt x="2889432" y="1033697"/>
                                </a:lnTo>
                                <a:lnTo>
                                  <a:pt x="2919730" y="1028852"/>
                                </a:lnTo>
                                <a:lnTo>
                                  <a:pt x="2919730" y="152400"/>
                                </a:lnTo>
                                <a:lnTo>
                                  <a:pt x="2911961" y="104231"/>
                                </a:lnTo>
                                <a:lnTo>
                                  <a:pt x="2890327" y="62396"/>
                                </a:lnTo>
                                <a:lnTo>
                                  <a:pt x="2857338" y="29405"/>
                                </a:lnTo>
                                <a:lnTo>
                                  <a:pt x="2815503" y="7769"/>
                                </a:lnTo>
                                <a:lnTo>
                                  <a:pt x="2767330" y="0"/>
                                </a:lnTo>
                                <a:close/>
                              </a:path>
                            </a:pathLst>
                          </a:custGeom>
                          <a:solidFill>
                            <a:srgbClr val="F36A2B"/>
                          </a:solidFill>
                        </wps:spPr>
                        <wps:bodyPr wrap="square" lIns="0" tIns="0" rIns="0" bIns="0" rtlCol="0">
                          <a:prstTxWarp prst="textNoShape">
                            <a:avLst/>
                          </a:prstTxWarp>
                          <a:noAutofit/>
                        </wps:bodyPr>
                      </wps:wsp>
                      <wps:wsp>
                        <wps:cNvPr id="552" name="Graphic 552"/>
                        <wps:cNvSpPr/>
                        <wps:spPr>
                          <a:xfrm>
                            <a:off x="6350" y="6350"/>
                            <a:ext cx="2919730" cy="987425"/>
                          </a:xfrm>
                          <a:custGeom>
                            <a:avLst/>
                            <a:gdLst/>
                            <a:ahLst/>
                            <a:cxnLst/>
                            <a:rect l="l" t="t" r="r" b="b"/>
                            <a:pathLst>
                              <a:path w="2919730" h="987425">
                                <a:moveTo>
                                  <a:pt x="2767330" y="0"/>
                                </a:moveTo>
                                <a:lnTo>
                                  <a:pt x="152400" y="0"/>
                                </a:lnTo>
                                <a:lnTo>
                                  <a:pt x="104226" y="7769"/>
                                </a:lnTo>
                                <a:lnTo>
                                  <a:pt x="62391" y="29405"/>
                                </a:lnTo>
                                <a:lnTo>
                                  <a:pt x="29402" y="62396"/>
                                </a:lnTo>
                                <a:lnTo>
                                  <a:pt x="7768" y="104231"/>
                                </a:lnTo>
                                <a:lnTo>
                                  <a:pt x="0" y="152400"/>
                                </a:lnTo>
                                <a:lnTo>
                                  <a:pt x="0" y="486129"/>
                                </a:lnTo>
                                <a:lnTo>
                                  <a:pt x="36438" y="504806"/>
                                </a:lnTo>
                                <a:lnTo>
                                  <a:pt x="83193" y="527831"/>
                                </a:lnTo>
                                <a:lnTo>
                                  <a:pt x="131058" y="550484"/>
                                </a:lnTo>
                                <a:lnTo>
                                  <a:pt x="180008" y="572750"/>
                                </a:lnTo>
                                <a:lnTo>
                                  <a:pt x="230021" y="594613"/>
                                </a:lnTo>
                                <a:lnTo>
                                  <a:pt x="281071" y="616059"/>
                                </a:lnTo>
                                <a:lnTo>
                                  <a:pt x="333133" y="637073"/>
                                </a:lnTo>
                                <a:lnTo>
                                  <a:pt x="386185" y="657639"/>
                                </a:lnTo>
                                <a:lnTo>
                                  <a:pt x="440201" y="677743"/>
                                </a:lnTo>
                                <a:lnTo>
                                  <a:pt x="495156" y="697370"/>
                                </a:lnTo>
                                <a:lnTo>
                                  <a:pt x="551028" y="716504"/>
                                </a:lnTo>
                                <a:lnTo>
                                  <a:pt x="607791" y="735131"/>
                                </a:lnTo>
                                <a:lnTo>
                                  <a:pt x="665421" y="753236"/>
                                </a:lnTo>
                                <a:lnTo>
                                  <a:pt x="723894" y="770803"/>
                                </a:lnTo>
                                <a:lnTo>
                                  <a:pt x="783185" y="787818"/>
                                </a:lnTo>
                                <a:lnTo>
                                  <a:pt x="843271" y="804266"/>
                                </a:lnTo>
                                <a:lnTo>
                                  <a:pt x="904126" y="820131"/>
                                </a:lnTo>
                                <a:lnTo>
                                  <a:pt x="965727" y="835399"/>
                                </a:lnTo>
                                <a:lnTo>
                                  <a:pt x="1028049" y="850055"/>
                                </a:lnTo>
                                <a:lnTo>
                                  <a:pt x="1091068" y="864083"/>
                                </a:lnTo>
                                <a:lnTo>
                                  <a:pt x="1154760" y="877469"/>
                                </a:lnTo>
                                <a:lnTo>
                                  <a:pt x="1219100" y="890198"/>
                                </a:lnTo>
                                <a:lnTo>
                                  <a:pt x="1284064" y="902254"/>
                                </a:lnTo>
                                <a:lnTo>
                                  <a:pt x="1349627" y="913624"/>
                                </a:lnTo>
                                <a:lnTo>
                                  <a:pt x="1415320" y="924219"/>
                                </a:lnTo>
                                <a:lnTo>
                                  <a:pt x="1480670" y="933969"/>
                                </a:lnTo>
                                <a:lnTo>
                                  <a:pt x="1545648" y="942880"/>
                                </a:lnTo>
                                <a:lnTo>
                                  <a:pt x="1610228" y="950959"/>
                                </a:lnTo>
                                <a:lnTo>
                                  <a:pt x="1674381" y="958211"/>
                                </a:lnTo>
                                <a:lnTo>
                                  <a:pt x="1738079" y="964644"/>
                                </a:lnTo>
                                <a:lnTo>
                                  <a:pt x="1801295" y="970263"/>
                                </a:lnTo>
                                <a:lnTo>
                                  <a:pt x="1864000" y="975074"/>
                                </a:lnTo>
                                <a:lnTo>
                                  <a:pt x="1926167" y="979084"/>
                                </a:lnTo>
                                <a:lnTo>
                                  <a:pt x="1987767" y="982299"/>
                                </a:lnTo>
                                <a:lnTo>
                                  <a:pt x="2048774" y="984726"/>
                                </a:lnTo>
                                <a:lnTo>
                                  <a:pt x="2109158" y="986370"/>
                                </a:lnTo>
                                <a:lnTo>
                                  <a:pt x="2175641" y="987336"/>
                                </a:lnTo>
                                <a:lnTo>
                                  <a:pt x="2227950" y="987336"/>
                                </a:lnTo>
                                <a:lnTo>
                                  <a:pt x="2286302" y="986670"/>
                                </a:lnTo>
                                <a:lnTo>
                                  <a:pt x="2343920" y="985247"/>
                                </a:lnTo>
                                <a:lnTo>
                                  <a:pt x="2400777" y="983073"/>
                                </a:lnTo>
                                <a:lnTo>
                                  <a:pt x="2456844" y="980154"/>
                                </a:lnTo>
                                <a:lnTo>
                                  <a:pt x="2512095" y="976497"/>
                                </a:lnTo>
                                <a:lnTo>
                                  <a:pt x="2566501" y="972107"/>
                                </a:lnTo>
                                <a:lnTo>
                                  <a:pt x="2620034" y="966991"/>
                                </a:lnTo>
                                <a:lnTo>
                                  <a:pt x="2672666" y="961156"/>
                                </a:lnTo>
                                <a:lnTo>
                                  <a:pt x="2724369" y="954607"/>
                                </a:lnTo>
                                <a:lnTo>
                                  <a:pt x="2775117" y="947351"/>
                                </a:lnTo>
                                <a:lnTo>
                                  <a:pt x="2824879" y="939394"/>
                                </a:lnTo>
                                <a:lnTo>
                                  <a:pt x="2873630" y="930742"/>
                                </a:lnTo>
                                <a:lnTo>
                                  <a:pt x="2919730" y="921717"/>
                                </a:lnTo>
                                <a:lnTo>
                                  <a:pt x="2919730" y="152400"/>
                                </a:lnTo>
                                <a:lnTo>
                                  <a:pt x="2911961" y="104231"/>
                                </a:lnTo>
                                <a:lnTo>
                                  <a:pt x="2890327" y="62396"/>
                                </a:lnTo>
                                <a:lnTo>
                                  <a:pt x="2857338" y="29405"/>
                                </a:lnTo>
                                <a:lnTo>
                                  <a:pt x="2815503" y="7769"/>
                                </a:lnTo>
                                <a:lnTo>
                                  <a:pt x="2767330" y="0"/>
                                </a:lnTo>
                                <a:close/>
                              </a:path>
                            </a:pathLst>
                          </a:custGeom>
                          <a:solidFill>
                            <a:srgbClr val="FEE2D0"/>
                          </a:solidFill>
                        </wps:spPr>
                        <wps:bodyPr wrap="square" lIns="0" tIns="0" rIns="0" bIns="0" rtlCol="0">
                          <a:prstTxWarp prst="textNoShape">
                            <a:avLst/>
                          </a:prstTxWarp>
                          <a:noAutofit/>
                        </wps:bodyPr>
                      </wps:wsp>
                      <wps:wsp>
                        <wps:cNvPr id="553" name="Graphic 553"/>
                        <wps:cNvSpPr/>
                        <wps:spPr>
                          <a:xfrm>
                            <a:off x="6350" y="6350"/>
                            <a:ext cx="2919730" cy="3738879"/>
                          </a:xfrm>
                          <a:custGeom>
                            <a:avLst/>
                            <a:gdLst/>
                            <a:ahLst/>
                            <a:cxnLst/>
                            <a:rect l="l" t="t" r="r" b="b"/>
                            <a:pathLst>
                              <a:path w="2919730" h="3738879">
                                <a:moveTo>
                                  <a:pt x="152400" y="0"/>
                                </a:moveTo>
                                <a:lnTo>
                                  <a:pt x="104231" y="7769"/>
                                </a:lnTo>
                                <a:lnTo>
                                  <a:pt x="62396" y="29405"/>
                                </a:lnTo>
                                <a:lnTo>
                                  <a:pt x="29405" y="62396"/>
                                </a:lnTo>
                                <a:lnTo>
                                  <a:pt x="7769" y="104231"/>
                                </a:lnTo>
                                <a:lnTo>
                                  <a:pt x="0" y="152400"/>
                                </a:lnTo>
                                <a:lnTo>
                                  <a:pt x="0" y="3585972"/>
                                </a:lnTo>
                                <a:lnTo>
                                  <a:pt x="7769" y="3634140"/>
                                </a:lnTo>
                                <a:lnTo>
                                  <a:pt x="29405" y="3675975"/>
                                </a:lnTo>
                                <a:lnTo>
                                  <a:pt x="62396" y="3708966"/>
                                </a:lnTo>
                                <a:lnTo>
                                  <a:pt x="104231" y="3730602"/>
                                </a:lnTo>
                                <a:lnTo>
                                  <a:pt x="152400" y="3738372"/>
                                </a:lnTo>
                                <a:lnTo>
                                  <a:pt x="2767330" y="3738372"/>
                                </a:lnTo>
                                <a:lnTo>
                                  <a:pt x="2815498" y="3730602"/>
                                </a:lnTo>
                                <a:lnTo>
                                  <a:pt x="2857333" y="3708966"/>
                                </a:lnTo>
                                <a:lnTo>
                                  <a:pt x="2890324" y="3675975"/>
                                </a:lnTo>
                                <a:lnTo>
                                  <a:pt x="2911960" y="3634140"/>
                                </a:lnTo>
                                <a:lnTo>
                                  <a:pt x="2919730" y="3585972"/>
                                </a:lnTo>
                                <a:lnTo>
                                  <a:pt x="2919730" y="152400"/>
                                </a:lnTo>
                                <a:lnTo>
                                  <a:pt x="2911960" y="104231"/>
                                </a:lnTo>
                                <a:lnTo>
                                  <a:pt x="2890324" y="62396"/>
                                </a:lnTo>
                                <a:lnTo>
                                  <a:pt x="2857333" y="29405"/>
                                </a:lnTo>
                                <a:lnTo>
                                  <a:pt x="2815498" y="7769"/>
                                </a:lnTo>
                                <a:lnTo>
                                  <a:pt x="2767330" y="0"/>
                                </a:lnTo>
                                <a:lnTo>
                                  <a:pt x="152400" y="0"/>
                                </a:lnTo>
                                <a:close/>
                              </a:path>
                            </a:pathLst>
                          </a:custGeom>
                          <a:ln w="12699">
                            <a:solidFill>
                              <a:srgbClr val="F36A2B"/>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126" cstate="print"/>
                          <a:stretch>
                            <a:fillRect/>
                          </a:stretch>
                        </pic:blipFill>
                        <pic:spPr>
                          <a:xfrm>
                            <a:off x="1992566" y="206044"/>
                            <a:ext cx="660232" cy="613351"/>
                          </a:xfrm>
                          <a:prstGeom prst="rect">
                            <a:avLst/>
                          </a:prstGeom>
                        </pic:spPr>
                      </pic:pic>
                      <pic:pic xmlns:pic="http://schemas.openxmlformats.org/drawingml/2006/picture">
                        <pic:nvPicPr>
                          <pic:cNvPr id="555" name="Image 555"/>
                          <pic:cNvPicPr/>
                        </pic:nvPicPr>
                        <pic:blipFill>
                          <a:blip r:embed="rId127" cstate="print"/>
                          <a:stretch>
                            <a:fillRect/>
                          </a:stretch>
                        </pic:blipFill>
                        <pic:spPr>
                          <a:xfrm>
                            <a:off x="2141763" y="223319"/>
                            <a:ext cx="165201" cy="169016"/>
                          </a:xfrm>
                          <a:prstGeom prst="rect">
                            <a:avLst/>
                          </a:prstGeom>
                        </pic:spPr>
                      </pic:pic>
                      <wps:wsp>
                        <wps:cNvPr id="556" name="Textbox 556"/>
                        <wps:cNvSpPr txBox="1"/>
                        <wps:spPr>
                          <a:xfrm>
                            <a:off x="0" y="0"/>
                            <a:ext cx="3090545" cy="3907154"/>
                          </a:xfrm>
                          <a:prstGeom prst="rect">
                            <a:avLst/>
                          </a:prstGeom>
                        </wps:spPr>
                        <wps:txbx>
                          <w:txbxContent>
                            <w:p w14:paraId="1C34F252" w14:textId="77777777" w:rsidR="004C558F" w:rsidRDefault="004C558F">
                              <w:pPr>
                                <w:rPr>
                                  <w:rFonts w:ascii="Franklin Gothic Medium"/>
                                  <w:sz w:val="36"/>
                                </w:rPr>
                              </w:pPr>
                            </w:p>
                            <w:p w14:paraId="1C34F253" w14:textId="77777777" w:rsidR="004C558F" w:rsidRDefault="004C558F">
                              <w:pPr>
                                <w:rPr>
                                  <w:rFonts w:ascii="Franklin Gothic Medium"/>
                                  <w:sz w:val="36"/>
                                </w:rPr>
                              </w:pPr>
                            </w:p>
                            <w:p w14:paraId="1C34F254" w14:textId="77777777" w:rsidR="004C558F" w:rsidRDefault="004C558F">
                              <w:pPr>
                                <w:rPr>
                                  <w:rFonts w:ascii="Franklin Gothic Medium"/>
                                  <w:sz w:val="36"/>
                                </w:rPr>
                              </w:pPr>
                            </w:p>
                            <w:p w14:paraId="1C34F255" w14:textId="77777777" w:rsidR="004C558F" w:rsidRDefault="004C558F">
                              <w:pPr>
                                <w:spacing w:before="8"/>
                                <w:rPr>
                                  <w:rFonts w:ascii="Franklin Gothic Medium"/>
                                  <w:sz w:val="36"/>
                                </w:rPr>
                              </w:pPr>
                            </w:p>
                            <w:p w14:paraId="1C34F256" w14:textId="77777777" w:rsidR="004C558F" w:rsidRDefault="00461887">
                              <w:pPr>
                                <w:ind w:left="371"/>
                                <w:rPr>
                                  <w:rFonts w:ascii="Franklin Gothic Demi Cond"/>
                                  <w:b/>
                                  <w:sz w:val="36"/>
                                </w:rPr>
                              </w:pPr>
                              <w:r>
                                <w:rPr>
                                  <w:rFonts w:ascii="Franklin Gothic Demi Cond"/>
                                  <w:b/>
                                  <w:color w:val="F36A2B"/>
                                  <w:spacing w:val="-2"/>
                                  <w:sz w:val="36"/>
                                </w:rPr>
                                <w:t>PAYER</w:t>
                              </w:r>
                            </w:p>
                            <w:p w14:paraId="1C34F257" w14:textId="77777777" w:rsidR="004C558F" w:rsidRDefault="00461887">
                              <w:pPr>
                                <w:numPr>
                                  <w:ilvl w:val="0"/>
                                  <w:numId w:val="4"/>
                                </w:numPr>
                                <w:tabs>
                                  <w:tab w:val="left" w:pos="398"/>
                                </w:tabs>
                                <w:spacing w:before="160" w:line="254" w:lineRule="auto"/>
                                <w:ind w:right="547"/>
                                <w:jc w:val="both"/>
                                <w:rPr>
                                  <w:sz w:val="11"/>
                                </w:rPr>
                              </w:pPr>
                              <w:r>
                                <w:rPr>
                                  <w:color w:val="3F3E45"/>
                                  <w:sz w:val="20"/>
                                </w:rPr>
                                <w:t xml:space="preserve">Providers serving high proportions of oncology </w:t>
                              </w:r>
                              <w:r>
                                <w:rPr>
                                  <w:color w:val="3F3E45"/>
                                  <w:spacing w:val="-4"/>
                                  <w:sz w:val="20"/>
                                </w:rPr>
                                <w:t xml:space="preserve">patients insured by Medicaid function as import- </w:t>
                              </w:r>
                              <w:r>
                                <w:rPr>
                                  <w:color w:val="3F3E45"/>
                                  <w:sz w:val="20"/>
                                </w:rPr>
                                <w:t>ant</w:t>
                              </w:r>
                              <w:r>
                                <w:rPr>
                                  <w:color w:val="3F3E45"/>
                                  <w:spacing w:val="-13"/>
                                  <w:sz w:val="20"/>
                                </w:rPr>
                                <w:t xml:space="preserve"> </w:t>
                              </w:r>
                              <w:r>
                                <w:rPr>
                                  <w:color w:val="3F3E45"/>
                                  <w:sz w:val="20"/>
                                </w:rPr>
                                <w:t>points</w:t>
                              </w:r>
                              <w:r>
                                <w:rPr>
                                  <w:color w:val="3F3E45"/>
                                  <w:spacing w:val="-12"/>
                                  <w:sz w:val="20"/>
                                </w:rPr>
                                <w:t xml:space="preserve"> </w:t>
                              </w:r>
                              <w:r>
                                <w:rPr>
                                  <w:color w:val="3F3E45"/>
                                  <w:sz w:val="20"/>
                                </w:rPr>
                                <w:t>of</w:t>
                              </w:r>
                              <w:r>
                                <w:rPr>
                                  <w:color w:val="3F3E45"/>
                                  <w:spacing w:val="-13"/>
                                  <w:sz w:val="20"/>
                                </w:rPr>
                                <w:t xml:space="preserve"> </w:t>
                              </w:r>
                              <w:r>
                                <w:rPr>
                                  <w:color w:val="3F3E45"/>
                                  <w:sz w:val="20"/>
                                </w:rPr>
                                <w:t>access</w:t>
                              </w:r>
                              <w:r>
                                <w:rPr>
                                  <w:color w:val="3F3E45"/>
                                  <w:spacing w:val="-12"/>
                                  <w:sz w:val="20"/>
                                </w:rPr>
                                <w:t xml:space="preserve"> </w:t>
                              </w:r>
                              <w:r>
                                <w:rPr>
                                  <w:color w:val="3F3E45"/>
                                  <w:sz w:val="20"/>
                                </w:rPr>
                                <w:t>for</w:t>
                              </w:r>
                              <w:r>
                                <w:rPr>
                                  <w:color w:val="3F3E45"/>
                                  <w:spacing w:val="-13"/>
                                  <w:sz w:val="20"/>
                                </w:rPr>
                                <w:t xml:space="preserve"> </w:t>
                              </w:r>
                              <w:r>
                                <w:rPr>
                                  <w:color w:val="3F3E45"/>
                                  <w:sz w:val="20"/>
                                </w:rPr>
                                <w:t>patients</w:t>
                              </w:r>
                              <w:r>
                                <w:rPr>
                                  <w:color w:val="3F3E45"/>
                                  <w:spacing w:val="-12"/>
                                  <w:sz w:val="20"/>
                                </w:rPr>
                                <w:t xml:space="preserve"> </w:t>
                              </w:r>
                              <w:r>
                                <w:rPr>
                                  <w:color w:val="3F3E45"/>
                                  <w:sz w:val="20"/>
                                </w:rPr>
                                <w:t>who</w:t>
                              </w:r>
                              <w:r>
                                <w:rPr>
                                  <w:color w:val="3F3E45"/>
                                  <w:spacing w:val="-13"/>
                                  <w:sz w:val="20"/>
                                </w:rPr>
                                <w:t xml:space="preserve"> </w:t>
                              </w:r>
                              <w:r>
                                <w:rPr>
                                  <w:color w:val="3F3E45"/>
                                  <w:sz w:val="20"/>
                                </w:rPr>
                                <w:t>often</w:t>
                              </w:r>
                              <w:r>
                                <w:rPr>
                                  <w:color w:val="3F3E45"/>
                                  <w:spacing w:val="-12"/>
                                  <w:sz w:val="20"/>
                                </w:rPr>
                                <w:t xml:space="preserve"> </w:t>
                              </w:r>
                              <w:r>
                                <w:rPr>
                                  <w:color w:val="3F3E45"/>
                                  <w:sz w:val="20"/>
                                </w:rPr>
                                <w:t>face barriers</w:t>
                              </w:r>
                              <w:r>
                                <w:rPr>
                                  <w:color w:val="3F3E45"/>
                                  <w:spacing w:val="-13"/>
                                  <w:sz w:val="20"/>
                                </w:rPr>
                                <w:t xml:space="preserve"> </w:t>
                              </w:r>
                              <w:r>
                                <w:rPr>
                                  <w:color w:val="3F3E45"/>
                                  <w:sz w:val="20"/>
                                </w:rPr>
                                <w:t>to</w:t>
                              </w:r>
                              <w:r>
                                <w:rPr>
                                  <w:color w:val="3F3E45"/>
                                  <w:spacing w:val="-12"/>
                                  <w:sz w:val="20"/>
                                </w:rPr>
                                <w:t xml:space="preserve"> </w:t>
                              </w:r>
                              <w:r>
                                <w:rPr>
                                  <w:color w:val="3F3E45"/>
                                  <w:sz w:val="20"/>
                                </w:rPr>
                                <w:t>obtaining</w:t>
                              </w:r>
                              <w:r>
                                <w:rPr>
                                  <w:color w:val="3F3E45"/>
                                  <w:spacing w:val="-13"/>
                                  <w:sz w:val="20"/>
                                </w:rPr>
                                <w:t xml:space="preserve"> </w:t>
                              </w:r>
                              <w:r>
                                <w:rPr>
                                  <w:color w:val="3F3E45"/>
                                  <w:sz w:val="20"/>
                                </w:rPr>
                                <w:t>care</w:t>
                              </w:r>
                              <w:r>
                                <w:rPr>
                                  <w:color w:val="3F3E45"/>
                                  <w:position w:val="7"/>
                                  <w:sz w:val="11"/>
                                </w:rPr>
                                <w:t>1</w:t>
                              </w:r>
                              <w:r>
                                <w:rPr>
                                  <w:color w:val="3F3E45"/>
                                  <w:spacing w:val="-7"/>
                                  <w:position w:val="7"/>
                                  <w:sz w:val="11"/>
                                </w:rPr>
                                <w:t xml:space="preserve"> </w:t>
                              </w:r>
                              <w:r>
                                <w:rPr>
                                  <w:color w:val="3F3E45"/>
                                  <w:sz w:val="20"/>
                                </w:rPr>
                                <w:t>or</w:t>
                              </w:r>
                              <w:r>
                                <w:rPr>
                                  <w:color w:val="3F3E45"/>
                                  <w:spacing w:val="-12"/>
                                  <w:sz w:val="20"/>
                                </w:rPr>
                                <w:t xml:space="preserve"> </w:t>
                              </w:r>
                              <w:r>
                                <w:rPr>
                                  <w:color w:val="3F3E45"/>
                                  <w:sz w:val="20"/>
                                </w:rPr>
                                <w:t>disproportionately high morbidity and mortality rates.</w:t>
                              </w:r>
                              <w:r>
                                <w:rPr>
                                  <w:color w:val="3F3E45"/>
                                  <w:position w:val="7"/>
                                  <w:sz w:val="11"/>
                                </w:rPr>
                                <w:t>2</w:t>
                              </w:r>
                            </w:p>
                            <w:p w14:paraId="1C34F258" w14:textId="77777777" w:rsidR="004C558F" w:rsidRDefault="00461887">
                              <w:pPr>
                                <w:numPr>
                                  <w:ilvl w:val="0"/>
                                  <w:numId w:val="4"/>
                                </w:numPr>
                                <w:tabs>
                                  <w:tab w:val="left" w:pos="396"/>
                                  <w:tab w:val="left" w:pos="398"/>
                                </w:tabs>
                                <w:spacing w:line="254" w:lineRule="auto"/>
                                <w:ind w:right="547" w:hanging="201"/>
                                <w:jc w:val="both"/>
                                <w:rPr>
                                  <w:sz w:val="11"/>
                                </w:rPr>
                              </w:pPr>
                              <w:r>
                                <w:rPr>
                                  <w:color w:val="3F3E45"/>
                                  <w:sz w:val="20"/>
                                </w:rPr>
                                <w:t>A</w:t>
                              </w:r>
                              <w:r>
                                <w:rPr>
                                  <w:color w:val="3F3E45"/>
                                  <w:spacing w:val="-2"/>
                                  <w:sz w:val="20"/>
                                </w:rPr>
                                <w:t xml:space="preserve"> </w:t>
                              </w:r>
                              <w:r>
                                <w:rPr>
                                  <w:color w:val="3F3E45"/>
                                  <w:sz w:val="20"/>
                                </w:rPr>
                                <w:t>provider’s</w:t>
                              </w:r>
                              <w:r>
                                <w:rPr>
                                  <w:color w:val="3F3E45"/>
                                  <w:spacing w:val="-2"/>
                                  <w:sz w:val="20"/>
                                </w:rPr>
                                <w:t xml:space="preserve"> </w:t>
                              </w:r>
                              <w:r>
                                <w:rPr>
                                  <w:color w:val="3F3E45"/>
                                  <w:sz w:val="20"/>
                                </w:rPr>
                                <w:t>payer</w:t>
                              </w:r>
                              <w:r>
                                <w:rPr>
                                  <w:color w:val="3F3E45"/>
                                  <w:spacing w:val="-2"/>
                                  <w:sz w:val="20"/>
                                </w:rPr>
                                <w:t xml:space="preserve"> </w:t>
                              </w:r>
                              <w:r>
                                <w:rPr>
                                  <w:color w:val="3F3E45"/>
                                  <w:sz w:val="20"/>
                                </w:rPr>
                                <w:t>mix</w:t>
                              </w:r>
                              <w:r>
                                <w:rPr>
                                  <w:color w:val="3F3E45"/>
                                  <w:spacing w:val="-2"/>
                                  <w:sz w:val="20"/>
                                </w:rPr>
                                <w:t xml:space="preserve"> </w:t>
                              </w:r>
                              <w:r>
                                <w:rPr>
                                  <w:color w:val="3F3E45"/>
                                  <w:sz w:val="20"/>
                                </w:rPr>
                                <w:t>may</w:t>
                              </w:r>
                              <w:r>
                                <w:rPr>
                                  <w:color w:val="3F3E45"/>
                                  <w:spacing w:val="-2"/>
                                  <w:sz w:val="20"/>
                                </w:rPr>
                                <w:t xml:space="preserve"> </w:t>
                              </w:r>
                              <w:r>
                                <w:rPr>
                                  <w:color w:val="3F3E45"/>
                                  <w:sz w:val="20"/>
                                </w:rPr>
                                <w:t>impact</w:t>
                              </w:r>
                              <w:r>
                                <w:rPr>
                                  <w:color w:val="3F3E45"/>
                                  <w:spacing w:val="-2"/>
                                  <w:sz w:val="20"/>
                                </w:rPr>
                                <w:t xml:space="preserve"> </w:t>
                              </w:r>
                              <w:r>
                                <w:rPr>
                                  <w:color w:val="3F3E45"/>
                                  <w:sz w:val="20"/>
                                </w:rPr>
                                <w:t>its</w:t>
                              </w:r>
                              <w:r>
                                <w:rPr>
                                  <w:color w:val="3F3E45"/>
                                  <w:spacing w:val="-2"/>
                                  <w:sz w:val="20"/>
                                </w:rPr>
                                <w:t xml:space="preserve"> </w:t>
                              </w:r>
                              <w:r>
                                <w:rPr>
                                  <w:color w:val="3F3E45"/>
                                  <w:sz w:val="20"/>
                                </w:rPr>
                                <w:t xml:space="preserve">financial </w:t>
                              </w:r>
                              <w:r>
                                <w:rPr>
                                  <w:color w:val="3F3E45"/>
                                  <w:spacing w:val="-2"/>
                                  <w:sz w:val="20"/>
                                </w:rPr>
                                <w:t>and</w:t>
                              </w:r>
                              <w:r>
                                <w:rPr>
                                  <w:color w:val="3F3E45"/>
                                  <w:spacing w:val="-11"/>
                                  <w:sz w:val="20"/>
                                </w:rPr>
                                <w:t xml:space="preserve"> </w:t>
                              </w:r>
                              <w:r>
                                <w:rPr>
                                  <w:color w:val="3F3E45"/>
                                  <w:spacing w:val="-2"/>
                                  <w:sz w:val="20"/>
                                </w:rPr>
                                <w:t>quality</w:t>
                              </w:r>
                              <w:r>
                                <w:rPr>
                                  <w:color w:val="3F3E45"/>
                                  <w:spacing w:val="-10"/>
                                  <w:sz w:val="20"/>
                                </w:rPr>
                                <w:t xml:space="preserve"> </w:t>
                              </w:r>
                              <w:r>
                                <w:rPr>
                                  <w:color w:val="3F3E45"/>
                                  <w:spacing w:val="-2"/>
                                  <w:sz w:val="20"/>
                                </w:rPr>
                                <w:t>performance</w:t>
                              </w:r>
                              <w:r>
                                <w:rPr>
                                  <w:color w:val="3F3E45"/>
                                  <w:spacing w:val="-11"/>
                                  <w:sz w:val="20"/>
                                </w:rPr>
                                <w:t xml:space="preserve"> </w:t>
                              </w:r>
                              <w:r>
                                <w:rPr>
                                  <w:color w:val="3F3E45"/>
                                  <w:spacing w:val="-2"/>
                                  <w:sz w:val="20"/>
                                </w:rPr>
                                <w:t>due</w:t>
                              </w:r>
                              <w:r>
                                <w:rPr>
                                  <w:color w:val="3F3E45"/>
                                  <w:spacing w:val="-10"/>
                                  <w:sz w:val="20"/>
                                </w:rPr>
                                <w:t xml:space="preserve"> </w:t>
                              </w:r>
                              <w:r>
                                <w:rPr>
                                  <w:color w:val="3F3E45"/>
                                  <w:spacing w:val="-2"/>
                                  <w:sz w:val="20"/>
                                </w:rPr>
                                <w:t>to</w:t>
                              </w:r>
                              <w:r>
                                <w:rPr>
                                  <w:color w:val="3F3E45"/>
                                  <w:spacing w:val="-11"/>
                                  <w:sz w:val="20"/>
                                </w:rPr>
                                <w:t xml:space="preserve"> </w:t>
                              </w:r>
                              <w:r>
                                <w:rPr>
                                  <w:color w:val="3F3E45"/>
                                  <w:spacing w:val="-2"/>
                                  <w:sz w:val="20"/>
                                </w:rPr>
                                <w:t>lower</w:t>
                              </w:r>
                              <w:r>
                                <w:rPr>
                                  <w:color w:val="3F3E45"/>
                                  <w:spacing w:val="-10"/>
                                  <w:sz w:val="20"/>
                                </w:rPr>
                                <w:t xml:space="preserve"> </w:t>
                              </w:r>
                              <w:r>
                                <w:rPr>
                                  <w:color w:val="3F3E45"/>
                                  <w:spacing w:val="-2"/>
                                  <w:sz w:val="20"/>
                                </w:rPr>
                                <w:t xml:space="preserve">payments </w:t>
                              </w:r>
                              <w:r>
                                <w:rPr>
                                  <w:color w:val="3F3E45"/>
                                  <w:sz w:val="20"/>
                                </w:rPr>
                                <w:t>by government payers relative to commercial payers</w:t>
                              </w:r>
                              <w:r>
                                <w:rPr>
                                  <w:color w:val="3F3E45"/>
                                  <w:position w:val="7"/>
                                  <w:sz w:val="11"/>
                                </w:rPr>
                                <w:t>3</w:t>
                              </w:r>
                              <w:r>
                                <w:rPr>
                                  <w:color w:val="3F3E45"/>
                                  <w:spacing w:val="10"/>
                                  <w:position w:val="7"/>
                                  <w:sz w:val="11"/>
                                </w:rPr>
                                <w:t xml:space="preserve"> </w:t>
                              </w:r>
                              <w:r>
                                <w:rPr>
                                  <w:color w:val="3F3E45"/>
                                  <w:sz w:val="20"/>
                                </w:rPr>
                                <w:t>and</w:t>
                              </w:r>
                              <w:r>
                                <w:rPr>
                                  <w:color w:val="3F3E45"/>
                                  <w:spacing w:val="-13"/>
                                  <w:sz w:val="20"/>
                                </w:rPr>
                                <w:t xml:space="preserve"> </w:t>
                              </w:r>
                              <w:r>
                                <w:rPr>
                                  <w:color w:val="3F3E45"/>
                                  <w:sz w:val="20"/>
                                </w:rPr>
                                <w:t>socioeconomic</w:t>
                              </w:r>
                              <w:r>
                                <w:rPr>
                                  <w:color w:val="3F3E45"/>
                                  <w:spacing w:val="-12"/>
                                  <w:sz w:val="20"/>
                                </w:rPr>
                                <w:t xml:space="preserve"> </w:t>
                              </w:r>
                              <w:r>
                                <w:rPr>
                                  <w:color w:val="3F3E45"/>
                                  <w:sz w:val="20"/>
                                </w:rPr>
                                <w:t>factors</w:t>
                              </w:r>
                              <w:r>
                                <w:rPr>
                                  <w:color w:val="3F3E45"/>
                                  <w:spacing w:val="-13"/>
                                  <w:sz w:val="20"/>
                                </w:rPr>
                                <w:t xml:space="preserve"> </w:t>
                              </w:r>
                              <w:r>
                                <w:rPr>
                                  <w:color w:val="3F3E45"/>
                                  <w:sz w:val="20"/>
                                </w:rPr>
                                <w:t>that</w:t>
                              </w:r>
                              <w:r>
                                <w:rPr>
                                  <w:color w:val="3F3E45"/>
                                  <w:spacing w:val="-12"/>
                                  <w:sz w:val="20"/>
                                </w:rPr>
                                <w:t xml:space="preserve"> </w:t>
                              </w:r>
                              <w:proofErr w:type="spellStart"/>
                              <w:r>
                                <w:rPr>
                                  <w:color w:val="3F3E45"/>
                                  <w:sz w:val="20"/>
                                </w:rPr>
                                <w:t>dispro</w:t>
                              </w:r>
                              <w:proofErr w:type="spellEnd"/>
                              <w:r>
                                <w:rPr>
                                  <w:color w:val="3F3E45"/>
                                  <w:sz w:val="20"/>
                                </w:rPr>
                                <w:t xml:space="preserve">- </w:t>
                              </w:r>
                              <w:proofErr w:type="spellStart"/>
                              <w:r>
                                <w:rPr>
                                  <w:color w:val="3F3E45"/>
                                  <w:sz w:val="20"/>
                                </w:rPr>
                                <w:t>portionately</w:t>
                              </w:r>
                              <w:proofErr w:type="spellEnd"/>
                              <w:r>
                                <w:rPr>
                                  <w:color w:val="3F3E45"/>
                                  <w:sz w:val="20"/>
                                </w:rPr>
                                <w:t xml:space="preserve"> impact the complexity and health </w:t>
                              </w:r>
                              <w:r>
                                <w:rPr>
                                  <w:color w:val="3F3E45"/>
                                  <w:spacing w:val="-6"/>
                                  <w:sz w:val="20"/>
                                </w:rPr>
                                <w:t xml:space="preserve">outcomes of government payer patients. This can </w:t>
                              </w:r>
                              <w:r>
                                <w:rPr>
                                  <w:color w:val="3F3E45"/>
                                  <w:sz w:val="20"/>
                                </w:rPr>
                                <w:t xml:space="preserve">incentivize providers to try to attract </w:t>
                              </w:r>
                              <w:proofErr w:type="spellStart"/>
                              <w:r>
                                <w:rPr>
                                  <w:color w:val="3F3E45"/>
                                  <w:sz w:val="20"/>
                                </w:rPr>
                                <w:t>commer</w:t>
                              </w:r>
                              <w:proofErr w:type="spellEnd"/>
                              <w:r>
                                <w:rPr>
                                  <w:color w:val="3F3E45"/>
                                  <w:sz w:val="20"/>
                                </w:rPr>
                                <w:t xml:space="preserve">- </w:t>
                              </w:r>
                              <w:proofErr w:type="spellStart"/>
                              <w:r>
                                <w:rPr>
                                  <w:color w:val="3F3E45"/>
                                  <w:sz w:val="20"/>
                                </w:rPr>
                                <w:t>cial</w:t>
                              </w:r>
                              <w:proofErr w:type="spellEnd"/>
                              <w:r>
                                <w:rPr>
                                  <w:color w:val="3F3E45"/>
                                  <w:sz w:val="20"/>
                                </w:rPr>
                                <w:t xml:space="preserve"> patients rather than focusing on Medicaid </w:t>
                              </w:r>
                              <w:r>
                                <w:rPr>
                                  <w:color w:val="3F3E45"/>
                                  <w:spacing w:val="-2"/>
                                  <w:sz w:val="20"/>
                                </w:rPr>
                                <w:t>patients.</w:t>
                              </w:r>
                              <w:r>
                                <w:rPr>
                                  <w:color w:val="3F3E45"/>
                                  <w:spacing w:val="-2"/>
                                  <w:position w:val="7"/>
                                  <w:sz w:val="11"/>
                                </w:rPr>
                                <w:t>4</w:t>
                              </w:r>
                            </w:p>
                          </w:txbxContent>
                        </wps:txbx>
                        <wps:bodyPr wrap="square" lIns="0" tIns="0" rIns="0" bIns="0" rtlCol="0">
                          <a:noAutofit/>
                        </wps:bodyPr>
                      </wps:wsp>
                    </wpg:wgp>
                  </a:graphicData>
                </a:graphic>
              </wp:anchor>
            </w:drawing>
          </mc:Choice>
          <mc:Fallback>
            <w:pict>
              <v:group w14:anchorId="1C34F16A" id="Group 548" o:spid="_x0000_s1460" alt="Payer" style="position:absolute;left:0;text-align:left;margin-left:40pt;margin-top:38.5pt;width:243.35pt;height:307.65pt;z-index:251611136;mso-wrap-distance-left:0;mso-wrap-distance-right:0;mso-position-horizontal-relative:page;mso-position-vertical-relative:text" coordsize="30905,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">
                <v:shape id="Graphic 549" o:spid="_x0000_s1461" style="position:absolute;left:180;top:205;width:30727;height:38862;visibility:visible;mso-wrap-style:square;v-text-anchor:top" coordsize="3072765,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" path="m3072384,l,,,3886200r3072384,l3072384,xe" fillcolor="black" stroked="f">
                  <v:fill opacity="9252f"/>
                  <v:path arrowok="t"/>
                </v:shape>
                <v:shape id="Graphic 550" o:spid="_x0000_s1462" style="position:absolute;left:63;top:63;width:29197;height:37389;visibility:visible;mso-wrap-style:square;v-text-anchor:top" coordsize="2919730,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" path="m2767330,l152400,,104231,7769,62396,29405,29405,62396,7769,104231,,152400,,3585972r7769,48168l29405,3675975r32991,32991l104231,3730602r48169,7770l2767330,3738372r48168,-7770l2857333,3708966r32991,-32991l2911960,3634140r7770,-48168l2919730,152400r-7770,-48169l2890324,62396,2857333,29405,2815498,7769,2767330,xe" stroked="f">
                  <v:path arrowok="t"/>
                </v:shape>
                <v:shape id="Graphic 551" o:spid="_x0000_s1463" style="position:absolute;left:63;top:63;width:29197;height:10738;visibility:visible;mso-wrap-style:square;v-text-anchor:top" coordsize="291973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" path="m2767330,l152400,,104226,7769,62391,29405,29402,62396,7768,104231,,152400,,509918r60673,34126l105134,567769r45620,23383l197508,614177r47865,22653l294324,659096r50012,21863l395386,702405r52063,21014l500500,743985r54016,20104l609472,783716r55871,19134l722106,821477r57630,18105l838209,857149r59292,17015l957586,890612r60856,15865l1080043,921745r62322,14656l1205384,950429r63691,13386l1333415,976544r64964,12056l1463942,999970r65693,10595l1594985,1020315r64979,8911l1724543,1037305r64153,7252l1852394,1050990r63216,5619l1978315,1061420r62167,4010l2102082,1068645r61007,2427l2223474,1072716r66482,966l2342266,1073682r58351,-666l2458235,1071593r56857,-2174l2571160,1066500r55250,-3657l2680816,1058453r53533,-5116l2786981,1047502r51704,-6549l2889432,1033697r30298,-4845l2919730,152400r-7769,-48169l2890327,62396,2857338,29405,2815503,7769,2767330,xe" fillcolor="#f36a2b" stroked="f">
                  <v:path arrowok="t"/>
                </v:shape>
                <v:shape id="Graphic 552" o:spid="_x0000_s1464" style="position:absolute;left:63;top:63;width:29197;height:9874;visibility:visible;mso-wrap-style:square;v-text-anchor:top" coordsize="2919730,9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" path="m2767330,l152400,,104226,7769,62391,29405,29402,62396,7768,104231,,152400,,486129r36438,18677l83193,527831r47865,22653l180008,572750r50013,21863l281071,616059r52062,21014l386185,657639r54016,20104l495156,697370r55872,19134l607791,735131r57630,18105l723894,770803r59291,17015l843271,804266r60855,15865l965727,835399r62322,14656l1091068,864083r63692,13386l1219100,890198r64964,12056l1349627,913624r65693,10595l1480670,933969r64978,8911l1610228,950959r64153,7252l1738079,964644r63216,5619l1864000,975074r62167,4010l1987767,982299r61007,2427l2109158,986370r66483,966l2227950,987336r58352,-666l2343920,985247r56857,-2174l2456844,980154r55251,-3657l2566501,972107r53533,-5116l2672666,961156r51703,-6549l2775117,947351r49762,-7957l2873630,930742r46100,-9025l2919730,152400r-7769,-48169l2890327,62396,2857338,29405,2815503,7769,2767330,xe" fillcolor="#fee2d0" stroked="f">
                  <v:path arrowok="t"/>
                </v:shape>
                <v:shape id="Graphic 553" o:spid="_x0000_s1465" style="position:absolute;left:63;top:63;width:29197;height:37389;visibility:visible;mso-wrap-style:square;v-text-anchor:top" coordsize="2919730,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" path="m152400,l104231,7769,62396,29405,29405,62396,7769,104231,,152400,,3585972r7769,48168l29405,3675975r32991,32991l104231,3730602r48169,7770l2767330,3738372r48168,-7770l2857333,3708966r32991,-32991l2911960,3634140r7770,-48168l2919730,152400r-7770,-48169l2890324,62396,2857333,29405,2815498,7769,2767330,,152400,xe" filled="f" strokecolor="#f36a2b" strokeweight=".35275mm">
                  <v:path arrowok="t"/>
                </v:shape>
                <v:shape id="Image 554" o:spid="_x0000_s1466" type="#_x0000_t75" style="position:absolute;left:19925;top:2060;width:6602;height:6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">
                  <v:imagedata r:id="rId128" o:title=""/>
                </v:shape>
                <v:shape id="Image 555" o:spid="_x0000_s1467" type="#_x0000_t75" style="position:absolute;left:21417;top:2233;width:1652;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">
                  <v:imagedata r:id="rId129" o:title=""/>
                </v:shape>
                <v:shape id="Textbox 556" o:spid="_x0000_s1468" type="#_x0000_t202" style="position:absolute;width:30905;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C34F252" w14:textId="77777777" w:rsidR="004C558F" w:rsidRDefault="004C558F">
                        <w:pPr>
                          <w:rPr>
                            <w:rFonts w:ascii="Franklin Gothic Medium"/>
                            <w:sz w:val="36"/>
                          </w:rPr>
                        </w:pPr>
                      </w:p>
                      <w:p w14:paraId="1C34F253" w14:textId="77777777" w:rsidR="004C558F" w:rsidRDefault="004C558F">
                        <w:pPr>
                          <w:rPr>
                            <w:rFonts w:ascii="Franklin Gothic Medium"/>
                            <w:sz w:val="36"/>
                          </w:rPr>
                        </w:pPr>
                      </w:p>
                      <w:p w14:paraId="1C34F254" w14:textId="77777777" w:rsidR="004C558F" w:rsidRDefault="004C558F">
                        <w:pPr>
                          <w:rPr>
                            <w:rFonts w:ascii="Franklin Gothic Medium"/>
                            <w:sz w:val="36"/>
                          </w:rPr>
                        </w:pPr>
                      </w:p>
                      <w:p w14:paraId="1C34F255" w14:textId="77777777" w:rsidR="004C558F" w:rsidRDefault="004C558F">
                        <w:pPr>
                          <w:spacing w:before="8"/>
                          <w:rPr>
                            <w:rFonts w:ascii="Franklin Gothic Medium"/>
                            <w:sz w:val="36"/>
                          </w:rPr>
                        </w:pPr>
                      </w:p>
                      <w:p w14:paraId="1C34F256" w14:textId="77777777" w:rsidR="004C558F" w:rsidRDefault="00461887">
                        <w:pPr>
                          <w:ind w:left="371"/>
                          <w:rPr>
                            <w:rFonts w:ascii="Franklin Gothic Demi Cond"/>
                            <w:b/>
                            <w:sz w:val="36"/>
                          </w:rPr>
                        </w:pPr>
                        <w:r>
                          <w:rPr>
                            <w:rFonts w:ascii="Franklin Gothic Demi Cond"/>
                            <w:b/>
                            <w:color w:val="F36A2B"/>
                            <w:spacing w:val="-2"/>
                            <w:sz w:val="36"/>
                          </w:rPr>
                          <w:t>PAYER</w:t>
                        </w:r>
                      </w:p>
                      <w:p w14:paraId="1C34F257" w14:textId="77777777" w:rsidR="004C558F" w:rsidRDefault="00461887">
                        <w:pPr>
                          <w:numPr>
                            <w:ilvl w:val="0"/>
                            <w:numId w:val="4"/>
                          </w:numPr>
                          <w:tabs>
                            <w:tab w:val="left" w:pos="398"/>
                          </w:tabs>
                          <w:spacing w:before="160" w:line="254" w:lineRule="auto"/>
                          <w:ind w:right="547"/>
                          <w:jc w:val="both"/>
                          <w:rPr>
                            <w:sz w:val="11"/>
                          </w:rPr>
                        </w:pPr>
                        <w:r>
                          <w:rPr>
                            <w:color w:val="3F3E45"/>
                            <w:sz w:val="20"/>
                          </w:rPr>
                          <w:t xml:space="preserve">Providers serving high proportions of oncology </w:t>
                        </w:r>
                        <w:r>
                          <w:rPr>
                            <w:color w:val="3F3E45"/>
                            <w:spacing w:val="-4"/>
                            <w:sz w:val="20"/>
                          </w:rPr>
                          <w:t xml:space="preserve">patients insured by Medicaid function as import- </w:t>
                        </w:r>
                        <w:r>
                          <w:rPr>
                            <w:color w:val="3F3E45"/>
                            <w:sz w:val="20"/>
                          </w:rPr>
                          <w:t>ant</w:t>
                        </w:r>
                        <w:r>
                          <w:rPr>
                            <w:color w:val="3F3E45"/>
                            <w:spacing w:val="-13"/>
                            <w:sz w:val="20"/>
                          </w:rPr>
                          <w:t xml:space="preserve"> </w:t>
                        </w:r>
                        <w:r>
                          <w:rPr>
                            <w:color w:val="3F3E45"/>
                            <w:sz w:val="20"/>
                          </w:rPr>
                          <w:t>points</w:t>
                        </w:r>
                        <w:r>
                          <w:rPr>
                            <w:color w:val="3F3E45"/>
                            <w:spacing w:val="-12"/>
                            <w:sz w:val="20"/>
                          </w:rPr>
                          <w:t xml:space="preserve"> </w:t>
                        </w:r>
                        <w:r>
                          <w:rPr>
                            <w:color w:val="3F3E45"/>
                            <w:sz w:val="20"/>
                          </w:rPr>
                          <w:t>of</w:t>
                        </w:r>
                        <w:r>
                          <w:rPr>
                            <w:color w:val="3F3E45"/>
                            <w:spacing w:val="-13"/>
                            <w:sz w:val="20"/>
                          </w:rPr>
                          <w:t xml:space="preserve"> </w:t>
                        </w:r>
                        <w:r>
                          <w:rPr>
                            <w:color w:val="3F3E45"/>
                            <w:sz w:val="20"/>
                          </w:rPr>
                          <w:t>access</w:t>
                        </w:r>
                        <w:r>
                          <w:rPr>
                            <w:color w:val="3F3E45"/>
                            <w:spacing w:val="-12"/>
                            <w:sz w:val="20"/>
                          </w:rPr>
                          <w:t xml:space="preserve"> </w:t>
                        </w:r>
                        <w:r>
                          <w:rPr>
                            <w:color w:val="3F3E45"/>
                            <w:sz w:val="20"/>
                          </w:rPr>
                          <w:t>for</w:t>
                        </w:r>
                        <w:r>
                          <w:rPr>
                            <w:color w:val="3F3E45"/>
                            <w:spacing w:val="-13"/>
                            <w:sz w:val="20"/>
                          </w:rPr>
                          <w:t xml:space="preserve"> </w:t>
                        </w:r>
                        <w:r>
                          <w:rPr>
                            <w:color w:val="3F3E45"/>
                            <w:sz w:val="20"/>
                          </w:rPr>
                          <w:t>patients</w:t>
                        </w:r>
                        <w:r>
                          <w:rPr>
                            <w:color w:val="3F3E45"/>
                            <w:spacing w:val="-12"/>
                            <w:sz w:val="20"/>
                          </w:rPr>
                          <w:t xml:space="preserve"> </w:t>
                        </w:r>
                        <w:r>
                          <w:rPr>
                            <w:color w:val="3F3E45"/>
                            <w:sz w:val="20"/>
                          </w:rPr>
                          <w:t>who</w:t>
                        </w:r>
                        <w:r>
                          <w:rPr>
                            <w:color w:val="3F3E45"/>
                            <w:spacing w:val="-13"/>
                            <w:sz w:val="20"/>
                          </w:rPr>
                          <w:t xml:space="preserve"> </w:t>
                        </w:r>
                        <w:r>
                          <w:rPr>
                            <w:color w:val="3F3E45"/>
                            <w:sz w:val="20"/>
                          </w:rPr>
                          <w:t>often</w:t>
                        </w:r>
                        <w:r>
                          <w:rPr>
                            <w:color w:val="3F3E45"/>
                            <w:spacing w:val="-12"/>
                            <w:sz w:val="20"/>
                          </w:rPr>
                          <w:t xml:space="preserve"> </w:t>
                        </w:r>
                        <w:r>
                          <w:rPr>
                            <w:color w:val="3F3E45"/>
                            <w:sz w:val="20"/>
                          </w:rPr>
                          <w:t>face barriers</w:t>
                        </w:r>
                        <w:r>
                          <w:rPr>
                            <w:color w:val="3F3E45"/>
                            <w:spacing w:val="-13"/>
                            <w:sz w:val="20"/>
                          </w:rPr>
                          <w:t xml:space="preserve"> </w:t>
                        </w:r>
                        <w:r>
                          <w:rPr>
                            <w:color w:val="3F3E45"/>
                            <w:sz w:val="20"/>
                          </w:rPr>
                          <w:t>to</w:t>
                        </w:r>
                        <w:r>
                          <w:rPr>
                            <w:color w:val="3F3E45"/>
                            <w:spacing w:val="-12"/>
                            <w:sz w:val="20"/>
                          </w:rPr>
                          <w:t xml:space="preserve"> </w:t>
                        </w:r>
                        <w:r>
                          <w:rPr>
                            <w:color w:val="3F3E45"/>
                            <w:sz w:val="20"/>
                          </w:rPr>
                          <w:t>obtaining</w:t>
                        </w:r>
                        <w:r>
                          <w:rPr>
                            <w:color w:val="3F3E45"/>
                            <w:spacing w:val="-13"/>
                            <w:sz w:val="20"/>
                          </w:rPr>
                          <w:t xml:space="preserve"> </w:t>
                        </w:r>
                        <w:r>
                          <w:rPr>
                            <w:color w:val="3F3E45"/>
                            <w:sz w:val="20"/>
                          </w:rPr>
                          <w:t>care</w:t>
                        </w:r>
                        <w:r>
                          <w:rPr>
                            <w:color w:val="3F3E45"/>
                            <w:position w:val="7"/>
                            <w:sz w:val="11"/>
                          </w:rPr>
                          <w:t>1</w:t>
                        </w:r>
                        <w:r>
                          <w:rPr>
                            <w:color w:val="3F3E45"/>
                            <w:spacing w:val="-7"/>
                            <w:position w:val="7"/>
                            <w:sz w:val="11"/>
                          </w:rPr>
                          <w:t xml:space="preserve"> </w:t>
                        </w:r>
                        <w:r>
                          <w:rPr>
                            <w:color w:val="3F3E45"/>
                            <w:sz w:val="20"/>
                          </w:rPr>
                          <w:t>or</w:t>
                        </w:r>
                        <w:r>
                          <w:rPr>
                            <w:color w:val="3F3E45"/>
                            <w:spacing w:val="-12"/>
                            <w:sz w:val="20"/>
                          </w:rPr>
                          <w:t xml:space="preserve"> </w:t>
                        </w:r>
                        <w:r>
                          <w:rPr>
                            <w:color w:val="3F3E45"/>
                            <w:sz w:val="20"/>
                          </w:rPr>
                          <w:t>disproportionately high morbidity and mortality rates.</w:t>
                        </w:r>
                        <w:r>
                          <w:rPr>
                            <w:color w:val="3F3E45"/>
                            <w:position w:val="7"/>
                            <w:sz w:val="11"/>
                          </w:rPr>
                          <w:t>2</w:t>
                        </w:r>
                      </w:p>
                      <w:p w14:paraId="1C34F258" w14:textId="77777777" w:rsidR="004C558F" w:rsidRDefault="00461887">
                        <w:pPr>
                          <w:numPr>
                            <w:ilvl w:val="0"/>
                            <w:numId w:val="4"/>
                          </w:numPr>
                          <w:tabs>
                            <w:tab w:val="left" w:pos="396"/>
                            <w:tab w:val="left" w:pos="398"/>
                          </w:tabs>
                          <w:spacing w:line="254" w:lineRule="auto"/>
                          <w:ind w:right="547" w:hanging="201"/>
                          <w:jc w:val="both"/>
                          <w:rPr>
                            <w:sz w:val="11"/>
                          </w:rPr>
                        </w:pPr>
                        <w:r>
                          <w:rPr>
                            <w:color w:val="3F3E45"/>
                            <w:sz w:val="20"/>
                          </w:rPr>
                          <w:t>A</w:t>
                        </w:r>
                        <w:r>
                          <w:rPr>
                            <w:color w:val="3F3E45"/>
                            <w:spacing w:val="-2"/>
                            <w:sz w:val="20"/>
                          </w:rPr>
                          <w:t xml:space="preserve"> </w:t>
                        </w:r>
                        <w:r>
                          <w:rPr>
                            <w:color w:val="3F3E45"/>
                            <w:sz w:val="20"/>
                          </w:rPr>
                          <w:t>provider’s</w:t>
                        </w:r>
                        <w:r>
                          <w:rPr>
                            <w:color w:val="3F3E45"/>
                            <w:spacing w:val="-2"/>
                            <w:sz w:val="20"/>
                          </w:rPr>
                          <w:t xml:space="preserve"> </w:t>
                        </w:r>
                        <w:r>
                          <w:rPr>
                            <w:color w:val="3F3E45"/>
                            <w:sz w:val="20"/>
                          </w:rPr>
                          <w:t>payer</w:t>
                        </w:r>
                        <w:r>
                          <w:rPr>
                            <w:color w:val="3F3E45"/>
                            <w:spacing w:val="-2"/>
                            <w:sz w:val="20"/>
                          </w:rPr>
                          <w:t xml:space="preserve"> </w:t>
                        </w:r>
                        <w:r>
                          <w:rPr>
                            <w:color w:val="3F3E45"/>
                            <w:sz w:val="20"/>
                          </w:rPr>
                          <w:t>mix</w:t>
                        </w:r>
                        <w:r>
                          <w:rPr>
                            <w:color w:val="3F3E45"/>
                            <w:spacing w:val="-2"/>
                            <w:sz w:val="20"/>
                          </w:rPr>
                          <w:t xml:space="preserve"> </w:t>
                        </w:r>
                        <w:r>
                          <w:rPr>
                            <w:color w:val="3F3E45"/>
                            <w:sz w:val="20"/>
                          </w:rPr>
                          <w:t>may</w:t>
                        </w:r>
                        <w:r>
                          <w:rPr>
                            <w:color w:val="3F3E45"/>
                            <w:spacing w:val="-2"/>
                            <w:sz w:val="20"/>
                          </w:rPr>
                          <w:t xml:space="preserve"> </w:t>
                        </w:r>
                        <w:r>
                          <w:rPr>
                            <w:color w:val="3F3E45"/>
                            <w:sz w:val="20"/>
                          </w:rPr>
                          <w:t>impact</w:t>
                        </w:r>
                        <w:r>
                          <w:rPr>
                            <w:color w:val="3F3E45"/>
                            <w:spacing w:val="-2"/>
                            <w:sz w:val="20"/>
                          </w:rPr>
                          <w:t xml:space="preserve"> </w:t>
                        </w:r>
                        <w:r>
                          <w:rPr>
                            <w:color w:val="3F3E45"/>
                            <w:sz w:val="20"/>
                          </w:rPr>
                          <w:t>its</w:t>
                        </w:r>
                        <w:r>
                          <w:rPr>
                            <w:color w:val="3F3E45"/>
                            <w:spacing w:val="-2"/>
                            <w:sz w:val="20"/>
                          </w:rPr>
                          <w:t xml:space="preserve"> </w:t>
                        </w:r>
                        <w:r>
                          <w:rPr>
                            <w:color w:val="3F3E45"/>
                            <w:sz w:val="20"/>
                          </w:rPr>
                          <w:t xml:space="preserve">financial </w:t>
                        </w:r>
                        <w:r>
                          <w:rPr>
                            <w:color w:val="3F3E45"/>
                            <w:spacing w:val="-2"/>
                            <w:sz w:val="20"/>
                          </w:rPr>
                          <w:t>and</w:t>
                        </w:r>
                        <w:r>
                          <w:rPr>
                            <w:color w:val="3F3E45"/>
                            <w:spacing w:val="-11"/>
                            <w:sz w:val="20"/>
                          </w:rPr>
                          <w:t xml:space="preserve"> </w:t>
                        </w:r>
                        <w:r>
                          <w:rPr>
                            <w:color w:val="3F3E45"/>
                            <w:spacing w:val="-2"/>
                            <w:sz w:val="20"/>
                          </w:rPr>
                          <w:t>quality</w:t>
                        </w:r>
                        <w:r>
                          <w:rPr>
                            <w:color w:val="3F3E45"/>
                            <w:spacing w:val="-10"/>
                            <w:sz w:val="20"/>
                          </w:rPr>
                          <w:t xml:space="preserve"> </w:t>
                        </w:r>
                        <w:r>
                          <w:rPr>
                            <w:color w:val="3F3E45"/>
                            <w:spacing w:val="-2"/>
                            <w:sz w:val="20"/>
                          </w:rPr>
                          <w:t>performance</w:t>
                        </w:r>
                        <w:r>
                          <w:rPr>
                            <w:color w:val="3F3E45"/>
                            <w:spacing w:val="-11"/>
                            <w:sz w:val="20"/>
                          </w:rPr>
                          <w:t xml:space="preserve"> </w:t>
                        </w:r>
                        <w:r>
                          <w:rPr>
                            <w:color w:val="3F3E45"/>
                            <w:spacing w:val="-2"/>
                            <w:sz w:val="20"/>
                          </w:rPr>
                          <w:t>due</w:t>
                        </w:r>
                        <w:r>
                          <w:rPr>
                            <w:color w:val="3F3E45"/>
                            <w:spacing w:val="-10"/>
                            <w:sz w:val="20"/>
                          </w:rPr>
                          <w:t xml:space="preserve"> </w:t>
                        </w:r>
                        <w:r>
                          <w:rPr>
                            <w:color w:val="3F3E45"/>
                            <w:spacing w:val="-2"/>
                            <w:sz w:val="20"/>
                          </w:rPr>
                          <w:t>to</w:t>
                        </w:r>
                        <w:r>
                          <w:rPr>
                            <w:color w:val="3F3E45"/>
                            <w:spacing w:val="-11"/>
                            <w:sz w:val="20"/>
                          </w:rPr>
                          <w:t xml:space="preserve"> </w:t>
                        </w:r>
                        <w:r>
                          <w:rPr>
                            <w:color w:val="3F3E45"/>
                            <w:spacing w:val="-2"/>
                            <w:sz w:val="20"/>
                          </w:rPr>
                          <w:t>lower</w:t>
                        </w:r>
                        <w:r>
                          <w:rPr>
                            <w:color w:val="3F3E45"/>
                            <w:spacing w:val="-10"/>
                            <w:sz w:val="20"/>
                          </w:rPr>
                          <w:t xml:space="preserve"> </w:t>
                        </w:r>
                        <w:r>
                          <w:rPr>
                            <w:color w:val="3F3E45"/>
                            <w:spacing w:val="-2"/>
                            <w:sz w:val="20"/>
                          </w:rPr>
                          <w:t xml:space="preserve">payments </w:t>
                        </w:r>
                        <w:r>
                          <w:rPr>
                            <w:color w:val="3F3E45"/>
                            <w:sz w:val="20"/>
                          </w:rPr>
                          <w:t>by government payers relative to commercial payers</w:t>
                        </w:r>
                        <w:r>
                          <w:rPr>
                            <w:color w:val="3F3E45"/>
                            <w:position w:val="7"/>
                            <w:sz w:val="11"/>
                          </w:rPr>
                          <w:t>3</w:t>
                        </w:r>
                        <w:r>
                          <w:rPr>
                            <w:color w:val="3F3E45"/>
                            <w:spacing w:val="10"/>
                            <w:position w:val="7"/>
                            <w:sz w:val="11"/>
                          </w:rPr>
                          <w:t xml:space="preserve"> </w:t>
                        </w:r>
                        <w:r>
                          <w:rPr>
                            <w:color w:val="3F3E45"/>
                            <w:sz w:val="20"/>
                          </w:rPr>
                          <w:t>and</w:t>
                        </w:r>
                        <w:r>
                          <w:rPr>
                            <w:color w:val="3F3E45"/>
                            <w:spacing w:val="-13"/>
                            <w:sz w:val="20"/>
                          </w:rPr>
                          <w:t xml:space="preserve"> </w:t>
                        </w:r>
                        <w:r>
                          <w:rPr>
                            <w:color w:val="3F3E45"/>
                            <w:sz w:val="20"/>
                          </w:rPr>
                          <w:t>socioeconomic</w:t>
                        </w:r>
                        <w:r>
                          <w:rPr>
                            <w:color w:val="3F3E45"/>
                            <w:spacing w:val="-12"/>
                            <w:sz w:val="20"/>
                          </w:rPr>
                          <w:t xml:space="preserve"> </w:t>
                        </w:r>
                        <w:r>
                          <w:rPr>
                            <w:color w:val="3F3E45"/>
                            <w:sz w:val="20"/>
                          </w:rPr>
                          <w:t>factors</w:t>
                        </w:r>
                        <w:r>
                          <w:rPr>
                            <w:color w:val="3F3E45"/>
                            <w:spacing w:val="-13"/>
                            <w:sz w:val="20"/>
                          </w:rPr>
                          <w:t xml:space="preserve"> </w:t>
                        </w:r>
                        <w:r>
                          <w:rPr>
                            <w:color w:val="3F3E45"/>
                            <w:sz w:val="20"/>
                          </w:rPr>
                          <w:t>that</w:t>
                        </w:r>
                        <w:r>
                          <w:rPr>
                            <w:color w:val="3F3E45"/>
                            <w:spacing w:val="-12"/>
                            <w:sz w:val="20"/>
                          </w:rPr>
                          <w:t xml:space="preserve"> </w:t>
                        </w:r>
                        <w:proofErr w:type="spellStart"/>
                        <w:r>
                          <w:rPr>
                            <w:color w:val="3F3E45"/>
                            <w:sz w:val="20"/>
                          </w:rPr>
                          <w:t>dispro</w:t>
                        </w:r>
                        <w:proofErr w:type="spellEnd"/>
                        <w:r>
                          <w:rPr>
                            <w:color w:val="3F3E45"/>
                            <w:sz w:val="20"/>
                          </w:rPr>
                          <w:t xml:space="preserve">- </w:t>
                        </w:r>
                        <w:proofErr w:type="spellStart"/>
                        <w:r>
                          <w:rPr>
                            <w:color w:val="3F3E45"/>
                            <w:sz w:val="20"/>
                          </w:rPr>
                          <w:t>portionately</w:t>
                        </w:r>
                        <w:proofErr w:type="spellEnd"/>
                        <w:r>
                          <w:rPr>
                            <w:color w:val="3F3E45"/>
                            <w:sz w:val="20"/>
                          </w:rPr>
                          <w:t xml:space="preserve"> impact the complexity and health </w:t>
                        </w:r>
                        <w:r>
                          <w:rPr>
                            <w:color w:val="3F3E45"/>
                            <w:spacing w:val="-6"/>
                            <w:sz w:val="20"/>
                          </w:rPr>
                          <w:t xml:space="preserve">outcomes of government payer patients. This can </w:t>
                        </w:r>
                        <w:r>
                          <w:rPr>
                            <w:color w:val="3F3E45"/>
                            <w:sz w:val="20"/>
                          </w:rPr>
                          <w:t xml:space="preserve">incentivize providers to try to attract </w:t>
                        </w:r>
                        <w:proofErr w:type="spellStart"/>
                        <w:r>
                          <w:rPr>
                            <w:color w:val="3F3E45"/>
                            <w:sz w:val="20"/>
                          </w:rPr>
                          <w:t>commer</w:t>
                        </w:r>
                        <w:proofErr w:type="spellEnd"/>
                        <w:r>
                          <w:rPr>
                            <w:color w:val="3F3E45"/>
                            <w:sz w:val="20"/>
                          </w:rPr>
                          <w:t xml:space="preserve">- </w:t>
                        </w:r>
                        <w:proofErr w:type="spellStart"/>
                        <w:r>
                          <w:rPr>
                            <w:color w:val="3F3E45"/>
                            <w:sz w:val="20"/>
                          </w:rPr>
                          <w:t>cial</w:t>
                        </w:r>
                        <w:proofErr w:type="spellEnd"/>
                        <w:r>
                          <w:rPr>
                            <w:color w:val="3F3E45"/>
                            <w:sz w:val="20"/>
                          </w:rPr>
                          <w:t xml:space="preserve"> patients rather than focusing on Medicaid </w:t>
                        </w:r>
                        <w:r>
                          <w:rPr>
                            <w:color w:val="3F3E45"/>
                            <w:spacing w:val="-2"/>
                            <w:sz w:val="20"/>
                          </w:rPr>
                          <w:t>patients.</w:t>
                        </w:r>
                        <w:r>
                          <w:rPr>
                            <w:color w:val="3F3E45"/>
                            <w:spacing w:val="-2"/>
                            <w:position w:val="7"/>
                            <w:sz w:val="11"/>
                          </w:rPr>
                          <w:t>4</w:t>
                        </w:r>
                      </w:p>
                    </w:txbxContent>
                  </v:textbox>
                </v:shape>
                <w10:wrap anchorx="page"/>
              </v:group>
            </w:pict>
          </mc:Fallback>
        </mc:AlternateContent>
      </w:r>
      <w:r>
        <w:rPr>
          <w:noProof/>
        </w:rPr>
        <mc:AlternateContent>
          <mc:Choice Requires="wpg">
            <w:drawing>
              <wp:anchor distT="0" distB="0" distL="0" distR="0" simplePos="0" relativeHeight="251612160" behindDoc="0" locked="0" layoutInCell="1" allowOverlap="1" wp14:anchorId="1C34F16C" wp14:editId="02F5B4C8">
                <wp:simplePos x="0" y="0"/>
                <wp:positionH relativeFrom="page">
                  <wp:posOffset>3659632</wp:posOffset>
                </wp:positionH>
                <wp:positionV relativeFrom="paragraph">
                  <wp:posOffset>488695</wp:posOffset>
                </wp:positionV>
                <wp:extent cx="3757929" cy="5223510"/>
                <wp:effectExtent l="0" t="0" r="0" b="0"/>
                <wp:wrapNone/>
                <wp:docPr id="557" name="Group 557" descr="Race/Ethnic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7929" cy="5223510"/>
                          <a:chOff x="0" y="0"/>
                          <a:chExt cx="3757929" cy="5223510"/>
                        </a:xfrm>
                      </wpg:grpSpPr>
                      <wps:wsp>
                        <wps:cNvPr id="558" name="Graphic 558"/>
                        <wps:cNvSpPr/>
                        <wps:spPr>
                          <a:xfrm>
                            <a:off x="18033" y="20574"/>
                            <a:ext cx="3740150" cy="5203190"/>
                          </a:xfrm>
                          <a:custGeom>
                            <a:avLst/>
                            <a:gdLst/>
                            <a:ahLst/>
                            <a:cxnLst/>
                            <a:rect l="l" t="t" r="r" b="b"/>
                            <a:pathLst>
                              <a:path w="3740150" h="5203190">
                                <a:moveTo>
                                  <a:pt x="3739895" y="0"/>
                                </a:moveTo>
                                <a:lnTo>
                                  <a:pt x="0" y="0"/>
                                </a:lnTo>
                                <a:lnTo>
                                  <a:pt x="0" y="5202936"/>
                                </a:lnTo>
                                <a:lnTo>
                                  <a:pt x="3739895" y="5202936"/>
                                </a:lnTo>
                                <a:lnTo>
                                  <a:pt x="3739895" y="0"/>
                                </a:lnTo>
                                <a:close/>
                              </a:path>
                            </a:pathLst>
                          </a:custGeom>
                          <a:solidFill>
                            <a:srgbClr val="000000">
                              <a:alpha val="13998"/>
                            </a:srgbClr>
                          </a:solidFill>
                        </wps:spPr>
                        <wps:bodyPr wrap="square" lIns="0" tIns="0" rIns="0" bIns="0" rtlCol="0">
                          <a:prstTxWarp prst="textNoShape">
                            <a:avLst/>
                          </a:prstTxWarp>
                          <a:noAutofit/>
                        </wps:bodyPr>
                      </wps:wsp>
                      <wps:wsp>
                        <wps:cNvPr id="559" name="Graphic 559"/>
                        <wps:cNvSpPr/>
                        <wps:spPr>
                          <a:xfrm>
                            <a:off x="6350" y="6350"/>
                            <a:ext cx="3588385" cy="5055235"/>
                          </a:xfrm>
                          <a:custGeom>
                            <a:avLst/>
                            <a:gdLst/>
                            <a:ahLst/>
                            <a:cxnLst/>
                            <a:rect l="l" t="t" r="r" b="b"/>
                            <a:pathLst>
                              <a:path w="3588385" h="5055235">
                                <a:moveTo>
                                  <a:pt x="3435604" y="0"/>
                                </a:moveTo>
                                <a:lnTo>
                                  <a:pt x="152400" y="0"/>
                                </a:lnTo>
                                <a:lnTo>
                                  <a:pt x="104231" y="7769"/>
                                </a:lnTo>
                                <a:lnTo>
                                  <a:pt x="62396" y="29405"/>
                                </a:lnTo>
                                <a:lnTo>
                                  <a:pt x="29405" y="62396"/>
                                </a:lnTo>
                                <a:lnTo>
                                  <a:pt x="7769" y="104231"/>
                                </a:lnTo>
                                <a:lnTo>
                                  <a:pt x="0" y="152400"/>
                                </a:lnTo>
                                <a:lnTo>
                                  <a:pt x="0" y="4902708"/>
                                </a:lnTo>
                                <a:lnTo>
                                  <a:pt x="7769" y="4950876"/>
                                </a:lnTo>
                                <a:lnTo>
                                  <a:pt x="29405" y="4992711"/>
                                </a:lnTo>
                                <a:lnTo>
                                  <a:pt x="62396" y="5025702"/>
                                </a:lnTo>
                                <a:lnTo>
                                  <a:pt x="104231" y="5047338"/>
                                </a:lnTo>
                                <a:lnTo>
                                  <a:pt x="152400" y="5055108"/>
                                </a:lnTo>
                                <a:lnTo>
                                  <a:pt x="3435604" y="5055108"/>
                                </a:lnTo>
                                <a:lnTo>
                                  <a:pt x="3483772" y="5047338"/>
                                </a:lnTo>
                                <a:lnTo>
                                  <a:pt x="3525607" y="5025702"/>
                                </a:lnTo>
                                <a:lnTo>
                                  <a:pt x="3558598" y="4992711"/>
                                </a:lnTo>
                                <a:lnTo>
                                  <a:pt x="3580234" y="4950876"/>
                                </a:lnTo>
                                <a:lnTo>
                                  <a:pt x="3588004" y="4902708"/>
                                </a:lnTo>
                                <a:lnTo>
                                  <a:pt x="3588004" y="152400"/>
                                </a:lnTo>
                                <a:lnTo>
                                  <a:pt x="3580234" y="104231"/>
                                </a:lnTo>
                                <a:lnTo>
                                  <a:pt x="3558598" y="62396"/>
                                </a:lnTo>
                                <a:lnTo>
                                  <a:pt x="3525607" y="29405"/>
                                </a:lnTo>
                                <a:lnTo>
                                  <a:pt x="3483772" y="7769"/>
                                </a:lnTo>
                                <a:lnTo>
                                  <a:pt x="3435604" y="0"/>
                                </a:lnTo>
                                <a:close/>
                              </a:path>
                            </a:pathLst>
                          </a:custGeom>
                          <a:solidFill>
                            <a:srgbClr val="FFFFFF"/>
                          </a:solidFill>
                        </wps:spPr>
                        <wps:bodyPr wrap="square" lIns="0" tIns="0" rIns="0" bIns="0" rtlCol="0">
                          <a:prstTxWarp prst="textNoShape">
                            <a:avLst/>
                          </a:prstTxWarp>
                          <a:noAutofit/>
                        </wps:bodyPr>
                      </wps:wsp>
                      <wps:wsp>
                        <wps:cNvPr id="560" name="Graphic 560"/>
                        <wps:cNvSpPr/>
                        <wps:spPr>
                          <a:xfrm>
                            <a:off x="6349" y="6349"/>
                            <a:ext cx="3588385" cy="1141095"/>
                          </a:xfrm>
                          <a:custGeom>
                            <a:avLst/>
                            <a:gdLst/>
                            <a:ahLst/>
                            <a:cxnLst/>
                            <a:rect l="l" t="t" r="r" b="b"/>
                            <a:pathLst>
                              <a:path w="3588385" h="1141095">
                                <a:moveTo>
                                  <a:pt x="3435603" y="0"/>
                                </a:moveTo>
                                <a:lnTo>
                                  <a:pt x="152400" y="0"/>
                                </a:lnTo>
                                <a:lnTo>
                                  <a:pt x="104231" y="7769"/>
                                </a:lnTo>
                                <a:lnTo>
                                  <a:pt x="62396" y="29405"/>
                                </a:lnTo>
                                <a:lnTo>
                                  <a:pt x="29405" y="62396"/>
                                </a:lnTo>
                                <a:lnTo>
                                  <a:pt x="7769" y="104231"/>
                                </a:lnTo>
                                <a:lnTo>
                                  <a:pt x="0" y="152400"/>
                                </a:lnTo>
                                <a:lnTo>
                                  <a:pt x="0" y="485261"/>
                                </a:lnTo>
                                <a:lnTo>
                                  <a:pt x="34517" y="504921"/>
                                </a:lnTo>
                                <a:lnTo>
                                  <a:pt x="76929" y="528193"/>
                                </a:lnTo>
                                <a:lnTo>
                                  <a:pt x="120477" y="551227"/>
                                </a:lnTo>
                                <a:lnTo>
                                  <a:pt x="165139" y="574012"/>
                                </a:lnTo>
                                <a:lnTo>
                                  <a:pt x="210896" y="596534"/>
                                </a:lnTo>
                                <a:lnTo>
                                  <a:pt x="257724" y="618784"/>
                                </a:lnTo>
                                <a:lnTo>
                                  <a:pt x="305604" y="640747"/>
                                </a:lnTo>
                                <a:lnTo>
                                  <a:pt x="354515" y="662413"/>
                                </a:lnTo>
                                <a:lnTo>
                                  <a:pt x="404435" y="683769"/>
                                </a:lnTo>
                                <a:lnTo>
                                  <a:pt x="455344" y="704804"/>
                                </a:lnTo>
                                <a:lnTo>
                                  <a:pt x="507220" y="725505"/>
                                </a:lnTo>
                                <a:lnTo>
                                  <a:pt x="560043" y="745860"/>
                                </a:lnTo>
                                <a:lnTo>
                                  <a:pt x="613791" y="765858"/>
                                </a:lnTo>
                                <a:lnTo>
                                  <a:pt x="668443" y="785487"/>
                                </a:lnTo>
                                <a:lnTo>
                                  <a:pt x="723979" y="804734"/>
                                </a:lnTo>
                                <a:lnTo>
                                  <a:pt x="780377" y="823588"/>
                                </a:lnTo>
                                <a:lnTo>
                                  <a:pt x="837616" y="842037"/>
                                </a:lnTo>
                                <a:lnTo>
                                  <a:pt x="895676" y="860068"/>
                                </a:lnTo>
                                <a:lnTo>
                                  <a:pt x="954534" y="877669"/>
                                </a:lnTo>
                                <a:lnTo>
                                  <a:pt x="1014172" y="894830"/>
                                </a:lnTo>
                                <a:lnTo>
                                  <a:pt x="1074566" y="911537"/>
                                </a:lnTo>
                                <a:lnTo>
                                  <a:pt x="1135696" y="927779"/>
                                </a:lnTo>
                                <a:lnTo>
                                  <a:pt x="1197542" y="943543"/>
                                </a:lnTo>
                                <a:lnTo>
                                  <a:pt x="1260082" y="958819"/>
                                </a:lnTo>
                                <a:lnTo>
                                  <a:pt x="1323295" y="973593"/>
                                </a:lnTo>
                                <a:lnTo>
                                  <a:pt x="1387160" y="987854"/>
                                </a:lnTo>
                                <a:lnTo>
                                  <a:pt x="1451656" y="1001590"/>
                                </a:lnTo>
                                <a:lnTo>
                                  <a:pt x="1516762" y="1014789"/>
                                </a:lnTo>
                                <a:lnTo>
                                  <a:pt x="1582457" y="1027438"/>
                                </a:lnTo>
                                <a:lnTo>
                                  <a:pt x="1648721" y="1039527"/>
                                </a:lnTo>
                                <a:lnTo>
                                  <a:pt x="1715531" y="1051043"/>
                                </a:lnTo>
                                <a:lnTo>
                                  <a:pt x="1782451" y="1061906"/>
                                </a:lnTo>
                                <a:lnTo>
                                  <a:pt x="1849040" y="1072050"/>
                                </a:lnTo>
                                <a:lnTo>
                                  <a:pt x="1981131" y="1090196"/>
                                </a:lnTo>
                                <a:lnTo>
                                  <a:pt x="2111615" y="1105515"/>
                                </a:lnTo>
                                <a:lnTo>
                                  <a:pt x="2176194" y="1112126"/>
                                </a:lnTo>
                                <a:lnTo>
                                  <a:pt x="2240300" y="1118044"/>
                                </a:lnTo>
                                <a:lnTo>
                                  <a:pt x="2303909" y="1123274"/>
                                </a:lnTo>
                                <a:lnTo>
                                  <a:pt x="2366997" y="1127819"/>
                                </a:lnTo>
                                <a:lnTo>
                                  <a:pt x="2429540" y="1131685"/>
                                </a:lnTo>
                                <a:lnTo>
                                  <a:pt x="2491515" y="1134876"/>
                                </a:lnTo>
                                <a:lnTo>
                                  <a:pt x="2552898" y="1137396"/>
                                </a:lnTo>
                                <a:lnTo>
                                  <a:pt x="2613665" y="1139249"/>
                                </a:lnTo>
                                <a:lnTo>
                                  <a:pt x="2673792" y="1140441"/>
                                </a:lnTo>
                                <a:lnTo>
                                  <a:pt x="2733256" y="1140976"/>
                                </a:lnTo>
                                <a:lnTo>
                                  <a:pt x="2783092" y="1140976"/>
                                </a:lnTo>
                                <a:lnTo>
                                  <a:pt x="2850098" y="1140092"/>
                                </a:lnTo>
                                <a:lnTo>
                                  <a:pt x="2907428" y="1138682"/>
                                </a:lnTo>
                                <a:lnTo>
                                  <a:pt x="2964000" y="1136632"/>
                                </a:lnTo>
                                <a:lnTo>
                                  <a:pt x="3019789" y="1133948"/>
                                </a:lnTo>
                                <a:lnTo>
                                  <a:pt x="3074773" y="1130634"/>
                                </a:lnTo>
                                <a:lnTo>
                                  <a:pt x="3128926" y="1126693"/>
                                </a:lnTo>
                                <a:lnTo>
                                  <a:pt x="3182226" y="1122131"/>
                                </a:lnTo>
                                <a:lnTo>
                                  <a:pt x="3234648" y="1116952"/>
                                </a:lnTo>
                                <a:lnTo>
                                  <a:pt x="3286168" y="1111161"/>
                                </a:lnTo>
                                <a:lnTo>
                                  <a:pt x="3336764" y="1104762"/>
                                </a:lnTo>
                                <a:lnTo>
                                  <a:pt x="3386411" y="1097759"/>
                                </a:lnTo>
                                <a:lnTo>
                                  <a:pt x="3434840" y="1090196"/>
                                </a:lnTo>
                                <a:lnTo>
                                  <a:pt x="3482763" y="1081961"/>
                                </a:lnTo>
                                <a:lnTo>
                                  <a:pt x="3529421" y="1073174"/>
                                </a:lnTo>
                                <a:lnTo>
                                  <a:pt x="3575035" y="1063803"/>
                                </a:lnTo>
                                <a:lnTo>
                                  <a:pt x="3588003" y="1060905"/>
                                </a:lnTo>
                                <a:lnTo>
                                  <a:pt x="3588003" y="152400"/>
                                </a:lnTo>
                                <a:lnTo>
                                  <a:pt x="3580234" y="104231"/>
                                </a:lnTo>
                                <a:lnTo>
                                  <a:pt x="3558598" y="62396"/>
                                </a:lnTo>
                                <a:lnTo>
                                  <a:pt x="3525607" y="29405"/>
                                </a:lnTo>
                                <a:lnTo>
                                  <a:pt x="3483772" y="7769"/>
                                </a:lnTo>
                                <a:lnTo>
                                  <a:pt x="3435603" y="0"/>
                                </a:lnTo>
                                <a:close/>
                              </a:path>
                            </a:pathLst>
                          </a:custGeom>
                          <a:solidFill>
                            <a:srgbClr val="339EC6"/>
                          </a:solidFill>
                        </wps:spPr>
                        <wps:bodyPr wrap="square" lIns="0" tIns="0" rIns="0" bIns="0" rtlCol="0">
                          <a:prstTxWarp prst="textNoShape">
                            <a:avLst/>
                          </a:prstTxWarp>
                          <a:noAutofit/>
                        </wps:bodyPr>
                      </wps:wsp>
                      <wps:wsp>
                        <wps:cNvPr id="561" name="Graphic 561"/>
                        <wps:cNvSpPr/>
                        <wps:spPr>
                          <a:xfrm>
                            <a:off x="6350" y="6349"/>
                            <a:ext cx="3588385" cy="1052830"/>
                          </a:xfrm>
                          <a:custGeom>
                            <a:avLst/>
                            <a:gdLst/>
                            <a:ahLst/>
                            <a:cxnLst/>
                            <a:rect l="l" t="t" r="r" b="b"/>
                            <a:pathLst>
                              <a:path w="3588385" h="1052830">
                                <a:moveTo>
                                  <a:pt x="3435603" y="0"/>
                                </a:moveTo>
                                <a:lnTo>
                                  <a:pt x="152400" y="0"/>
                                </a:lnTo>
                                <a:lnTo>
                                  <a:pt x="104231" y="7769"/>
                                </a:lnTo>
                                <a:lnTo>
                                  <a:pt x="62396" y="29405"/>
                                </a:lnTo>
                                <a:lnTo>
                                  <a:pt x="29405" y="62396"/>
                                </a:lnTo>
                                <a:lnTo>
                                  <a:pt x="7769" y="104231"/>
                                </a:lnTo>
                                <a:lnTo>
                                  <a:pt x="0" y="152400"/>
                                </a:lnTo>
                                <a:lnTo>
                                  <a:pt x="0" y="466442"/>
                                </a:lnTo>
                                <a:lnTo>
                                  <a:pt x="37106" y="485372"/>
                                </a:lnTo>
                                <a:lnTo>
                                  <a:pt x="82861" y="507895"/>
                                </a:lnTo>
                                <a:lnTo>
                                  <a:pt x="129690" y="530144"/>
                                </a:lnTo>
                                <a:lnTo>
                                  <a:pt x="177570" y="552107"/>
                                </a:lnTo>
                                <a:lnTo>
                                  <a:pt x="226481" y="573773"/>
                                </a:lnTo>
                                <a:lnTo>
                                  <a:pt x="276401" y="595129"/>
                                </a:lnTo>
                                <a:lnTo>
                                  <a:pt x="327310" y="616164"/>
                                </a:lnTo>
                                <a:lnTo>
                                  <a:pt x="379186" y="636865"/>
                                </a:lnTo>
                                <a:lnTo>
                                  <a:pt x="432008" y="657221"/>
                                </a:lnTo>
                                <a:lnTo>
                                  <a:pt x="485756" y="677219"/>
                                </a:lnTo>
                                <a:lnTo>
                                  <a:pt x="540409" y="696847"/>
                                </a:lnTo>
                                <a:lnTo>
                                  <a:pt x="595944" y="716095"/>
                                </a:lnTo>
                                <a:lnTo>
                                  <a:pt x="652343" y="734948"/>
                                </a:lnTo>
                                <a:lnTo>
                                  <a:pt x="709582" y="753397"/>
                                </a:lnTo>
                                <a:lnTo>
                                  <a:pt x="767642" y="771428"/>
                                </a:lnTo>
                                <a:lnTo>
                                  <a:pt x="826501" y="789030"/>
                                </a:lnTo>
                                <a:lnTo>
                                  <a:pt x="886138" y="806190"/>
                                </a:lnTo>
                                <a:lnTo>
                                  <a:pt x="946533" y="822897"/>
                                </a:lnTo>
                                <a:lnTo>
                                  <a:pt x="1007664" y="839139"/>
                                </a:lnTo>
                                <a:lnTo>
                                  <a:pt x="1069510" y="854904"/>
                                </a:lnTo>
                                <a:lnTo>
                                  <a:pt x="1132050" y="870179"/>
                                </a:lnTo>
                                <a:lnTo>
                                  <a:pt x="1195263" y="884953"/>
                                </a:lnTo>
                                <a:lnTo>
                                  <a:pt x="1259129" y="899214"/>
                                </a:lnTo>
                                <a:lnTo>
                                  <a:pt x="1323625" y="912950"/>
                                </a:lnTo>
                                <a:lnTo>
                                  <a:pt x="1388732" y="926149"/>
                                </a:lnTo>
                                <a:lnTo>
                                  <a:pt x="1454428" y="938799"/>
                                </a:lnTo>
                                <a:lnTo>
                                  <a:pt x="1520691" y="950887"/>
                                </a:lnTo>
                                <a:lnTo>
                                  <a:pt x="1587502" y="962403"/>
                                </a:lnTo>
                                <a:lnTo>
                                  <a:pt x="1654421" y="973267"/>
                                </a:lnTo>
                                <a:lnTo>
                                  <a:pt x="1721010" y="983410"/>
                                </a:lnTo>
                                <a:lnTo>
                                  <a:pt x="1853100" y="1001556"/>
                                </a:lnTo>
                                <a:lnTo>
                                  <a:pt x="1983583" y="1016875"/>
                                </a:lnTo>
                                <a:lnTo>
                                  <a:pt x="2048162" y="1023487"/>
                                </a:lnTo>
                                <a:lnTo>
                                  <a:pt x="2112267" y="1029405"/>
                                </a:lnTo>
                                <a:lnTo>
                                  <a:pt x="2175876" y="1034634"/>
                                </a:lnTo>
                                <a:lnTo>
                                  <a:pt x="2238964" y="1039180"/>
                                </a:lnTo>
                                <a:lnTo>
                                  <a:pt x="2301507" y="1043045"/>
                                </a:lnTo>
                                <a:lnTo>
                                  <a:pt x="2363482" y="1046236"/>
                                </a:lnTo>
                                <a:lnTo>
                                  <a:pt x="2424865" y="1048756"/>
                                </a:lnTo>
                                <a:lnTo>
                                  <a:pt x="2485631" y="1050610"/>
                                </a:lnTo>
                                <a:lnTo>
                                  <a:pt x="2545758" y="1051802"/>
                                </a:lnTo>
                                <a:lnTo>
                                  <a:pt x="2605222" y="1052337"/>
                                </a:lnTo>
                                <a:lnTo>
                                  <a:pt x="2655058" y="1052337"/>
                                </a:lnTo>
                                <a:lnTo>
                                  <a:pt x="2722063" y="1051452"/>
                                </a:lnTo>
                                <a:lnTo>
                                  <a:pt x="2779394" y="1050042"/>
                                </a:lnTo>
                                <a:lnTo>
                                  <a:pt x="2835966" y="1047993"/>
                                </a:lnTo>
                                <a:lnTo>
                                  <a:pt x="2891755" y="1045309"/>
                                </a:lnTo>
                                <a:lnTo>
                                  <a:pt x="2946738" y="1041994"/>
                                </a:lnTo>
                                <a:lnTo>
                                  <a:pt x="3000892" y="1038053"/>
                                </a:lnTo>
                                <a:lnTo>
                                  <a:pt x="3054191" y="1033492"/>
                                </a:lnTo>
                                <a:lnTo>
                                  <a:pt x="3106613" y="1028313"/>
                                </a:lnTo>
                                <a:lnTo>
                                  <a:pt x="3158134" y="1022521"/>
                                </a:lnTo>
                                <a:lnTo>
                                  <a:pt x="3208730" y="1016122"/>
                                </a:lnTo>
                                <a:lnTo>
                                  <a:pt x="3258377" y="1009119"/>
                                </a:lnTo>
                                <a:lnTo>
                                  <a:pt x="3306806" y="1001556"/>
                                </a:lnTo>
                                <a:lnTo>
                                  <a:pt x="3354730" y="993321"/>
                                </a:lnTo>
                                <a:lnTo>
                                  <a:pt x="3401388" y="984535"/>
                                </a:lnTo>
                                <a:lnTo>
                                  <a:pt x="3447002" y="975163"/>
                                </a:lnTo>
                                <a:lnTo>
                                  <a:pt x="3491548" y="965210"/>
                                </a:lnTo>
                                <a:lnTo>
                                  <a:pt x="3535003" y="954680"/>
                                </a:lnTo>
                                <a:lnTo>
                                  <a:pt x="3577342" y="943578"/>
                                </a:lnTo>
                                <a:lnTo>
                                  <a:pt x="3588003" y="940559"/>
                                </a:lnTo>
                                <a:lnTo>
                                  <a:pt x="3588003" y="152400"/>
                                </a:lnTo>
                                <a:lnTo>
                                  <a:pt x="3580234" y="104231"/>
                                </a:lnTo>
                                <a:lnTo>
                                  <a:pt x="3558598" y="62396"/>
                                </a:lnTo>
                                <a:lnTo>
                                  <a:pt x="3525607" y="29405"/>
                                </a:lnTo>
                                <a:lnTo>
                                  <a:pt x="3483772" y="7769"/>
                                </a:lnTo>
                                <a:lnTo>
                                  <a:pt x="3435603" y="0"/>
                                </a:lnTo>
                                <a:close/>
                              </a:path>
                            </a:pathLst>
                          </a:custGeom>
                          <a:solidFill>
                            <a:srgbClr val="D5EEF6"/>
                          </a:solidFill>
                        </wps:spPr>
                        <wps:bodyPr wrap="square" lIns="0" tIns="0" rIns="0" bIns="0" rtlCol="0">
                          <a:prstTxWarp prst="textNoShape">
                            <a:avLst/>
                          </a:prstTxWarp>
                          <a:noAutofit/>
                        </wps:bodyPr>
                      </wps:wsp>
                      <wps:wsp>
                        <wps:cNvPr id="562" name="Graphic 562"/>
                        <wps:cNvSpPr/>
                        <wps:spPr>
                          <a:xfrm>
                            <a:off x="6350" y="6350"/>
                            <a:ext cx="3588385" cy="5055235"/>
                          </a:xfrm>
                          <a:custGeom>
                            <a:avLst/>
                            <a:gdLst/>
                            <a:ahLst/>
                            <a:cxnLst/>
                            <a:rect l="l" t="t" r="r" b="b"/>
                            <a:pathLst>
                              <a:path w="3588385" h="5055235">
                                <a:moveTo>
                                  <a:pt x="152400" y="0"/>
                                </a:moveTo>
                                <a:lnTo>
                                  <a:pt x="104231" y="7769"/>
                                </a:lnTo>
                                <a:lnTo>
                                  <a:pt x="62396" y="29405"/>
                                </a:lnTo>
                                <a:lnTo>
                                  <a:pt x="29405" y="62396"/>
                                </a:lnTo>
                                <a:lnTo>
                                  <a:pt x="7769" y="104231"/>
                                </a:lnTo>
                                <a:lnTo>
                                  <a:pt x="0" y="152400"/>
                                </a:lnTo>
                                <a:lnTo>
                                  <a:pt x="0" y="4902708"/>
                                </a:lnTo>
                                <a:lnTo>
                                  <a:pt x="7769" y="4950876"/>
                                </a:lnTo>
                                <a:lnTo>
                                  <a:pt x="29405" y="4992711"/>
                                </a:lnTo>
                                <a:lnTo>
                                  <a:pt x="62396" y="5025702"/>
                                </a:lnTo>
                                <a:lnTo>
                                  <a:pt x="104231" y="5047338"/>
                                </a:lnTo>
                                <a:lnTo>
                                  <a:pt x="152400" y="5055108"/>
                                </a:lnTo>
                                <a:lnTo>
                                  <a:pt x="3435604" y="5055108"/>
                                </a:lnTo>
                                <a:lnTo>
                                  <a:pt x="3483772" y="5047338"/>
                                </a:lnTo>
                                <a:lnTo>
                                  <a:pt x="3525607" y="5025702"/>
                                </a:lnTo>
                                <a:lnTo>
                                  <a:pt x="3558598" y="4992711"/>
                                </a:lnTo>
                                <a:lnTo>
                                  <a:pt x="3580234" y="4950876"/>
                                </a:lnTo>
                                <a:lnTo>
                                  <a:pt x="3588004" y="4902708"/>
                                </a:lnTo>
                                <a:lnTo>
                                  <a:pt x="3588004" y="152400"/>
                                </a:lnTo>
                                <a:lnTo>
                                  <a:pt x="3580234" y="104231"/>
                                </a:lnTo>
                                <a:lnTo>
                                  <a:pt x="3558598" y="62396"/>
                                </a:lnTo>
                                <a:lnTo>
                                  <a:pt x="3525607" y="29405"/>
                                </a:lnTo>
                                <a:lnTo>
                                  <a:pt x="3483772" y="7769"/>
                                </a:lnTo>
                                <a:lnTo>
                                  <a:pt x="3435604" y="0"/>
                                </a:lnTo>
                                <a:lnTo>
                                  <a:pt x="152400" y="0"/>
                                </a:lnTo>
                                <a:close/>
                              </a:path>
                            </a:pathLst>
                          </a:custGeom>
                          <a:ln w="12700">
                            <a:solidFill>
                              <a:srgbClr val="339EC6"/>
                            </a:solidFill>
                            <a:prstDash val="solid"/>
                          </a:ln>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130" cstate="print"/>
                          <a:stretch>
                            <a:fillRect/>
                          </a:stretch>
                        </pic:blipFill>
                        <pic:spPr>
                          <a:xfrm>
                            <a:off x="2522730" y="143298"/>
                            <a:ext cx="809907" cy="808990"/>
                          </a:xfrm>
                          <a:prstGeom prst="rect">
                            <a:avLst/>
                          </a:prstGeom>
                        </pic:spPr>
                      </pic:pic>
                      <wps:wsp>
                        <wps:cNvPr id="564" name="Textbox 564"/>
                        <wps:cNvSpPr txBox="1"/>
                        <wps:spPr>
                          <a:xfrm>
                            <a:off x="0" y="0"/>
                            <a:ext cx="3757929" cy="5223510"/>
                          </a:xfrm>
                          <a:prstGeom prst="rect">
                            <a:avLst/>
                          </a:prstGeom>
                        </wps:spPr>
                        <wps:txbx>
                          <w:txbxContent>
                            <w:p w14:paraId="1C34F259" w14:textId="77777777" w:rsidR="004C558F" w:rsidRDefault="004C558F">
                              <w:pPr>
                                <w:rPr>
                                  <w:rFonts w:ascii="Franklin Gothic Medium"/>
                                  <w:sz w:val="36"/>
                                </w:rPr>
                              </w:pPr>
                            </w:p>
                            <w:p w14:paraId="1C34F25A" w14:textId="77777777" w:rsidR="004C558F" w:rsidRDefault="004C558F">
                              <w:pPr>
                                <w:rPr>
                                  <w:rFonts w:ascii="Franklin Gothic Medium"/>
                                  <w:sz w:val="36"/>
                                </w:rPr>
                              </w:pPr>
                            </w:p>
                            <w:p w14:paraId="1C34F25B" w14:textId="77777777" w:rsidR="004C558F" w:rsidRDefault="004C558F">
                              <w:pPr>
                                <w:rPr>
                                  <w:rFonts w:ascii="Franklin Gothic Medium"/>
                                  <w:sz w:val="36"/>
                                </w:rPr>
                              </w:pPr>
                            </w:p>
                            <w:p w14:paraId="1C34F25C" w14:textId="77777777" w:rsidR="004C558F" w:rsidRDefault="004C558F">
                              <w:pPr>
                                <w:spacing w:before="203"/>
                                <w:rPr>
                                  <w:rFonts w:ascii="Franklin Gothic Medium"/>
                                  <w:sz w:val="36"/>
                                </w:rPr>
                              </w:pPr>
                            </w:p>
                            <w:p w14:paraId="1C34F25D" w14:textId="77777777" w:rsidR="004C558F" w:rsidRDefault="00461887">
                              <w:pPr>
                                <w:ind w:left="452"/>
                                <w:rPr>
                                  <w:rFonts w:ascii="Franklin Gothic Demi Cond"/>
                                  <w:b/>
                                  <w:sz w:val="36"/>
                                </w:rPr>
                              </w:pPr>
                              <w:r>
                                <w:rPr>
                                  <w:rFonts w:ascii="Franklin Gothic Demi Cond"/>
                                  <w:b/>
                                  <w:color w:val="339EC6"/>
                                  <w:spacing w:val="-2"/>
                                  <w:sz w:val="36"/>
                                </w:rPr>
                                <w:t>RACE/ETHNICITY</w:t>
                              </w:r>
                            </w:p>
                            <w:p w14:paraId="1C34F25E" w14:textId="77777777" w:rsidR="004C558F" w:rsidRDefault="00461887">
                              <w:pPr>
                                <w:numPr>
                                  <w:ilvl w:val="0"/>
                                  <w:numId w:val="3"/>
                                </w:numPr>
                                <w:tabs>
                                  <w:tab w:val="left" w:pos="473"/>
                                </w:tabs>
                                <w:spacing w:before="177" w:line="254" w:lineRule="auto"/>
                                <w:ind w:right="578"/>
                                <w:jc w:val="both"/>
                                <w:rPr>
                                  <w:sz w:val="11"/>
                                </w:rPr>
                              </w:pPr>
                              <w:r>
                                <w:rPr>
                                  <w:color w:val="3F3E45"/>
                                  <w:sz w:val="20"/>
                                </w:rPr>
                                <w:t>In</w:t>
                              </w:r>
                              <w:r>
                                <w:rPr>
                                  <w:color w:val="3F3E45"/>
                                  <w:spacing w:val="-9"/>
                                  <w:sz w:val="20"/>
                                </w:rPr>
                                <w:t xml:space="preserve"> </w:t>
                              </w:r>
                              <w:r>
                                <w:rPr>
                                  <w:color w:val="3F3E45"/>
                                  <w:sz w:val="20"/>
                                </w:rPr>
                                <w:t>Boston,</w:t>
                              </w:r>
                              <w:r>
                                <w:rPr>
                                  <w:color w:val="3F3E45"/>
                                  <w:spacing w:val="-9"/>
                                  <w:sz w:val="20"/>
                                </w:rPr>
                                <w:t xml:space="preserve"> </w:t>
                              </w:r>
                              <w:r>
                                <w:rPr>
                                  <w:color w:val="3F3E45"/>
                                  <w:sz w:val="20"/>
                                </w:rPr>
                                <w:t>Black</w:t>
                              </w:r>
                              <w:r>
                                <w:rPr>
                                  <w:color w:val="3F3E45"/>
                                  <w:spacing w:val="-9"/>
                                  <w:sz w:val="20"/>
                                </w:rPr>
                                <w:t xml:space="preserve"> </w:t>
                              </w:r>
                              <w:r>
                                <w:rPr>
                                  <w:color w:val="3F3E45"/>
                                  <w:sz w:val="20"/>
                                </w:rPr>
                                <w:t>individuals</w:t>
                              </w:r>
                              <w:r>
                                <w:rPr>
                                  <w:color w:val="3F3E45"/>
                                  <w:spacing w:val="-9"/>
                                  <w:sz w:val="20"/>
                                </w:rPr>
                                <w:t xml:space="preserve"> </w:t>
                              </w:r>
                              <w:r>
                                <w:rPr>
                                  <w:color w:val="3F3E45"/>
                                  <w:sz w:val="20"/>
                                </w:rPr>
                                <w:t>have</w:t>
                              </w:r>
                              <w:r>
                                <w:rPr>
                                  <w:color w:val="3F3E45"/>
                                  <w:spacing w:val="-9"/>
                                  <w:sz w:val="20"/>
                                </w:rPr>
                                <w:t xml:space="preserve"> </w:t>
                              </w:r>
                              <w:r>
                                <w:rPr>
                                  <w:color w:val="3F3E45"/>
                                  <w:sz w:val="20"/>
                                </w:rPr>
                                <w:t>higher</w:t>
                              </w:r>
                              <w:r>
                                <w:rPr>
                                  <w:color w:val="3F3E45"/>
                                  <w:spacing w:val="-9"/>
                                  <w:sz w:val="20"/>
                                </w:rPr>
                                <w:t xml:space="preserve"> </w:t>
                              </w:r>
                              <w:r>
                                <w:rPr>
                                  <w:color w:val="3F3E45"/>
                                  <w:sz w:val="20"/>
                                </w:rPr>
                                <w:t>cancer</w:t>
                              </w:r>
                              <w:r>
                                <w:rPr>
                                  <w:color w:val="3F3E45"/>
                                  <w:spacing w:val="-9"/>
                                  <w:sz w:val="20"/>
                                </w:rPr>
                                <w:t xml:space="preserve"> </w:t>
                              </w:r>
                              <w:r>
                                <w:rPr>
                                  <w:color w:val="3F3E45"/>
                                  <w:sz w:val="20"/>
                                </w:rPr>
                                <w:t xml:space="preserve">incidence, </w:t>
                              </w:r>
                              <w:r>
                                <w:rPr>
                                  <w:color w:val="3F3E45"/>
                                  <w:spacing w:val="-2"/>
                                  <w:sz w:val="20"/>
                                </w:rPr>
                                <w:t>mortality, and premature mortality</w:t>
                              </w:r>
                              <w:r>
                                <w:rPr>
                                  <w:color w:val="3F3E45"/>
                                  <w:spacing w:val="-3"/>
                                  <w:sz w:val="20"/>
                                </w:rPr>
                                <w:t xml:space="preserve"> </w:t>
                              </w:r>
                              <w:r>
                                <w:rPr>
                                  <w:color w:val="3F3E45"/>
                                  <w:spacing w:val="-2"/>
                                  <w:sz w:val="20"/>
                                </w:rPr>
                                <w:t xml:space="preserve">rates across all invasive </w:t>
                              </w:r>
                              <w:r>
                                <w:rPr>
                                  <w:color w:val="3F3E45"/>
                                  <w:sz w:val="20"/>
                                </w:rPr>
                                <w:t>cancers compared to other races and ethnicities.</w:t>
                              </w:r>
                              <w:r>
                                <w:rPr>
                                  <w:color w:val="3F3E45"/>
                                  <w:position w:val="7"/>
                                  <w:sz w:val="11"/>
                                </w:rPr>
                                <w:t>8</w:t>
                              </w:r>
                            </w:p>
                            <w:p w14:paraId="1C34F25F" w14:textId="77777777" w:rsidR="004C558F" w:rsidRDefault="00461887">
                              <w:pPr>
                                <w:numPr>
                                  <w:ilvl w:val="0"/>
                                  <w:numId w:val="3"/>
                                </w:numPr>
                                <w:tabs>
                                  <w:tab w:val="left" w:pos="473"/>
                                </w:tabs>
                                <w:spacing w:line="254" w:lineRule="auto"/>
                                <w:ind w:right="576"/>
                                <w:jc w:val="both"/>
                                <w:rPr>
                                  <w:sz w:val="11"/>
                                </w:rPr>
                              </w:pPr>
                              <w:r>
                                <w:rPr>
                                  <w:color w:val="3F3E45"/>
                                  <w:sz w:val="20"/>
                                </w:rPr>
                                <w:t xml:space="preserve">Nationally, Hispanic individuals are twice as likely to be </w:t>
                              </w:r>
                              <w:r>
                                <w:rPr>
                                  <w:color w:val="3F3E45"/>
                                  <w:spacing w:val="-2"/>
                                  <w:sz w:val="20"/>
                                </w:rPr>
                                <w:t>diagnosed</w:t>
                              </w:r>
                              <w:r>
                                <w:rPr>
                                  <w:color w:val="3F3E45"/>
                                  <w:spacing w:val="-6"/>
                                  <w:sz w:val="20"/>
                                </w:rPr>
                                <w:t xml:space="preserve"> </w:t>
                              </w:r>
                              <w:r>
                                <w:rPr>
                                  <w:color w:val="3F3E45"/>
                                  <w:spacing w:val="-2"/>
                                  <w:sz w:val="20"/>
                                </w:rPr>
                                <w:t>with</w:t>
                              </w:r>
                              <w:r>
                                <w:rPr>
                                  <w:color w:val="3F3E45"/>
                                  <w:spacing w:val="-6"/>
                                  <w:sz w:val="20"/>
                                </w:rPr>
                                <w:t xml:space="preserve"> </w:t>
                              </w:r>
                              <w:r>
                                <w:rPr>
                                  <w:color w:val="3F3E45"/>
                                  <w:spacing w:val="-2"/>
                                  <w:sz w:val="20"/>
                                </w:rPr>
                                <w:t>and</w:t>
                              </w:r>
                              <w:r>
                                <w:rPr>
                                  <w:color w:val="3F3E45"/>
                                  <w:spacing w:val="-6"/>
                                  <w:sz w:val="20"/>
                                </w:rPr>
                                <w:t xml:space="preserve"> </w:t>
                              </w:r>
                              <w:r>
                                <w:rPr>
                                  <w:color w:val="3F3E45"/>
                                  <w:spacing w:val="-2"/>
                                  <w:sz w:val="20"/>
                                </w:rPr>
                                <w:t>die</w:t>
                              </w:r>
                              <w:r>
                                <w:rPr>
                                  <w:color w:val="3F3E45"/>
                                  <w:spacing w:val="-6"/>
                                  <w:sz w:val="20"/>
                                </w:rPr>
                                <w:t xml:space="preserve"> </w:t>
                              </w:r>
                              <w:r>
                                <w:rPr>
                                  <w:color w:val="3F3E45"/>
                                  <w:spacing w:val="-2"/>
                                  <w:sz w:val="20"/>
                                </w:rPr>
                                <w:t>from</w:t>
                              </w:r>
                              <w:r>
                                <w:rPr>
                                  <w:color w:val="3F3E45"/>
                                  <w:spacing w:val="-6"/>
                                  <w:sz w:val="20"/>
                                </w:rPr>
                                <w:t xml:space="preserve"> </w:t>
                              </w:r>
                              <w:r>
                                <w:rPr>
                                  <w:color w:val="3F3E45"/>
                                  <w:spacing w:val="-2"/>
                                  <w:sz w:val="20"/>
                                </w:rPr>
                                <w:t>stomach</w:t>
                              </w:r>
                              <w:r>
                                <w:rPr>
                                  <w:color w:val="3F3E45"/>
                                  <w:spacing w:val="-6"/>
                                  <w:sz w:val="20"/>
                                </w:rPr>
                                <w:t xml:space="preserve"> </w:t>
                              </w:r>
                              <w:r>
                                <w:rPr>
                                  <w:color w:val="3F3E45"/>
                                  <w:spacing w:val="-2"/>
                                  <w:sz w:val="20"/>
                                </w:rPr>
                                <w:t>cancer</w:t>
                              </w:r>
                              <w:r>
                                <w:rPr>
                                  <w:color w:val="3F3E45"/>
                                  <w:spacing w:val="-6"/>
                                  <w:sz w:val="20"/>
                                </w:rPr>
                                <w:t xml:space="preserve"> </w:t>
                              </w:r>
                              <w:r>
                                <w:rPr>
                                  <w:color w:val="3F3E45"/>
                                  <w:spacing w:val="-2"/>
                                  <w:sz w:val="20"/>
                                </w:rPr>
                                <w:t>than</w:t>
                              </w:r>
                              <w:r>
                                <w:rPr>
                                  <w:color w:val="3F3E45"/>
                                  <w:spacing w:val="-6"/>
                                  <w:sz w:val="20"/>
                                </w:rPr>
                                <w:t xml:space="preserve"> </w:t>
                              </w:r>
                              <w:r>
                                <w:rPr>
                                  <w:color w:val="3F3E45"/>
                                  <w:spacing w:val="-2"/>
                                  <w:sz w:val="20"/>
                                </w:rPr>
                                <w:t xml:space="preserve">non-His- </w:t>
                              </w:r>
                              <w:r>
                                <w:rPr>
                                  <w:color w:val="3F3E45"/>
                                  <w:sz w:val="20"/>
                                </w:rPr>
                                <w:t>panic individuals.</w:t>
                              </w:r>
                              <w:r>
                                <w:rPr>
                                  <w:color w:val="3F3E45"/>
                                  <w:position w:val="7"/>
                                  <w:sz w:val="11"/>
                                </w:rPr>
                                <w:t>9</w:t>
                              </w:r>
                            </w:p>
                            <w:p w14:paraId="1C34F260" w14:textId="77777777" w:rsidR="004C558F" w:rsidRDefault="00461887">
                              <w:pPr>
                                <w:numPr>
                                  <w:ilvl w:val="0"/>
                                  <w:numId w:val="3"/>
                                </w:numPr>
                                <w:tabs>
                                  <w:tab w:val="left" w:pos="473"/>
                                </w:tabs>
                                <w:spacing w:line="254" w:lineRule="auto"/>
                                <w:ind w:right="578"/>
                                <w:jc w:val="both"/>
                                <w:rPr>
                                  <w:sz w:val="11"/>
                                </w:rPr>
                              </w:pPr>
                              <w:r>
                                <w:rPr>
                                  <w:color w:val="3F3E45"/>
                                  <w:sz w:val="20"/>
                                </w:rPr>
                                <w:t>Asian/Pacific Islander individuals have almost twice the incidence</w:t>
                              </w:r>
                              <w:r>
                                <w:rPr>
                                  <w:color w:val="3F3E45"/>
                                  <w:spacing w:val="-3"/>
                                  <w:sz w:val="20"/>
                                </w:rPr>
                                <w:t xml:space="preserve"> </w:t>
                              </w:r>
                              <w:r>
                                <w:rPr>
                                  <w:color w:val="3F3E45"/>
                                  <w:sz w:val="20"/>
                                </w:rPr>
                                <w:t>of</w:t>
                              </w:r>
                              <w:r>
                                <w:rPr>
                                  <w:color w:val="3F3E45"/>
                                  <w:spacing w:val="-3"/>
                                  <w:sz w:val="20"/>
                                </w:rPr>
                                <w:t xml:space="preserve"> </w:t>
                              </w:r>
                              <w:r>
                                <w:rPr>
                                  <w:color w:val="3F3E45"/>
                                  <w:sz w:val="20"/>
                                </w:rPr>
                                <w:t>liver</w:t>
                              </w:r>
                              <w:r>
                                <w:rPr>
                                  <w:color w:val="3F3E45"/>
                                  <w:spacing w:val="-3"/>
                                  <w:sz w:val="20"/>
                                </w:rPr>
                                <w:t xml:space="preserve"> </w:t>
                              </w:r>
                              <w:r>
                                <w:rPr>
                                  <w:color w:val="3F3E45"/>
                                  <w:sz w:val="20"/>
                                </w:rPr>
                                <w:t>&amp;</w:t>
                              </w:r>
                              <w:r>
                                <w:rPr>
                                  <w:color w:val="3F3E45"/>
                                  <w:spacing w:val="-3"/>
                                  <w:sz w:val="20"/>
                                </w:rPr>
                                <w:t xml:space="preserve"> </w:t>
                              </w:r>
                              <w:r>
                                <w:rPr>
                                  <w:color w:val="3F3E45"/>
                                  <w:sz w:val="20"/>
                                </w:rPr>
                                <w:t>IBD</w:t>
                              </w:r>
                              <w:r>
                                <w:rPr>
                                  <w:color w:val="3F3E45"/>
                                  <w:spacing w:val="-3"/>
                                  <w:sz w:val="20"/>
                                </w:rPr>
                                <w:t xml:space="preserve"> </w:t>
                              </w:r>
                              <w:r>
                                <w:rPr>
                                  <w:color w:val="3F3E45"/>
                                  <w:sz w:val="20"/>
                                </w:rPr>
                                <w:t>cancer</w:t>
                              </w:r>
                              <w:r>
                                <w:rPr>
                                  <w:color w:val="3F3E45"/>
                                  <w:spacing w:val="-3"/>
                                  <w:sz w:val="20"/>
                                </w:rPr>
                                <w:t xml:space="preserve"> </w:t>
                              </w:r>
                              <w:r>
                                <w:rPr>
                                  <w:color w:val="3F3E45"/>
                                  <w:sz w:val="20"/>
                                </w:rPr>
                                <w:t>compared</w:t>
                              </w:r>
                              <w:r>
                                <w:rPr>
                                  <w:color w:val="3F3E45"/>
                                  <w:spacing w:val="-3"/>
                                  <w:sz w:val="20"/>
                                </w:rPr>
                                <w:t xml:space="preserve"> </w:t>
                              </w:r>
                              <w:r>
                                <w:rPr>
                                  <w:color w:val="3F3E45"/>
                                  <w:sz w:val="20"/>
                                </w:rPr>
                                <w:t>to</w:t>
                              </w:r>
                              <w:r>
                                <w:rPr>
                                  <w:color w:val="3F3E45"/>
                                  <w:spacing w:val="-3"/>
                                  <w:sz w:val="20"/>
                                </w:rPr>
                                <w:t xml:space="preserve"> </w:t>
                              </w:r>
                              <w:r>
                                <w:rPr>
                                  <w:color w:val="3F3E45"/>
                                  <w:sz w:val="20"/>
                                </w:rPr>
                                <w:t>non-Hispanic white individuals.</w:t>
                              </w:r>
                              <w:r>
                                <w:rPr>
                                  <w:color w:val="3F3E45"/>
                                  <w:position w:val="7"/>
                                  <w:sz w:val="11"/>
                                </w:rPr>
                                <w:t>10</w:t>
                              </w:r>
                            </w:p>
                            <w:p w14:paraId="1C34F261" w14:textId="77777777" w:rsidR="004C558F" w:rsidRDefault="00461887">
                              <w:pPr>
                                <w:numPr>
                                  <w:ilvl w:val="0"/>
                                  <w:numId w:val="3"/>
                                </w:numPr>
                                <w:tabs>
                                  <w:tab w:val="left" w:pos="473"/>
                                </w:tabs>
                                <w:spacing w:line="254" w:lineRule="auto"/>
                                <w:ind w:right="576"/>
                                <w:jc w:val="both"/>
                                <w:rPr>
                                  <w:sz w:val="11"/>
                                </w:rPr>
                              </w:pPr>
                              <w:r>
                                <w:rPr>
                                  <w:color w:val="3F3E45"/>
                                  <w:spacing w:val="-2"/>
                                  <w:sz w:val="20"/>
                                </w:rPr>
                                <w:t>Across</w:t>
                              </w:r>
                              <w:r>
                                <w:rPr>
                                  <w:color w:val="3F3E45"/>
                                  <w:spacing w:val="-11"/>
                                  <w:sz w:val="20"/>
                                </w:rPr>
                                <w:t xml:space="preserve"> </w:t>
                              </w:r>
                              <w:r>
                                <w:rPr>
                                  <w:color w:val="3F3E45"/>
                                  <w:spacing w:val="-2"/>
                                  <w:sz w:val="20"/>
                                </w:rPr>
                                <w:t>Massachusetts,</w:t>
                              </w:r>
                              <w:r>
                                <w:rPr>
                                  <w:color w:val="3F3E45"/>
                                  <w:spacing w:val="-10"/>
                                  <w:sz w:val="20"/>
                                </w:rPr>
                                <w:t xml:space="preserve"> </w:t>
                              </w:r>
                              <w:r>
                                <w:rPr>
                                  <w:color w:val="3F3E45"/>
                                  <w:spacing w:val="-2"/>
                                  <w:sz w:val="20"/>
                                </w:rPr>
                                <w:t>white</w:t>
                              </w:r>
                              <w:r>
                                <w:rPr>
                                  <w:color w:val="3F3E45"/>
                                  <w:spacing w:val="-11"/>
                                  <w:sz w:val="20"/>
                                </w:rPr>
                                <w:t xml:space="preserve"> </w:t>
                              </w:r>
                              <w:r>
                                <w:rPr>
                                  <w:color w:val="3F3E45"/>
                                  <w:spacing w:val="-2"/>
                                  <w:sz w:val="20"/>
                                </w:rPr>
                                <w:t>non-Hispanic</w:t>
                              </w:r>
                              <w:r>
                                <w:rPr>
                                  <w:color w:val="3F3E45"/>
                                  <w:spacing w:val="-10"/>
                                  <w:sz w:val="20"/>
                                </w:rPr>
                                <w:t xml:space="preserve"> </w:t>
                              </w:r>
                              <w:r>
                                <w:rPr>
                                  <w:color w:val="3F3E45"/>
                                  <w:spacing w:val="-2"/>
                                  <w:sz w:val="20"/>
                                </w:rPr>
                                <w:t>individuals</w:t>
                              </w:r>
                              <w:r>
                                <w:rPr>
                                  <w:color w:val="3F3E45"/>
                                  <w:spacing w:val="-11"/>
                                  <w:sz w:val="20"/>
                                </w:rPr>
                                <w:t xml:space="preserve"> </w:t>
                              </w:r>
                              <w:r>
                                <w:rPr>
                                  <w:color w:val="3F3E45"/>
                                  <w:spacing w:val="-2"/>
                                  <w:sz w:val="20"/>
                                </w:rPr>
                                <w:t xml:space="preserve">have </w:t>
                              </w:r>
                              <w:r>
                                <w:rPr>
                                  <w:color w:val="3F3E45"/>
                                  <w:sz w:val="20"/>
                                </w:rPr>
                                <w:t>higher</w:t>
                              </w:r>
                              <w:r>
                                <w:rPr>
                                  <w:color w:val="3F3E45"/>
                                  <w:spacing w:val="-3"/>
                                  <w:sz w:val="20"/>
                                </w:rPr>
                                <w:t xml:space="preserve"> </w:t>
                              </w:r>
                              <w:r>
                                <w:rPr>
                                  <w:color w:val="3F3E45"/>
                                  <w:sz w:val="20"/>
                                </w:rPr>
                                <w:t>age-adjusted</w:t>
                              </w:r>
                              <w:r>
                                <w:rPr>
                                  <w:color w:val="3F3E45"/>
                                  <w:spacing w:val="-3"/>
                                  <w:sz w:val="20"/>
                                </w:rPr>
                                <w:t xml:space="preserve"> </w:t>
                              </w:r>
                              <w:r>
                                <w:rPr>
                                  <w:color w:val="3F3E45"/>
                                  <w:sz w:val="20"/>
                                </w:rPr>
                                <w:t>incidence</w:t>
                              </w:r>
                              <w:r>
                                <w:rPr>
                                  <w:color w:val="3F3E45"/>
                                  <w:spacing w:val="-3"/>
                                  <w:sz w:val="20"/>
                                </w:rPr>
                                <w:t xml:space="preserve"> </w:t>
                              </w:r>
                              <w:r>
                                <w:rPr>
                                  <w:color w:val="3F3E45"/>
                                  <w:sz w:val="20"/>
                                </w:rPr>
                                <w:t>rates</w:t>
                              </w:r>
                              <w:r>
                                <w:rPr>
                                  <w:color w:val="3F3E45"/>
                                  <w:spacing w:val="-3"/>
                                  <w:sz w:val="20"/>
                                </w:rPr>
                                <w:t xml:space="preserve"> </w:t>
                              </w:r>
                              <w:r>
                                <w:rPr>
                                  <w:color w:val="3F3E45"/>
                                  <w:sz w:val="20"/>
                                </w:rPr>
                                <w:t>from</w:t>
                              </w:r>
                              <w:r>
                                <w:rPr>
                                  <w:color w:val="3F3E45"/>
                                  <w:spacing w:val="-3"/>
                                  <w:sz w:val="20"/>
                                </w:rPr>
                                <w:t xml:space="preserve"> </w:t>
                              </w:r>
                              <w:r>
                                <w:rPr>
                                  <w:color w:val="3F3E45"/>
                                  <w:sz w:val="20"/>
                                </w:rPr>
                                <w:t>all</w:t>
                              </w:r>
                              <w:r>
                                <w:rPr>
                                  <w:color w:val="3F3E45"/>
                                  <w:spacing w:val="-3"/>
                                  <w:sz w:val="20"/>
                                </w:rPr>
                                <w:t xml:space="preserve"> </w:t>
                              </w:r>
                              <w:r>
                                <w:rPr>
                                  <w:color w:val="3F3E45"/>
                                  <w:sz w:val="20"/>
                                </w:rPr>
                                <w:t>invasive</w:t>
                              </w:r>
                              <w:r>
                                <w:rPr>
                                  <w:color w:val="3F3E45"/>
                                  <w:spacing w:val="-3"/>
                                  <w:sz w:val="20"/>
                                </w:rPr>
                                <w:t xml:space="preserve"> </w:t>
                              </w:r>
                              <w:r>
                                <w:rPr>
                                  <w:color w:val="3F3E45"/>
                                  <w:sz w:val="20"/>
                                </w:rPr>
                                <w:t xml:space="preserve">can- </w:t>
                              </w:r>
                              <w:proofErr w:type="spellStart"/>
                              <w:r>
                                <w:rPr>
                                  <w:color w:val="3F3E45"/>
                                  <w:sz w:val="20"/>
                                </w:rPr>
                                <w:t>cers</w:t>
                              </w:r>
                              <w:proofErr w:type="spellEnd"/>
                              <w:r>
                                <w:rPr>
                                  <w:color w:val="3F3E45"/>
                                  <w:sz w:val="20"/>
                                </w:rPr>
                                <w:t xml:space="preserve"> than other racial/ethnic groups. Despite their higher incidence</w:t>
                              </w:r>
                              <w:r>
                                <w:rPr>
                                  <w:color w:val="3F3E45"/>
                                  <w:spacing w:val="-10"/>
                                  <w:sz w:val="20"/>
                                </w:rPr>
                                <w:t xml:space="preserve"> </w:t>
                              </w:r>
                              <w:r>
                                <w:rPr>
                                  <w:color w:val="3F3E45"/>
                                  <w:sz w:val="20"/>
                                </w:rPr>
                                <w:t>rates,</w:t>
                              </w:r>
                              <w:r>
                                <w:rPr>
                                  <w:color w:val="3F3E45"/>
                                  <w:spacing w:val="-10"/>
                                  <w:sz w:val="20"/>
                                </w:rPr>
                                <w:t xml:space="preserve"> </w:t>
                              </w:r>
                              <w:r>
                                <w:rPr>
                                  <w:color w:val="3F3E45"/>
                                  <w:sz w:val="20"/>
                                </w:rPr>
                                <w:t>white</w:t>
                              </w:r>
                              <w:r>
                                <w:rPr>
                                  <w:color w:val="3F3E45"/>
                                  <w:spacing w:val="-10"/>
                                  <w:sz w:val="20"/>
                                </w:rPr>
                                <w:t xml:space="preserve"> </w:t>
                              </w:r>
                              <w:r>
                                <w:rPr>
                                  <w:color w:val="3F3E45"/>
                                  <w:sz w:val="20"/>
                                </w:rPr>
                                <w:t>non-Hispanic</w:t>
                              </w:r>
                              <w:r>
                                <w:rPr>
                                  <w:color w:val="3F3E45"/>
                                  <w:spacing w:val="-10"/>
                                  <w:sz w:val="20"/>
                                </w:rPr>
                                <w:t xml:space="preserve"> </w:t>
                              </w:r>
                              <w:r>
                                <w:rPr>
                                  <w:color w:val="3F3E45"/>
                                  <w:sz w:val="20"/>
                                </w:rPr>
                                <w:t>individuals</w:t>
                              </w:r>
                              <w:r>
                                <w:rPr>
                                  <w:color w:val="3F3E45"/>
                                  <w:spacing w:val="-10"/>
                                  <w:sz w:val="20"/>
                                </w:rPr>
                                <w:t xml:space="preserve"> </w:t>
                              </w:r>
                              <w:r>
                                <w:rPr>
                                  <w:color w:val="3F3E45"/>
                                  <w:sz w:val="20"/>
                                </w:rPr>
                                <w:t>saw</w:t>
                              </w:r>
                              <w:r>
                                <w:rPr>
                                  <w:color w:val="3F3E45"/>
                                  <w:spacing w:val="-10"/>
                                  <w:sz w:val="20"/>
                                </w:rPr>
                                <w:t xml:space="preserve"> </w:t>
                              </w:r>
                              <w:r>
                                <w:rPr>
                                  <w:color w:val="3F3E45"/>
                                  <w:sz w:val="20"/>
                                </w:rPr>
                                <w:t xml:space="preserve">statis- </w:t>
                              </w:r>
                              <w:proofErr w:type="spellStart"/>
                              <w:r>
                                <w:rPr>
                                  <w:color w:val="3F3E45"/>
                                  <w:sz w:val="20"/>
                                </w:rPr>
                                <w:t>tically</w:t>
                              </w:r>
                              <w:proofErr w:type="spellEnd"/>
                              <w:r>
                                <w:rPr>
                                  <w:color w:val="3F3E45"/>
                                  <w:sz w:val="20"/>
                                </w:rPr>
                                <w:t xml:space="preserve"> significant decreases in mortality from all cancers from</w:t>
                              </w:r>
                              <w:r>
                                <w:rPr>
                                  <w:color w:val="3F3E45"/>
                                  <w:spacing w:val="-13"/>
                                  <w:sz w:val="20"/>
                                </w:rPr>
                                <w:t xml:space="preserve"> </w:t>
                              </w:r>
                              <w:r>
                                <w:rPr>
                                  <w:color w:val="3F3E45"/>
                                  <w:sz w:val="20"/>
                                </w:rPr>
                                <w:t>2016–2020,</w:t>
                              </w:r>
                              <w:r>
                                <w:rPr>
                                  <w:color w:val="3F3E45"/>
                                  <w:spacing w:val="-12"/>
                                  <w:sz w:val="20"/>
                                </w:rPr>
                                <w:t xml:space="preserve"> </w:t>
                              </w:r>
                              <w:r>
                                <w:rPr>
                                  <w:color w:val="3F3E45"/>
                                  <w:sz w:val="20"/>
                                </w:rPr>
                                <w:t>unlike</w:t>
                              </w:r>
                              <w:r>
                                <w:rPr>
                                  <w:color w:val="3F3E45"/>
                                  <w:spacing w:val="-13"/>
                                  <w:sz w:val="20"/>
                                </w:rPr>
                                <w:t xml:space="preserve"> </w:t>
                              </w:r>
                              <w:r>
                                <w:rPr>
                                  <w:color w:val="3F3E45"/>
                                  <w:sz w:val="20"/>
                                </w:rPr>
                                <w:t>Black</w:t>
                              </w:r>
                              <w:r>
                                <w:rPr>
                                  <w:color w:val="3F3E45"/>
                                  <w:spacing w:val="-12"/>
                                  <w:sz w:val="20"/>
                                </w:rPr>
                                <w:t xml:space="preserve"> </w:t>
                              </w:r>
                              <w:r>
                                <w:rPr>
                                  <w:color w:val="3F3E45"/>
                                  <w:sz w:val="20"/>
                                </w:rPr>
                                <w:t>and</w:t>
                              </w:r>
                              <w:r>
                                <w:rPr>
                                  <w:color w:val="3F3E45"/>
                                  <w:spacing w:val="-13"/>
                                  <w:sz w:val="20"/>
                                </w:rPr>
                                <w:t xml:space="preserve"> </w:t>
                              </w:r>
                              <w:r>
                                <w:rPr>
                                  <w:color w:val="3F3E45"/>
                                  <w:sz w:val="20"/>
                                </w:rPr>
                                <w:t>Hispanic</w:t>
                              </w:r>
                              <w:r>
                                <w:rPr>
                                  <w:color w:val="3F3E45"/>
                                  <w:spacing w:val="-12"/>
                                  <w:sz w:val="20"/>
                                </w:rPr>
                                <w:t xml:space="preserve"> </w:t>
                              </w:r>
                              <w:r>
                                <w:rPr>
                                  <w:color w:val="3F3E45"/>
                                  <w:sz w:val="20"/>
                                </w:rPr>
                                <w:t>individuals.</w:t>
                              </w:r>
                              <w:r>
                                <w:rPr>
                                  <w:color w:val="3F3E45"/>
                                  <w:position w:val="7"/>
                                  <w:sz w:val="11"/>
                                </w:rPr>
                                <w:t>11</w:t>
                              </w:r>
                            </w:p>
                            <w:p w14:paraId="1C34F262" w14:textId="77777777" w:rsidR="004C558F" w:rsidRDefault="00461887">
                              <w:pPr>
                                <w:numPr>
                                  <w:ilvl w:val="0"/>
                                  <w:numId w:val="3"/>
                                </w:numPr>
                                <w:tabs>
                                  <w:tab w:val="left" w:pos="473"/>
                                </w:tabs>
                                <w:spacing w:line="254" w:lineRule="auto"/>
                                <w:ind w:right="579"/>
                                <w:jc w:val="both"/>
                                <w:rPr>
                                  <w:sz w:val="11"/>
                                </w:rPr>
                              </w:pPr>
                              <w:r>
                                <w:rPr>
                                  <w:color w:val="3F3E45"/>
                                  <w:sz w:val="20"/>
                                </w:rPr>
                                <w:t xml:space="preserve">The overall cancer screening rate is lower for BIPOC </w:t>
                              </w:r>
                              <w:proofErr w:type="spellStart"/>
                              <w:r>
                                <w:rPr>
                                  <w:color w:val="3F3E45"/>
                                  <w:sz w:val="20"/>
                                </w:rPr>
                                <w:t>indi</w:t>
                              </w:r>
                              <w:proofErr w:type="spellEnd"/>
                              <w:r>
                                <w:rPr>
                                  <w:color w:val="3F3E45"/>
                                  <w:sz w:val="20"/>
                                </w:rPr>
                                <w:t xml:space="preserve">- </w:t>
                              </w:r>
                              <w:proofErr w:type="spellStart"/>
                              <w:r>
                                <w:rPr>
                                  <w:color w:val="3F3E45"/>
                                  <w:sz w:val="20"/>
                                </w:rPr>
                                <w:t>viduals</w:t>
                              </w:r>
                              <w:proofErr w:type="spellEnd"/>
                              <w:r>
                                <w:rPr>
                                  <w:color w:val="3F3E45"/>
                                  <w:sz w:val="20"/>
                                </w:rPr>
                                <w:t>,</w:t>
                              </w:r>
                              <w:r>
                                <w:rPr>
                                  <w:color w:val="3F3E45"/>
                                  <w:position w:val="7"/>
                                  <w:sz w:val="11"/>
                                </w:rPr>
                                <w:t>12</w:t>
                              </w:r>
                              <w:r>
                                <w:rPr>
                                  <w:color w:val="3F3E45"/>
                                  <w:spacing w:val="-4"/>
                                  <w:position w:val="7"/>
                                  <w:sz w:val="11"/>
                                </w:rPr>
                                <w:t xml:space="preserve"> </w:t>
                              </w:r>
                              <w:r>
                                <w:rPr>
                                  <w:color w:val="3F3E45"/>
                                  <w:sz w:val="20"/>
                                </w:rPr>
                                <w:t>and</w:t>
                              </w:r>
                              <w:r>
                                <w:rPr>
                                  <w:color w:val="3F3E45"/>
                                  <w:spacing w:val="-12"/>
                                  <w:sz w:val="20"/>
                                </w:rPr>
                                <w:t xml:space="preserve"> </w:t>
                              </w:r>
                              <w:r>
                                <w:rPr>
                                  <w:color w:val="3F3E45"/>
                                  <w:sz w:val="20"/>
                                </w:rPr>
                                <w:t>BIPOC</w:t>
                              </w:r>
                              <w:r>
                                <w:rPr>
                                  <w:color w:val="3F3E45"/>
                                  <w:spacing w:val="-13"/>
                                  <w:sz w:val="20"/>
                                </w:rPr>
                                <w:t xml:space="preserve"> </w:t>
                              </w:r>
                              <w:r>
                                <w:rPr>
                                  <w:color w:val="3F3E45"/>
                                  <w:sz w:val="20"/>
                                </w:rPr>
                                <w:t>individuals</w:t>
                              </w:r>
                              <w:r>
                                <w:rPr>
                                  <w:color w:val="3F3E45"/>
                                  <w:spacing w:val="-12"/>
                                  <w:sz w:val="20"/>
                                </w:rPr>
                                <w:t xml:space="preserve"> </w:t>
                              </w:r>
                              <w:r>
                                <w:rPr>
                                  <w:color w:val="3F3E45"/>
                                  <w:sz w:val="20"/>
                                </w:rPr>
                                <w:t>tend</w:t>
                              </w:r>
                              <w:r>
                                <w:rPr>
                                  <w:color w:val="3F3E45"/>
                                  <w:spacing w:val="-13"/>
                                  <w:sz w:val="20"/>
                                </w:rPr>
                                <w:t xml:space="preserve"> </w:t>
                              </w:r>
                              <w:r>
                                <w:rPr>
                                  <w:color w:val="3F3E45"/>
                                  <w:sz w:val="20"/>
                                </w:rPr>
                                <w:t>to</w:t>
                              </w:r>
                              <w:r>
                                <w:rPr>
                                  <w:color w:val="3F3E45"/>
                                  <w:spacing w:val="-12"/>
                                  <w:sz w:val="20"/>
                                </w:rPr>
                                <w:t xml:space="preserve"> </w:t>
                              </w:r>
                              <w:r>
                                <w:rPr>
                                  <w:color w:val="3F3E45"/>
                                  <w:sz w:val="20"/>
                                </w:rPr>
                                <w:t>receive</w:t>
                              </w:r>
                              <w:r>
                                <w:rPr>
                                  <w:color w:val="3F3E45"/>
                                  <w:spacing w:val="-13"/>
                                  <w:sz w:val="20"/>
                                </w:rPr>
                                <w:t xml:space="preserve"> </w:t>
                              </w:r>
                              <w:r>
                                <w:rPr>
                                  <w:color w:val="3F3E45"/>
                                  <w:sz w:val="20"/>
                                </w:rPr>
                                <w:t>later-stage diagnoses than white individuals.</w:t>
                              </w:r>
                              <w:r>
                                <w:rPr>
                                  <w:color w:val="3F3E45"/>
                                  <w:position w:val="7"/>
                                  <w:sz w:val="11"/>
                                </w:rPr>
                                <w:t>13</w:t>
                              </w:r>
                            </w:p>
                            <w:p w14:paraId="1C34F263" w14:textId="77777777" w:rsidR="004C558F" w:rsidRDefault="00461887">
                              <w:pPr>
                                <w:numPr>
                                  <w:ilvl w:val="0"/>
                                  <w:numId w:val="3"/>
                                </w:numPr>
                                <w:tabs>
                                  <w:tab w:val="left" w:pos="473"/>
                                </w:tabs>
                                <w:spacing w:line="254" w:lineRule="auto"/>
                                <w:ind w:right="579"/>
                                <w:jc w:val="both"/>
                                <w:rPr>
                                  <w:sz w:val="11"/>
                                </w:rPr>
                              </w:pPr>
                              <w:r>
                                <w:rPr>
                                  <w:color w:val="3F3E45"/>
                                  <w:sz w:val="20"/>
                                </w:rPr>
                                <w:t>Beyond disparities in incidence, mortality, screening, and timely</w:t>
                              </w:r>
                              <w:r>
                                <w:rPr>
                                  <w:color w:val="3F3E45"/>
                                  <w:spacing w:val="-10"/>
                                  <w:sz w:val="20"/>
                                </w:rPr>
                                <w:t xml:space="preserve"> </w:t>
                              </w:r>
                              <w:r>
                                <w:rPr>
                                  <w:color w:val="3F3E45"/>
                                  <w:sz w:val="20"/>
                                </w:rPr>
                                <w:t>care,</w:t>
                              </w:r>
                              <w:r>
                                <w:rPr>
                                  <w:color w:val="3F3E45"/>
                                  <w:spacing w:val="-10"/>
                                  <w:sz w:val="20"/>
                                </w:rPr>
                                <w:t xml:space="preserve"> </w:t>
                              </w:r>
                              <w:r>
                                <w:rPr>
                                  <w:color w:val="3F3E45"/>
                                  <w:sz w:val="20"/>
                                </w:rPr>
                                <w:t>some</w:t>
                              </w:r>
                              <w:r>
                                <w:rPr>
                                  <w:color w:val="3F3E45"/>
                                  <w:spacing w:val="-10"/>
                                  <w:sz w:val="20"/>
                                </w:rPr>
                                <w:t xml:space="preserve"> </w:t>
                              </w:r>
                              <w:r>
                                <w:rPr>
                                  <w:color w:val="3F3E45"/>
                                  <w:sz w:val="20"/>
                                </w:rPr>
                                <w:t>races/ethnicities</w:t>
                              </w:r>
                              <w:r>
                                <w:rPr>
                                  <w:color w:val="3F3E45"/>
                                  <w:spacing w:val="-9"/>
                                  <w:sz w:val="20"/>
                                </w:rPr>
                                <w:t xml:space="preserve"> </w:t>
                              </w:r>
                              <w:r>
                                <w:rPr>
                                  <w:color w:val="3F3E45"/>
                                  <w:sz w:val="20"/>
                                </w:rPr>
                                <w:t>may</w:t>
                              </w:r>
                              <w:r>
                                <w:rPr>
                                  <w:color w:val="3F3E45"/>
                                  <w:spacing w:val="-9"/>
                                  <w:sz w:val="20"/>
                                </w:rPr>
                                <w:t xml:space="preserve"> </w:t>
                              </w:r>
                              <w:r>
                                <w:rPr>
                                  <w:color w:val="3F3E45"/>
                                  <w:sz w:val="20"/>
                                </w:rPr>
                                <w:t>face</w:t>
                              </w:r>
                              <w:r>
                                <w:rPr>
                                  <w:color w:val="3F3E45"/>
                                  <w:spacing w:val="-10"/>
                                  <w:sz w:val="20"/>
                                </w:rPr>
                                <w:t xml:space="preserve"> </w:t>
                              </w:r>
                              <w:r>
                                <w:rPr>
                                  <w:color w:val="3F3E45"/>
                                  <w:sz w:val="20"/>
                                </w:rPr>
                                <w:t>a</w:t>
                              </w:r>
                              <w:r>
                                <w:rPr>
                                  <w:color w:val="3F3E45"/>
                                  <w:spacing w:val="-9"/>
                                  <w:sz w:val="20"/>
                                </w:rPr>
                                <w:t xml:space="preserve"> </w:t>
                              </w:r>
                              <w:r>
                                <w:rPr>
                                  <w:color w:val="3F3E45"/>
                                  <w:sz w:val="20"/>
                                </w:rPr>
                                <w:t>greater</w:t>
                              </w:r>
                              <w:r>
                                <w:rPr>
                                  <w:color w:val="3F3E45"/>
                                  <w:spacing w:val="-10"/>
                                  <w:sz w:val="20"/>
                                </w:rPr>
                                <w:t xml:space="preserve"> </w:t>
                              </w:r>
                              <w:r>
                                <w:rPr>
                                  <w:color w:val="3F3E45"/>
                                  <w:sz w:val="20"/>
                                </w:rPr>
                                <w:t xml:space="preserve">de- </w:t>
                              </w:r>
                              <w:proofErr w:type="spellStart"/>
                              <w:r>
                                <w:rPr>
                                  <w:color w:val="3F3E45"/>
                                  <w:sz w:val="20"/>
                                </w:rPr>
                                <w:t>gree</w:t>
                              </w:r>
                              <w:proofErr w:type="spellEnd"/>
                              <w:r>
                                <w:rPr>
                                  <w:color w:val="3F3E45"/>
                                  <w:spacing w:val="-8"/>
                                  <w:sz w:val="20"/>
                                </w:rPr>
                                <w:t xml:space="preserve"> </w:t>
                              </w:r>
                              <w:r>
                                <w:rPr>
                                  <w:color w:val="3F3E45"/>
                                  <w:sz w:val="20"/>
                                </w:rPr>
                                <w:t>of</w:t>
                              </w:r>
                              <w:r>
                                <w:rPr>
                                  <w:color w:val="3F3E45"/>
                                  <w:spacing w:val="-8"/>
                                  <w:sz w:val="20"/>
                                </w:rPr>
                                <w:t xml:space="preserve"> </w:t>
                              </w:r>
                              <w:r>
                                <w:rPr>
                                  <w:color w:val="3F3E45"/>
                                  <w:sz w:val="20"/>
                                </w:rPr>
                                <w:t>difficulty</w:t>
                              </w:r>
                              <w:r>
                                <w:rPr>
                                  <w:color w:val="3F3E45"/>
                                  <w:spacing w:val="-8"/>
                                  <w:sz w:val="20"/>
                                </w:rPr>
                                <w:t xml:space="preserve"> </w:t>
                              </w:r>
                              <w:r>
                                <w:rPr>
                                  <w:color w:val="3F3E45"/>
                                  <w:sz w:val="20"/>
                                </w:rPr>
                                <w:t>accessing</w:t>
                              </w:r>
                              <w:r>
                                <w:rPr>
                                  <w:color w:val="3F3E45"/>
                                  <w:spacing w:val="-8"/>
                                  <w:sz w:val="20"/>
                                </w:rPr>
                                <w:t xml:space="preserve"> </w:t>
                              </w:r>
                              <w:r>
                                <w:rPr>
                                  <w:color w:val="3F3E45"/>
                                  <w:sz w:val="20"/>
                                </w:rPr>
                                <w:t>care</w:t>
                              </w:r>
                              <w:r>
                                <w:rPr>
                                  <w:color w:val="3F3E45"/>
                                  <w:spacing w:val="-8"/>
                                  <w:sz w:val="20"/>
                                </w:rPr>
                                <w:t xml:space="preserve"> </w:t>
                              </w:r>
                              <w:r>
                                <w:rPr>
                                  <w:color w:val="3F3E45"/>
                                  <w:sz w:val="20"/>
                                </w:rPr>
                                <w:t>or</w:t>
                              </w:r>
                              <w:r>
                                <w:rPr>
                                  <w:color w:val="3F3E45"/>
                                  <w:spacing w:val="-8"/>
                                  <w:sz w:val="20"/>
                                </w:rPr>
                                <w:t xml:space="preserve"> </w:t>
                              </w:r>
                              <w:r>
                                <w:rPr>
                                  <w:color w:val="3F3E45"/>
                                  <w:sz w:val="20"/>
                                </w:rPr>
                                <w:t>discrimination</w:t>
                              </w:r>
                              <w:r>
                                <w:rPr>
                                  <w:color w:val="3F3E45"/>
                                  <w:spacing w:val="-8"/>
                                  <w:sz w:val="20"/>
                                </w:rPr>
                                <w:t xml:space="preserve"> </w:t>
                              </w:r>
                              <w:r>
                                <w:rPr>
                                  <w:color w:val="3F3E45"/>
                                  <w:sz w:val="20"/>
                                </w:rPr>
                                <w:t>and</w:t>
                              </w:r>
                              <w:r>
                                <w:rPr>
                                  <w:color w:val="3F3E45"/>
                                  <w:spacing w:val="-8"/>
                                  <w:sz w:val="20"/>
                                </w:rPr>
                                <w:t xml:space="preserve"> </w:t>
                              </w:r>
                              <w:r>
                                <w:rPr>
                                  <w:color w:val="3F3E45"/>
                                  <w:sz w:val="20"/>
                                </w:rPr>
                                <w:t>bias within the healthcare system.</w:t>
                              </w:r>
                              <w:r>
                                <w:rPr>
                                  <w:color w:val="3F3E45"/>
                                  <w:position w:val="7"/>
                                  <w:sz w:val="11"/>
                                </w:rPr>
                                <w:t>14</w:t>
                              </w:r>
                            </w:p>
                          </w:txbxContent>
                        </wps:txbx>
                        <wps:bodyPr wrap="square" lIns="0" tIns="0" rIns="0" bIns="0" rtlCol="0">
                          <a:noAutofit/>
                        </wps:bodyPr>
                      </wps:wsp>
                    </wpg:wgp>
                  </a:graphicData>
                </a:graphic>
              </wp:anchor>
            </w:drawing>
          </mc:Choice>
          <mc:Fallback>
            <w:pict>
              <v:group w14:anchorId="1C34F16C" id="Group 557" o:spid="_x0000_s1469" alt="Race/Ethnicity" style="position:absolute;left:0;text-align:left;margin-left:288.15pt;margin-top:38.5pt;width:295.9pt;height:411.3pt;z-index:251612160;mso-wrap-distance-left:0;mso-wrap-distance-right:0;mso-position-horizontal-relative:page;mso-position-vertical-relative:text" coordsize="37579,5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">
                <v:shape id="Graphic 558" o:spid="_x0000_s1470" style="position:absolute;left:180;top:205;width:37401;height:52032;visibility:visible;mso-wrap-style:square;v-text-anchor:top" coordsize="3740150,520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" path="m3739895,l,,,5202936r3739895,l3739895,xe" fillcolor="black" stroked="f">
                  <v:fill opacity="9252f"/>
                  <v:path arrowok="t"/>
                </v:shape>
                <v:shape id="Graphic 559" o:spid="_x0000_s1471" style="position:absolute;left:63;top:63;width:35884;height:50552;visibility:visible;mso-wrap-style:square;v-text-anchor:top" coordsize="3588385,505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" path="m3435604,l152400,,104231,7769,62396,29405,29405,62396,7769,104231,,152400,,4902708r7769,48168l29405,4992711r32991,32991l104231,5047338r48169,7770l3435604,5055108r48168,-7770l3525607,5025702r32991,-32991l3580234,4950876r7770,-48168l3588004,152400r-7770,-48169l3558598,62396,3525607,29405,3483772,7769,3435604,xe" stroked="f">
                  <v:path arrowok="t"/>
                </v:shape>
                <v:shape id="Graphic 560" o:spid="_x0000_s1472" style="position:absolute;left:63;top:63;width:35884;height:11411;visibility:visible;mso-wrap-style:square;v-text-anchor:top" coordsize="358838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" path="m3435603,l152400,,104231,7769,62396,29405,29405,62396,7769,104231,,152400,,485261r34517,19660l76929,528193r43548,23034l165139,574012r45757,22522l257724,618784r47880,21963l354515,662413r49920,21356l455344,704804r51876,20701l560043,745860r53748,19998l668443,785487r55536,19247l780377,823588r57239,18449l895676,860068r58858,17601l1014172,894830r60394,16707l1135696,927779r61846,15764l1260082,958819r63213,14774l1387160,987854r64496,13736l1516762,1014789r65695,12649l1648721,1039527r66810,11516l1782451,1061906r66589,10144l1981131,1090196r130484,15319l2176194,1112126r64106,5918l2303909,1123274r63088,4545l2429540,1131685r61975,3191l2552898,1137396r60767,1853l2673792,1140441r59464,535l2783092,1140976r67006,-884l2907428,1138682r56572,-2050l3019789,1133948r54984,-3314l3128926,1126693r53300,-4562l3234648,1116952r51520,-5791l3336764,1104762r49647,-7003l3434840,1090196r47923,-8235l3529421,1073174r45614,-9371l3588003,1060905r,-908505l3580234,104231,3558598,62396,3525607,29405,3483772,7769,3435603,xe" fillcolor="#339ec6" stroked="f">
                  <v:path arrowok="t"/>
                </v:shape>
                <v:shape id="Graphic 561" o:spid="_x0000_s1473" style="position:absolute;left:63;top:63;width:35884;height:10528;visibility:visible;mso-wrap-style:square;v-text-anchor:top" coordsize="358838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" path="m3435603,l152400,,104231,7769,62396,29405,29405,62396,7769,104231,,152400,,466442r37106,18930l82861,507895r46829,22249l177570,552107r48911,21666l276401,595129r50909,21035l379186,636865r52822,20356l485756,677219r54653,19628l595944,716095r56399,18853l709582,753397r58060,18031l826501,789030r59637,17160l946533,822897r61131,16242l1069510,854904r62540,15275l1195263,884953r63866,14261l1323625,912950r65107,13199l1454428,938799r66263,12088l1587502,962403r66919,10864l1721010,983410r132090,18146l1983583,1016875r64579,6612l2112267,1029405r63609,5229l2238964,1039180r62543,3865l2363482,1046236r61383,2520l2485631,1050610r60127,1192l2605222,1052337r49836,l2722063,1051452r57331,-1410l2835966,1047993r55789,-2684l2946738,1041994r54154,-3941l3054191,1033492r52422,-5179l3158134,1022521r50596,-6399l3258377,1009119r48429,-7563l3354730,993321r46658,-8786l3447002,975163r44546,-9953l3535003,954680r42339,-11102l3588003,940559r,-788159l3580234,104231,3558598,62396,3525607,29405,3483772,7769,3435603,xe" fillcolor="#d5eef6" stroked="f">
                  <v:path arrowok="t"/>
                </v:shape>
                <v:shape id="Graphic 562" o:spid="_x0000_s1474" style="position:absolute;left:63;top:63;width:35884;height:50552;visibility:visible;mso-wrap-style:square;v-text-anchor:top" coordsize="3588385,505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" path="m152400,l104231,7769,62396,29405,29405,62396,7769,104231,,152400,,4902708r7769,48168l29405,4992711r32991,32991l104231,5047338r48169,7770l3435604,5055108r48168,-7770l3525607,5025702r32991,-32991l3580234,4950876r7770,-48168l3588004,152400r-7770,-48169l3558598,62396,3525607,29405,3483772,7769,3435604,,152400,xe" filled="f" strokecolor="#339ec6" strokeweight="1pt">
                  <v:path arrowok="t"/>
                </v:shape>
                <v:shape id="Image 563" o:spid="_x0000_s1475" type="#_x0000_t75" style="position:absolute;left:25227;top:1432;width:8099;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">
                  <v:imagedata r:id="rId131" o:title=""/>
                </v:shape>
                <v:shape id="Textbox 564" o:spid="_x0000_s1476" type="#_x0000_t202" style="position:absolute;width:37579;height:5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1C34F259" w14:textId="77777777" w:rsidR="004C558F" w:rsidRDefault="004C558F">
                        <w:pPr>
                          <w:rPr>
                            <w:rFonts w:ascii="Franklin Gothic Medium"/>
                            <w:sz w:val="36"/>
                          </w:rPr>
                        </w:pPr>
                      </w:p>
                      <w:p w14:paraId="1C34F25A" w14:textId="77777777" w:rsidR="004C558F" w:rsidRDefault="004C558F">
                        <w:pPr>
                          <w:rPr>
                            <w:rFonts w:ascii="Franklin Gothic Medium"/>
                            <w:sz w:val="36"/>
                          </w:rPr>
                        </w:pPr>
                      </w:p>
                      <w:p w14:paraId="1C34F25B" w14:textId="77777777" w:rsidR="004C558F" w:rsidRDefault="004C558F">
                        <w:pPr>
                          <w:rPr>
                            <w:rFonts w:ascii="Franklin Gothic Medium"/>
                            <w:sz w:val="36"/>
                          </w:rPr>
                        </w:pPr>
                      </w:p>
                      <w:p w14:paraId="1C34F25C" w14:textId="77777777" w:rsidR="004C558F" w:rsidRDefault="004C558F">
                        <w:pPr>
                          <w:spacing w:before="203"/>
                          <w:rPr>
                            <w:rFonts w:ascii="Franklin Gothic Medium"/>
                            <w:sz w:val="36"/>
                          </w:rPr>
                        </w:pPr>
                      </w:p>
                      <w:p w14:paraId="1C34F25D" w14:textId="77777777" w:rsidR="004C558F" w:rsidRDefault="00461887">
                        <w:pPr>
                          <w:ind w:left="452"/>
                          <w:rPr>
                            <w:rFonts w:ascii="Franklin Gothic Demi Cond"/>
                            <w:b/>
                            <w:sz w:val="36"/>
                          </w:rPr>
                        </w:pPr>
                        <w:r>
                          <w:rPr>
                            <w:rFonts w:ascii="Franklin Gothic Demi Cond"/>
                            <w:b/>
                            <w:color w:val="339EC6"/>
                            <w:spacing w:val="-2"/>
                            <w:sz w:val="36"/>
                          </w:rPr>
                          <w:t>RACE/ETHNICITY</w:t>
                        </w:r>
                      </w:p>
                      <w:p w14:paraId="1C34F25E" w14:textId="77777777" w:rsidR="004C558F" w:rsidRDefault="00461887">
                        <w:pPr>
                          <w:numPr>
                            <w:ilvl w:val="0"/>
                            <w:numId w:val="3"/>
                          </w:numPr>
                          <w:tabs>
                            <w:tab w:val="left" w:pos="473"/>
                          </w:tabs>
                          <w:spacing w:before="177" w:line="254" w:lineRule="auto"/>
                          <w:ind w:right="578"/>
                          <w:jc w:val="both"/>
                          <w:rPr>
                            <w:sz w:val="11"/>
                          </w:rPr>
                        </w:pPr>
                        <w:r>
                          <w:rPr>
                            <w:color w:val="3F3E45"/>
                            <w:sz w:val="20"/>
                          </w:rPr>
                          <w:t>In</w:t>
                        </w:r>
                        <w:r>
                          <w:rPr>
                            <w:color w:val="3F3E45"/>
                            <w:spacing w:val="-9"/>
                            <w:sz w:val="20"/>
                          </w:rPr>
                          <w:t xml:space="preserve"> </w:t>
                        </w:r>
                        <w:r>
                          <w:rPr>
                            <w:color w:val="3F3E45"/>
                            <w:sz w:val="20"/>
                          </w:rPr>
                          <w:t>Boston,</w:t>
                        </w:r>
                        <w:r>
                          <w:rPr>
                            <w:color w:val="3F3E45"/>
                            <w:spacing w:val="-9"/>
                            <w:sz w:val="20"/>
                          </w:rPr>
                          <w:t xml:space="preserve"> </w:t>
                        </w:r>
                        <w:r>
                          <w:rPr>
                            <w:color w:val="3F3E45"/>
                            <w:sz w:val="20"/>
                          </w:rPr>
                          <w:t>Black</w:t>
                        </w:r>
                        <w:r>
                          <w:rPr>
                            <w:color w:val="3F3E45"/>
                            <w:spacing w:val="-9"/>
                            <w:sz w:val="20"/>
                          </w:rPr>
                          <w:t xml:space="preserve"> </w:t>
                        </w:r>
                        <w:r>
                          <w:rPr>
                            <w:color w:val="3F3E45"/>
                            <w:sz w:val="20"/>
                          </w:rPr>
                          <w:t>individuals</w:t>
                        </w:r>
                        <w:r>
                          <w:rPr>
                            <w:color w:val="3F3E45"/>
                            <w:spacing w:val="-9"/>
                            <w:sz w:val="20"/>
                          </w:rPr>
                          <w:t xml:space="preserve"> </w:t>
                        </w:r>
                        <w:r>
                          <w:rPr>
                            <w:color w:val="3F3E45"/>
                            <w:sz w:val="20"/>
                          </w:rPr>
                          <w:t>have</w:t>
                        </w:r>
                        <w:r>
                          <w:rPr>
                            <w:color w:val="3F3E45"/>
                            <w:spacing w:val="-9"/>
                            <w:sz w:val="20"/>
                          </w:rPr>
                          <w:t xml:space="preserve"> </w:t>
                        </w:r>
                        <w:r>
                          <w:rPr>
                            <w:color w:val="3F3E45"/>
                            <w:sz w:val="20"/>
                          </w:rPr>
                          <w:t>higher</w:t>
                        </w:r>
                        <w:r>
                          <w:rPr>
                            <w:color w:val="3F3E45"/>
                            <w:spacing w:val="-9"/>
                            <w:sz w:val="20"/>
                          </w:rPr>
                          <w:t xml:space="preserve"> </w:t>
                        </w:r>
                        <w:r>
                          <w:rPr>
                            <w:color w:val="3F3E45"/>
                            <w:sz w:val="20"/>
                          </w:rPr>
                          <w:t>cancer</w:t>
                        </w:r>
                        <w:r>
                          <w:rPr>
                            <w:color w:val="3F3E45"/>
                            <w:spacing w:val="-9"/>
                            <w:sz w:val="20"/>
                          </w:rPr>
                          <w:t xml:space="preserve"> </w:t>
                        </w:r>
                        <w:r>
                          <w:rPr>
                            <w:color w:val="3F3E45"/>
                            <w:sz w:val="20"/>
                          </w:rPr>
                          <w:t xml:space="preserve">incidence, </w:t>
                        </w:r>
                        <w:r>
                          <w:rPr>
                            <w:color w:val="3F3E45"/>
                            <w:spacing w:val="-2"/>
                            <w:sz w:val="20"/>
                          </w:rPr>
                          <w:t>mortality, and premature mortality</w:t>
                        </w:r>
                        <w:r>
                          <w:rPr>
                            <w:color w:val="3F3E45"/>
                            <w:spacing w:val="-3"/>
                            <w:sz w:val="20"/>
                          </w:rPr>
                          <w:t xml:space="preserve"> </w:t>
                        </w:r>
                        <w:r>
                          <w:rPr>
                            <w:color w:val="3F3E45"/>
                            <w:spacing w:val="-2"/>
                            <w:sz w:val="20"/>
                          </w:rPr>
                          <w:t xml:space="preserve">rates across all invasive </w:t>
                        </w:r>
                        <w:r>
                          <w:rPr>
                            <w:color w:val="3F3E45"/>
                            <w:sz w:val="20"/>
                          </w:rPr>
                          <w:t>cancers compared to other races and ethnicities.</w:t>
                        </w:r>
                        <w:r>
                          <w:rPr>
                            <w:color w:val="3F3E45"/>
                            <w:position w:val="7"/>
                            <w:sz w:val="11"/>
                          </w:rPr>
                          <w:t>8</w:t>
                        </w:r>
                      </w:p>
                      <w:p w14:paraId="1C34F25F" w14:textId="77777777" w:rsidR="004C558F" w:rsidRDefault="00461887">
                        <w:pPr>
                          <w:numPr>
                            <w:ilvl w:val="0"/>
                            <w:numId w:val="3"/>
                          </w:numPr>
                          <w:tabs>
                            <w:tab w:val="left" w:pos="473"/>
                          </w:tabs>
                          <w:spacing w:line="254" w:lineRule="auto"/>
                          <w:ind w:right="576"/>
                          <w:jc w:val="both"/>
                          <w:rPr>
                            <w:sz w:val="11"/>
                          </w:rPr>
                        </w:pPr>
                        <w:r>
                          <w:rPr>
                            <w:color w:val="3F3E45"/>
                            <w:sz w:val="20"/>
                          </w:rPr>
                          <w:t xml:space="preserve">Nationally, Hispanic individuals are twice as likely to be </w:t>
                        </w:r>
                        <w:r>
                          <w:rPr>
                            <w:color w:val="3F3E45"/>
                            <w:spacing w:val="-2"/>
                            <w:sz w:val="20"/>
                          </w:rPr>
                          <w:t>diagnosed</w:t>
                        </w:r>
                        <w:r>
                          <w:rPr>
                            <w:color w:val="3F3E45"/>
                            <w:spacing w:val="-6"/>
                            <w:sz w:val="20"/>
                          </w:rPr>
                          <w:t xml:space="preserve"> </w:t>
                        </w:r>
                        <w:r>
                          <w:rPr>
                            <w:color w:val="3F3E45"/>
                            <w:spacing w:val="-2"/>
                            <w:sz w:val="20"/>
                          </w:rPr>
                          <w:t>with</w:t>
                        </w:r>
                        <w:r>
                          <w:rPr>
                            <w:color w:val="3F3E45"/>
                            <w:spacing w:val="-6"/>
                            <w:sz w:val="20"/>
                          </w:rPr>
                          <w:t xml:space="preserve"> </w:t>
                        </w:r>
                        <w:r>
                          <w:rPr>
                            <w:color w:val="3F3E45"/>
                            <w:spacing w:val="-2"/>
                            <w:sz w:val="20"/>
                          </w:rPr>
                          <w:t>and</w:t>
                        </w:r>
                        <w:r>
                          <w:rPr>
                            <w:color w:val="3F3E45"/>
                            <w:spacing w:val="-6"/>
                            <w:sz w:val="20"/>
                          </w:rPr>
                          <w:t xml:space="preserve"> </w:t>
                        </w:r>
                        <w:r>
                          <w:rPr>
                            <w:color w:val="3F3E45"/>
                            <w:spacing w:val="-2"/>
                            <w:sz w:val="20"/>
                          </w:rPr>
                          <w:t>die</w:t>
                        </w:r>
                        <w:r>
                          <w:rPr>
                            <w:color w:val="3F3E45"/>
                            <w:spacing w:val="-6"/>
                            <w:sz w:val="20"/>
                          </w:rPr>
                          <w:t xml:space="preserve"> </w:t>
                        </w:r>
                        <w:r>
                          <w:rPr>
                            <w:color w:val="3F3E45"/>
                            <w:spacing w:val="-2"/>
                            <w:sz w:val="20"/>
                          </w:rPr>
                          <w:t>from</w:t>
                        </w:r>
                        <w:r>
                          <w:rPr>
                            <w:color w:val="3F3E45"/>
                            <w:spacing w:val="-6"/>
                            <w:sz w:val="20"/>
                          </w:rPr>
                          <w:t xml:space="preserve"> </w:t>
                        </w:r>
                        <w:r>
                          <w:rPr>
                            <w:color w:val="3F3E45"/>
                            <w:spacing w:val="-2"/>
                            <w:sz w:val="20"/>
                          </w:rPr>
                          <w:t>stomach</w:t>
                        </w:r>
                        <w:r>
                          <w:rPr>
                            <w:color w:val="3F3E45"/>
                            <w:spacing w:val="-6"/>
                            <w:sz w:val="20"/>
                          </w:rPr>
                          <w:t xml:space="preserve"> </w:t>
                        </w:r>
                        <w:r>
                          <w:rPr>
                            <w:color w:val="3F3E45"/>
                            <w:spacing w:val="-2"/>
                            <w:sz w:val="20"/>
                          </w:rPr>
                          <w:t>cancer</w:t>
                        </w:r>
                        <w:r>
                          <w:rPr>
                            <w:color w:val="3F3E45"/>
                            <w:spacing w:val="-6"/>
                            <w:sz w:val="20"/>
                          </w:rPr>
                          <w:t xml:space="preserve"> </w:t>
                        </w:r>
                        <w:r>
                          <w:rPr>
                            <w:color w:val="3F3E45"/>
                            <w:spacing w:val="-2"/>
                            <w:sz w:val="20"/>
                          </w:rPr>
                          <w:t>than</w:t>
                        </w:r>
                        <w:r>
                          <w:rPr>
                            <w:color w:val="3F3E45"/>
                            <w:spacing w:val="-6"/>
                            <w:sz w:val="20"/>
                          </w:rPr>
                          <w:t xml:space="preserve"> </w:t>
                        </w:r>
                        <w:r>
                          <w:rPr>
                            <w:color w:val="3F3E45"/>
                            <w:spacing w:val="-2"/>
                            <w:sz w:val="20"/>
                          </w:rPr>
                          <w:t xml:space="preserve">non-His- </w:t>
                        </w:r>
                        <w:r>
                          <w:rPr>
                            <w:color w:val="3F3E45"/>
                            <w:sz w:val="20"/>
                          </w:rPr>
                          <w:t>panic individuals.</w:t>
                        </w:r>
                        <w:r>
                          <w:rPr>
                            <w:color w:val="3F3E45"/>
                            <w:position w:val="7"/>
                            <w:sz w:val="11"/>
                          </w:rPr>
                          <w:t>9</w:t>
                        </w:r>
                      </w:p>
                      <w:p w14:paraId="1C34F260" w14:textId="77777777" w:rsidR="004C558F" w:rsidRDefault="00461887">
                        <w:pPr>
                          <w:numPr>
                            <w:ilvl w:val="0"/>
                            <w:numId w:val="3"/>
                          </w:numPr>
                          <w:tabs>
                            <w:tab w:val="left" w:pos="473"/>
                          </w:tabs>
                          <w:spacing w:line="254" w:lineRule="auto"/>
                          <w:ind w:right="578"/>
                          <w:jc w:val="both"/>
                          <w:rPr>
                            <w:sz w:val="11"/>
                          </w:rPr>
                        </w:pPr>
                        <w:r>
                          <w:rPr>
                            <w:color w:val="3F3E45"/>
                            <w:sz w:val="20"/>
                          </w:rPr>
                          <w:t>Asian/Pacific Islander individuals have almost twice the incidence</w:t>
                        </w:r>
                        <w:r>
                          <w:rPr>
                            <w:color w:val="3F3E45"/>
                            <w:spacing w:val="-3"/>
                            <w:sz w:val="20"/>
                          </w:rPr>
                          <w:t xml:space="preserve"> </w:t>
                        </w:r>
                        <w:r>
                          <w:rPr>
                            <w:color w:val="3F3E45"/>
                            <w:sz w:val="20"/>
                          </w:rPr>
                          <w:t>of</w:t>
                        </w:r>
                        <w:r>
                          <w:rPr>
                            <w:color w:val="3F3E45"/>
                            <w:spacing w:val="-3"/>
                            <w:sz w:val="20"/>
                          </w:rPr>
                          <w:t xml:space="preserve"> </w:t>
                        </w:r>
                        <w:r>
                          <w:rPr>
                            <w:color w:val="3F3E45"/>
                            <w:sz w:val="20"/>
                          </w:rPr>
                          <w:t>liver</w:t>
                        </w:r>
                        <w:r>
                          <w:rPr>
                            <w:color w:val="3F3E45"/>
                            <w:spacing w:val="-3"/>
                            <w:sz w:val="20"/>
                          </w:rPr>
                          <w:t xml:space="preserve"> </w:t>
                        </w:r>
                        <w:r>
                          <w:rPr>
                            <w:color w:val="3F3E45"/>
                            <w:sz w:val="20"/>
                          </w:rPr>
                          <w:t>&amp;</w:t>
                        </w:r>
                        <w:r>
                          <w:rPr>
                            <w:color w:val="3F3E45"/>
                            <w:spacing w:val="-3"/>
                            <w:sz w:val="20"/>
                          </w:rPr>
                          <w:t xml:space="preserve"> </w:t>
                        </w:r>
                        <w:r>
                          <w:rPr>
                            <w:color w:val="3F3E45"/>
                            <w:sz w:val="20"/>
                          </w:rPr>
                          <w:t>IBD</w:t>
                        </w:r>
                        <w:r>
                          <w:rPr>
                            <w:color w:val="3F3E45"/>
                            <w:spacing w:val="-3"/>
                            <w:sz w:val="20"/>
                          </w:rPr>
                          <w:t xml:space="preserve"> </w:t>
                        </w:r>
                        <w:r>
                          <w:rPr>
                            <w:color w:val="3F3E45"/>
                            <w:sz w:val="20"/>
                          </w:rPr>
                          <w:t>cancer</w:t>
                        </w:r>
                        <w:r>
                          <w:rPr>
                            <w:color w:val="3F3E45"/>
                            <w:spacing w:val="-3"/>
                            <w:sz w:val="20"/>
                          </w:rPr>
                          <w:t xml:space="preserve"> </w:t>
                        </w:r>
                        <w:r>
                          <w:rPr>
                            <w:color w:val="3F3E45"/>
                            <w:sz w:val="20"/>
                          </w:rPr>
                          <w:t>compared</w:t>
                        </w:r>
                        <w:r>
                          <w:rPr>
                            <w:color w:val="3F3E45"/>
                            <w:spacing w:val="-3"/>
                            <w:sz w:val="20"/>
                          </w:rPr>
                          <w:t xml:space="preserve"> </w:t>
                        </w:r>
                        <w:r>
                          <w:rPr>
                            <w:color w:val="3F3E45"/>
                            <w:sz w:val="20"/>
                          </w:rPr>
                          <w:t>to</w:t>
                        </w:r>
                        <w:r>
                          <w:rPr>
                            <w:color w:val="3F3E45"/>
                            <w:spacing w:val="-3"/>
                            <w:sz w:val="20"/>
                          </w:rPr>
                          <w:t xml:space="preserve"> </w:t>
                        </w:r>
                        <w:r>
                          <w:rPr>
                            <w:color w:val="3F3E45"/>
                            <w:sz w:val="20"/>
                          </w:rPr>
                          <w:t>non-Hispanic white individuals.</w:t>
                        </w:r>
                        <w:r>
                          <w:rPr>
                            <w:color w:val="3F3E45"/>
                            <w:position w:val="7"/>
                            <w:sz w:val="11"/>
                          </w:rPr>
                          <w:t>10</w:t>
                        </w:r>
                      </w:p>
                      <w:p w14:paraId="1C34F261" w14:textId="77777777" w:rsidR="004C558F" w:rsidRDefault="00461887">
                        <w:pPr>
                          <w:numPr>
                            <w:ilvl w:val="0"/>
                            <w:numId w:val="3"/>
                          </w:numPr>
                          <w:tabs>
                            <w:tab w:val="left" w:pos="473"/>
                          </w:tabs>
                          <w:spacing w:line="254" w:lineRule="auto"/>
                          <w:ind w:right="576"/>
                          <w:jc w:val="both"/>
                          <w:rPr>
                            <w:sz w:val="11"/>
                          </w:rPr>
                        </w:pPr>
                        <w:r>
                          <w:rPr>
                            <w:color w:val="3F3E45"/>
                            <w:spacing w:val="-2"/>
                            <w:sz w:val="20"/>
                          </w:rPr>
                          <w:t>Across</w:t>
                        </w:r>
                        <w:r>
                          <w:rPr>
                            <w:color w:val="3F3E45"/>
                            <w:spacing w:val="-11"/>
                            <w:sz w:val="20"/>
                          </w:rPr>
                          <w:t xml:space="preserve"> </w:t>
                        </w:r>
                        <w:r>
                          <w:rPr>
                            <w:color w:val="3F3E45"/>
                            <w:spacing w:val="-2"/>
                            <w:sz w:val="20"/>
                          </w:rPr>
                          <w:t>Massachusetts,</w:t>
                        </w:r>
                        <w:r>
                          <w:rPr>
                            <w:color w:val="3F3E45"/>
                            <w:spacing w:val="-10"/>
                            <w:sz w:val="20"/>
                          </w:rPr>
                          <w:t xml:space="preserve"> </w:t>
                        </w:r>
                        <w:r>
                          <w:rPr>
                            <w:color w:val="3F3E45"/>
                            <w:spacing w:val="-2"/>
                            <w:sz w:val="20"/>
                          </w:rPr>
                          <w:t>white</w:t>
                        </w:r>
                        <w:r>
                          <w:rPr>
                            <w:color w:val="3F3E45"/>
                            <w:spacing w:val="-11"/>
                            <w:sz w:val="20"/>
                          </w:rPr>
                          <w:t xml:space="preserve"> </w:t>
                        </w:r>
                        <w:r>
                          <w:rPr>
                            <w:color w:val="3F3E45"/>
                            <w:spacing w:val="-2"/>
                            <w:sz w:val="20"/>
                          </w:rPr>
                          <w:t>non-Hispanic</w:t>
                        </w:r>
                        <w:r>
                          <w:rPr>
                            <w:color w:val="3F3E45"/>
                            <w:spacing w:val="-10"/>
                            <w:sz w:val="20"/>
                          </w:rPr>
                          <w:t xml:space="preserve"> </w:t>
                        </w:r>
                        <w:r>
                          <w:rPr>
                            <w:color w:val="3F3E45"/>
                            <w:spacing w:val="-2"/>
                            <w:sz w:val="20"/>
                          </w:rPr>
                          <w:t>individuals</w:t>
                        </w:r>
                        <w:r>
                          <w:rPr>
                            <w:color w:val="3F3E45"/>
                            <w:spacing w:val="-11"/>
                            <w:sz w:val="20"/>
                          </w:rPr>
                          <w:t xml:space="preserve"> </w:t>
                        </w:r>
                        <w:r>
                          <w:rPr>
                            <w:color w:val="3F3E45"/>
                            <w:spacing w:val="-2"/>
                            <w:sz w:val="20"/>
                          </w:rPr>
                          <w:t xml:space="preserve">have </w:t>
                        </w:r>
                        <w:r>
                          <w:rPr>
                            <w:color w:val="3F3E45"/>
                            <w:sz w:val="20"/>
                          </w:rPr>
                          <w:t>higher</w:t>
                        </w:r>
                        <w:r>
                          <w:rPr>
                            <w:color w:val="3F3E45"/>
                            <w:spacing w:val="-3"/>
                            <w:sz w:val="20"/>
                          </w:rPr>
                          <w:t xml:space="preserve"> </w:t>
                        </w:r>
                        <w:r>
                          <w:rPr>
                            <w:color w:val="3F3E45"/>
                            <w:sz w:val="20"/>
                          </w:rPr>
                          <w:t>age-adjusted</w:t>
                        </w:r>
                        <w:r>
                          <w:rPr>
                            <w:color w:val="3F3E45"/>
                            <w:spacing w:val="-3"/>
                            <w:sz w:val="20"/>
                          </w:rPr>
                          <w:t xml:space="preserve"> </w:t>
                        </w:r>
                        <w:r>
                          <w:rPr>
                            <w:color w:val="3F3E45"/>
                            <w:sz w:val="20"/>
                          </w:rPr>
                          <w:t>incidence</w:t>
                        </w:r>
                        <w:r>
                          <w:rPr>
                            <w:color w:val="3F3E45"/>
                            <w:spacing w:val="-3"/>
                            <w:sz w:val="20"/>
                          </w:rPr>
                          <w:t xml:space="preserve"> </w:t>
                        </w:r>
                        <w:r>
                          <w:rPr>
                            <w:color w:val="3F3E45"/>
                            <w:sz w:val="20"/>
                          </w:rPr>
                          <w:t>rates</w:t>
                        </w:r>
                        <w:r>
                          <w:rPr>
                            <w:color w:val="3F3E45"/>
                            <w:spacing w:val="-3"/>
                            <w:sz w:val="20"/>
                          </w:rPr>
                          <w:t xml:space="preserve"> </w:t>
                        </w:r>
                        <w:r>
                          <w:rPr>
                            <w:color w:val="3F3E45"/>
                            <w:sz w:val="20"/>
                          </w:rPr>
                          <w:t>from</w:t>
                        </w:r>
                        <w:r>
                          <w:rPr>
                            <w:color w:val="3F3E45"/>
                            <w:spacing w:val="-3"/>
                            <w:sz w:val="20"/>
                          </w:rPr>
                          <w:t xml:space="preserve"> </w:t>
                        </w:r>
                        <w:r>
                          <w:rPr>
                            <w:color w:val="3F3E45"/>
                            <w:sz w:val="20"/>
                          </w:rPr>
                          <w:t>all</w:t>
                        </w:r>
                        <w:r>
                          <w:rPr>
                            <w:color w:val="3F3E45"/>
                            <w:spacing w:val="-3"/>
                            <w:sz w:val="20"/>
                          </w:rPr>
                          <w:t xml:space="preserve"> </w:t>
                        </w:r>
                        <w:r>
                          <w:rPr>
                            <w:color w:val="3F3E45"/>
                            <w:sz w:val="20"/>
                          </w:rPr>
                          <w:t>invasive</w:t>
                        </w:r>
                        <w:r>
                          <w:rPr>
                            <w:color w:val="3F3E45"/>
                            <w:spacing w:val="-3"/>
                            <w:sz w:val="20"/>
                          </w:rPr>
                          <w:t xml:space="preserve"> </w:t>
                        </w:r>
                        <w:r>
                          <w:rPr>
                            <w:color w:val="3F3E45"/>
                            <w:sz w:val="20"/>
                          </w:rPr>
                          <w:t xml:space="preserve">can- </w:t>
                        </w:r>
                        <w:proofErr w:type="spellStart"/>
                        <w:r>
                          <w:rPr>
                            <w:color w:val="3F3E45"/>
                            <w:sz w:val="20"/>
                          </w:rPr>
                          <w:t>cers</w:t>
                        </w:r>
                        <w:proofErr w:type="spellEnd"/>
                        <w:r>
                          <w:rPr>
                            <w:color w:val="3F3E45"/>
                            <w:sz w:val="20"/>
                          </w:rPr>
                          <w:t xml:space="preserve"> than other racial/ethnic groups. Despite their higher incidence</w:t>
                        </w:r>
                        <w:r>
                          <w:rPr>
                            <w:color w:val="3F3E45"/>
                            <w:spacing w:val="-10"/>
                            <w:sz w:val="20"/>
                          </w:rPr>
                          <w:t xml:space="preserve"> </w:t>
                        </w:r>
                        <w:r>
                          <w:rPr>
                            <w:color w:val="3F3E45"/>
                            <w:sz w:val="20"/>
                          </w:rPr>
                          <w:t>rates,</w:t>
                        </w:r>
                        <w:r>
                          <w:rPr>
                            <w:color w:val="3F3E45"/>
                            <w:spacing w:val="-10"/>
                            <w:sz w:val="20"/>
                          </w:rPr>
                          <w:t xml:space="preserve"> </w:t>
                        </w:r>
                        <w:r>
                          <w:rPr>
                            <w:color w:val="3F3E45"/>
                            <w:sz w:val="20"/>
                          </w:rPr>
                          <w:t>white</w:t>
                        </w:r>
                        <w:r>
                          <w:rPr>
                            <w:color w:val="3F3E45"/>
                            <w:spacing w:val="-10"/>
                            <w:sz w:val="20"/>
                          </w:rPr>
                          <w:t xml:space="preserve"> </w:t>
                        </w:r>
                        <w:r>
                          <w:rPr>
                            <w:color w:val="3F3E45"/>
                            <w:sz w:val="20"/>
                          </w:rPr>
                          <w:t>non-Hispanic</w:t>
                        </w:r>
                        <w:r>
                          <w:rPr>
                            <w:color w:val="3F3E45"/>
                            <w:spacing w:val="-10"/>
                            <w:sz w:val="20"/>
                          </w:rPr>
                          <w:t xml:space="preserve"> </w:t>
                        </w:r>
                        <w:r>
                          <w:rPr>
                            <w:color w:val="3F3E45"/>
                            <w:sz w:val="20"/>
                          </w:rPr>
                          <w:t>individuals</w:t>
                        </w:r>
                        <w:r>
                          <w:rPr>
                            <w:color w:val="3F3E45"/>
                            <w:spacing w:val="-10"/>
                            <w:sz w:val="20"/>
                          </w:rPr>
                          <w:t xml:space="preserve"> </w:t>
                        </w:r>
                        <w:r>
                          <w:rPr>
                            <w:color w:val="3F3E45"/>
                            <w:sz w:val="20"/>
                          </w:rPr>
                          <w:t>saw</w:t>
                        </w:r>
                        <w:r>
                          <w:rPr>
                            <w:color w:val="3F3E45"/>
                            <w:spacing w:val="-10"/>
                            <w:sz w:val="20"/>
                          </w:rPr>
                          <w:t xml:space="preserve"> </w:t>
                        </w:r>
                        <w:r>
                          <w:rPr>
                            <w:color w:val="3F3E45"/>
                            <w:sz w:val="20"/>
                          </w:rPr>
                          <w:t xml:space="preserve">statis- </w:t>
                        </w:r>
                        <w:proofErr w:type="spellStart"/>
                        <w:r>
                          <w:rPr>
                            <w:color w:val="3F3E45"/>
                            <w:sz w:val="20"/>
                          </w:rPr>
                          <w:t>tically</w:t>
                        </w:r>
                        <w:proofErr w:type="spellEnd"/>
                        <w:r>
                          <w:rPr>
                            <w:color w:val="3F3E45"/>
                            <w:sz w:val="20"/>
                          </w:rPr>
                          <w:t xml:space="preserve"> significant decreases in mortality from all cancers from</w:t>
                        </w:r>
                        <w:r>
                          <w:rPr>
                            <w:color w:val="3F3E45"/>
                            <w:spacing w:val="-13"/>
                            <w:sz w:val="20"/>
                          </w:rPr>
                          <w:t xml:space="preserve"> </w:t>
                        </w:r>
                        <w:r>
                          <w:rPr>
                            <w:color w:val="3F3E45"/>
                            <w:sz w:val="20"/>
                          </w:rPr>
                          <w:t>2016–2020,</w:t>
                        </w:r>
                        <w:r>
                          <w:rPr>
                            <w:color w:val="3F3E45"/>
                            <w:spacing w:val="-12"/>
                            <w:sz w:val="20"/>
                          </w:rPr>
                          <w:t xml:space="preserve"> </w:t>
                        </w:r>
                        <w:r>
                          <w:rPr>
                            <w:color w:val="3F3E45"/>
                            <w:sz w:val="20"/>
                          </w:rPr>
                          <w:t>unlike</w:t>
                        </w:r>
                        <w:r>
                          <w:rPr>
                            <w:color w:val="3F3E45"/>
                            <w:spacing w:val="-13"/>
                            <w:sz w:val="20"/>
                          </w:rPr>
                          <w:t xml:space="preserve"> </w:t>
                        </w:r>
                        <w:r>
                          <w:rPr>
                            <w:color w:val="3F3E45"/>
                            <w:sz w:val="20"/>
                          </w:rPr>
                          <w:t>Black</w:t>
                        </w:r>
                        <w:r>
                          <w:rPr>
                            <w:color w:val="3F3E45"/>
                            <w:spacing w:val="-12"/>
                            <w:sz w:val="20"/>
                          </w:rPr>
                          <w:t xml:space="preserve"> </w:t>
                        </w:r>
                        <w:r>
                          <w:rPr>
                            <w:color w:val="3F3E45"/>
                            <w:sz w:val="20"/>
                          </w:rPr>
                          <w:t>and</w:t>
                        </w:r>
                        <w:r>
                          <w:rPr>
                            <w:color w:val="3F3E45"/>
                            <w:spacing w:val="-13"/>
                            <w:sz w:val="20"/>
                          </w:rPr>
                          <w:t xml:space="preserve"> </w:t>
                        </w:r>
                        <w:r>
                          <w:rPr>
                            <w:color w:val="3F3E45"/>
                            <w:sz w:val="20"/>
                          </w:rPr>
                          <w:t>Hispanic</w:t>
                        </w:r>
                        <w:r>
                          <w:rPr>
                            <w:color w:val="3F3E45"/>
                            <w:spacing w:val="-12"/>
                            <w:sz w:val="20"/>
                          </w:rPr>
                          <w:t xml:space="preserve"> </w:t>
                        </w:r>
                        <w:r>
                          <w:rPr>
                            <w:color w:val="3F3E45"/>
                            <w:sz w:val="20"/>
                          </w:rPr>
                          <w:t>individuals.</w:t>
                        </w:r>
                        <w:r>
                          <w:rPr>
                            <w:color w:val="3F3E45"/>
                            <w:position w:val="7"/>
                            <w:sz w:val="11"/>
                          </w:rPr>
                          <w:t>11</w:t>
                        </w:r>
                      </w:p>
                      <w:p w14:paraId="1C34F262" w14:textId="77777777" w:rsidR="004C558F" w:rsidRDefault="00461887">
                        <w:pPr>
                          <w:numPr>
                            <w:ilvl w:val="0"/>
                            <w:numId w:val="3"/>
                          </w:numPr>
                          <w:tabs>
                            <w:tab w:val="left" w:pos="473"/>
                          </w:tabs>
                          <w:spacing w:line="254" w:lineRule="auto"/>
                          <w:ind w:right="579"/>
                          <w:jc w:val="both"/>
                          <w:rPr>
                            <w:sz w:val="11"/>
                          </w:rPr>
                        </w:pPr>
                        <w:r>
                          <w:rPr>
                            <w:color w:val="3F3E45"/>
                            <w:sz w:val="20"/>
                          </w:rPr>
                          <w:t xml:space="preserve">The overall cancer screening rate is lower for BIPOC </w:t>
                        </w:r>
                        <w:proofErr w:type="spellStart"/>
                        <w:r>
                          <w:rPr>
                            <w:color w:val="3F3E45"/>
                            <w:sz w:val="20"/>
                          </w:rPr>
                          <w:t>indi</w:t>
                        </w:r>
                        <w:proofErr w:type="spellEnd"/>
                        <w:r>
                          <w:rPr>
                            <w:color w:val="3F3E45"/>
                            <w:sz w:val="20"/>
                          </w:rPr>
                          <w:t xml:space="preserve">- </w:t>
                        </w:r>
                        <w:proofErr w:type="spellStart"/>
                        <w:r>
                          <w:rPr>
                            <w:color w:val="3F3E45"/>
                            <w:sz w:val="20"/>
                          </w:rPr>
                          <w:t>viduals</w:t>
                        </w:r>
                        <w:proofErr w:type="spellEnd"/>
                        <w:r>
                          <w:rPr>
                            <w:color w:val="3F3E45"/>
                            <w:sz w:val="20"/>
                          </w:rPr>
                          <w:t>,</w:t>
                        </w:r>
                        <w:r>
                          <w:rPr>
                            <w:color w:val="3F3E45"/>
                            <w:position w:val="7"/>
                            <w:sz w:val="11"/>
                          </w:rPr>
                          <w:t>12</w:t>
                        </w:r>
                        <w:r>
                          <w:rPr>
                            <w:color w:val="3F3E45"/>
                            <w:spacing w:val="-4"/>
                            <w:position w:val="7"/>
                            <w:sz w:val="11"/>
                          </w:rPr>
                          <w:t xml:space="preserve"> </w:t>
                        </w:r>
                        <w:r>
                          <w:rPr>
                            <w:color w:val="3F3E45"/>
                            <w:sz w:val="20"/>
                          </w:rPr>
                          <w:t>and</w:t>
                        </w:r>
                        <w:r>
                          <w:rPr>
                            <w:color w:val="3F3E45"/>
                            <w:spacing w:val="-12"/>
                            <w:sz w:val="20"/>
                          </w:rPr>
                          <w:t xml:space="preserve"> </w:t>
                        </w:r>
                        <w:r>
                          <w:rPr>
                            <w:color w:val="3F3E45"/>
                            <w:sz w:val="20"/>
                          </w:rPr>
                          <w:t>BIPOC</w:t>
                        </w:r>
                        <w:r>
                          <w:rPr>
                            <w:color w:val="3F3E45"/>
                            <w:spacing w:val="-13"/>
                            <w:sz w:val="20"/>
                          </w:rPr>
                          <w:t xml:space="preserve"> </w:t>
                        </w:r>
                        <w:r>
                          <w:rPr>
                            <w:color w:val="3F3E45"/>
                            <w:sz w:val="20"/>
                          </w:rPr>
                          <w:t>individuals</w:t>
                        </w:r>
                        <w:r>
                          <w:rPr>
                            <w:color w:val="3F3E45"/>
                            <w:spacing w:val="-12"/>
                            <w:sz w:val="20"/>
                          </w:rPr>
                          <w:t xml:space="preserve"> </w:t>
                        </w:r>
                        <w:r>
                          <w:rPr>
                            <w:color w:val="3F3E45"/>
                            <w:sz w:val="20"/>
                          </w:rPr>
                          <w:t>tend</w:t>
                        </w:r>
                        <w:r>
                          <w:rPr>
                            <w:color w:val="3F3E45"/>
                            <w:spacing w:val="-13"/>
                            <w:sz w:val="20"/>
                          </w:rPr>
                          <w:t xml:space="preserve"> </w:t>
                        </w:r>
                        <w:r>
                          <w:rPr>
                            <w:color w:val="3F3E45"/>
                            <w:sz w:val="20"/>
                          </w:rPr>
                          <w:t>to</w:t>
                        </w:r>
                        <w:r>
                          <w:rPr>
                            <w:color w:val="3F3E45"/>
                            <w:spacing w:val="-12"/>
                            <w:sz w:val="20"/>
                          </w:rPr>
                          <w:t xml:space="preserve"> </w:t>
                        </w:r>
                        <w:r>
                          <w:rPr>
                            <w:color w:val="3F3E45"/>
                            <w:sz w:val="20"/>
                          </w:rPr>
                          <w:t>receive</w:t>
                        </w:r>
                        <w:r>
                          <w:rPr>
                            <w:color w:val="3F3E45"/>
                            <w:spacing w:val="-13"/>
                            <w:sz w:val="20"/>
                          </w:rPr>
                          <w:t xml:space="preserve"> </w:t>
                        </w:r>
                        <w:r>
                          <w:rPr>
                            <w:color w:val="3F3E45"/>
                            <w:sz w:val="20"/>
                          </w:rPr>
                          <w:t>later-stage diagnoses than white individuals.</w:t>
                        </w:r>
                        <w:r>
                          <w:rPr>
                            <w:color w:val="3F3E45"/>
                            <w:position w:val="7"/>
                            <w:sz w:val="11"/>
                          </w:rPr>
                          <w:t>13</w:t>
                        </w:r>
                      </w:p>
                      <w:p w14:paraId="1C34F263" w14:textId="77777777" w:rsidR="004C558F" w:rsidRDefault="00461887">
                        <w:pPr>
                          <w:numPr>
                            <w:ilvl w:val="0"/>
                            <w:numId w:val="3"/>
                          </w:numPr>
                          <w:tabs>
                            <w:tab w:val="left" w:pos="473"/>
                          </w:tabs>
                          <w:spacing w:line="254" w:lineRule="auto"/>
                          <w:ind w:right="579"/>
                          <w:jc w:val="both"/>
                          <w:rPr>
                            <w:sz w:val="11"/>
                          </w:rPr>
                        </w:pPr>
                        <w:r>
                          <w:rPr>
                            <w:color w:val="3F3E45"/>
                            <w:sz w:val="20"/>
                          </w:rPr>
                          <w:t>Beyond disparities in incidence, mortality, screening, and timely</w:t>
                        </w:r>
                        <w:r>
                          <w:rPr>
                            <w:color w:val="3F3E45"/>
                            <w:spacing w:val="-10"/>
                            <w:sz w:val="20"/>
                          </w:rPr>
                          <w:t xml:space="preserve"> </w:t>
                        </w:r>
                        <w:r>
                          <w:rPr>
                            <w:color w:val="3F3E45"/>
                            <w:sz w:val="20"/>
                          </w:rPr>
                          <w:t>care,</w:t>
                        </w:r>
                        <w:r>
                          <w:rPr>
                            <w:color w:val="3F3E45"/>
                            <w:spacing w:val="-10"/>
                            <w:sz w:val="20"/>
                          </w:rPr>
                          <w:t xml:space="preserve"> </w:t>
                        </w:r>
                        <w:r>
                          <w:rPr>
                            <w:color w:val="3F3E45"/>
                            <w:sz w:val="20"/>
                          </w:rPr>
                          <w:t>some</w:t>
                        </w:r>
                        <w:r>
                          <w:rPr>
                            <w:color w:val="3F3E45"/>
                            <w:spacing w:val="-10"/>
                            <w:sz w:val="20"/>
                          </w:rPr>
                          <w:t xml:space="preserve"> </w:t>
                        </w:r>
                        <w:r>
                          <w:rPr>
                            <w:color w:val="3F3E45"/>
                            <w:sz w:val="20"/>
                          </w:rPr>
                          <w:t>races/ethnicities</w:t>
                        </w:r>
                        <w:r>
                          <w:rPr>
                            <w:color w:val="3F3E45"/>
                            <w:spacing w:val="-9"/>
                            <w:sz w:val="20"/>
                          </w:rPr>
                          <w:t xml:space="preserve"> </w:t>
                        </w:r>
                        <w:r>
                          <w:rPr>
                            <w:color w:val="3F3E45"/>
                            <w:sz w:val="20"/>
                          </w:rPr>
                          <w:t>may</w:t>
                        </w:r>
                        <w:r>
                          <w:rPr>
                            <w:color w:val="3F3E45"/>
                            <w:spacing w:val="-9"/>
                            <w:sz w:val="20"/>
                          </w:rPr>
                          <w:t xml:space="preserve"> </w:t>
                        </w:r>
                        <w:r>
                          <w:rPr>
                            <w:color w:val="3F3E45"/>
                            <w:sz w:val="20"/>
                          </w:rPr>
                          <w:t>face</w:t>
                        </w:r>
                        <w:r>
                          <w:rPr>
                            <w:color w:val="3F3E45"/>
                            <w:spacing w:val="-10"/>
                            <w:sz w:val="20"/>
                          </w:rPr>
                          <w:t xml:space="preserve"> </w:t>
                        </w:r>
                        <w:r>
                          <w:rPr>
                            <w:color w:val="3F3E45"/>
                            <w:sz w:val="20"/>
                          </w:rPr>
                          <w:t>a</w:t>
                        </w:r>
                        <w:r>
                          <w:rPr>
                            <w:color w:val="3F3E45"/>
                            <w:spacing w:val="-9"/>
                            <w:sz w:val="20"/>
                          </w:rPr>
                          <w:t xml:space="preserve"> </w:t>
                        </w:r>
                        <w:r>
                          <w:rPr>
                            <w:color w:val="3F3E45"/>
                            <w:sz w:val="20"/>
                          </w:rPr>
                          <w:t>greater</w:t>
                        </w:r>
                        <w:r>
                          <w:rPr>
                            <w:color w:val="3F3E45"/>
                            <w:spacing w:val="-10"/>
                            <w:sz w:val="20"/>
                          </w:rPr>
                          <w:t xml:space="preserve"> </w:t>
                        </w:r>
                        <w:r>
                          <w:rPr>
                            <w:color w:val="3F3E45"/>
                            <w:sz w:val="20"/>
                          </w:rPr>
                          <w:t xml:space="preserve">de- </w:t>
                        </w:r>
                        <w:proofErr w:type="spellStart"/>
                        <w:r>
                          <w:rPr>
                            <w:color w:val="3F3E45"/>
                            <w:sz w:val="20"/>
                          </w:rPr>
                          <w:t>gree</w:t>
                        </w:r>
                        <w:proofErr w:type="spellEnd"/>
                        <w:r>
                          <w:rPr>
                            <w:color w:val="3F3E45"/>
                            <w:spacing w:val="-8"/>
                            <w:sz w:val="20"/>
                          </w:rPr>
                          <w:t xml:space="preserve"> </w:t>
                        </w:r>
                        <w:r>
                          <w:rPr>
                            <w:color w:val="3F3E45"/>
                            <w:sz w:val="20"/>
                          </w:rPr>
                          <w:t>of</w:t>
                        </w:r>
                        <w:r>
                          <w:rPr>
                            <w:color w:val="3F3E45"/>
                            <w:spacing w:val="-8"/>
                            <w:sz w:val="20"/>
                          </w:rPr>
                          <w:t xml:space="preserve"> </w:t>
                        </w:r>
                        <w:r>
                          <w:rPr>
                            <w:color w:val="3F3E45"/>
                            <w:sz w:val="20"/>
                          </w:rPr>
                          <w:t>difficulty</w:t>
                        </w:r>
                        <w:r>
                          <w:rPr>
                            <w:color w:val="3F3E45"/>
                            <w:spacing w:val="-8"/>
                            <w:sz w:val="20"/>
                          </w:rPr>
                          <w:t xml:space="preserve"> </w:t>
                        </w:r>
                        <w:r>
                          <w:rPr>
                            <w:color w:val="3F3E45"/>
                            <w:sz w:val="20"/>
                          </w:rPr>
                          <w:t>accessing</w:t>
                        </w:r>
                        <w:r>
                          <w:rPr>
                            <w:color w:val="3F3E45"/>
                            <w:spacing w:val="-8"/>
                            <w:sz w:val="20"/>
                          </w:rPr>
                          <w:t xml:space="preserve"> </w:t>
                        </w:r>
                        <w:r>
                          <w:rPr>
                            <w:color w:val="3F3E45"/>
                            <w:sz w:val="20"/>
                          </w:rPr>
                          <w:t>care</w:t>
                        </w:r>
                        <w:r>
                          <w:rPr>
                            <w:color w:val="3F3E45"/>
                            <w:spacing w:val="-8"/>
                            <w:sz w:val="20"/>
                          </w:rPr>
                          <w:t xml:space="preserve"> </w:t>
                        </w:r>
                        <w:r>
                          <w:rPr>
                            <w:color w:val="3F3E45"/>
                            <w:sz w:val="20"/>
                          </w:rPr>
                          <w:t>or</w:t>
                        </w:r>
                        <w:r>
                          <w:rPr>
                            <w:color w:val="3F3E45"/>
                            <w:spacing w:val="-8"/>
                            <w:sz w:val="20"/>
                          </w:rPr>
                          <w:t xml:space="preserve"> </w:t>
                        </w:r>
                        <w:r>
                          <w:rPr>
                            <w:color w:val="3F3E45"/>
                            <w:sz w:val="20"/>
                          </w:rPr>
                          <w:t>discrimination</w:t>
                        </w:r>
                        <w:r>
                          <w:rPr>
                            <w:color w:val="3F3E45"/>
                            <w:spacing w:val="-8"/>
                            <w:sz w:val="20"/>
                          </w:rPr>
                          <w:t xml:space="preserve"> </w:t>
                        </w:r>
                        <w:r>
                          <w:rPr>
                            <w:color w:val="3F3E45"/>
                            <w:sz w:val="20"/>
                          </w:rPr>
                          <w:t>and</w:t>
                        </w:r>
                        <w:r>
                          <w:rPr>
                            <w:color w:val="3F3E45"/>
                            <w:spacing w:val="-8"/>
                            <w:sz w:val="20"/>
                          </w:rPr>
                          <w:t xml:space="preserve"> </w:t>
                        </w:r>
                        <w:r>
                          <w:rPr>
                            <w:color w:val="3F3E45"/>
                            <w:sz w:val="20"/>
                          </w:rPr>
                          <w:t>bias within the healthcare system.</w:t>
                        </w:r>
                        <w:r>
                          <w:rPr>
                            <w:color w:val="3F3E45"/>
                            <w:position w:val="7"/>
                            <w:sz w:val="11"/>
                          </w:rPr>
                          <w:t>14</w:t>
                        </w:r>
                      </w:p>
                    </w:txbxContent>
                  </v:textbox>
                </v:shape>
                <w10:wrap anchorx="page"/>
              </v:group>
            </w:pict>
          </mc:Fallback>
        </mc:AlternateContent>
      </w:r>
      <w:r>
        <w:rPr>
          <w:noProof/>
        </w:rPr>
        <mc:AlternateContent>
          <mc:Choice Requires="wpg">
            <w:drawing>
              <wp:anchor distT="0" distB="0" distL="0" distR="0" simplePos="0" relativeHeight="251613184" behindDoc="0" locked="0" layoutInCell="1" allowOverlap="1" wp14:anchorId="1C34F16E" wp14:editId="0C6F8E13">
                <wp:simplePos x="0" y="0"/>
                <wp:positionH relativeFrom="page">
                  <wp:posOffset>3659632</wp:posOffset>
                </wp:positionH>
                <wp:positionV relativeFrom="page">
                  <wp:posOffset>6643623</wp:posOffset>
                </wp:positionV>
                <wp:extent cx="3757929" cy="2526030"/>
                <wp:effectExtent l="0" t="0" r="0" b="0"/>
                <wp:wrapNone/>
                <wp:docPr id="565" name="Group 565" descr="Geograp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7929" cy="2526030"/>
                          <a:chOff x="0" y="0"/>
                          <a:chExt cx="3757929" cy="2526030"/>
                        </a:xfrm>
                      </wpg:grpSpPr>
                      <wps:wsp>
                        <wps:cNvPr id="566" name="Graphic 566"/>
                        <wps:cNvSpPr/>
                        <wps:spPr>
                          <a:xfrm>
                            <a:off x="18033" y="20574"/>
                            <a:ext cx="3740150" cy="2505710"/>
                          </a:xfrm>
                          <a:custGeom>
                            <a:avLst/>
                            <a:gdLst/>
                            <a:ahLst/>
                            <a:cxnLst/>
                            <a:rect l="l" t="t" r="r" b="b"/>
                            <a:pathLst>
                              <a:path w="3740150" h="2505710">
                                <a:moveTo>
                                  <a:pt x="3739895" y="0"/>
                                </a:moveTo>
                                <a:lnTo>
                                  <a:pt x="0" y="0"/>
                                </a:lnTo>
                                <a:lnTo>
                                  <a:pt x="0" y="2505456"/>
                                </a:lnTo>
                                <a:lnTo>
                                  <a:pt x="3739895" y="2505456"/>
                                </a:lnTo>
                                <a:lnTo>
                                  <a:pt x="3739895" y="0"/>
                                </a:lnTo>
                                <a:close/>
                              </a:path>
                            </a:pathLst>
                          </a:custGeom>
                          <a:solidFill>
                            <a:srgbClr val="000000">
                              <a:alpha val="13998"/>
                            </a:srgbClr>
                          </a:solidFill>
                        </wps:spPr>
                        <wps:bodyPr wrap="square" lIns="0" tIns="0" rIns="0" bIns="0" rtlCol="0">
                          <a:prstTxWarp prst="textNoShape">
                            <a:avLst/>
                          </a:prstTxWarp>
                          <a:noAutofit/>
                        </wps:bodyPr>
                      </wps:wsp>
                      <wps:wsp>
                        <wps:cNvPr id="567" name="Graphic 567"/>
                        <wps:cNvSpPr/>
                        <wps:spPr>
                          <a:xfrm>
                            <a:off x="6350" y="6350"/>
                            <a:ext cx="3588385" cy="2354580"/>
                          </a:xfrm>
                          <a:custGeom>
                            <a:avLst/>
                            <a:gdLst/>
                            <a:ahLst/>
                            <a:cxnLst/>
                            <a:rect l="l" t="t" r="r" b="b"/>
                            <a:pathLst>
                              <a:path w="3588385" h="2354580">
                                <a:moveTo>
                                  <a:pt x="3435604" y="0"/>
                                </a:moveTo>
                                <a:lnTo>
                                  <a:pt x="152400" y="0"/>
                                </a:lnTo>
                                <a:lnTo>
                                  <a:pt x="104231" y="7769"/>
                                </a:lnTo>
                                <a:lnTo>
                                  <a:pt x="62396" y="29405"/>
                                </a:lnTo>
                                <a:lnTo>
                                  <a:pt x="29405" y="62396"/>
                                </a:lnTo>
                                <a:lnTo>
                                  <a:pt x="7769" y="104231"/>
                                </a:lnTo>
                                <a:lnTo>
                                  <a:pt x="0" y="152400"/>
                                </a:lnTo>
                                <a:lnTo>
                                  <a:pt x="0" y="2202180"/>
                                </a:lnTo>
                                <a:lnTo>
                                  <a:pt x="7769" y="2250348"/>
                                </a:lnTo>
                                <a:lnTo>
                                  <a:pt x="29405" y="2292183"/>
                                </a:lnTo>
                                <a:lnTo>
                                  <a:pt x="62396" y="2325174"/>
                                </a:lnTo>
                                <a:lnTo>
                                  <a:pt x="104231" y="2346810"/>
                                </a:lnTo>
                                <a:lnTo>
                                  <a:pt x="152400" y="2354580"/>
                                </a:lnTo>
                                <a:lnTo>
                                  <a:pt x="3435604" y="2354580"/>
                                </a:lnTo>
                                <a:lnTo>
                                  <a:pt x="3483772" y="2346810"/>
                                </a:lnTo>
                                <a:lnTo>
                                  <a:pt x="3525607" y="2325174"/>
                                </a:lnTo>
                                <a:lnTo>
                                  <a:pt x="3558598" y="2292183"/>
                                </a:lnTo>
                                <a:lnTo>
                                  <a:pt x="3580234" y="2250348"/>
                                </a:lnTo>
                                <a:lnTo>
                                  <a:pt x="3588004" y="2202180"/>
                                </a:lnTo>
                                <a:lnTo>
                                  <a:pt x="3588004" y="152400"/>
                                </a:lnTo>
                                <a:lnTo>
                                  <a:pt x="3580234" y="104231"/>
                                </a:lnTo>
                                <a:lnTo>
                                  <a:pt x="3558598" y="62396"/>
                                </a:lnTo>
                                <a:lnTo>
                                  <a:pt x="3525607" y="29405"/>
                                </a:lnTo>
                                <a:lnTo>
                                  <a:pt x="3483772" y="7769"/>
                                </a:lnTo>
                                <a:lnTo>
                                  <a:pt x="3435604"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6350" y="6349"/>
                            <a:ext cx="3588385" cy="1135380"/>
                          </a:xfrm>
                          <a:custGeom>
                            <a:avLst/>
                            <a:gdLst/>
                            <a:ahLst/>
                            <a:cxnLst/>
                            <a:rect l="l" t="t" r="r" b="b"/>
                            <a:pathLst>
                              <a:path w="3588385" h="1135380">
                                <a:moveTo>
                                  <a:pt x="3435603" y="0"/>
                                </a:moveTo>
                                <a:lnTo>
                                  <a:pt x="152400" y="0"/>
                                </a:lnTo>
                                <a:lnTo>
                                  <a:pt x="104231" y="7769"/>
                                </a:lnTo>
                                <a:lnTo>
                                  <a:pt x="62396" y="29405"/>
                                </a:lnTo>
                                <a:lnTo>
                                  <a:pt x="29405" y="62396"/>
                                </a:lnTo>
                                <a:lnTo>
                                  <a:pt x="7769" y="104231"/>
                                </a:lnTo>
                                <a:lnTo>
                                  <a:pt x="0" y="152399"/>
                                </a:lnTo>
                                <a:lnTo>
                                  <a:pt x="0" y="491420"/>
                                </a:lnTo>
                                <a:lnTo>
                                  <a:pt x="55808" y="522322"/>
                                </a:lnTo>
                                <a:lnTo>
                                  <a:pt x="99356" y="545356"/>
                                </a:lnTo>
                                <a:lnTo>
                                  <a:pt x="144018" y="568141"/>
                                </a:lnTo>
                                <a:lnTo>
                                  <a:pt x="189774" y="590663"/>
                                </a:lnTo>
                                <a:lnTo>
                                  <a:pt x="236603" y="612912"/>
                                </a:lnTo>
                                <a:lnTo>
                                  <a:pt x="284483" y="634876"/>
                                </a:lnTo>
                                <a:lnTo>
                                  <a:pt x="333394" y="656542"/>
                                </a:lnTo>
                                <a:lnTo>
                                  <a:pt x="383314" y="677898"/>
                                </a:lnTo>
                                <a:lnTo>
                                  <a:pt x="434222" y="698932"/>
                                </a:lnTo>
                                <a:lnTo>
                                  <a:pt x="486099" y="719634"/>
                                </a:lnTo>
                                <a:lnTo>
                                  <a:pt x="538921" y="739989"/>
                                </a:lnTo>
                                <a:lnTo>
                                  <a:pt x="592669" y="759987"/>
                                </a:lnTo>
                                <a:lnTo>
                                  <a:pt x="647321" y="779616"/>
                                </a:lnTo>
                                <a:lnTo>
                                  <a:pt x="702857" y="798863"/>
                                </a:lnTo>
                                <a:lnTo>
                                  <a:pt x="759255" y="817717"/>
                                </a:lnTo>
                                <a:lnTo>
                                  <a:pt x="816495" y="836165"/>
                                </a:lnTo>
                                <a:lnTo>
                                  <a:pt x="874554" y="854196"/>
                                </a:lnTo>
                                <a:lnTo>
                                  <a:pt x="933413" y="871798"/>
                                </a:lnTo>
                                <a:lnTo>
                                  <a:pt x="993050" y="888958"/>
                                </a:lnTo>
                                <a:lnTo>
                                  <a:pt x="1053445" y="905666"/>
                                </a:lnTo>
                                <a:lnTo>
                                  <a:pt x="1114575" y="921907"/>
                                </a:lnTo>
                                <a:lnTo>
                                  <a:pt x="1176421" y="937672"/>
                                </a:lnTo>
                                <a:lnTo>
                                  <a:pt x="1238961" y="952947"/>
                                </a:lnTo>
                                <a:lnTo>
                                  <a:pt x="1302174" y="967722"/>
                                </a:lnTo>
                                <a:lnTo>
                                  <a:pt x="1366039" y="981983"/>
                                </a:lnTo>
                                <a:lnTo>
                                  <a:pt x="1430535" y="995719"/>
                                </a:lnTo>
                                <a:lnTo>
                                  <a:pt x="1495641" y="1008917"/>
                                </a:lnTo>
                                <a:lnTo>
                                  <a:pt x="1561336" y="1021567"/>
                                </a:lnTo>
                                <a:lnTo>
                                  <a:pt x="1627599" y="1033656"/>
                                </a:lnTo>
                                <a:lnTo>
                                  <a:pt x="1694409" y="1045171"/>
                                </a:lnTo>
                                <a:lnTo>
                                  <a:pt x="1761329" y="1056035"/>
                                </a:lnTo>
                                <a:lnTo>
                                  <a:pt x="1827918" y="1066179"/>
                                </a:lnTo>
                                <a:lnTo>
                                  <a:pt x="1960010" y="1084324"/>
                                </a:lnTo>
                                <a:lnTo>
                                  <a:pt x="2090493" y="1099644"/>
                                </a:lnTo>
                                <a:lnTo>
                                  <a:pt x="2155073" y="1106255"/>
                                </a:lnTo>
                                <a:lnTo>
                                  <a:pt x="2219179" y="1112173"/>
                                </a:lnTo>
                                <a:lnTo>
                                  <a:pt x="2282787" y="1117403"/>
                                </a:lnTo>
                                <a:lnTo>
                                  <a:pt x="2345876" y="1121948"/>
                                </a:lnTo>
                                <a:lnTo>
                                  <a:pt x="2408419" y="1125814"/>
                                </a:lnTo>
                                <a:lnTo>
                                  <a:pt x="2470394" y="1129004"/>
                                </a:lnTo>
                                <a:lnTo>
                                  <a:pt x="2531777" y="1131524"/>
                                </a:lnTo>
                                <a:lnTo>
                                  <a:pt x="2592544" y="1133378"/>
                                </a:lnTo>
                                <a:lnTo>
                                  <a:pt x="2652671" y="1134570"/>
                                </a:lnTo>
                                <a:lnTo>
                                  <a:pt x="2712135" y="1135105"/>
                                </a:lnTo>
                                <a:lnTo>
                                  <a:pt x="2761971" y="1135105"/>
                                </a:lnTo>
                                <a:lnTo>
                                  <a:pt x="2828976" y="1134221"/>
                                </a:lnTo>
                                <a:lnTo>
                                  <a:pt x="2886307" y="1132811"/>
                                </a:lnTo>
                                <a:lnTo>
                                  <a:pt x="2942879" y="1130761"/>
                                </a:lnTo>
                                <a:lnTo>
                                  <a:pt x="2998668" y="1128077"/>
                                </a:lnTo>
                                <a:lnTo>
                                  <a:pt x="3053651" y="1124762"/>
                                </a:lnTo>
                                <a:lnTo>
                                  <a:pt x="3107805" y="1120822"/>
                                </a:lnTo>
                                <a:lnTo>
                                  <a:pt x="3161104" y="1116260"/>
                                </a:lnTo>
                                <a:lnTo>
                                  <a:pt x="3213526" y="1111081"/>
                                </a:lnTo>
                                <a:lnTo>
                                  <a:pt x="3265047" y="1105290"/>
                                </a:lnTo>
                                <a:lnTo>
                                  <a:pt x="3315643" y="1098891"/>
                                </a:lnTo>
                                <a:lnTo>
                                  <a:pt x="3365290" y="1091888"/>
                                </a:lnTo>
                                <a:lnTo>
                                  <a:pt x="3413719" y="1084324"/>
                                </a:lnTo>
                                <a:lnTo>
                                  <a:pt x="3461642" y="1076090"/>
                                </a:lnTo>
                                <a:lnTo>
                                  <a:pt x="3508300" y="1067303"/>
                                </a:lnTo>
                                <a:lnTo>
                                  <a:pt x="3553914" y="1057931"/>
                                </a:lnTo>
                                <a:lnTo>
                                  <a:pt x="3588003" y="1050314"/>
                                </a:lnTo>
                                <a:lnTo>
                                  <a:pt x="3588003" y="152399"/>
                                </a:lnTo>
                                <a:lnTo>
                                  <a:pt x="3580234" y="104231"/>
                                </a:lnTo>
                                <a:lnTo>
                                  <a:pt x="3558598" y="62396"/>
                                </a:lnTo>
                                <a:lnTo>
                                  <a:pt x="3525607" y="29405"/>
                                </a:lnTo>
                                <a:lnTo>
                                  <a:pt x="3483772" y="7769"/>
                                </a:lnTo>
                                <a:lnTo>
                                  <a:pt x="3435603" y="0"/>
                                </a:lnTo>
                                <a:close/>
                              </a:path>
                            </a:pathLst>
                          </a:custGeom>
                          <a:solidFill>
                            <a:srgbClr val="FAA61F"/>
                          </a:solidFill>
                        </wps:spPr>
                        <wps:bodyPr wrap="square" lIns="0" tIns="0" rIns="0" bIns="0" rtlCol="0">
                          <a:prstTxWarp prst="textNoShape">
                            <a:avLst/>
                          </a:prstTxWarp>
                          <a:noAutofit/>
                        </wps:bodyPr>
                      </wps:wsp>
                      <wps:wsp>
                        <wps:cNvPr id="569" name="Graphic 569"/>
                        <wps:cNvSpPr/>
                        <wps:spPr>
                          <a:xfrm>
                            <a:off x="6349" y="6350"/>
                            <a:ext cx="3588385" cy="1046480"/>
                          </a:xfrm>
                          <a:custGeom>
                            <a:avLst/>
                            <a:gdLst/>
                            <a:ahLst/>
                            <a:cxnLst/>
                            <a:rect l="l" t="t" r="r" b="b"/>
                            <a:pathLst>
                              <a:path w="3588385" h="1046480">
                                <a:moveTo>
                                  <a:pt x="3435603" y="0"/>
                                </a:moveTo>
                                <a:lnTo>
                                  <a:pt x="152400" y="0"/>
                                </a:lnTo>
                                <a:lnTo>
                                  <a:pt x="104231" y="7769"/>
                                </a:lnTo>
                                <a:lnTo>
                                  <a:pt x="62396" y="29405"/>
                                </a:lnTo>
                                <a:lnTo>
                                  <a:pt x="29405" y="62396"/>
                                </a:lnTo>
                                <a:lnTo>
                                  <a:pt x="7769" y="104231"/>
                                </a:lnTo>
                                <a:lnTo>
                                  <a:pt x="0" y="152400"/>
                                </a:lnTo>
                                <a:lnTo>
                                  <a:pt x="0" y="471346"/>
                                </a:lnTo>
                                <a:lnTo>
                                  <a:pt x="61740" y="502024"/>
                                </a:lnTo>
                                <a:lnTo>
                                  <a:pt x="108569" y="524273"/>
                                </a:lnTo>
                                <a:lnTo>
                                  <a:pt x="156449" y="546236"/>
                                </a:lnTo>
                                <a:lnTo>
                                  <a:pt x="205359" y="567902"/>
                                </a:lnTo>
                                <a:lnTo>
                                  <a:pt x="255280" y="589258"/>
                                </a:lnTo>
                                <a:lnTo>
                                  <a:pt x="306188" y="610293"/>
                                </a:lnTo>
                                <a:lnTo>
                                  <a:pt x="358064" y="630994"/>
                                </a:lnTo>
                                <a:lnTo>
                                  <a:pt x="410887" y="651350"/>
                                </a:lnTo>
                                <a:lnTo>
                                  <a:pt x="464635" y="671348"/>
                                </a:lnTo>
                                <a:lnTo>
                                  <a:pt x="519287" y="690976"/>
                                </a:lnTo>
                                <a:lnTo>
                                  <a:pt x="574823" y="710223"/>
                                </a:lnTo>
                                <a:lnTo>
                                  <a:pt x="631221" y="729077"/>
                                </a:lnTo>
                                <a:lnTo>
                                  <a:pt x="688461" y="747526"/>
                                </a:lnTo>
                                <a:lnTo>
                                  <a:pt x="746520" y="765557"/>
                                </a:lnTo>
                                <a:lnTo>
                                  <a:pt x="805380" y="783158"/>
                                </a:lnTo>
                                <a:lnTo>
                                  <a:pt x="865017" y="800319"/>
                                </a:lnTo>
                                <a:lnTo>
                                  <a:pt x="925412" y="817026"/>
                                </a:lnTo>
                                <a:lnTo>
                                  <a:pt x="986542" y="833268"/>
                                </a:lnTo>
                                <a:lnTo>
                                  <a:pt x="1048388" y="849032"/>
                                </a:lnTo>
                                <a:lnTo>
                                  <a:pt x="1110929" y="864308"/>
                                </a:lnTo>
                                <a:lnTo>
                                  <a:pt x="1174142" y="879082"/>
                                </a:lnTo>
                                <a:lnTo>
                                  <a:pt x="1238007" y="893343"/>
                                </a:lnTo>
                                <a:lnTo>
                                  <a:pt x="1302504" y="907079"/>
                                </a:lnTo>
                                <a:lnTo>
                                  <a:pt x="1367611" y="920278"/>
                                </a:lnTo>
                                <a:lnTo>
                                  <a:pt x="1433306" y="932927"/>
                                </a:lnTo>
                                <a:lnTo>
                                  <a:pt x="1499570" y="945016"/>
                                </a:lnTo>
                                <a:lnTo>
                                  <a:pt x="1566381" y="956532"/>
                                </a:lnTo>
                                <a:lnTo>
                                  <a:pt x="1633300" y="967395"/>
                                </a:lnTo>
                                <a:lnTo>
                                  <a:pt x="1699889" y="977539"/>
                                </a:lnTo>
                                <a:lnTo>
                                  <a:pt x="1831979" y="995685"/>
                                </a:lnTo>
                                <a:lnTo>
                                  <a:pt x="1962461" y="1011004"/>
                                </a:lnTo>
                                <a:lnTo>
                                  <a:pt x="2027040" y="1017615"/>
                                </a:lnTo>
                                <a:lnTo>
                                  <a:pt x="2091146" y="1023533"/>
                                </a:lnTo>
                                <a:lnTo>
                                  <a:pt x="2154755" y="1028763"/>
                                </a:lnTo>
                                <a:lnTo>
                                  <a:pt x="2217843" y="1033308"/>
                                </a:lnTo>
                                <a:lnTo>
                                  <a:pt x="2280386" y="1037174"/>
                                </a:lnTo>
                                <a:lnTo>
                                  <a:pt x="2342361" y="1040365"/>
                                </a:lnTo>
                                <a:lnTo>
                                  <a:pt x="2403743" y="1042885"/>
                                </a:lnTo>
                                <a:lnTo>
                                  <a:pt x="2464510" y="1044739"/>
                                </a:lnTo>
                                <a:lnTo>
                                  <a:pt x="2524637" y="1045931"/>
                                </a:lnTo>
                                <a:lnTo>
                                  <a:pt x="2584101" y="1046465"/>
                                </a:lnTo>
                                <a:lnTo>
                                  <a:pt x="2633937" y="1046465"/>
                                </a:lnTo>
                                <a:lnTo>
                                  <a:pt x="2700942" y="1045581"/>
                                </a:lnTo>
                                <a:lnTo>
                                  <a:pt x="2758272" y="1044171"/>
                                </a:lnTo>
                                <a:lnTo>
                                  <a:pt x="2814844" y="1042122"/>
                                </a:lnTo>
                                <a:lnTo>
                                  <a:pt x="2870634" y="1039437"/>
                                </a:lnTo>
                                <a:lnTo>
                                  <a:pt x="2925617" y="1036123"/>
                                </a:lnTo>
                                <a:lnTo>
                                  <a:pt x="2979770" y="1032182"/>
                                </a:lnTo>
                                <a:lnTo>
                                  <a:pt x="3033070" y="1027620"/>
                                </a:lnTo>
                                <a:lnTo>
                                  <a:pt x="3085492" y="1022442"/>
                                </a:lnTo>
                                <a:lnTo>
                                  <a:pt x="3137013" y="1016650"/>
                                </a:lnTo>
                                <a:lnTo>
                                  <a:pt x="3187609" y="1010251"/>
                                </a:lnTo>
                                <a:lnTo>
                                  <a:pt x="3237256" y="1003248"/>
                                </a:lnTo>
                                <a:lnTo>
                                  <a:pt x="3285685" y="995685"/>
                                </a:lnTo>
                                <a:lnTo>
                                  <a:pt x="3333608" y="987450"/>
                                </a:lnTo>
                                <a:lnTo>
                                  <a:pt x="3380266" y="978664"/>
                                </a:lnTo>
                                <a:lnTo>
                                  <a:pt x="3425880" y="969292"/>
                                </a:lnTo>
                                <a:lnTo>
                                  <a:pt x="3470427" y="959339"/>
                                </a:lnTo>
                                <a:lnTo>
                                  <a:pt x="3513881" y="948809"/>
                                </a:lnTo>
                                <a:lnTo>
                                  <a:pt x="3556221" y="937707"/>
                                </a:lnTo>
                                <a:lnTo>
                                  <a:pt x="3588003" y="928705"/>
                                </a:lnTo>
                                <a:lnTo>
                                  <a:pt x="3588003" y="152400"/>
                                </a:lnTo>
                                <a:lnTo>
                                  <a:pt x="3580234" y="104231"/>
                                </a:lnTo>
                                <a:lnTo>
                                  <a:pt x="3558598" y="62396"/>
                                </a:lnTo>
                                <a:lnTo>
                                  <a:pt x="3525607" y="29405"/>
                                </a:lnTo>
                                <a:lnTo>
                                  <a:pt x="3483772" y="7769"/>
                                </a:lnTo>
                                <a:lnTo>
                                  <a:pt x="3435603" y="0"/>
                                </a:lnTo>
                                <a:close/>
                              </a:path>
                            </a:pathLst>
                          </a:custGeom>
                          <a:solidFill>
                            <a:srgbClr val="FFF0DA"/>
                          </a:solidFill>
                        </wps:spPr>
                        <wps:bodyPr wrap="square" lIns="0" tIns="0" rIns="0" bIns="0" rtlCol="0">
                          <a:prstTxWarp prst="textNoShape">
                            <a:avLst/>
                          </a:prstTxWarp>
                          <a:noAutofit/>
                        </wps:bodyPr>
                      </wps:wsp>
                      <wps:wsp>
                        <wps:cNvPr id="570" name="Graphic 570"/>
                        <wps:cNvSpPr/>
                        <wps:spPr>
                          <a:xfrm>
                            <a:off x="6350" y="6350"/>
                            <a:ext cx="3588385" cy="2354580"/>
                          </a:xfrm>
                          <a:custGeom>
                            <a:avLst/>
                            <a:gdLst/>
                            <a:ahLst/>
                            <a:cxnLst/>
                            <a:rect l="l" t="t" r="r" b="b"/>
                            <a:pathLst>
                              <a:path w="3588385" h="2354580">
                                <a:moveTo>
                                  <a:pt x="152400" y="0"/>
                                </a:moveTo>
                                <a:lnTo>
                                  <a:pt x="104231" y="7769"/>
                                </a:lnTo>
                                <a:lnTo>
                                  <a:pt x="62396" y="29405"/>
                                </a:lnTo>
                                <a:lnTo>
                                  <a:pt x="29405" y="62396"/>
                                </a:lnTo>
                                <a:lnTo>
                                  <a:pt x="7769" y="104231"/>
                                </a:lnTo>
                                <a:lnTo>
                                  <a:pt x="0" y="152400"/>
                                </a:lnTo>
                                <a:lnTo>
                                  <a:pt x="0" y="2202180"/>
                                </a:lnTo>
                                <a:lnTo>
                                  <a:pt x="7769" y="2250348"/>
                                </a:lnTo>
                                <a:lnTo>
                                  <a:pt x="29405" y="2292183"/>
                                </a:lnTo>
                                <a:lnTo>
                                  <a:pt x="62396" y="2325174"/>
                                </a:lnTo>
                                <a:lnTo>
                                  <a:pt x="104231" y="2346810"/>
                                </a:lnTo>
                                <a:lnTo>
                                  <a:pt x="152400" y="2354580"/>
                                </a:lnTo>
                                <a:lnTo>
                                  <a:pt x="3435604" y="2354580"/>
                                </a:lnTo>
                                <a:lnTo>
                                  <a:pt x="3483772" y="2346810"/>
                                </a:lnTo>
                                <a:lnTo>
                                  <a:pt x="3525607" y="2325174"/>
                                </a:lnTo>
                                <a:lnTo>
                                  <a:pt x="3558598" y="2292183"/>
                                </a:lnTo>
                                <a:lnTo>
                                  <a:pt x="3580234" y="2250348"/>
                                </a:lnTo>
                                <a:lnTo>
                                  <a:pt x="3588004" y="2202180"/>
                                </a:lnTo>
                                <a:lnTo>
                                  <a:pt x="3588004" y="152400"/>
                                </a:lnTo>
                                <a:lnTo>
                                  <a:pt x="3580234" y="104231"/>
                                </a:lnTo>
                                <a:lnTo>
                                  <a:pt x="3558598" y="62396"/>
                                </a:lnTo>
                                <a:lnTo>
                                  <a:pt x="3525607" y="29405"/>
                                </a:lnTo>
                                <a:lnTo>
                                  <a:pt x="3483772" y="7769"/>
                                </a:lnTo>
                                <a:lnTo>
                                  <a:pt x="3435604" y="0"/>
                                </a:lnTo>
                                <a:lnTo>
                                  <a:pt x="152400" y="0"/>
                                </a:lnTo>
                                <a:close/>
                              </a:path>
                            </a:pathLst>
                          </a:custGeom>
                          <a:ln w="12700">
                            <a:solidFill>
                              <a:srgbClr val="FAA61F"/>
                            </a:solidFill>
                            <a:prstDash val="solid"/>
                          </a:ln>
                        </wps:spPr>
                        <wps:bodyPr wrap="square" lIns="0" tIns="0" rIns="0" bIns="0" rtlCol="0">
                          <a:prstTxWarp prst="textNoShape">
                            <a:avLst/>
                          </a:prstTxWarp>
                          <a:noAutofit/>
                        </wps:bodyPr>
                      </wps:wsp>
                      <pic:pic xmlns:pic="http://schemas.openxmlformats.org/drawingml/2006/picture">
                        <pic:nvPicPr>
                          <pic:cNvPr id="571" name="Image 571"/>
                          <pic:cNvPicPr/>
                        </pic:nvPicPr>
                        <pic:blipFill>
                          <a:blip r:embed="rId132" cstate="print"/>
                          <a:stretch>
                            <a:fillRect/>
                          </a:stretch>
                        </pic:blipFill>
                        <pic:spPr>
                          <a:xfrm>
                            <a:off x="2570740" y="128013"/>
                            <a:ext cx="741987" cy="747705"/>
                          </a:xfrm>
                          <a:prstGeom prst="rect">
                            <a:avLst/>
                          </a:prstGeom>
                        </pic:spPr>
                      </pic:pic>
                      <wps:wsp>
                        <wps:cNvPr id="572" name="Textbox 572"/>
                        <wps:cNvSpPr txBox="1"/>
                        <wps:spPr>
                          <a:xfrm>
                            <a:off x="0" y="0"/>
                            <a:ext cx="3757929" cy="2526030"/>
                          </a:xfrm>
                          <a:prstGeom prst="rect">
                            <a:avLst/>
                          </a:prstGeom>
                        </wps:spPr>
                        <wps:txbx>
                          <w:txbxContent>
                            <w:p w14:paraId="1C34F264" w14:textId="77777777" w:rsidR="004C558F" w:rsidRDefault="004C558F">
                              <w:pPr>
                                <w:rPr>
                                  <w:rFonts w:ascii="Franklin Gothic Medium"/>
                                  <w:sz w:val="36"/>
                                </w:rPr>
                              </w:pPr>
                            </w:p>
                            <w:p w14:paraId="1C34F265" w14:textId="77777777" w:rsidR="004C558F" w:rsidRDefault="004C558F">
                              <w:pPr>
                                <w:rPr>
                                  <w:rFonts w:ascii="Franklin Gothic Medium"/>
                                  <w:sz w:val="36"/>
                                </w:rPr>
                              </w:pPr>
                            </w:p>
                            <w:p w14:paraId="1C34F266" w14:textId="77777777" w:rsidR="004C558F" w:rsidRDefault="004C558F">
                              <w:pPr>
                                <w:rPr>
                                  <w:rFonts w:ascii="Franklin Gothic Medium"/>
                                  <w:sz w:val="36"/>
                                </w:rPr>
                              </w:pPr>
                            </w:p>
                            <w:p w14:paraId="1C34F267" w14:textId="77777777" w:rsidR="004C558F" w:rsidRDefault="004C558F">
                              <w:pPr>
                                <w:spacing w:before="325"/>
                                <w:rPr>
                                  <w:rFonts w:ascii="Franklin Gothic Medium"/>
                                  <w:sz w:val="36"/>
                                </w:rPr>
                              </w:pPr>
                            </w:p>
                            <w:p w14:paraId="1C34F268" w14:textId="77777777" w:rsidR="004C558F" w:rsidRDefault="00461887">
                              <w:pPr>
                                <w:ind w:left="489"/>
                                <w:rPr>
                                  <w:rFonts w:ascii="Franklin Gothic Demi Cond"/>
                                  <w:b/>
                                  <w:sz w:val="36"/>
                                </w:rPr>
                              </w:pPr>
                              <w:r>
                                <w:rPr>
                                  <w:rFonts w:ascii="Franklin Gothic Demi Cond"/>
                                  <w:b/>
                                  <w:color w:val="FAA61F"/>
                                  <w:spacing w:val="-2"/>
                                  <w:sz w:val="36"/>
                                </w:rPr>
                                <w:t>GEOGRAPHY</w:t>
                              </w:r>
                            </w:p>
                            <w:p w14:paraId="1C34F269" w14:textId="77777777" w:rsidR="004C558F" w:rsidRDefault="00461887">
                              <w:pPr>
                                <w:numPr>
                                  <w:ilvl w:val="0"/>
                                  <w:numId w:val="2"/>
                                </w:numPr>
                                <w:tabs>
                                  <w:tab w:val="left" w:pos="496"/>
                                </w:tabs>
                                <w:spacing w:before="141" w:line="254" w:lineRule="auto"/>
                                <w:ind w:right="554"/>
                                <w:jc w:val="both"/>
                                <w:rPr>
                                  <w:sz w:val="11"/>
                                </w:rPr>
                              </w:pPr>
                              <w:r>
                                <w:rPr>
                                  <w:color w:val="3F3E45"/>
                                  <w:spacing w:val="-2"/>
                                  <w:sz w:val="20"/>
                                </w:rPr>
                                <w:t>Individuals</w:t>
                              </w:r>
                              <w:r>
                                <w:rPr>
                                  <w:color w:val="3F3E45"/>
                                  <w:spacing w:val="-11"/>
                                  <w:sz w:val="20"/>
                                </w:rPr>
                                <w:t xml:space="preserve"> </w:t>
                              </w:r>
                              <w:r>
                                <w:rPr>
                                  <w:color w:val="3F3E45"/>
                                  <w:spacing w:val="-2"/>
                                  <w:sz w:val="20"/>
                                </w:rPr>
                                <w:t>living</w:t>
                              </w:r>
                              <w:r>
                                <w:rPr>
                                  <w:color w:val="3F3E45"/>
                                  <w:spacing w:val="-10"/>
                                  <w:sz w:val="20"/>
                                </w:rPr>
                                <w:t xml:space="preserve"> </w:t>
                              </w:r>
                              <w:r>
                                <w:rPr>
                                  <w:color w:val="3F3E45"/>
                                  <w:spacing w:val="-2"/>
                                  <w:sz w:val="20"/>
                                </w:rPr>
                                <w:t>in</w:t>
                              </w:r>
                              <w:r>
                                <w:rPr>
                                  <w:color w:val="3F3E45"/>
                                  <w:spacing w:val="-11"/>
                                  <w:sz w:val="20"/>
                                </w:rPr>
                                <w:t xml:space="preserve"> </w:t>
                              </w:r>
                              <w:r>
                                <w:rPr>
                                  <w:color w:val="3F3E45"/>
                                  <w:spacing w:val="-2"/>
                                  <w:sz w:val="20"/>
                                </w:rPr>
                                <w:t>rural</w:t>
                              </w:r>
                              <w:r>
                                <w:rPr>
                                  <w:color w:val="3F3E45"/>
                                  <w:spacing w:val="-10"/>
                                  <w:sz w:val="20"/>
                                </w:rPr>
                                <w:t xml:space="preserve"> </w:t>
                              </w:r>
                              <w:r>
                                <w:rPr>
                                  <w:color w:val="3F3E45"/>
                                  <w:spacing w:val="-2"/>
                                  <w:sz w:val="20"/>
                                </w:rPr>
                                <w:t>areas</w:t>
                              </w:r>
                              <w:r>
                                <w:rPr>
                                  <w:color w:val="3F3E45"/>
                                  <w:spacing w:val="-11"/>
                                  <w:sz w:val="20"/>
                                </w:rPr>
                                <w:t xml:space="preserve"> </w:t>
                              </w:r>
                              <w:r>
                                <w:rPr>
                                  <w:color w:val="3F3E45"/>
                                  <w:spacing w:val="-2"/>
                                  <w:sz w:val="20"/>
                                </w:rPr>
                                <w:t>may</w:t>
                              </w:r>
                              <w:r>
                                <w:rPr>
                                  <w:color w:val="3F3E45"/>
                                  <w:spacing w:val="-10"/>
                                  <w:sz w:val="20"/>
                                </w:rPr>
                                <w:t xml:space="preserve"> </w:t>
                              </w:r>
                              <w:r>
                                <w:rPr>
                                  <w:color w:val="3F3E45"/>
                                  <w:spacing w:val="-2"/>
                                  <w:sz w:val="20"/>
                                </w:rPr>
                                <w:t>face</w:t>
                              </w:r>
                              <w:r>
                                <w:rPr>
                                  <w:color w:val="3F3E45"/>
                                  <w:spacing w:val="-11"/>
                                  <w:sz w:val="20"/>
                                </w:rPr>
                                <w:t xml:space="preserve"> </w:t>
                              </w:r>
                              <w:r>
                                <w:rPr>
                                  <w:color w:val="3F3E45"/>
                                  <w:spacing w:val="-2"/>
                                  <w:sz w:val="20"/>
                                </w:rPr>
                                <w:t>higher</w:t>
                              </w:r>
                              <w:r>
                                <w:rPr>
                                  <w:color w:val="3F3E45"/>
                                  <w:spacing w:val="-10"/>
                                  <w:sz w:val="20"/>
                                </w:rPr>
                                <w:t xml:space="preserve"> </w:t>
                              </w:r>
                              <w:r>
                                <w:rPr>
                                  <w:color w:val="3F3E45"/>
                                  <w:spacing w:val="-2"/>
                                  <w:sz w:val="20"/>
                                </w:rPr>
                                <w:t>incidence</w:t>
                              </w:r>
                              <w:r>
                                <w:rPr>
                                  <w:color w:val="3F3E45"/>
                                  <w:spacing w:val="-11"/>
                                  <w:sz w:val="20"/>
                                </w:rPr>
                                <w:t xml:space="preserve"> </w:t>
                              </w:r>
                              <w:r>
                                <w:rPr>
                                  <w:color w:val="3F3E45"/>
                                  <w:spacing w:val="-2"/>
                                  <w:sz w:val="20"/>
                                </w:rPr>
                                <w:t xml:space="preserve">of </w:t>
                              </w:r>
                              <w:r>
                                <w:rPr>
                                  <w:color w:val="3F3E45"/>
                                  <w:spacing w:val="-4"/>
                                  <w:sz w:val="20"/>
                                </w:rPr>
                                <w:t>certain</w:t>
                              </w:r>
                              <w:r>
                                <w:rPr>
                                  <w:color w:val="3F3E45"/>
                                  <w:spacing w:val="-9"/>
                                  <w:sz w:val="20"/>
                                </w:rPr>
                                <w:t xml:space="preserve"> </w:t>
                              </w:r>
                              <w:r>
                                <w:rPr>
                                  <w:color w:val="3F3E45"/>
                                  <w:spacing w:val="-4"/>
                                  <w:sz w:val="20"/>
                                </w:rPr>
                                <w:t>cancers,</w:t>
                              </w:r>
                              <w:r>
                                <w:rPr>
                                  <w:color w:val="3F3E45"/>
                                  <w:spacing w:val="-8"/>
                                  <w:sz w:val="20"/>
                                </w:rPr>
                                <w:t xml:space="preserve"> </w:t>
                              </w:r>
                              <w:r>
                                <w:rPr>
                                  <w:color w:val="3F3E45"/>
                                  <w:spacing w:val="-4"/>
                                  <w:sz w:val="20"/>
                                </w:rPr>
                                <w:t>including</w:t>
                              </w:r>
                              <w:r>
                                <w:rPr>
                                  <w:color w:val="3F3E45"/>
                                  <w:spacing w:val="-9"/>
                                  <w:sz w:val="20"/>
                                </w:rPr>
                                <w:t xml:space="preserve"> </w:t>
                              </w:r>
                              <w:r>
                                <w:rPr>
                                  <w:color w:val="3F3E45"/>
                                  <w:spacing w:val="-4"/>
                                  <w:sz w:val="20"/>
                                </w:rPr>
                                <w:t>tobacco-</w:t>
                              </w:r>
                              <w:r>
                                <w:rPr>
                                  <w:color w:val="3F3E45"/>
                                  <w:spacing w:val="-8"/>
                                  <w:sz w:val="20"/>
                                </w:rPr>
                                <w:t xml:space="preserve"> </w:t>
                              </w:r>
                              <w:r>
                                <w:rPr>
                                  <w:color w:val="3F3E45"/>
                                  <w:spacing w:val="-4"/>
                                  <w:sz w:val="20"/>
                                </w:rPr>
                                <w:t>and</w:t>
                              </w:r>
                              <w:r>
                                <w:rPr>
                                  <w:color w:val="3F3E45"/>
                                  <w:spacing w:val="-9"/>
                                  <w:sz w:val="20"/>
                                </w:rPr>
                                <w:t xml:space="preserve"> </w:t>
                              </w:r>
                              <w:r>
                                <w:rPr>
                                  <w:color w:val="3F3E45"/>
                                  <w:spacing w:val="-4"/>
                                  <w:sz w:val="20"/>
                                </w:rPr>
                                <w:t>HPV-associated,</w:t>
                              </w:r>
                              <w:r>
                                <w:rPr>
                                  <w:color w:val="3F3E45"/>
                                  <w:spacing w:val="-8"/>
                                  <w:sz w:val="20"/>
                                </w:rPr>
                                <w:t xml:space="preserve"> </w:t>
                              </w:r>
                              <w:r>
                                <w:rPr>
                                  <w:color w:val="3F3E45"/>
                                  <w:spacing w:val="-4"/>
                                  <w:sz w:val="20"/>
                                </w:rPr>
                                <w:t xml:space="preserve">lung </w:t>
                              </w:r>
                              <w:r>
                                <w:rPr>
                                  <w:color w:val="3F3E45"/>
                                  <w:sz w:val="20"/>
                                </w:rPr>
                                <w:t>and</w:t>
                              </w:r>
                              <w:r>
                                <w:rPr>
                                  <w:color w:val="3F3E45"/>
                                  <w:spacing w:val="-13"/>
                                  <w:sz w:val="20"/>
                                </w:rPr>
                                <w:t xml:space="preserve"> </w:t>
                              </w:r>
                              <w:r>
                                <w:rPr>
                                  <w:color w:val="3F3E45"/>
                                  <w:sz w:val="20"/>
                                </w:rPr>
                                <w:t>bronchus,</w:t>
                              </w:r>
                              <w:r>
                                <w:rPr>
                                  <w:color w:val="3F3E45"/>
                                  <w:spacing w:val="-12"/>
                                  <w:sz w:val="20"/>
                                </w:rPr>
                                <w:t xml:space="preserve"> </w:t>
                              </w:r>
                              <w:r>
                                <w:rPr>
                                  <w:color w:val="3F3E45"/>
                                  <w:sz w:val="20"/>
                                </w:rPr>
                                <w:t>cervical,</w:t>
                              </w:r>
                              <w:r>
                                <w:rPr>
                                  <w:color w:val="3F3E45"/>
                                  <w:spacing w:val="-13"/>
                                  <w:sz w:val="20"/>
                                </w:rPr>
                                <w:t xml:space="preserve"> </w:t>
                              </w:r>
                              <w:r>
                                <w:rPr>
                                  <w:color w:val="3F3E45"/>
                                  <w:sz w:val="20"/>
                                </w:rPr>
                                <w:t>and</w:t>
                              </w:r>
                              <w:r>
                                <w:rPr>
                                  <w:color w:val="3F3E45"/>
                                  <w:spacing w:val="-12"/>
                                  <w:sz w:val="20"/>
                                </w:rPr>
                                <w:t xml:space="preserve"> </w:t>
                              </w:r>
                              <w:r>
                                <w:rPr>
                                  <w:color w:val="3F3E45"/>
                                  <w:sz w:val="20"/>
                                </w:rPr>
                                <w:t>colorectal</w:t>
                              </w:r>
                              <w:r>
                                <w:rPr>
                                  <w:color w:val="3F3E45"/>
                                  <w:spacing w:val="-13"/>
                                  <w:sz w:val="20"/>
                                </w:rPr>
                                <w:t xml:space="preserve"> </w:t>
                              </w:r>
                              <w:r>
                                <w:rPr>
                                  <w:color w:val="3F3E45"/>
                                  <w:sz w:val="20"/>
                                </w:rPr>
                                <w:t>cancers,</w:t>
                              </w:r>
                              <w:r>
                                <w:rPr>
                                  <w:color w:val="3F3E45"/>
                                  <w:position w:val="7"/>
                                  <w:sz w:val="11"/>
                                </w:rPr>
                                <w:t>15</w:t>
                              </w:r>
                              <w:r>
                                <w:rPr>
                                  <w:color w:val="3F3E45"/>
                                  <w:spacing w:val="-7"/>
                                  <w:position w:val="7"/>
                                  <w:sz w:val="11"/>
                                </w:rPr>
                                <w:t xml:space="preserve"> </w:t>
                              </w:r>
                              <w:r>
                                <w:rPr>
                                  <w:color w:val="3F3E45"/>
                                  <w:sz w:val="20"/>
                                </w:rPr>
                                <w:t>as</w:t>
                              </w:r>
                              <w:r>
                                <w:rPr>
                                  <w:color w:val="3F3E45"/>
                                  <w:spacing w:val="-12"/>
                                  <w:sz w:val="20"/>
                                </w:rPr>
                                <w:t xml:space="preserve"> </w:t>
                              </w:r>
                              <w:r>
                                <w:rPr>
                                  <w:color w:val="3F3E45"/>
                                  <w:sz w:val="20"/>
                                </w:rPr>
                                <w:t>well</w:t>
                              </w:r>
                              <w:r>
                                <w:rPr>
                                  <w:color w:val="3F3E45"/>
                                  <w:spacing w:val="-13"/>
                                  <w:sz w:val="20"/>
                                </w:rPr>
                                <w:t xml:space="preserve"> </w:t>
                              </w:r>
                              <w:r>
                                <w:rPr>
                                  <w:color w:val="3F3E45"/>
                                  <w:sz w:val="20"/>
                                </w:rPr>
                                <w:t>as higher mortality rates.</w:t>
                              </w:r>
                              <w:r>
                                <w:rPr>
                                  <w:color w:val="3F3E45"/>
                                  <w:position w:val="7"/>
                                  <w:sz w:val="11"/>
                                </w:rPr>
                                <w:t>16</w:t>
                              </w:r>
                            </w:p>
                          </w:txbxContent>
                        </wps:txbx>
                        <wps:bodyPr wrap="square" lIns="0" tIns="0" rIns="0" bIns="0" rtlCol="0">
                          <a:noAutofit/>
                        </wps:bodyPr>
                      </wps:wsp>
                    </wpg:wgp>
                  </a:graphicData>
                </a:graphic>
              </wp:anchor>
            </w:drawing>
          </mc:Choice>
          <mc:Fallback>
            <w:pict>
              <v:group w14:anchorId="1C34F16E" id="Group 565" o:spid="_x0000_s1477" alt="Geography" style="position:absolute;left:0;text-align:left;margin-left:288.15pt;margin-top:523.1pt;width:295.9pt;height:198.9pt;z-index:251613184;mso-wrap-distance-left:0;mso-wrap-distance-right:0;mso-position-horizontal-relative:page;mso-position-vertical-relative:page" coordsize="37579,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">
                <v:shape id="Graphic 566" o:spid="_x0000_s1478" style="position:absolute;left:180;top:205;width:37401;height:25057;visibility:visible;mso-wrap-style:square;v-text-anchor:top" coordsize="3740150,25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" path="m3739895,l,,,2505456r3739895,l3739895,xe" fillcolor="black" stroked="f">
                  <v:fill opacity="9252f"/>
                  <v:path arrowok="t"/>
                </v:shape>
                <v:shape id="Graphic 567" o:spid="_x0000_s1479" style="position:absolute;left:63;top:63;width:35884;height:23546;visibility:visible;mso-wrap-style:square;v-text-anchor:top" coordsize="358838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" path="m3435604,l152400,,104231,7769,62396,29405,29405,62396,7769,104231,,152400,,2202180r7769,48168l29405,2292183r32991,32991l104231,2346810r48169,7770l3435604,2354580r48168,-7770l3525607,2325174r32991,-32991l3580234,2250348r7770,-48168l3588004,152400r-7770,-48169l3558598,62396,3525607,29405,3483772,7769,3435604,xe" stroked="f">
                  <v:path arrowok="t"/>
                </v:shape>
                <v:shape id="Graphic 568" o:spid="_x0000_s1480" style="position:absolute;left:63;top:63;width:35884;height:11354;visibility:visible;mso-wrap-style:square;v-text-anchor:top" coordsize="3588385,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" path="m3435603,l152400,,104231,7769,62396,29405,29405,62396,7769,104231,,152399,,491420r55808,30902l99356,545356r44662,22785l189774,590663r46829,22249l284483,634876r48911,21666l383314,677898r50908,21034l486099,719634r52822,20355l592669,759987r54652,19629l702857,798863r56398,18854l816495,836165r58059,18031l933413,871798r59637,17160l1053445,905666r61130,16241l1176421,937672r62540,15275l1302174,967722r63865,14261l1430535,995719r65106,13198l1561336,1021567r66263,12089l1694409,1045171r66920,10864l1827918,1066179r132092,18145l2090493,1099644r64580,6611l2219179,1112173r63608,5230l2345876,1121948r62543,3866l2470394,1129004r61383,2520l2592544,1133378r60127,1192l2712135,1135105r49836,l2828976,1134221r57331,-1410l2942879,1130761r55789,-2684l3053651,1124762r54154,-3940l3161104,1116260r52422,-5179l3265047,1105290r50596,-6399l3365290,1091888r48429,-7564l3461642,1076090r46658,-8787l3553914,1057931r34089,-7617l3588003,152399r-7769,-48168l3558598,62396,3525607,29405,3483772,7769,3435603,xe" fillcolor="#faa61f" stroked="f">
                  <v:path arrowok="t"/>
                </v:shape>
                <v:shape id="Graphic 569" o:spid="_x0000_s1481" style="position:absolute;left:63;top:63;width:35884;height:10465;visibility:visible;mso-wrap-style:square;v-text-anchor:top" coordsize="358838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" path="m3435603,l152400,,104231,7769,62396,29405,29405,62396,7769,104231,,152400,,471346r61740,30678l108569,524273r47880,21963l205359,567902r49921,21356l306188,610293r51876,20701l410887,651350r53748,19998l519287,690976r55536,19247l631221,729077r57240,18449l746520,765557r58860,17601l865017,800319r60395,16707l986542,833268r61846,15764l1110929,864308r63213,14774l1238007,893343r64497,13736l1367611,920278r65695,12649l1499570,945016r66811,11516l1633300,967395r66589,10144l1831979,995685r130482,15319l2027040,1017615r64106,5918l2154755,1028763r63088,4545l2280386,1037174r61975,3191l2403743,1042885r60767,1854l2524637,1045931r59464,534l2633937,1046465r67005,-884l2758272,1044171r56572,-2049l2870634,1039437r54983,-3314l2979770,1032182r53300,-4562l3085492,1022442r51521,-5792l3187609,1010251r49647,-7003l3285685,995685r47923,-8235l3380266,978664r45614,-9372l3470427,959339r43454,-10530l3556221,937707r31782,-9002l3588003,152400r-7769,-48169l3558598,62396,3525607,29405,3483772,7769,3435603,xe" fillcolor="#fff0da" stroked="f">
                  <v:path arrowok="t"/>
                </v:shape>
                <v:shape id="Graphic 570" o:spid="_x0000_s1482" style="position:absolute;left:63;top:63;width:35884;height:23546;visibility:visible;mso-wrap-style:square;v-text-anchor:top" coordsize="358838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" path="m152400,l104231,7769,62396,29405,29405,62396,7769,104231,,152400,,2202180r7769,48168l29405,2292183r32991,32991l104231,2346810r48169,7770l3435604,2354580r48168,-7770l3525607,2325174r32991,-32991l3580234,2250348r7770,-48168l3588004,152400r-7770,-48169l3558598,62396,3525607,29405,3483772,7769,3435604,,152400,xe" filled="f" strokecolor="#faa61f" strokeweight="1pt">
                  <v:path arrowok="t"/>
                </v:shape>
                <v:shape id="Image 571" o:spid="_x0000_s1483" type="#_x0000_t75" style="position:absolute;left:25707;top:1280;width:7420;height: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">
                  <v:imagedata r:id="rId133" o:title=""/>
                </v:shape>
                <v:shape id="Textbox 572" o:spid="_x0000_s1484" type="#_x0000_t202" style="position:absolute;width:37579;height:2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C34F264" w14:textId="77777777" w:rsidR="004C558F" w:rsidRDefault="004C558F">
                        <w:pPr>
                          <w:rPr>
                            <w:rFonts w:ascii="Franklin Gothic Medium"/>
                            <w:sz w:val="36"/>
                          </w:rPr>
                        </w:pPr>
                      </w:p>
                      <w:p w14:paraId="1C34F265" w14:textId="77777777" w:rsidR="004C558F" w:rsidRDefault="004C558F">
                        <w:pPr>
                          <w:rPr>
                            <w:rFonts w:ascii="Franklin Gothic Medium"/>
                            <w:sz w:val="36"/>
                          </w:rPr>
                        </w:pPr>
                      </w:p>
                      <w:p w14:paraId="1C34F266" w14:textId="77777777" w:rsidR="004C558F" w:rsidRDefault="004C558F">
                        <w:pPr>
                          <w:rPr>
                            <w:rFonts w:ascii="Franklin Gothic Medium"/>
                            <w:sz w:val="36"/>
                          </w:rPr>
                        </w:pPr>
                      </w:p>
                      <w:p w14:paraId="1C34F267" w14:textId="77777777" w:rsidR="004C558F" w:rsidRDefault="004C558F">
                        <w:pPr>
                          <w:spacing w:before="325"/>
                          <w:rPr>
                            <w:rFonts w:ascii="Franklin Gothic Medium"/>
                            <w:sz w:val="36"/>
                          </w:rPr>
                        </w:pPr>
                      </w:p>
                      <w:p w14:paraId="1C34F268" w14:textId="77777777" w:rsidR="004C558F" w:rsidRDefault="00461887">
                        <w:pPr>
                          <w:ind w:left="489"/>
                          <w:rPr>
                            <w:rFonts w:ascii="Franklin Gothic Demi Cond"/>
                            <w:b/>
                            <w:sz w:val="36"/>
                          </w:rPr>
                        </w:pPr>
                        <w:r>
                          <w:rPr>
                            <w:rFonts w:ascii="Franklin Gothic Demi Cond"/>
                            <w:b/>
                            <w:color w:val="FAA61F"/>
                            <w:spacing w:val="-2"/>
                            <w:sz w:val="36"/>
                          </w:rPr>
                          <w:t>GEOGRAPHY</w:t>
                        </w:r>
                      </w:p>
                      <w:p w14:paraId="1C34F269" w14:textId="77777777" w:rsidR="004C558F" w:rsidRDefault="00461887">
                        <w:pPr>
                          <w:numPr>
                            <w:ilvl w:val="0"/>
                            <w:numId w:val="2"/>
                          </w:numPr>
                          <w:tabs>
                            <w:tab w:val="left" w:pos="496"/>
                          </w:tabs>
                          <w:spacing w:before="141" w:line="254" w:lineRule="auto"/>
                          <w:ind w:right="554"/>
                          <w:jc w:val="both"/>
                          <w:rPr>
                            <w:sz w:val="11"/>
                          </w:rPr>
                        </w:pPr>
                        <w:r>
                          <w:rPr>
                            <w:color w:val="3F3E45"/>
                            <w:spacing w:val="-2"/>
                            <w:sz w:val="20"/>
                          </w:rPr>
                          <w:t>Individuals</w:t>
                        </w:r>
                        <w:r>
                          <w:rPr>
                            <w:color w:val="3F3E45"/>
                            <w:spacing w:val="-11"/>
                            <w:sz w:val="20"/>
                          </w:rPr>
                          <w:t xml:space="preserve"> </w:t>
                        </w:r>
                        <w:r>
                          <w:rPr>
                            <w:color w:val="3F3E45"/>
                            <w:spacing w:val="-2"/>
                            <w:sz w:val="20"/>
                          </w:rPr>
                          <w:t>living</w:t>
                        </w:r>
                        <w:r>
                          <w:rPr>
                            <w:color w:val="3F3E45"/>
                            <w:spacing w:val="-10"/>
                            <w:sz w:val="20"/>
                          </w:rPr>
                          <w:t xml:space="preserve"> </w:t>
                        </w:r>
                        <w:r>
                          <w:rPr>
                            <w:color w:val="3F3E45"/>
                            <w:spacing w:val="-2"/>
                            <w:sz w:val="20"/>
                          </w:rPr>
                          <w:t>in</w:t>
                        </w:r>
                        <w:r>
                          <w:rPr>
                            <w:color w:val="3F3E45"/>
                            <w:spacing w:val="-11"/>
                            <w:sz w:val="20"/>
                          </w:rPr>
                          <w:t xml:space="preserve"> </w:t>
                        </w:r>
                        <w:r>
                          <w:rPr>
                            <w:color w:val="3F3E45"/>
                            <w:spacing w:val="-2"/>
                            <w:sz w:val="20"/>
                          </w:rPr>
                          <w:t>rural</w:t>
                        </w:r>
                        <w:r>
                          <w:rPr>
                            <w:color w:val="3F3E45"/>
                            <w:spacing w:val="-10"/>
                            <w:sz w:val="20"/>
                          </w:rPr>
                          <w:t xml:space="preserve"> </w:t>
                        </w:r>
                        <w:r>
                          <w:rPr>
                            <w:color w:val="3F3E45"/>
                            <w:spacing w:val="-2"/>
                            <w:sz w:val="20"/>
                          </w:rPr>
                          <w:t>areas</w:t>
                        </w:r>
                        <w:r>
                          <w:rPr>
                            <w:color w:val="3F3E45"/>
                            <w:spacing w:val="-11"/>
                            <w:sz w:val="20"/>
                          </w:rPr>
                          <w:t xml:space="preserve"> </w:t>
                        </w:r>
                        <w:r>
                          <w:rPr>
                            <w:color w:val="3F3E45"/>
                            <w:spacing w:val="-2"/>
                            <w:sz w:val="20"/>
                          </w:rPr>
                          <w:t>may</w:t>
                        </w:r>
                        <w:r>
                          <w:rPr>
                            <w:color w:val="3F3E45"/>
                            <w:spacing w:val="-10"/>
                            <w:sz w:val="20"/>
                          </w:rPr>
                          <w:t xml:space="preserve"> </w:t>
                        </w:r>
                        <w:r>
                          <w:rPr>
                            <w:color w:val="3F3E45"/>
                            <w:spacing w:val="-2"/>
                            <w:sz w:val="20"/>
                          </w:rPr>
                          <w:t>face</w:t>
                        </w:r>
                        <w:r>
                          <w:rPr>
                            <w:color w:val="3F3E45"/>
                            <w:spacing w:val="-11"/>
                            <w:sz w:val="20"/>
                          </w:rPr>
                          <w:t xml:space="preserve"> </w:t>
                        </w:r>
                        <w:r>
                          <w:rPr>
                            <w:color w:val="3F3E45"/>
                            <w:spacing w:val="-2"/>
                            <w:sz w:val="20"/>
                          </w:rPr>
                          <w:t>higher</w:t>
                        </w:r>
                        <w:r>
                          <w:rPr>
                            <w:color w:val="3F3E45"/>
                            <w:spacing w:val="-10"/>
                            <w:sz w:val="20"/>
                          </w:rPr>
                          <w:t xml:space="preserve"> </w:t>
                        </w:r>
                        <w:r>
                          <w:rPr>
                            <w:color w:val="3F3E45"/>
                            <w:spacing w:val="-2"/>
                            <w:sz w:val="20"/>
                          </w:rPr>
                          <w:t>incidence</w:t>
                        </w:r>
                        <w:r>
                          <w:rPr>
                            <w:color w:val="3F3E45"/>
                            <w:spacing w:val="-11"/>
                            <w:sz w:val="20"/>
                          </w:rPr>
                          <w:t xml:space="preserve"> </w:t>
                        </w:r>
                        <w:r>
                          <w:rPr>
                            <w:color w:val="3F3E45"/>
                            <w:spacing w:val="-2"/>
                            <w:sz w:val="20"/>
                          </w:rPr>
                          <w:t xml:space="preserve">of </w:t>
                        </w:r>
                        <w:r>
                          <w:rPr>
                            <w:color w:val="3F3E45"/>
                            <w:spacing w:val="-4"/>
                            <w:sz w:val="20"/>
                          </w:rPr>
                          <w:t>certain</w:t>
                        </w:r>
                        <w:r>
                          <w:rPr>
                            <w:color w:val="3F3E45"/>
                            <w:spacing w:val="-9"/>
                            <w:sz w:val="20"/>
                          </w:rPr>
                          <w:t xml:space="preserve"> </w:t>
                        </w:r>
                        <w:r>
                          <w:rPr>
                            <w:color w:val="3F3E45"/>
                            <w:spacing w:val="-4"/>
                            <w:sz w:val="20"/>
                          </w:rPr>
                          <w:t>cancers,</w:t>
                        </w:r>
                        <w:r>
                          <w:rPr>
                            <w:color w:val="3F3E45"/>
                            <w:spacing w:val="-8"/>
                            <w:sz w:val="20"/>
                          </w:rPr>
                          <w:t xml:space="preserve"> </w:t>
                        </w:r>
                        <w:r>
                          <w:rPr>
                            <w:color w:val="3F3E45"/>
                            <w:spacing w:val="-4"/>
                            <w:sz w:val="20"/>
                          </w:rPr>
                          <w:t>including</w:t>
                        </w:r>
                        <w:r>
                          <w:rPr>
                            <w:color w:val="3F3E45"/>
                            <w:spacing w:val="-9"/>
                            <w:sz w:val="20"/>
                          </w:rPr>
                          <w:t xml:space="preserve"> </w:t>
                        </w:r>
                        <w:r>
                          <w:rPr>
                            <w:color w:val="3F3E45"/>
                            <w:spacing w:val="-4"/>
                            <w:sz w:val="20"/>
                          </w:rPr>
                          <w:t>tobacco-</w:t>
                        </w:r>
                        <w:r>
                          <w:rPr>
                            <w:color w:val="3F3E45"/>
                            <w:spacing w:val="-8"/>
                            <w:sz w:val="20"/>
                          </w:rPr>
                          <w:t xml:space="preserve"> </w:t>
                        </w:r>
                        <w:r>
                          <w:rPr>
                            <w:color w:val="3F3E45"/>
                            <w:spacing w:val="-4"/>
                            <w:sz w:val="20"/>
                          </w:rPr>
                          <w:t>and</w:t>
                        </w:r>
                        <w:r>
                          <w:rPr>
                            <w:color w:val="3F3E45"/>
                            <w:spacing w:val="-9"/>
                            <w:sz w:val="20"/>
                          </w:rPr>
                          <w:t xml:space="preserve"> </w:t>
                        </w:r>
                        <w:r>
                          <w:rPr>
                            <w:color w:val="3F3E45"/>
                            <w:spacing w:val="-4"/>
                            <w:sz w:val="20"/>
                          </w:rPr>
                          <w:t>HPV-associated,</w:t>
                        </w:r>
                        <w:r>
                          <w:rPr>
                            <w:color w:val="3F3E45"/>
                            <w:spacing w:val="-8"/>
                            <w:sz w:val="20"/>
                          </w:rPr>
                          <w:t xml:space="preserve"> </w:t>
                        </w:r>
                        <w:r>
                          <w:rPr>
                            <w:color w:val="3F3E45"/>
                            <w:spacing w:val="-4"/>
                            <w:sz w:val="20"/>
                          </w:rPr>
                          <w:t xml:space="preserve">lung </w:t>
                        </w:r>
                        <w:r>
                          <w:rPr>
                            <w:color w:val="3F3E45"/>
                            <w:sz w:val="20"/>
                          </w:rPr>
                          <w:t>and</w:t>
                        </w:r>
                        <w:r>
                          <w:rPr>
                            <w:color w:val="3F3E45"/>
                            <w:spacing w:val="-13"/>
                            <w:sz w:val="20"/>
                          </w:rPr>
                          <w:t xml:space="preserve"> </w:t>
                        </w:r>
                        <w:r>
                          <w:rPr>
                            <w:color w:val="3F3E45"/>
                            <w:sz w:val="20"/>
                          </w:rPr>
                          <w:t>bronchus,</w:t>
                        </w:r>
                        <w:r>
                          <w:rPr>
                            <w:color w:val="3F3E45"/>
                            <w:spacing w:val="-12"/>
                            <w:sz w:val="20"/>
                          </w:rPr>
                          <w:t xml:space="preserve"> </w:t>
                        </w:r>
                        <w:r>
                          <w:rPr>
                            <w:color w:val="3F3E45"/>
                            <w:sz w:val="20"/>
                          </w:rPr>
                          <w:t>cervical,</w:t>
                        </w:r>
                        <w:r>
                          <w:rPr>
                            <w:color w:val="3F3E45"/>
                            <w:spacing w:val="-13"/>
                            <w:sz w:val="20"/>
                          </w:rPr>
                          <w:t xml:space="preserve"> </w:t>
                        </w:r>
                        <w:r>
                          <w:rPr>
                            <w:color w:val="3F3E45"/>
                            <w:sz w:val="20"/>
                          </w:rPr>
                          <w:t>and</w:t>
                        </w:r>
                        <w:r>
                          <w:rPr>
                            <w:color w:val="3F3E45"/>
                            <w:spacing w:val="-12"/>
                            <w:sz w:val="20"/>
                          </w:rPr>
                          <w:t xml:space="preserve"> </w:t>
                        </w:r>
                        <w:r>
                          <w:rPr>
                            <w:color w:val="3F3E45"/>
                            <w:sz w:val="20"/>
                          </w:rPr>
                          <w:t>colorectal</w:t>
                        </w:r>
                        <w:r>
                          <w:rPr>
                            <w:color w:val="3F3E45"/>
                            <w:spacing w:val="-13"/>
                            <w:sz w:val="20"/>
                          </w:rPr>
                          <w:t xml:space="preserve"> </w:t>
                        </w:r>
                        <w:r>
                          <w:rPr>
                            <w:color w:val="3F3E45"/>
                            <w:sz w:val="20"/>
                          </w:rPr>
                          <w:t>cancers,</w:t>
                        </w:r>
                        <w:r>
                          <w:rPr>
                            <w:color w:val="3F3E45"/>
                            <w:position w:val="7"/>
                            <w:sz w:val="11"/>
                          </w:rPr>
                          <w:t>15</w:t>
                        </w:r>
                        <w:r>
                          <w:rPr>
                            <w:color w:val="3F3E45"/>
                            <w:spacing w:val="-7"/>
                            <w:position w:val="7"/>
                            <w:sz w:val="11"/>
                          </w:rPr>
                          <w:t xml:space="preserve"> </w:t>
                        </w:r>
                        <w:r>
                          <w:rPr>
                            <w:color w:val="3F3E45"/>
                            <w:sz w:val="20"/>
                          </w:rPr>
                          <w:t>as</w:t>
                        </w:r>
                        <w:r>
                          <w:rPr>
                            <w:color w:val="3F3E45"/>
                            <w:spacing w:val="-12"/>
                            <w:sz w:val="20"/>
                          </w:rPr>
                          <w:t xml:space="preserve"> </w:t>
                        </w:r>
                        <w:r>
                          <w:rPr>
                            <w:color w:val="3F3E45"/>
                            <w:sz w:val="20"/>
                          </w:rPr>
                          <w:t>well</w:t>
                        </w:r>
                        <w:r>
                          <w:rPr>
                            <w:color w:val="3F3E45"/>
                            <w:spacing w:val="-13"/>
                            <w:sz w:val="20"/>
                          </w:rPr>
                          <w:t xml:space="preserve"> </w:t>
                        </w:r>
                        <w:r>
                          <w:rPr>
                            <w:color w:val="3F3E45"/>
                            <w:sz w:val="20"/>
                          </w:rPr>
                          <w:t>as higher mortality rates.</w:t>
                        </w:r>
                        <w:r>
                          <w:rPr>
                            <w:color w:val="3F3E45"/>
                            <w:position w:val="7"/>
                            <w:sz w:val="11"/>
                          </w:rPr>
                          <w:t>16</w:t>
                        </w:r>
                      </w:p>
                    </w:txbxContent>
                  </v:textbox>
                </v:shape>
                <w10:wrap anchorx="page" anchory="page"/>
              </v:group>
            </w:pict>
          </mc:Fallback>
        </mc:AlternateContent>
      </w:r>
      <w:r>
        <w:rPr>
          <w:rFonts w:ascii="Franklin Gothic Medium"/>
        </w:rPr>
        <w:t>Figure</w:t>
      </w:r>
      <w:r>
        <w:rPr>
          <w:rFonts w:ascii="Franklin Gothic Medium"/>
          <w:spacing w:val="-3"/>
        </w:rPr>
        <w:t xml:space="preserve"> </w:t>
      </w:r>
      <w:r>
        <w:rPr>
          <w:rFonts w:ascii="Franklin Gothic Medium"/>
        </w:rPr>
        <w:t>A5:</w:t>
      </w:r>
      <w:r>
        <w:rPr>
          <w:rFonts w:ascii="Franklin Gothic Medium"/>
          <w:spacing w:val="-2"/>
        </w:rPr>
        <w:t xml:space="preserve"> </w:t>
      </w:r>
      <w:r>
        <w:rPr>
          <w:rFonts w:ascii="Franklin Gothic Medium"/>
        </w:rPr>
        <w:t>Infographic</w:t>
      </w:r>
      <w:r>
        <w:rPr>
          <w:rFonts w:ascii="Franklin Gothic Medium"/>
          <w:spacing w:val="-2"/>
        </w:rPr>
        <w:t xml:space="preserve"> </w:t>
      </w:r>
      <w:r>
        <w:rPr>
          <w:rFonts w:ascii="Franklin Gothic Medium"/>
        </w:rPr>
        <w:t>on</w:t>
      </w:r>
      <w:r>
        <w:rPr>
          <w:rFonts w:ascii="Franklin Gothic Medium"/>
          <w:spacing w:val="-2"/>
        </w:rPr>
        <w:t xml:space="preserve"> </w:t>
      </w:r>
      <w:r>
        <w:rPr>
          <w:rFonts w:ascii="Franklin Gothic Medium"/>
        </w:rPr>
        <w:t>Disparities</w:t>
      </w:r>
      <w:r>
        <w:rPr>
          <w:rFonts w:ascii="Franklin Gothic Medium"/>
          <w:spacing w:val="-2"/>
        </w:rPr>
        <w:t xml:space="preserve"> </w:t>
      </w:r>
      <w:r>
        <w:rPr>
          <w:rFonts w:ascii="Franklin Gothic Medium"/>
        </w:rPr>
        <w:t>in</w:t>
      </w:r>
      <w:r>
        <w:rPr>
          <w:rFonts w:ascii="Franklin Gothic Medium"/>
          <w:spacing w:val="-2"/>
        </w:rPr>
        <w:t xml:space="preserve"> </w:t>
      </w:r>
      <w:r>
        <w:rPr>
          <w:rFonts w:ascii="Franklin Gothic Medium"/>
        </w:rPr>
        <w:t>Cancer</w:t>
      </w:r>
      <w:r>
        <w:rPr>
          <w:rFonts w:ascii="Franklin Gothic Medium"/>
          <w:spacing w:val="-2"/>
        </w:rPr>
        <w:t xml:space="preserve"> </w:t>
      </w:r>
      <w:r>
        <w:rPr>
          <w:rFonts w:ascii="Franklin Gothic Medium"/>
        </w:rPr>
        <w:t>Incidence,</w:t>
      </w:r>
      <w:r>
        <w:rPr>
          <w:rFonts w:ascii="Franklin Gothic Medium"/>
          <w:spacing w:val="-2"/>
        </w:rPr>
        <w:t xml:space="preserve"> </w:t>
      </w:r>
      <w:r>
        <w:rPr>
          <w:rFonts w:ascii="Franklin Gothic Medium"/>
        </w:rPr>
        <w:t>Care,</w:t>
      </w:r>
      <w:r>
        <w:rPr>
          <w:rFonts w:ascii="Franklin Gothic Medium"/>
          <w:spacing w:val="-2"/>
        </w:rPr>
        <w:t xml:space="preserve"> </w:t>
      </w:r>
      <w:r>
        <w:rPr>
          <w:rFonts w:ascii="Franklin Gothic Medium"/>
        </w:rPr>
        <w:t>and</w:t>
      </w:r>
      <w:r>
        <w:rPr>
          <w:rFonts w:ascii="Franklin Gothic Medium"/>
          <w:spacing w:val="-1"/>
        </w:rPr>
        <w:t xml:space="preserve"> </w:t>
      </w:r>
      <w:r>
        <w:rPr>
          <w:rFonts w:ascii="Franklin Gothic Medium"/>
          <w:spacing w:val="-2"/>
        </w:rPr>
        <w:t>Outcomes</w:t>
      </w:r>
    </w:p>
    <w:p w14:paraId="1C34EF96" w14:textId="77777777" w:rsidR="004C558F" w:rsidRDefault="004C558F">
      <w:pPr>
        <w:jc w:val="center"/>
        <w:rPr>
          <w:rFonts w:ascii="Franklin Gothic Medium"/>
        </w:rPr>
        <w:sectPr w:rsidR="004C558F">
          <w:pgSz w:w="12240" w:h="15840"/>
          <w:pgMar w:top="960" w:right="440" w:bottom="720" w:left="680" w:header="0" w:footer="521" w:gutter="0"/>
          <w:cols w:space="720"/>
        </w:sectPr>
      </w:pPr>
    </w:p>
    <w:p w14:paraId="1C34EF97" w14:textId="37D0CB78" w:rsidR="004C558F" w:rsidRDefault="00461887">
      <w:pPr>
        <w:pStyle w:val="ListParagraph"/>
        <w:numPr>
          <w:ilvl w:val="0"/>
          <w:numId w:val="1"/>
        </w:numPr>
        <w:tabs>
          <w:tab w:val="left" w:pos="526"/>
        </w:tabs>
        <w:spacing w:before="89" w:line="261" w:lineRule="auto"/>
        <w:ind w:right="141"/>
        <w:rPr>
          <w:sz w:val="16"/>
        </w:rPr>
      </w:pPr>
      <w:r>
        <w:rPr>
          <w:w w:val="105"/>
          <w:sz w:val="16"/>
        </w:rPr>
        <w:lastRenderedPageBreak/>
        <w:t>Victoria</w:t>
      </w:r>
      <w:r>
        <w:rPr>
          <w:spacing w:val="-9"/>
          <w:w w:val="105"/>
          <w:sz w:val="16"/>
        </w:rPr>
        <w:t xml:space="preserve"> </w:t>
      </w:r>
      <w:r>
        <w:rPr>
          <w:w w:val="105"/>
          <w:sz w:val="16"/>
        </w:rPr>
        <w:t>Marks</w:t>
      </w:r>
      <w:r>
        <w:rPr>
          <w:spacing w:val="-9"/>
          <w:w w:val="105"/>
          <w:sz w:val="16"/>
        </w:rPr>
        <w:t xml:space="preserve"> </w:t>
      </w:r>
      <w:r>
        <w:rPr>
          <w:w w:val="105"/>
          <w:sz w:val="16"/>
        </w:rPr>
        <w:t>et</w:t>
      </w:r>
      <w:r>
        <w:rPr>
          <w:spacing w:val="-9"/>
          <w:w w:val="105"/>
          <w:sz w:val="16"/>
        </w:rPr>
        <w:t xml:space="preserve"> </w:t>
      </w:r>
      <w:r>
        <w:rPr>
          <w:w w:val="105"/>
          <w:sz w:val="16"/>
        </w:rPr>
        <w:t>al.,</w:t>
      </w:r>
      <w:r>
        <w:rPr>
          <w:spacing w:val="-9"/>
          <w:w w:val="105"/>
          <w:sz w:val="16"/>
        </w:rPr>
        <w:t xml:space="preserve"> </w:t>
      </w:r>
      <w:hyperlink r:id="rId134" w:history="1">
        <w:r w:rsidRPr="00C51B72">
          <w:rPr>
            <w:rStyle w:val="Hyperlink"/>
            <w:i/>
            <w:color w:val="000000" w:themeColor="text1"/>
            <w:w w:val="105"/>
            <w:sz w:val="16"/>
            <w:u w:val="none"/>
          </w:rPr>
          <w:t>Acceptance</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of</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Simulated</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Adult</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Patients</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With Medicaid</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Insurance</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Seeking</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Care</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in</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a</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Cancer</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Hospital</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for</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a</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New Cancer</w:t>
        </w:r>
        <w:r w:rsidRPr="00C51B72">
          <w:rPr>
            <w:rStyle w:val="Hyperlink"/>
            <w:i/>
            <w:color w:val="000000" w:themeColor="text1"/>
            <w:spacing w:val="-7"/>
            <w:w w:val="105"/>
            <w:sz w:val="16"/>
            <w:u w:val="none"/>
          </w:rPr>
          <w:t xml:space="preserve"> </w:t>
        </w:r>
        <w:r w:rsidRPr="00C51B72">
          <w:rPr>
            <w:rStyle w:val="Hyperlink"/>
            <w:i/>
            <w:color w:val="000000" w:themeColor="text1"/>
            <w:w w:val="105"/>
            <w:sz w:val="16"/>
            <w:u w:val="none"/>
          </w:rPr>
          <w:t>Diagnosis</w:t>
        </w:r>
      </w:hyperlink>
      <w:r w:rsidRPr="00C51B72">
        <w:rPr>
          <w:color w:val="000000" w:themeColor="text1"/>
          <w:w w:val="105"/>
          <w:sz w:val="16"/>
        </w:rPr>
        <w:t>,</w:t>
      </w:r>
      <w:r w:rsidRPr="00C51B72">
        <w:rPr>
          <w:color w:val="000000" w:themeColor="text1"/>
          <w:spacing w:val="-7"/>
          <w:w w:val="105"/>
          <w:sz w:val="16"/>
        </w:rPr>
        <w:t xml:space="preserve"> </w:t>
      </w:r>
      <w:r>
        <w:rPr>
          <w:w w:val="105"/>
          <w:sz w:val="16"/>
        </w:rPr>
        <w:t>5</w:t>
      </w:r>
      <w:r>
        <w:rPr>
          <w:spacing w:val="-7"/>
          <w:w w:val="105"/>
          <w:sz w:val="16"/>
        </w:rPr>
        <w:t xml:space="preserve"> </w:t>
      </w:r>
      <w:r>
        <w:rPr>
          <w:w w:val="105"/>
          <w:sz w:val="16"/>
        </w:rPr>
        <w:t>J</w:t>
      </w:r>
      <w:r>
        <w:rPr>
          <w:w w:val="105"/>
          <w:sz w:val="11"/>
        </w:rPr>
        <w:t>ama</w:t>
      </w:r>
      <w:r>
        <w:rPr>
          <w:spacing w:val="6"/>
          <w:w w:val="105"/>
          <w:sz w:val="11"/>
        </w:rPr>
        <w:t xml:space="preserve"> </w:t>
      </w:r>
      <w:r>
        <w:rPr>
          <w:w w:val="105"/>
          <w:sz w:val="16"/>
        </w:rPr>
        <w:t>N</w:t>
      </w:r>
      <w:r>
        <w:rPr>
          <w:w w:val="105"/>
          <w:sz w:val="11"/>
        </w:rPr>
        <w:t>etwork</w:t>
      </w:r>
      <w:r>
        <w:rPr>
          <w:w w:val="105"/>
          <w:sz w:val="16"/>
        </w:rPr>
        <w:t>,</w:t>
      </w:r>
      <w:r>
        <w:rPr>
          <w:spacing w:val="-7"/>
          <w:w w:val="105"/>
          <w:sz w:val="16"/>
        </w:rPr>
        <w:t xml:space="preserve"> </w:t>
      </w:r>
      <w:r>
        <w:rPr>
          <w:w w:val="105"/>
          <w:sz w:val="16"/>
        </w:rPr>
        <w:t>(2022)</w:t>
      </w:r>
      <w:r>
        <w:rPr>
          <w:spacing w:val="-7"/>
          <w:w w:val="105"/>
          <w:sz w:val="16"/>
        </w:rPr>
        <w:t xml:space="preserve"> </w:t>
      </w:r>
      <w:r>
        <w:rPr>
          <w:w w:val="105"/>
          <w:sz w:val="16"/>
        </w:rPr>
        <w:t>[hereinafter</w:t>
      </w:r>
      <w:r>
        <w:rPr>
          <w:spacing w:val="-7"/>
          <w:w w:val="105"/>
          <w:sz w:val="16"/>
        </w:rPr>
        <w:t xml:space="preserve"> </w:t>
      </w:r>
      <w:r>
        <w:rPr>
          <w:w w:val="105"/>
          <w:sz w:val="16"/>
        </w:rPr>
        <w:t>Marks</w:t>
      </w:r>
      <w:r>
        <w:rPr>
          <w:spacing w:val="-7"/>
          <w:w w:val="105"/>
          <w:sz w:val="16"/>
        </w:rPr>
        <w:t xml:space="preserve"> </w:t>
      </w:r>
      <w:r>
        <w:rPr>
          <w:w w:val="105"/>
          <w:sz w:val="16"/>
        </w:rPr>
        <w:t>et</w:t>
      </w:r>
      <w:r>
        <w:rPr>
          <w:spacing w:val="-8"/>
          <w:w w:val="105"/>
          <w:sz w:val="16"/>
        </w:rPr>
        <w:t xml:space="preserve"> </w:t>
      </w:r>
      <w:r>
        <w:rPr>
          <w:w w:val="105"/>
          <w:sz w:val="16"/>
        </w:rPr>
        <w:t xml:space="preserve">al.], </w:t>
      </w:r>
      <w:r>
        <w:rPr>
          <w:sz w:val="16"/>
        </w:rPr>
        <w:t xml:space="preserve">available at </w:t>
      </w:r>
      <w:r>
        <w:rPr>
          <w:color w:val="215E9E"/>
          <w:sz w:val="16"/>
          <w:u w:val="single" w:color="215E9E"/>
        </w:rPr>
        <w:t>https://jamanetwork.com/journals/jamanetworkopen/</w:t>
      </w:r>
      <w:r>
        <w:rPr>
          <w:color w:val="215E9E"/>
          <w:w w:val="105"/>
          <w:sz w:val="16"/>
        </w:rPr>
        <w:t xml:space="preserve"> </w:t>
      </w:r>
      <w:proofErr w:type="spellStart"/>
      <w:r>
        <w:rPr>
          <w:color w:val="215E9E"/>
          <w:spacing w:val="-2"/>
          <w:w w:val="105"/>
          <w:sz w:val="16"/>
          <w:u w:val="single" w:color="215E9E"/>
        </w:rPr>
        <w:t>fullarticle</w:t>
      </w:r>
      <w:proofErr w:type="spellEnd"/>
      <w:r>
        <w:rPr>
          <w:color w:val="215E9E"/>
          <w:spacing w:val="-2"/>
          <w:w w:val="105"/>
          <w:sz w:val="16"/>
          <w:u w:val="single" w:color="215E9E"/>
        </w:rPr>
        <w:t>/2794319</w:t>
      </w:r>
      <w:r>
        <w:rPr>
          <w:spacing w:val="-2"/>
          <w:w w:val="105"/>
          <w:sz w:val="16"/>
        </w:rPr>
        <w:t>.</w:t>
      </w:r>
    </w:p>
    <w:p w14:paraId="1C34EF98" w14:textId="6F312F55" w:rsidR="004C558F" w:rsidRDefault="00461887">
      <w:pPr>
        <w:pStyle w:val="ListParagraph"/>
        <w:numPr>
          <w:ilvl w:val="0"/>
          <w:numId w:val="1"/>
        </w:numPr>
        <w:tabs>
          <w:tab w:val="left" w:pos="526"/>
        </w:tabs>
        <w:spacing w:before="1" w:line="261" w:lineRule="auto"/>
        <w:ind w:right="50" w:hanging="270"/>
        <w:rPr>
          <w:sz w:val="16"/>
        </w:rPr>
      </w:pPr>
      <w:proofErr w:type="spellStart"/>
      <w:r>
        <w:rPr>
          <w:w w:val="105"/>
          <w:sz w:val="16"/>
        </w:rPr>
        <w:t>Runhua</w:t>
      </w:r>
      <w:proofErr w:type="spellEnd"/>
      <w:r>
        <w:rPr>
          <w:spacing w:val="-7"/>
          <w:w w:val="105"/>
          <w:sz w:val="16"/>
        </w:rPr>
        <w:t xml:space="preserve"> </w:t>
      </w:r>
      <w:r>
        <w:rPr>
          <w:w w:val="105"/>
          <w:sz w:val="16"/>
        </w:rPr>
        <w:t>Shi</w:t>
      </w:r>
      <w:r>
        <w:rPr>
          <w:spacing w:val="-7"/>
          <w:w w:val="105"/>
          <w:sz w:val="16"/>
        </w:rPr>
        <w:t xml:space="preserve"> </w:t>
      </w:r>
      <w:r>
        <w:rPr>
          <w:w w:val="105"/>
          <w:sz w:val="16"/>
        </w:rPr>
        <w:t>et</w:t>
      </w:r>
      <w:r>
        <w:rPr>
          <w:spacing w:val="-7"/>
          <w:w w:val="105"/>
          <w:sz w:val="16"/>
        </w:rPr>
        <w:t xml:space="preserve"> </w:t>
      </w:r>
      <w:r>
        <w:rPr>
          <w:w w:val="105"/>
          <w:sz w:val="16"/>
        </w:rPr>
        <w:t>al.,</w:t>
      </w:r>
      <w:r>
        <w:rPr>
          <w:spacing w:val="-7"/>
          <w:w w:val="105"/>
          <w:sz w:val="16"/>
        </w:rPr>
        <w:t xml:space="preserve"> </w:t>
      </w:r>
      <w:hyperlink r:id="rId135" w:history="1">
        <w:r w:rsidRPr="00C51B72">
          <w:rPr>
            <w:rStyle w:val="Hyperlink"/>
            <w:i/>
            <w:color w:val="000000" w:themeColor="text1"/>
            <w:w w:val="105"/>
            <w:sz w:val="16"/>
            <w:u w:val="none"/>
          </w:rPr>
          <w:t>Effects</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of</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payer</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status</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on</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breast</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cancer</w:t>
        </w:r>
        <w:r w:rsidRPr="00C51B72">
          <w:rPr>
            <w:rStyle w:val="Hyperlink"/>
            <w:i/>
            <w:color w:val="000000" w:themeColor="text1"/>
            <w:spacing w:val="-9"/>
            <w:w w:val="105"/>
            <w:sz w:val="16"/>
            <w:u w:val="none"/>
          </w:rPr>
          <w:t xml:space="preserve"> </w:t>
        </w:r>
        <w:r w:rsidRPr="00C51B72">
          <w:rPr>
            <w:rStyle w:val="Hyperlink"/>
            <w:i/>
            <w:color w:val="000000" w:themeColor="text1"/>
            <w:w w:val="105"/>
            <w:sz w:val="16"/>
            <w:u w:val="none"/>
          </w:rPr>
          <w:t>survival: a</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retrospective</w:t>
        </w:r>
        <w:r w:rsidRPr="00C51B72">
          <w:rPr>
            <w:rStyle w:val="Hyperlink"/>
            <w:i/>
            <w:color w:val="000000" w:themeColor="text1"/>
            <w:spacing w:val="-1"/>
            <w:w w:val="105"/>
            <w:sz w:val="16"/>
            <w:u w:val="none"/>
          </w:rPr>
          <w:t xml:space="preserve"> </w:t>
        </w:r>
        <w:r w:rsidRPr="00C51B72">
          <w:rPr>
            <w:rStyle w:val="Hyperlink"/>
            <w:i/>
            <w:color w:val="000000" w:themeColor="text1"/>
            <w:w w:val="105"/>
            <w:sz w:val="16"/>
            <w:u w:val="none"/>
          </w:rPr>
          <w:t>study</w:t>
        </w:r>
      </w:hyperlink>
      <w:r w:rsidRPr="00C51B72">
        <w:rPr>
          <w:i/>
          <w:color w:val="000000" w:themeColor="text1"/>
          <w:w w:val="105"/>
          <w:sz w:val="16"/>
        </w:rPr>
        <w:t xml:space="preserve">, </w:t>
      </w:r>
      <w:r w:rsidRPr="00C51B72">
        <w:rPr>
          <w:color w:val="000000" w:themeColor="text1"/>
          <w:w w:val="105"/>
          <w:sz w:val="16"/>
        </w:rPr>
        <w:t xml:space="preserve">15 </w:t>
      </w:r>
      <w:r>
        <w:rPr>
          <w:w w:val="105"/>
          <w:sz w:val="16"/>
        </w:rPr>
        <w:t xml:space="preserve">BMC </w:t>
      </w:r>
      <w:proofErr w:type="spellStart"/>
      <w:r>
        <w:rPr>
          <w:w w:val="105"/>
          <w:sz w:val="16"/>
        </w:rPr>
        <w:t>C</w:t>
      </w:r>
      <w:r>
        <w:rPr>
          <w:w w:val="105"/>
          <w:sz w:val="11"/>
        </w:rPr>
        <w:t>aNCer</w:t>
      </w:r>
      <w:proofErr w:type="spellEnd"/>
      <w:r>
        <w:rPr>
          <w:w w:val="105"/>
          <w:sz w:val="16"/>
        </w:rPr>
        <w:t xml:space="preserve">, (2015), </w:t>
      </w:r>
      <w:r>
        <w:rPr>
          <w:i/>
          <w:w w:val="105"/>
          <w:sz w:val="16"/>
        </w:rPr>
        <w:t>available</w:t>
      </w:r>
      <w:r>
        <w:rPr>
          <w:i/>
          <w:spacing w:val="-1"/>
          <w:w w:val="105"/>
          <w:sz w:val="16"/>
        </w:rPr>
        <w:t xml:space="preserve"> </w:t>
      </w:r>
      <w:r>
        <w:rPr>
          <w:i/>
          <w:w w:val="105"/>
          <w:sz w:val="16"/>
        </w:rPr>
        <w:t xml:space="preserve">at </w:t>
      </w:r>
      <w:r>
        <w:rPr>
          <w:color w:val="215E9E"/>
          <w:w w:val="105"/>
          <w:sz w:val="16"/>
          <w:u w:val="single" w:color="215E9E"/>
        </w:rPr>
        <w:t>https://</w:t>
      </w:r>
      <w:r>
        <w:rPr>
          <w:color w:val="215E9E"/>
          <w:w w:val="105"/>
          <w:sz w:val="16"/>
        </w:rPr>
        <w:t xml:space="preserve"> </w:t>
      </w:r>
      <w:r>
        <w:rPr>
          <w:color w:val="215E9E"/>
          <w:spacing w:val="-2"/>
          <w:sz w:val="16"/>
          <w:u w:val="single" w:color="215E9E"/>
        </w:rPr>
        <w:t>pmc.ncbi.nlm.nih.gov/articles/PMC4383189/pdf/12885_2015_Ar-</w:t>
      </w:r>
      <w:r>
        <w:rPr>
          <w:color w:val="215E9E"/>
          <w:spacing w:val="40"/>
          <w:w w:val="105"/>
          <w:sz w:val="16"/>
        </w:rPr>
        <w:t xml:space="preserve"> </w:t>
      </w:r>
      <w:r>
        <w:rPr>
          <w:color w:val="215E9E"/>
          <w:spacing w:val="-2"/>
          <w:w w:val="105"/>
          <w:sz w:val="16"/>
          <w:u w:val="single" w:color="215E9E"/>
        </w:rPr>
        <w:t>ticle_1228.pdf</w:t>
      </w:r>
      <w:r>
        <w:rPr>
          <w:spacing w:val="-2"/>
          <w:w w:val="105"/>
          <w:sz w:val="16"/>
        </w:rPr>
        <w:t>.</w:t>
      </w:r>
    </w:p>
    <w:p w14:paraId="1C34EF99" w14:textId="339CFE9C" w:rsidR="004C558F" w:rsidRDefault="00461887">
      <w:pPr>
        <w:pStyle w:val="ListParagraph"/>
        <w:numPr>
          <w:ilvl w:val="0"/>
          <w:numId w:val="1"/>
        </w:numPr>
        <w:tabs>
          <w:tab w:val="left" w:pos="525"/>
        </w:tabs>
        <w:spacing w:before="1" w:line="261" w:lineRule="auto"/>
        <w:ind w:left="525" w:right="318" w:hanging="270"/>
        <w:rPr>
          <w:sz w:val="16"/>
        </w:rPr>
      </w:pPr>
      <w:r>
        <w:rPr>
          <w:w w:val="105"/>
          <w:sz w:val="16"/>
        </w:rPr>
        <w:t xml:space="preserve">Aaron Mitchell et al., </w:t>
      </w:r>
      <w:hyperlink r:id="rId136" w:history="1">
        <w:r w:rsidRPr="00C51B72">
          <w:rPr>
            <w:rStyle w:val="Hyperlink"/>
            <w:i/>
            <w:color w:val="000000" w:themeColor="text1"/>
            <w:w w:val="105"/>
            <w:sz w:val="16"/>
            <w:u w:val="none"/>
          </w:rPr>
          <w:t>Commercial Versus Medicaid Insurance and Use of High-Priced Anticancer Treatments</w:t>
        </w:r>
      </w:hyperlink>
      <w:r w:rsidRPr="00C51B72">
        <w:rPr>
          <w:i/>
          <w:color w:val="000000" w:themeColor="text1"/>
          <w:w w:val="105"/>
          <w:sz w:val="16"/>
        </w:rPr>
        <w:t xml:space="preserve">, </w:t>
      </w:r>
      <w:r w:rsidRPr="00C51B72">
        <w:rPr>
          <w:color w:val="000000" w:themeColor="text1"/>
          <w:w w:val="105"/>
          <w:sz w:val="16"/>
        </w:rPr>
        <w:t xml:space="preserve">29 </w:t>
      </w:r>
      <w:r>
        <w:rPr>
          <w:w w:val="105"/>
          <w:sz w:val="16"/>
        </w:rPr>
        <w:t>t</w:t>
      </w:r>
      <w:r>
        <w:rPr>
          <w:w w:val="105"/>
          <w:sz w:val="11"/>
        </w:rPr>
        <w:t>he</w:t>
      </w:r>
      <w:r>
        <w:rPr>
          <w:spacing w:val="18"/>
          <w:w w:val="105"/>
          <w:sz w:val="11"/>
        </w:rPr>
        <w:t xml:space="preserve"> </w:t>
      </w:r>
      <w:proofErr w:type="spellStart"/>
      <w:r>
        <w:rPr>
          <w:w w:val="105"/>
          <w:sz w:val="16"/>
        </w:rPr>
        <w:t>o</w:t>
      </w:r>
      <w:r>
        <w:rPr>
          <w:w w:val="105"/>
          <w:sz w:val="11"/>
        </w:rPr>
        <w:t>NCologist</w:t>
      </w:r>
      <w:proofErr w:type="spellEnd"/>
      <w:r>
        <w:rPr>
          <w:spacing w:val="40"/>
          <w:w w:val="105"/>
          <w:sz w:val="11"/>
        </w:rPr>
        <w:t xml:space="preserve"> </w:t>
      </w:r>
      <w:r>
        <w:rPr>
          <w:sz w:val="16"/>
        </w:rPr>
        <w:t xml:space="preserve">527, (2024), </w:t>
      </w:r>
      <w:r>
        <w:rPr>
          <w:i/>
          <w:sz w:val="16"/>
        </w:rPr>
        <w:t xml:space="preserve">available at </w:t>
      </w:r>
      <w:r>
        <w:rPr>
          <w:color w:val="215E9E"/>
          <w:sz w:val="16"/>
          <w:u w:val="single" w:color="215E9E"/>
        </w:rPr>
        <w:t>https://pmc.ncbi.nlm.nih.gov/articles/</w:t>
      </w:r>
      <w:r>
        <w:rPr>
          <w:color w:val="215E9E"/>
          <w:w w:val="105"/>
          <w:sz w:val="16"/>
        </w:rPr>
        <w:t xml:space="preserve"> </w:t>
      </w:r>
      <w:r>
        <w:rPr>
          <w:color w:val="215E9E"/>
          <w:spacing w:val="-2"/>
          <w:w w:val="105"/>
          <w:sz w:val="16"/>
          <w:u w:val="single" w:color="215E9E"/>
        </w:rPr>
        <w:t>PMC11144993/pdf/oyae035.pdf</w:t>
      </w:r>
      <w:r>
        <w:rPr>
          <w:spacing w:val="-2"/>
          <w:w w:val="105"/>
          <w:sz w:val="16"/>
        </w:rPr>
        <w:t>.</w:t>
      </w:r>
    </w:p>
    <w:p w14:paraId="1C34EF9A" w14:textId="77777777" w:rsidR="004C558F" w:rsidRDefault="00461887">
      <w:pPr>
        <w:pStyle w:val="ListParagraph"/>
        <w:numPr>
          <w:ilvl w:val="0"/>
          <w:numId w:val="1"/>
        </w:numPr>
        <w:tabs>
          <w:tab w:val="left" w:pos="525"/>
        </w:tabs>
        <w:spacing w:before="1"/>
        <w:ind w:left="525" w:hanging="269"/>
        <w:rPr>
          <w:sz w:val="16"/>
        </w:rPr>
      </w:pPr>
      <w:r>
        <w:rPr>
          <w:w w:val="105"/>
          <w:sz w:val="16"/>
        </w:rPr>
        <w:t>Marks</w:t>
      </w:r>
      <w:r>
        <w:rPr>
          <w:spacing w:val="-10"/>
          <w:w w:val="105"/>
          <w:sz w:val="16"/>
        </w:rPr>
        <w:t xml:space="preserve"> </w:t>
      </w:r>
      <w:r>
        <w:rPr>
          <w:w w:val="105"/>
          <w:sz w:val="16"/>
        </w:rPr>
        <w:t>et</w:t>
      </w:r>
      <w:r>
        <w:rPr>
          <w:spacing w:val="-9"/>
          <w:w w:val="105"/>
          <w:sz w:val="16"/>
        </w:rPr>
        <w:t xml:space="preserve"> </w:t>
      </w:r>
      <w:r>
        <w:rPr>
          <w:w w:val="105"/>
          <w:sz w:val="16"/>
        </w:rPr>
        <w:t>al.,</w:t>
      </w:r>
      <w:r>
        <w:rPr>
          <w:spacing w:val="-9"/>
          <w:w w:val="105"/>
          <w:sz w:val="16"/>
        </w:rPr>
        <w:t xml:space="preserve"> </w:t>
      </w:r>
      <w:r>
        <w:rPr>
          <w:i/>
          <w:w w:val="105"/>
          <w:sz w:val="16"/>
        </w:rPr>
        <w:t>supra</w:t>
      </w:r>
      <w:r>
        <w:rPr>
          <w:i/>
          <w:spacing w:val="-9"/>
          <w:w w:val="105"/>
          <w:sz w:val="16"/>
        </w:rPr>
        <w:t xml:space="preserve"> </w:t>
      </w:r>
      <w:r>
        <w:rPr>
          <w:w w:val="105"/>
          <w:sz w:val="16"/>
        </w:rPr>
        <w:t>note</w:t>
      </w:r>
      <w:r>
        <w:rPr>
          <w:spacing w:val="-9"/>
          <w:w w:val="105"/>
          <w:sz w:val="16"/>
        </w:rPr>
        <w:t xml:space="preserve"> </w:t>
      </w:r>
      <w:r>
        <w:rPr>
          <w:spacing w:val="-5"/>
          <w:w w:val="105"/>
          <w:sz w:val="16"/>
        </w:rPr>
        <w:t>1.</w:t>
      </w:r>
    </w:p>
    <w:p w14:paraId="1C34EF9B" w14:textId="6C035059" w:rsidR="004C558F" w:rsidRDefault="00461887">
      <w:pPr>
        <w:pStyle w:val="ListParagraph"/>
        <w:numPr>
          <w:ilvl w:val="0"/>
          <w:numId w:val="1"/>
        </w:numPr>
        <w:tabs>
          <w:tab w:val="left" w:pos="525"/>
        </w:tabs>
        <w:spacing w:before="17" w:line="261" w:lineRule="auto"/>
        <w:ind w:left="525" w:right="256" w:hanging="270"/>
        <w:rPr>
          <w:sz w:val="16"/>
        </w:rPr>
      </w:pPr>
      <w:r>
        <w:rPr>
          <w:w w:val="105"/>
          <w:sz w:val="16"/>
        </w:rPr>
        <w:t>Jeremy</w:t>
      </w:r>
      <w:r>
        <w:rPr>
          <w:spacing w:val="-5"/>
          <w:w w:val="105"/>
          <w:sz w:val="16"/>
        </w:rPr>
        <w:t xml:space="preserve"> </w:t>
      </w:r>
      <w:r>
        <w:rPr>
          <w:w w:val="105"/>
          <w:sz w:val="16"/>
        </w:rPr>
        <w:t>O’Connor</w:t>
      </w:r>
      <w:r>
        <w:rPr>
          <w:spacing w:val="-5"/>
          <w:w w:val="105"/>
          <w:sz w:val="16"/>
        </w:rPr>
        <w:t xml:space="preserve"> </w:t>
      </w:r>
      <w:r>
        <w:rPr>
          <w:w w:val="105"/>
          <w:sz w:val="16"/>
        </w:rPr>
        <w:t>et</w:t>
      </w:r>
      <w:r>
        <w:rPr>
          <w:spacing w:val="-5"/>
          <w:w w:val="105"/>
          <w:sz w:val="16"/>
        </w:rPr>
        <w:t xml:space="preserve"> </w:t>
      </w:r>
      <w:r>
        <w:rPr>
          <w:w w:val="105"/>
          <w:sz w:val="16"/>
        </w:rPr>
        <w:t>al.,</w:t>
      </w:r>
      <w:r>
        <w:rPr>
          <w:spacing w:val="-6"/>
          <w:w w:val="105"/>
          <w:sz w:val="16"/>
        </w:rPr>
        <w:t xml:space="preserve"> </w:t>
      </w:r>
      <w:hyperlink r:id="rId137" w:history="1">
        <w:r w:rsidRPr="00C51B72">
          <w:rPr>
            <w:rStyle w:val="Hyperlink"/>
            <w:i/>
            <w:color w:val="000000" w:themeColor="text1"/>
            <w:w w:val="105"/>
            <w:sz w:val="16"/>
            <w:u w:val="none"/>
          </w:rPr>
          <w:t>Factors</w:t>
        </w:r>
        <w:r w:rsidRPr="00C51B72">
          <w:rPr>
            <w:rStyle w:val="Hyperlink"/>
            <w:i/>
            <w:color w:val="000000" w:themeColor="text1"/>
            <w:spacing w:val="-6"/>
            <w:w w:val="105"/>
            <w:sz w:val="16"/>
            <w:u w:val="none"/>
          </w:rPr>
          <w:t xml:space="preserve"> </w:t>
        </w:r>
        <w:r w:rsidRPr="00C51B72">
          <w:rPr>
            <w:rStyle w:val="Hyperlink"/>
            <w:i/>
            <w:color w:val="000000" w:themeColor="text1"/>
            <w:w w:val="105"/>
            <w:sz w:val="16"/>
            <w:u w:val="none"/>
          </w:rPr>
          <w:t>Associated</w:t>
        </w:r>
        <w:r w:rsidRPr="00C51B72">
          <w:rPr>
            <w:rStyle w:val="Hyperlink"/>
            <w:i/>
            <w:color w:val="000000" w:themeColor="text1"/>
            <w:spacing w:val="-6"/>
            <w:w w:val="105"/>
            <w:sz w:val="16"/>
            <w:u w:val="none"/>
          </w:rPr>
          <w:t xml:space="preserve"> </w:t>
        </w:r>
        <w:r w:rsidRPr="00C51B72">
          <w:rPr>
            <w:rStyle w:val="Hyperlink"/>
            <w:i/>
            <w:color w:val="000000" w:themeColor="text1"/>
            <w:w w:val="105"/>
            <w:sz w:val="16"/>
            <w:u w:val="none"/>
          </w:rPr>
          <w:t>With</w:t>
        </w:r>
        <w:r w:rsidRPr="00C51B72">
          <w:rPr>
            <w:rStyle w:val="Hyperlink"/>
            <w:i/>
            <w:color w:val="000000" w:themeColor="text1"/>
            <w:spacing w:val="-6"/>
            <w:w w:val="105"/>
            <w:sz w:val="16"/>
            <w:u w:val="none"/>
          </w:rPr>
          <w:t xml:space="preserve"> </w:t>
        </w:r>
        <w:r w:rsidRPr="00C51B72">
          <w:rPr>
            <w:rStyle w:val="Hyperlink"/>
            <w:i/>
            <w:color w:val="000000" w:themeColor="text1"/>
            <w:w w:val="105"/>
            <w:sz w:val="16"/>
            <w:u w:val="none"/>
          </w:rPr>
          <w:t>Cancer</w:t>
        </w:r>
        <w:r w:rsidRPr="00C51B72">
          <w:rPr>
            <w:rStyle w:val="Hyperlink"/>
            <w:i/>
            <w:color w:val="000000" w:themeColor="text1"/>
            <w:spacing w:val="-6"/>
            <w:w w:val="105"/>
            <w:sz w:val="16"/>
            <w:u w:val="none"/>
          </w:rPr>
          <w:t xml:space="preserve"> </w:t>
        </w:r>
        <w:r w:rsidRPr="00C51B72">
          <w:rPr>
            <w:rStyle w:val="Hyperlink"/>
            <w:i/>
            <w:color w:val="000000" w:themeColor="text1"/>
            <w:w w:val="105"/>
            <w:sz w:val="16"/>
            <w:u w:val="none"/>
          </w:rPr>
          <w:t>Dispari- ties</w:t>
        </w:r>
        <w:r w:rsidRPr="00C51B72">
          <w:rPr>
            <w:rStyle w:val="Hyperlink"/>
            <w:i/>
            <w:color w:val="000000" w:themeColor="text1"/>
            <w:spacing w:val="-11"/>
            <w:w w:val="105"/>
            <w:sz w:val="16"/>
            <w:u w:val="none"/>
          </w:rPr>
          <w:t xml:space="preserve"> </w:t>
        </w:r>
        <w:r w:rsidRPr="00C51B72">
          <w:rPr>
            <w:rStyle w:val="Hyperlink"/>
            <w:i/>
            <w:color w:val="000000" w:themeColor="text1"/>
            <w:w w:val="105"/>
            <w:sz w:val="16"/>
            <w:u w:val="none"/>
          </w:rPr>
          <w:t>Among</w:t>
        </w:r>
        <w:r w:rsidRPr="00C51B72">
          <w:rPr>
            <w:rStyle w:val="Hyperlink"/>
            <w:i/>
            <w:color w:val="000000" w:themeColor="text1"/>
            <w:spacing w:val="-10"/>
            <w:w w:val="105"/>
            <w:sz w:val="16"/>
            <w:u w:val="none"/>
          </w:rPr>
          <w:t xml:space="preserve"> </w:t>
        </w:r>
        <w:r w:rsidRPr="00C51B72">
          <w:rPr>
            <w:rStyle w:val="Hyperlink"/>
            <w:i/>
            <w:color w:val="000000" w:themeColor="text1"/>
            <w:w w:val="105"/>
            <w:sz w:val="16"/>
            <w:u w:val="none"/>
          </w:rPr>
          <w:t>Low-,</w:t>
        </w:r>
        <w:r w:rsidRPr="00C51B72">
          <w:rPr>
            <w:rStyle w:val="Hyperlink"/>
            <w:i/>
            <w:color w:val="000000" w:themeColor="text1"/>
            <w:spacing w:val="-11"/>
            <w:w w:val="105"/>
            <w:sz w:val="16"/>
            <w:u w:val="none"/>
          </w:rPr>
          <w:t xml:space="preserve"> </w:t>
        </w:r>
        <w:r w:rsidRPr="00C51B72">
          <w:rPr>
            <w:rStyle w:val="Hyperlink"/>
            <w:i/>
            <w:color w:val="000000" w:themeColor="text1"/>
            <w:w w:val="105"/>
            <w:sz w:val="16"/>
            <w:u w:val="none"/>
          </w:rPr>
          <w:t>Medium-,</w:t>
        </w:r>
        <w:r w:rsidRPr="00C51B72">
          <w:rPr>
            <w:rStyle w:val="Hyperlink"/>
            <w:i/>
            <w:color w:val="000000" w:themeColor="text1"/>
            <w:spacing w:val="-10"/>
            <w:w w:val="105"/>
            <w:sz w:val="16"/>
            <w:u w:val="none"/>
          </w:rPr>
          <w:t xml:space="preserve"> </w:t>
        </w:r>
        <w:r w:rsidRPr="00C51B72">
          <w:rPr>
            <w:rStyle w:val="Hyperlink"/>
            <w:i/>
            <w:color w:val="000000" w:themeColor="text1"/>
            <w:w w:val="105"/>
            <w:sz w:val="16"/>
            <w:u w:val="none"/>
          </w:rPr>
          <w:t>and</w:t>
        </w:r>
        <w:r w:rsidRPr="00C51B72">
          <w:rPr>
            <w:rStyle w:val="Hyperlink"/>
            <w:i/>
            <w:color w:val="000000" w:themeColor="text1"/>
            <w:spacing w:val="-11"/>
            <w:w w:val="105"/>
            <w:sz w:val="16"/>
            <w:u w:val="none"/>
          </w:rPr>
          <w:t xml:space="preserve"> </w:t>
        </w:r>
        <w:r w:rsidRPr="00C51B72">
          <w:rPr>
            <w:rStyle w:val="Hyperlink"/>
            <w:i/>
            <w:color w:val="000000" w:themeColor="text1"/>
            <w:w w:val="105"/>
            <w:sz w:val="16"/>
            <w:u w:val="none"/>
          </w:rPr>
          <w:t>High-Income</w:t>
        </w:r>
        <w:r w:rsidRPr="00C51B72">
          <w:rPr>
            <w:rStyle w:val="Hyperlink"/>
            <w:i/>
            <w:color w:val="000000" w:themeColor="text1"/>
            <w:spacing w:val="-10"/>
            <w:w w:val="105"/>
            <w:sz w:val="16"/>
            <w:u w:val="none"/>
          </w:rPr>
          <w:t xml:space="preserve"> </w:t>
        </w:r>
        <w:r w:rsidRPr="00C51B72">
          <w:rPr>
            <w:rStyle w:val="Hyperlink"/>
            <w:i/>
            <w:color w:val="000000" w:themeColor="text1"/>
            <w:w w:val="105"/>
            <w:sz w:val="16"/>
            <w:u w:val="none"/>
          </w:rPr>
          <w:t>US</w:t>
        </w:r>
        <w:r w:rsidRPr="00C51B72">
          <w:rPr>
            <w:rStyle w:val="Hyperlink"/>
            <w:i/>
            <w:color w:val="000000" w:themeColor="text1"/>
            <w:spacing w:val="-11"/>
            <w:w w:val="105"/>
            <w:sz w:val="16"/>
            <w:u w:val="none"/>
          </w:rPr>
          <w:t xml:space="preserve"> </w:t>
        </w:r>
        <w:r w:rsidRPr="00C51B72">
          <w:rPr>
            <w:rStyle w:val="Hyperlink"/>
            <w:i/>
            <w:color w:val="000000" w:themeColor="text1"/>
            <w:w w:val="105"/>
            <w:sz w:val="16"/>
            <w:u w:val="none"/>
          </w:rPr>
          <w:t>Counties</w:t>
        </w:r>
      </w:hyperlink>
      <w:r>
        <w:rPr>
          <w:i/>
          <w:w w:val="105"/>
          <w:sz w:val="16"/>
        </w:rPr>
        <w:t>,</w:t>
      </w:r>
      <w:r>
        <w:rPr>
          <w:i/>
          <w:spacing w:val="-10"/>
          <w:w w:val="105"/>
          <w:sz w:val="16"/>
        </w:rPr>
        <w:t xml:space="preserve"> </w:t>
      </w:r>
      <w:r>
        <w:rPr>
          <w:w w:val="105"/>
          <w:sz w:val="16"/>
        </w:rPr>
        <w:t>1</w:t>
      </w:r>
      <w:r>
        <w:rPr>
          <w:spacing w:val="-11"/>
          <w:w w:val="105"/>
          <w:sz w:val="16"/>
        </w:rPr>
        <w:t xml:space="preserve"> </w:t>
      </w:r>
      <w:r>
        <w:rPr>
          <w:w w:val="105"/>
          <w:sz w:val="16"/>
        </w:rPr>
        <w:t>J</w:t>
      </w:r>
      <w:r>
        <w:rPr>
          <w:w w:val="105"/>
          <w:sz w:val="11"/>
        </w:rPr>
        <w:t>ama</w:t>
      </w:r>
      <w:r>
        <w:rPr>
          <w:spacing w:val="40"/>
          <w:w w:val="105"/>
          <w:sz w:val="11"/>
        </w:rPr>
        <w:t xml:space="preserve"> </w:t>
      </w:r>
      <w:r>
        <w:rPr>
          <w:w w:val="105"/>
          <w:sz w:val="16"/>
        </w:rPr>
        <w:t>N</w:t>
      </w:r>
      <w:r>
        <w:rPr>
          <w:w w:val="105"/>
          <w:sz w:val="11"/>
        </w:rPr>
        <w:t>etwork</w:t>
      </w:r>
      <w:r>
        <w:rPr>
          <w:w w:val="105"/>
          <w:sz w:val="16"/>
        </w:rPr>
        <w:t>,</w:t>
      </w:r>
      <w:r>
        <w:rPr>
          <w:spacing w:val="-9"/>
          <w:w w:val="105"/>
          <w:sz w:val="16"/>
        </w:rPr>
        <w:t xml:space="preserve"> </w:t>
      </w:r>
      <w:r>
        <w:rPr>
          <w:w w:val="105"/>
          <w:sz w:val="16"/>
        </w:rPr>
        <w:t>(2018),</w:t>
      </w:r>
      <w:r>
        <w:rPr>
          <w:spacing w:val="-9"/>
          <w:w w:val="105"/>
          <w:sz w:val="16"/>
        </w:rPr>
        <w:t xml:space="preserve"> </w:t>
      </w:r>
      <w:r>
        <w:rPr>
          <w:i/>
          <w:w w:val="105"/>
          <w:sz w:val="16"/>
        </w:rPr>
        <w:t>available</w:t>
      </w:r>
      <w:r>
        <w:rPr>
          <w:i/>
          <w:spacing w:val="-11"/>
          <w:w w:val="105"/>
          <w:sz w:val="16"/>
        </w:rPr>
        <w:t xml:space="preserve"> </w:t>
      </w:r>
      <w:r>
        <w:rPr>
          <w:i/>
          <w:w w:val="105"/>
          <w:sz w:val="16"/>
        </w:rPr>
        <w:t>at</w:t>
      </w:r>
      <w:r>
        <w:rPr>
          <w:i/>
          <w:spacing w:val="-10"/>
          <w:w w:val="105"/>
          <w:sz w:val="16"/>
        </w:rPr>
        <w:t xml:space="preserve"> </w:t>
      </w:r>
      <w:r>
        <w:rPr>
          <w:color w:val="215E9E"/>
          <w:w w:val="105"/>
          <w:sz w:val="16"/>
          <w:u w:val="single" w:color="215E9E"/>
        </w:rPr>
        <w:t>https://jamanetwork.com/journals/</w:t>
      </w:r>
      <w:r>
        <w:rPr>
          <w:color w:val="215E9E"/>
          <w:w w:val="105"/>
          <w:sz w:val="16"/>
        </w:rPr>
        <w:t xml:space="preserve"> </w:t>
      </w:r>
      <w:proofErr w:type="spellStart"/>
      <w:r>
        <w:rPr>
          <w:color w:val="215E9E"/>
          <w:spacing w:val="-2"/>
          <w:w w:val="105"/>
          <w:sz w:val="16"/>
          <w:u w:val="single" w:color="215E9E"/>
        </w:rPr>
        <w:t>jamanetworkopen</w:t>
      </w:r>
      <w:proofErr w:type="spellEnd"/>
      <w:r>
        <w:rPr>
          <w:color w:val="215E9E"/>
          <w:spacing w:val="-2"/>
          <w:w w:val="105"/>
          <w:sz w:val="16"/>
          <w:u w:val="single" w:color="215E9E"/>
        </w:rPr>
        <w:t>/</w:t>
      </w:r>
      <w:proofErr w:type="spellStart"/>
      <w:r>
        <w:rPr>
          <w:color w:val="215E9E"/>
          <w:spacing w:val="-2"/>
          <w:w w:val="105"/>
          <w:sz w:val="16"/>
          <w:u w:val="single" w:color="215E9E"/>
        </w:rPr>
        <w:t>fullarticle</w:t>
      </w:r>
      <w:proofErr w:type="spellEnd"/>
      <w:r>
        <w:rPr>
          <w:color w:val="215E9E"/>
          <w:spacing w:val="-2"/>
          <w:w w:val="105"/>
          <w:sz w:val="16"/>
          <w:u w:val="single" w:color="215E9E"/>
        </w:rPr>
        <w:t>/2705856</w:t>
      </w:r>
      <w:r>
        <w:rPr>
          <w:spacing w:val="-2"/>
          <w:w w:val="105"/>
          <w:sz w:val="16"/>
        </w:rPr>
        <w:t>.</w:t>
      </w:r>
    </w:p>
    <w:p w14:paraId="1C34EF9C" w14:textId="6FC282B5" w:rsidR="004C558F" w:rsidRDefault="00461887">
      <w:pPr>
        <w:pStyle w:val="ListParagraph"/>
        <w:numPr>
          <w:ilvl w:val="0"/>
          <w:numId w:val="1"/>
        </w:numPr>
        <w:tabs>
          <w:tab w:val="left" w:pos="526"/>
        </w:tabs>
        <w:spacing w:before="1" w:line="261" w:lineRule="auto"/>
        <w:ind w:right="38" w:hanging="270"/>
        <w:rPr>
          <w:sz w:val="16"/>
        </w:rPr>
      </w:pPr>
      <w:r>
        <w:rPr>
          <w:w w:val="105"/>
          <w:sz w:val="16"/>
        </w:rPr>
        <w:t>Limin Clegg e</w:t>
      </w:r>
      <w:r w:rsidRPr="00C51B72">
        <w:rPr>
          <w:color w:val="000000" w:themeColor="text1"/>
          <w:w w:val="105"/>
          <w:sz w:val="16"/>
        </w:rPr>
        <w:t xml:space="preserve">t al., </w:t>
      </w:r>
      <w:hyperlink r:id="rId138" w:history="1">
        <w:r w:rsidRPr="00C51B72">
          <w:rPr>
            <w:rStyle w:val="Hyperlink"/>
            <w:color w:val="000000" w:themeColor="text1"/>
            <w:w w:val="105"/>
            <w:sz w:val="16"/>
            <w:u w:val="none"/>
          </w:rPr>
          <w:t>Impact of socioeconomic status on cancer inci- dence and stag</w:t>
        </w:r>
        <w:r w:rsidRPr="00C51B72">
          <w:rPr>
            <w:rStyle w:val="Hyperlink"/>
            <w:i/>
            <w:color w:val="000000" w:themeColor="text1"/>
            <w:w w:val="105"/>
            <w:sz w:val="16"/>
            <w:u w:val="none"/>
          </w:rPr>
          <w:t>e</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at</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diagnosis:</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selected</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findings</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from</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the</w:t>
        </w:r>
        <w:r w:rsidRPr="00C51B72">
          <w:rPr>
            <w:rStyle w:val="Hyperlink"/>
            <w:i/>
            <w:color w:val="000000" w:themeColor="text1"/>
            <w:spacing w:val="-2"/>
            <w:w w:val="105"/>
            <w:sz w:val="16"/>
            <w:u w:val="none"/>
          </w:rPr>
          <w:t xml:space="preserve"> </w:t>
        </w:r>
        <w:r w:rsidRPr="00C51B72">
          <w:rPr>
            <w:rStyle w:val="Hyperlink"/>
            <w:i/>
            <w:color w:val="000000" w:themeColor="text1"/>
            <w:w w:val="105"/>
            <w:sz w:val="16"/>
            <w:u w:val="none"/>
          </w:rPr>
          <w:t xml:space="preserve">surveil- </w:t>
        </w:r>
        <w:r w:rsidRPr="00C51B72">
          <w:rPr>
            <w:rStyle w:val="Hyperlink"/>
            <w:i/>
            <w:color w:val="000000" w:themeColor="text1"/>
            <w:sz w:val="16"/>
            <w:u w:val="none"/>
          </w:rPr>
          <w:t>lance, epidemiology, and end results: National Longitudinal Mortality</w:t>
        </w:r>
        <w:r w:rsidRPr="00C51B72">
          <w:rPr>
            <w:rStyle w:val="Hyperlink"/>
            <w:i/>
            <w:color w:val="000000" w:themeColor="text1"/>
            <w:w w:val="105"/>
            <w:sz w:val="16"/>
            <w:u w:val="none"/>
          </w:rPr>
          <w:t xml:space="preserve"> Study,</w:t>
        </w:r>
      </w:hyperlink>
      <w:r w:rsidRPr="00C51B72">
        <w:rPr>
          <w:i/>
          <w:color w:val="000000" w:themeColor="text1"/>
          <w:w w:val="105"/>
          <w:sz w:val="16"/>
        </w:rPr>
        <w:t xml:space="preserve"> </w:t>
      </w:r>
      <w:r w:rsidRPr="00C51B72">
        <w:rPr>
          <w:color w:val="000000" w:themeColor="text1"/>
          <w:w w:val="105"/>
          <w:sz w:val="16"/>
        </w:rPr>
        <w:t xml:space="preserve">20 </w:t>
      </w:r>
      <w:proofErr w:type="spellStart"/>
      <w:r>
        <w:rPr>
          <w:w w:val="105"/>
          <w:sz w:val="16"/>
        </w:rPr>
        <w:t>C</w:t>
      </w:r>
      <w:r>
        <w:rPr>
          <w:w w:val="105"/>
          <w:sz w:val="11"/>
        </w:rPr>
        <w:t>aNCer</w:t>
      </w:r>
      <w:proofErr w:type="spellEnd"/>
      <w:r>
        <w:rPr>
          <w:spacing w:val="19"/>
          <w:w w:val="105"/>
          <w:sz w:val="11"/>
        </w:rPr>
        <w:t xml:space="preserve"> </w:t>
      </w:r>
      <w:r>
        <w:rPr>
          <w:w w:val="105"/>
          <w:sz w:val="16"/>
        </w:rPr>
        <w:t>C</w:t>
      </w:r>
      <w:r>
        <w:rPr>
          <w:w w:val="105"/>
          <w:sz w:val="11"/>
        </w:rPr>
        <w:t>auses</w:t>
      </w:r>
      <w:r>
        <w:rPr>
          <w:spacing w:val="19"/>
          <w:w w:val="105"/>
          <w:sz w:val="11"/>
        </w:rPr>
        <w:t xml:space="preserve"> </w:t>
      </w:r>
      <w:r>
        <w:rPr>
          <w:w w:val="105"/>
          <w:sz w:val="16"/>
        </w:rPr>
        <w:t xml:space="preserve">&amp; </w:t>
      </w:r>
      <w:proofErr w:type="spellStart"/>
      <w:r>
        <w:rPr>
          <w:w w:val="120"/>
          <w:sz w:val="16"/>
        </w:rPr>
        <w:t>C</w:t>
      </w:r>
      <w:r>
        <w:rPr>
          <w:w w:val="120"/>
          <w:sz w:val="11"/>
        </w:rPr>
        <w:t>oNtrol</w:t>
      </w:r>
      <w:proofErr w:type="spellEnd"/>
      <w:r>
        <w:rPr>
          <w:w w:val="120"/>
          <w:sz w:val="11"/>
        </w:rPr>
        <w:t xml:space="preserve"> </w:t>
      </w:r>
      <w:r>
        <w:rPr>
          <w:w w:val="105"/>
          <w:sz w:val="16"/>
        </w:rPr>
        <w:t xml:space="preserve">417, (2009), </w:t>
      </w:r>
      <w:r>
        <w:rPr>
          <w:i/>
          <w:w w:val="105"/>
          <w:sz w:val="16"/>
        </w:rPr>
        <w:t xml:space="preserve">available at </w:t>
      </w:r>
      <w:r>
        <w:rPr>
          <w:color w:val="215E9E"/>
          <w:w w:val="105"/>
          <w:sz w:val="16"/>
          <w:u w:val="single" w:color="215E9E"/>
        </w:rPr>
        <w:t>https://</w:t>
      </w:r>
      <w:r>
        <w:rPr>
          <w:color w:val="215E9E"/>
          <w:w w:val="105"/>
          <w:sz w:val="16"/>
        </w:rPr>
        <w:t xml:space="preserve"> </w:t>
      </w:r>
      <w:r>
        <w:rPr>
          <w:color w:val="215E9E"/>
          <w:spacing w:val="-2"/>
          <w:w w:val="105"/>
          <w:sz w:val="16"/>
          <w:u w:val="single" w:color="215E9E"/>
        </w:rPr>
        <w:t>pmc.ncbi.nlm.nih.gov/articles/PMC2711979/pdf/nihms-104105.</w:t>
      </w:r>
      <w:r>
        <w:rPr>
          <w:color w:val="215E9E"/>
          <w:spacing w:val="40"/>
          <w:w w:val="105"/>
          <w:sz w:val="16"/>
        </w:rPr>
        <w:t xml:space="preserve"> </w:t>
      </w:r>
      <w:r>
        <w:rPr>
          <w:color w:val="215E9E"/>
          <w:spacing w:val="-4"/>
          <w:w w:val="105"/>
          <w:sz w:val="16"/>
          <w:u w:val="single" w:color="215E9E"/>
        </w:rPr>
        <w:t>pdf</w:t>
      </w:r>
      <w:r>
        <w:rPr>
          <w:spacing w:val="-4"/>
          <w:w w:val="105"/>
          <w:sz w:val="16"/>
        </w:rPr>
        <w:t>.</w:t>
      </w:r>
    </w:p>
    <w:p w14:paraId="1C34EF9D" w14:textId="14D0AD3F" w:rsidR="004C558F" w:rsidRDefault="00D673BF">
      <w:pPr>
        <w:pStyle w:val="ListParagraph"/>
        <w:numPr>
          <w:ilvl w:val="0"/>
          <w:numId w:val="1"/>
        </w:numPr>
        <w:tabs>
          <w:tab w:val="left" w:pos="525"/>
        </w:tabs>
        <w:spacing w:before="1" w:line="261" w:lineRule="auto"/>
        <w:ind w:left="525" w:right="223" w:hanging="270"/>
        <w:rPr>
          <w:sz w:val="16"/>
        </w:rPr>
      </w:pPr>
      <w:hyperlink r:id="rId139" w:history="1">
        <w:r w:rsidR="00461887" w:rsidRPr="00D673BF">
          <w:rPr>
            <w:rStyle w:val="Hyperlink"/>
            <w:color w:val="000000" w:themeColor="text1"/>
            <w:w w:val="115"/>
            <w:sz w:val="16"/>
            <w:u w:val="none"/>
          </w:rPr>
          <w:t>a</w:t>
        </w:r>
        <w:r w:rsidR="00461887" w:rsidRPr="00D673BF">
          <w:rPr>
            <w:rStyle w:val="Hyperlink"/>
            <w:color w:val="000000" w:themeColor="text1"/>
            <w:w w:val="115"/>
            <w:sz w:val="11"/>
            <w:u w:val="none"/>
          </w:rPr>
          <w:t>meriCaN</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6"/>
            <w:u w:val="none"/>
          </w:rPr>
          <w:t>C</w:t>
        </w:r>
        <w:r w:rsidR="00461887" w:rsidRPr="00D673BF">
          <w:rPr>
            <w:rStyle w:val="Hyperlink"/>
            <w:color w:val="000000" w:themeColor="text1"/>
            <w:w w:val="115"/>
            <w:sz w:val="11"/>
            <w:u w:val="none"/>
          </w:rPr>
          <w:t>aNCer</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6"/>
            <w:u w:val="none"/>
          </w:rPr>
          <w:t>s</w:t>
        </w:r>
        <w:r w:rsidR="00461887" w:rsidRPr="00D673BF">
          <w:rPr>
            <w:rStyle w:val="Hyperlink"/>
            <w:color w:val="000000" w:themeColor="text1"/>
            <w:w w:val="115"/>
            <w:sz w:val="11"/>
            <w:u w:val="none"/>
          </w:rPr>
          <w:t>oCiety</w:t>
        </w:r>
        <w:r w:rsidR="00461887" w:rsidRPr="00D673BF">
          <w:rPr>
            <w:rStyle w:val="Hyperlink"/>
            <w:color w:val="000000" w:themeColor="text1"/>
            <w:w w:val="115"/>
            <w:sz w:val="16"/>
            <w:u w:val="none"/>
          </w:rPr>
          <w:t>, a</w:t>
        </w:r>
        <w:r w:rsidR="00461887" w:rsidRPr="00D673BF">
          <w:rPr>
            <w:rStyle w:val="Hyperlink"/>
            <w:color w:val="000000" w:themeColor="text1"/>
            <w:w w:val="115"/>
            <w:sz w:val="11"/>
            <w:u w:val="none"/>
          </w:rPr>
          <w:t>meriCaN</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6"/>
            <w:u w:val="none"/>
          </w:rPr>
          <w:t>C</w:t>
        </w:r>
        <w:r w:rsidR="00461887" w:rsidRPr="00D673BF">
          <w:rPr>
            <w:rStyle w:val="Hyperlink"/>
            <w:color w:val="000000" w:themeColor="text1"/>
            <w:w w:val="115"/>
            <w:sz w:val="11"/>
            <w:u w:val="none"/>
          </w:rPr>
          <w:t>aNCer</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6"/>
            <w:u w:val="none"/>
          </w:rPr>
          <w:t>s</w:t>
        </w:r>
        <w:r w:rsidR="00461887" w:rsidRPr="00D673BF">
          <w:rPr>
            <w:rStyle w:val="Hyperlink"/>
            <w:color w:val="000000" w:themeColor="text1"/>
            <w:w w:val="115"/>
            <w:sz w:val="11"/>
            <w:u w:val="none"/>
          </w:rPr>
          <w:t>oCiety</w:t>
        </w:r>
        <w:r w:rsidR="00461887" w:rsidRPr="00D673BF">
          <w:rPr>
            <w:rStyle w:val="Hyperlink"/>
            <w:color w:val="000000" w:themeColor="text1"/>
            <w:w w:val="115"/>
            <w:sz w:val="16"/>
            <w:u w:val="none"/>
          </w:rPr>
          <w:t>’</w:t>
        </w:r>
        <w:r w:rsidR="00461887" w:rsidRPr="00D673BF">
          <w:rPr>
            <w:rStyle w:val="Hyperlink"/>
            <w:color w:val="000000" w:themeColor="text1"/>
            <w:w w:val="115"/>
            <w:sz w:val="11"/>
            <w:u w:val="none"/>
          </w:rPr>
          <w:t>s</w:t>
        </w:r>
        <w:r w:rsidR="00461887" w:rsidRPr="00D673BF">
          <w:rPr>
            <w:rStyle w:val="Hyperlink"/>
            <w:color w:val="000000" w:themeColor="text1"/>
            <w:spacing w:val="22"/>
            <w:w w:val="120"/>
            <w:sz w:val="11"/>
            <w:u w:val="none"/>
          </w:rPr>
          <w:t xml:space="preserve"> </w:t>
        </w:r>
        <w:r w:rsidR="00461887" w:rsidRPr="00D673BF">
          <w:rPr>
            <w:rStyle w:val="Hyperlink"/>
            <w:color w:val="000000" w:themeColor="text1"/>
            <w:w w:val="120"/>
            <w:sz w:val="16"/>
            <w:u w:val="none"/>
          </w:rPr>
          <w:t>r</w:t>
        </w:r>
        <w:r w:rsidR="00461887" w:rsidRPr="00D673BF">
          <w:rPr>
            <w:rStyle w:val="Hyperlink"/>
            <w:color w:val="000000" w:themeColor="text1"/>
            <w:w w:val="120"/>
            <w:sz w:val="11"/>
            <w:u w:val="none"/>
          </w:rPr>
          <w:t>eport</w:t>
        </w:r>
        <w:r w:rsidR="00461887" w:rsidRPr="00D673BF">
          <w:rPr>
            <w:rStyle w:val="Hyperlink"/>
            <w:color w:val="000000" w:themeColor="text1"/>
            <w:spacing w:val="22"/>
            <w:w w:val="120"/>
            <w:sz w:val="11"/>
            <w:u w:val="none"/>
          </w:rPr>
          <w:t xml:space="preserve"> </w:t>
        </w:r>
        <w:r w:rsidR="00461887" w:rsidRPr="00D673BF">
          <w:rPr>
            <w:rStyle w:val="Hyperlink"/>
            <w:color w:val="000000" w:themeColor="text1"/>
            <w:w w:val="115"/>
            <w:sz w:val="11"/>
            <w:u w:val="none"/>
          </w:rPr>
          <w:t>oN</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1"/>
            <w:u w:val="none"/>
          </w:rPr>
          <w:t>the</w:t>
        </w:r>
        <w:r w:rsidR="00461887" w:rsidRPr="00D673BF">
          <w:rPr>
            <w:rStyle w:val="Hyperlink"/>
            <w:color w:val="000000" w:themeColor="text1"/>
            <w:spacing w:val="23"/>
            <w:w w:val="115"/>
            <w:sz w:val="11"/>
            <w:u w:val="none"/>
          </w:rPr>
          <w:t xml:space="preserve"> </w:t>
        </w:r>
        <w:r w:rsidR="00461887" w:rsidRPr="00D673BF">
          <w:rPr>
            <w:rStyle w:val="Hyperlink"/>
            <w:color w:val="000000" w:themeColor="text1"/>
            <w:w w:val="115"/>
            <w:sz w:val="16"/>
            <w:u w:val="none"/>
          </w:rPr>
          <w:t>s</w:t>
        </w:r>
        <w:r w:rsidR="00461887" w:rsidRPr="00D673BF">
          <w:rPr>
            <w:rStyle w:val="Hyperlink"/>
            <w:color w:val="000000" w:themeColor="text1"/>
            <w:w w:val="115"/>
            <w:sz w:val="11"/>
            <w:u w:val="none"/>
          </w:rPr>
          <w:t>tatus</w:t>
        </w:r>
        <w:r w:rsidR="00461887" w:rsidRPr="00D673BF">
          <w:rPr>
            <w:rStyle w:val="Hyperlink"/>
            <w:color w:val="000000" w:themeColor="text1"/>
            <w:spacing w:val="40"/>
            <w:w w:val="120"/>
            <w:sz w:val="11"/>
            <w:u w:val="none"/>
          </w:rPr>
          <w:t xml:space="preserve"> </w:t>
        </w:r>
        <w:r w:rsidR="00461887" w:rsidRPr="00D673BF">
          <w:rPr>
            <w:rStyle w:val="Hyperlink"/>
            <w:color w:val="000000" w:themeColor="text1"/>
            <w:spacing w:val="-2"/>
            <w:w w:val="120"/>
            <w:sz w:val="11"/>
            <w:u w:val="none"/>
          </w:rPr>
          <w:t>of</w:t>
        </w:r>
        <w:r w:rsidR="00461887" w:rsidRPr="00D673BF">
          <w:rPr>
            <w:rStyle w:val="Hyperlink"/>
            <w:color w:val="000000" w:themeColor="text1"/>
            <w:spacing w:val="-7"/>
            <w:w w:val="120"/>
            <w:sz w:val="11"/>
            <w:u w:val="none"/>
          </w:rPr>
          <w:t xml:space="preserve"> </w:t>
        </w:r>
        <w:r w:rsidR="00461887" w:rsidRPr="00D673BF">
          <w:rPr>
            <w:rStyle w:val="Hyperlink"/>
            <w:color w:val="000000" w:themeColor="text1"/>
            <w:spacing w:val="-2"/>
            <w:w w:val="115"/>
            <w:sz w:val="16"/>
            <w:u w:val="none"/>
          </w:rPr>
          <w:t>C</w:t>
        </w:r>
        <w:r w:rsidR="00461887" w:rsidRPr="00D673BF">
          <w:rPr>
            <w:rStyle w:val="Hyperlink"/>
            <w:color w:val="000000" w:themeColor="text1"/>
            <w:spacing w:val="-2"/>
            <w:w w:val="115"/>
            <w:sz w:val="11"/>
            <w:u w:val="none"/>
          </w:rPr>
          <w:t xml:space="preserve">aNCer </w:t>
        </w:r>
        <w:r w:rsidR="00461887" w:rsidRPr="00D673BF">
          <w:rPr>
            <w:rStyle w:val="Hyperlink"/>
            <w:color w:val="000000" w:themeColor="text1"/>
            <w:spacing w:val="-2"/>
            <w:w w:val="115"/>
            <w:sz w:val="16"/>
            <w:u w:val="none"/>
          </w:rPr>
          <w:t>D</w:t>
        </w:r>
        <w:r w:rsidR="00461887" w:rsidRPr="00D673BF">
          <w:rPr>
            <w:rStyle w:val="Hyperlink"/>
            <w:color w:val="000000" w:themeColor="text1"/>
            <w:spacing w:val="-2"/>
            <w:w w:val="115"/>
            <w:sz w:val="11"/>
            <w:u w:val="none"/>
          </w:rPr>
          <w:t xml:space="preserve">isparities iN the </w:t>
        </w:r>
        <w:r w:rsidR="00461887" w:rsidRPr="00D673BF">
          <w:rPr>
            <w:rStyle w:val="Hyperlink"/>
            <w:color w:val="000000" w:themeColor="text1"/>
            <w:spacing w:val="-2"/>
            <w:w w:val="115"/>
            <w:sz w:val="16"/>
            <w:u w:val="none"/>
          </w:rPr>
          <w:t>u</w:t>
        </w:r>
        <w:r w:rsidR="00461887" w:rsidRPr="00D673BF">
          <w:rPr>
            <w:rStyle w:val="Hyperlink"/>
            <w:color w:val="000000" w:themeColor="text1"/>
            <w:spacing w:val="-2"/>
            <w:w w:val="115"/>
            <w:sz w:val="11"/>
            <w:u w:val="none"/>
          </w:rPr>
          <w:t xml:space="preserve">NiteD </w:t>
        </w:r>
        <w:r w:rsidR="00461887" w:rsidRPr="00D673BF">
          <w:rPr>
            <w:rStyle w:val="Hyperlink"/>
            <w:color w:val="000000" w:themeColor="text1"/>
            <w:spacing w:val="-2"/>
            <w:w w:val="115"/>
            <w:sz w:val="16"/>
            <w:u w:val="none"/>
          </w:rPr>
          <w:t>s</w:t>
        </w:r>
        <w:r w:rsidR="00461887" w:rsidRPr="00D673BF">
          <w:rPr>
            <w:rStyle w:val="Hyperlink"/>
            <w:color w:val="000000" w:themeColor="text1"/>
            <w:spacing w:val="-2"/>
            <w:w w:val="115"/>
            <w:sz w:val="11"/>
            <w:u w:val="none"/>
          </w:rPr>
          <w:t>tates</w:t>
        </w:r>
      </w:hyperlink>
      <w:r w:rsidR="00461887" w:rsidRPr="00D673BF">
        <w:rPr>
          <w:color w:val="000000" w:themeColor="text1"/>
          <w:spacing w:val="-2"/>
          <w:w w:val="115"/>
          <w:sz w:val="11"/>
        </w:rPr>
        <w:t xml:space="preserve"> </w:t>
      </w:r>
      <w:r w:rsidR="00461887" w:rsidRPr="00D673BF">
        <w:rPr>
          <w:color w:val="000000" w:themeColor="text1"/>
          <w:spacing w:val="-2"/>
          <w:w w:val="115"/>
          <w:sz w:val="16"/>
        </w:rPr>
        <w:t>(Nov</w:t>
      </w:r>
      <w:r w:rsidR="00461887">
        <w:rPr>
          <w:spacing w:val="-2"/>
          <w:w w:val="115"/>
          <w:sz w:val="16"/>
        </w:rPr>
        <w:t>.</w:t>
      </w:r>
      <w:r w:rsidR="00461887">
        <w:rPr>
          <w:spacing w:val="-10"/>
          <w:w w:val="115"/>
          <w:sz w:val="16"/>
        </w:rPr>
        <w:t xml:space="preserve"> </w:t>
      </w:r>
      <w:r w:rsidR="00461887">
        <w:rPr>
          <w:spacing w:val="-2"/>
          <w:w w:val="115"/>
          <w:sz w:val="16"/>
        </w:rPr>
        <w:t>2023)</w:t>
      </w:r>
      <w:r w:rsidR="00461887">
        <w:rPr>
          <w:spacing w:val="-9"/>
          <w:w w:val="115"/>
          <w:sz w:val="16"/>
        </w:rPr>
        <w:t xml:space="preserve"> </w:t>
      </w:r>
      <w:r w:rsidR="00461887">
        <w:rPr>
          <w:spacing w:val="-2"/>
          <w:w w:val="115"/>
          <w:sz w:val="16"/>
        </w:rPr>
        <w:t>[hereinafter</w:t>
      </w:r>
      <w:r w:rsidR="00461887">
        <w:rPr>
          <w:spacing w:val="-10"/>
          <w:w w:val="115"/>
          <w:sz w:val="16"/>
        </w:rPr>
        <w:t xml:space="preserve"> </w:t>
      </w:r>
      <w:r w:rsidR="00461887">
        <w:rPr>
          <w:spacing w:val="-2"/>
          <w:w w:val="115"/>
          <w:sz w:val="16"/>
        </w:rPr>
        <w:t xml:space="preserve">ACS </w:t>
      </w:r>
      <w:r w:rsidR="00461887">
        <w:rPr>
          <w:sz w:val="16"/>
        </w:rPr>
        <w:t>2023 r</w:t>
      </w:r>
      <w:r w:rsidR="00461887">
        <w:rPr>
          <w:sz w:val="11"/>
        </w:rPr>
        <w:t>eport</w:t>
      </w:r>
      <w:r w:rsidR="00461887">
        <w:rPr>
          <w:sz w:val="16"/>
        </w:rPr>
        <w:t xml:space="preserve">], </w:t>
      </w:r>
      <w:r w:rsidR="00461887">
        <w:rPr>
          <w:i/>
          <w:sz w:val="16"/>
        </w:rPr>
        <w:t xml:space="preserve">available at </w:t>
      </w:r>
      <w:r w:rsidR="00461887">
        <w:rPr>
          <w:color w:val="215E9E"/>
          <w:sz w:val="16"/>
          <w:u w:val="single" w:color="215E9E"/>
        </w:rPr>
        <w:t>https://acsjournals.onlinelibrary.wiley</w:t>
      </w:r>
      <w:r w:rsidR="00461887">
        <w:rPr>
          <w:color w:val="215E9E"/>
          <w:sz w:val="16"/>
        </w:rPr>
        <w:t>.</w:t>
      </w:r>
      <w:r w:rsidR="00461887">
        <w:rPr>
          <w:color w:val="215E9E"/>
          <w:spacing w:val="40"/>
          <w:w w:val="110"/>
          <w:sz w:val="16"/>
        </w:rPr>
        <w:t xml:space="preserve"> </w:t>
      </w:r>
      <w:r w:rsidR="00461887">
        <w:rPr>
          <w:color w:val="215E9E"/>
          <w:spacing w:val="-2"/>
          <w:w w:val="110"/>
          <w:sz w:val="16"/>
          <w:u w:val="single" w:color="215E9E"/>
        </w:rPr>
        <w:t>com/</w:t>
      </w:r>
      <w:proofErr w:type="spellStart"/>
      <w:r w:rsidR="00461887">
        <w:rPr>
          <w:color w:val="215E9E"/>
          <w:spacing w:val="-2"/>
          <w:w w:val="110"/>
          <w:sz w:val="16"/>
          <w:u w:val="single" w:color="215E9E"/>
        </w:rPr>
        <w:t>doi</w:t>
      </w:r>
      <w:proofErr w:type="spellEnd"/>
      <w:r w:rsidR="00461887">
        <w:rPr>
          <w:color w:val="215E9E"/>
          <w:spacing w:val="-2"/>
          <w:w w:val="110"/>
          <w:sz w:val="16"/>
          <w:u w:val="single" w:color="215E9E"/>
        </w:rPr>
        <w:t>/</w:t>
      </w:r>
      <w:proofErr w:type="spellStart"/>
      <w:r w:rsidR="00461887">
        <w:rPr>
          <w:color w:val="215E9E"/>
          <w:spacing w:val="-2"/>
          <w:w w:val="110"/>
          <w:sz w:val="16"/>
          <w:u w:val="single" w:color="215E9E"/>
        </w:rPr>
        <w:t>epdf</w:t>
      </w:r>
      <w:proofErr w:type="spellEnd"/>
      <w:r w:rsidR="00461887">
        <w:rPr>
          <w:color w:val="215E9E"/>
          <w:spacing w:val="-2"/>
          <w:w w:val="110"/>
          <w:sz w:val="16"/>
          <w:u w:val="single" w:color="215E9E"/>
        </w:rPr>
        <w:t>/10.3322/caac.21812</w:t>
      </w:r>
      <w:r w:rsidR="00461887">
        <w:rPr>
          <w:spacing w:val="-2"/>
          <w:w w:val="110"/>
          <w:sz w:val="16"/>
        </w:rPr>
        <w:t>.</w:t>
      </w:r>
    </w:p>
    <w:p w14:paraId="1C34EF9E" w14:textId="53519180" w:rsidR="004C558F" w:rsidRDefault="00461887">
      <w:pPr>
        <w:pStyle w:val="ListParagraph"/>
        <w:numPr>
          <w:ilvl w:val="0"/>
          <w:numId w:val="1"/>
        </w:numPr>
        <w:tabs>
          <w:tab w:val="left" w:pos="526"/>
        </w:tabs>
        <w:spacing w:before="89" w:line="261" w:lineRule="auto"/>
        <w:ind w:right="479" w:hanging="270"/>
        <w:rPr>
          <w:sz w:val="16"/>
        </w:rPr>
      </w:pPr>
      <w:r>
        <w:br w:type="column"/>
      </w:r>
      <w:hyperlink r:id="rId140" w:history="1">
        <w:r w:rsidRPr="006C075B">
          <w:rPr>
            <w:rStyle w:val="Hyperlink"/>
            <w:color w:val="000000" w:themeColor="text1"/>
            <w:w w:val="115"/>
            <w:sz w:val="16"/>
            <w:u w:val="none"/>
          </w:rPr>
          <w:t>B</w:t>
        </w:r>
        <w:r w:rsidRPr="006C075B">
          <w:rPr>
            <w:rStyle w:val="Hyperlink"/>
            <w:color w:val="000000" w:themeColor="text1"/>
            <w:w w:val="115"/>
            <w:sz w:val="11"/>
            <w:u w:val="none"/>
          </w:rPr>
          <w:t>ostoN</w:t>
        </w:r>
        <w:r w:rsidRPr="006C075B">
          <w:rPr>
            <w:rStyle w:val="Hyperlink"/>
            <w:color w:val="000000" w:themeColor="text1"/>
            <w:spacing w:val="24"/>
            <w:w w:val="120"/>
            <w:sz w:val="11"/>
            <w:u w:val="none"/>
          </w:rPr>
          <w:t xml:space="preserve"> </w:t>
        </w:r>
        <w:r w:rsidRPr="006C075B">
          <w:rPr>
            <w:rStyle w:val="Hyperlink"/>
            <w:color w:val="000000" w:themeColor="text1"/>
            <w:w w:val="120"/>
            <w:sz w:val="16"/>
            <w:u w:val="none"/>
          </w:rPr>
          <w:t>p</w:t>
        </w:r>
        <w:r w:rsidRPr="006C075B">
          <w:rPr>
            <w:rStyle w:val="Hyperlink"/>
            <w:color w:val="000000" w:themeColor="text1"/>
            <w:w w:val="120"/>
            <w:sz w:val="11"/>
            <w:u w:val="none"/>
          </w:rPr>
          <w:t>uBliC</w:t>
        </w:r>
        <w:r w:rsidRPr="006C075B">
          <w:rPr>
            <w:rStyle w:val="Hyperlink"/>
            <w:color w:val="000000" w:themeColor="text1"/>
            <w:spacing w:val="24"/>
            <w:w w:val="120"/>
            <w:sz w:val="11"/>
            <w:u w:val="none"/>
          </w:rPr>
          <w:t xml:space="preserve"> </w:t>
        </w:r>
        <w:r w:rsidRPr="006C075B">
          <w:rPr>
            <w:rStyle w:val="Hyperlink"/>
            <w:color w:val="000000" w:themeColor="text1"/>
            <w:w w:val="115"/>
            <w:sz w:val="16"/>
            <w:u w:val="none"/>
          </w:rPr>
          <w:t>h</w:t>
        </w:r>
        <w:r w:rsidRPr="006C075B">
          <w:rPr>
            <w:rStyle w:val="Hyperlink"/>
            <w:color w:val="000000" w:themeColor="text1"/>
            <w:w w:val="115"/>
            <w:sz w:val="11"/>
            <w:u w:val="none"/>
          </w:rPr>
          <w:t>ealth</w:t>
        </w:r>
        <w:r w:rsidRPr="006C075B">
          <w:rPr>
            <w:rStyle w:val="Hyperlink"/>
            <w:color w:val="000000" w:themeColor="text1"/>
            <w:spacing w:val="25"/>
            <w:w w:val="115"/>
            <w:sz w:val="11"/>
            <w:u w:val="none"/>
          </w:rPr>
          <w:t xml:space="preserve"> </w:t>
        </w:r>
        <w:r w:rsidRPr="006C075B">
          <w:rPr>
            <w:rStyle w:val="Hyperlink"/>
            <w:color w:val="000000" w:themeColor="text1"/>
            <w:w w:val="115"/>
            <w:sz w:val="16"/>
            <w:u w:val="none"/>
          </w:rPr>
          <w:t>C</w:t>
        </w:r>
        <w:r w:rsidRPr="006C075B">
          <w:rPr>
            <w:rStyle w:val="Hyperlink"/>
            <w:color w:val="000000" w:themeColor="text1"/>
            <w:w w:val="115"/>
            <w:sz w:val="11"/>
            <w:u w:val="none"/>
          </w:rPr>
          <w:t>ommissioN</w:t>
        </w:r>
        <w:r w:rsidRPr="006C075B">
          <w:rPr>
            <w:rStyle w:val="Hyperlink"/>
            <w:color w:val="000000" w:themeColor="text1"/>
            <w:w w:val="115"/>
            <w:sz w:val="16"/>
            <w:u w:val="none"/>
          </w:rPr>
          <w:t>, h</w:t>
        </w:r>
        <w:r w:rsidRPr="006C075B">
          <w:rPr>
            <w:rStyle w:val="Hyperlink"/>
            <w:color w:val="000000" w:themeColor="text1"/>
            <w:w w:val="115"/>
            <w:sz w:val="11"/>
            <w:u w:val="none"/>
          </w:rPr>
          <w:t>ealth</w:t>
        </w:r>
        <w:r w:rsidRPr="006C075B">
          <w:rPr>
            <w:rStyle w:val="Hyperlink"/>
            <w:color w:val="000000" w:themeColor="text1"/>
            <w:spacing w:val="24"/>
            <w:w w:val="120"/>
            <w:sz w:val="11"/>
            <w:u w:val="none"/>
          </w:rPr>
          <w:t xml:space="preserve"> </w:t>
        </w:r>
        <w:r w:rsidRPr="006C075B">
          <w:rPr>
            <w:rStyle w:val="Hyperlink"/>
            <w:color w:val="000000" w:themeColor="text1"/>
            <w:w w:val="120"/>
            <w:sz w:val="11"/>
            <w:u w:val="none"/>
          </w:rPr>
          <w:t>of</w:t>
        </w:r>
        <w:r w:rsidRPr="006C075B">
          <w:rPr>
            <w:rStyle w:val="Hyperlink"/>
            <w:color w:val="000000" w:themeColor="text1"/>
            <w:spacing w:val="24"/>
            <w:w w:val="120"/>
            <w:sz w:val="11"/>
            <w:u w:val="none"/>
          </w:rPr>
          <w:t xml:space="preserve"> </w:t>
        </w:r>
        <w:r w:rsidRPr="006C075B">
          <w:rPr>
            <w:rStyle w:val="Hyperlink"/>
            <w:color w:val="000000" w:themeColor="text1"/>
            <w:w w:val="115"/>
            <w:sz w:val="16"/>
            <w:u w:val="none"/>
          </w:rPr>
          <w:t>B</w:t>
        </w:r>
        <w:r w:rsidRPr="006C075B">
          <w:rPr>
            <w:rStyle w:val="Hyperlink"/>
            <w:color w:val="000000" w:themeColor="text1"/>
            <w:w w:val="115"/>
            <w:sz w:val="11"/>
            <w:u w:val="none"/>
          </w:rPr>
          <w:t>ostoN</w:t>
        </w:r>
        <w:r w:rsidRPr="006C075B">
          <w:rPr>
            <w:rStyle w:val="Hyperlink"/>
            <w:color w:val="000000" w:themeColor="text1"/>
            <w:spacing w:val="25"/>
            <w:w w:val="115"/>
            <w:sz w:val="11"/>
            <w:u w:val="none"/>
          </w:rPr>
          <w:t xml:space="preserve"> </w:t>
        </w:r>
        <w:r w:rsidRPr="006C075B">
          <w:rPr>
            <w:rStyle w:val="Hyperlink"/>
            <w:color w:val="000000" w:themeColor="text1"/>
            <w:w w:val="115"/>
            <w:sz w:val="16"/>
            <w:u w:val="none"/>
          </w:rPr>
          <w:t xml:space="preserve">2023: </w:t>
        </w:r>
        <w:r w:rsidRPr="006C075B">
          <w:rPr>
            <w:rStyle w:val="Hyperlink"/>
            <w:color w:val="000000" w:themeColor="text1"/>
            <w:w w:val="120"/>
            <w:sz w:val="16"/>
            <w:u w:val="none"/>
          </w:rPr>
          <w:t>t</w:t>
        </w:r>
        <w:r w:rsidRPr="006C075B">
          <w:rPr>
            <w:rStyle w:val="Hyperlink"/>
            <w:color w:val="000000" w:themeColor="text1"/>
            <w:w w:val="120"/>
            <w:sz w:val="11"/>
            <w:u w:val="none"/>
          </w:rPr>
          <w:t>he</w:t>
        </w:r>
        <w:r w:rsidRPr="006C075B">
          <w:rPr>
            <w:rStyle w:val="Hyperlink"/>
            <w:color w:val="000000" w:themeColor="text1"/>
            <w:spacing w:val="24"/>
            <w:w w:val="120"/>
            <w:sz w:val="11"/>
            <w:u w:val="none"/>
          </w:rPr>
          <w:t xml:space="preserve"> </w:t>
        </w:r>
        <w:r w:rsidRPr="006C075B">
          <w:rPr>
            <w:rStyle w:val="Hyperlink"/>
            <w:color w:val="000000" w:themeColor="text1"/>
            <w:w w:val="115"/>
            <w:sz w:val="16"/>
            <w:u w:val="none"/>
          </w:rPr>
          <w:t>C</w:t>
        </w:r>
        <w:r w:rsidRPr="006C075B">
          <w:rPr>
            <w:rStyle w:val="Hyperlink"/>
            <w:color w:val="000000" w:themeColor="text1"/>
            <w:w w:val="115"/>
            <w:sz w:val="11"/>
            <w:u w:val="none"/>
          </w:rPr>
          <w:t>aNCer</w:t>
        </w:r>
        <w:r w:rsidRPr="006C075B">
          <w:rPr>
            <w:rStyle w:val="Hyperlink"/>
            <w:color w:val="000000" w:themeColor="text1"/>
            <w:spacing w:val="24"/>
            <w:w w:val="120"/>
            <w:sz w:val="11"/>
            <w:u w:val="none"/>
          </w:rPr>
          <w:t xml:space="preserve"> </w:t>
        </w:r>
        <w:r w:rsidRPr="006C075B">
          <w:rPr>
            <w:rStyle w:val="Hyperlink"/>
            <w:color w:val="000000" w:themeColor="text1"/>
            <w:w w:val="120"/>
            <w:sz w:val="16"/>
            <w:u w:val="none"/>
          </w:rPr>
          <w:t>r</w:t>
        </w:r>
        <w:r w:rsidRPr="006C075B">
          <w:rPr>
            <w:rStyle w:val="Hyperlink"/>
            <w:color w:val="000000" w:themeColor="text1"/>
            <w:w w:val="120"/>
            <w:sz w:val="11"/>
            <w:u w:val="none"/>
          </w:rPr>
          <w:t>e</w:t>
        </w:r>
        <w:r w:rsidRPr="006C075B">
          <w:rPr>
            <w:rStyle w:val="Hyperlink"/>
            <w:color w:val="000000" w:themeColor="text1"/>
            <w:w w:val="120"/>
            <w:sz w:val="16"/>
            <w:u w:val="none"/>
          </w:rPr>
          <w:t xml:space="preserve">- </w:t>
        </w:r>
        <w:r w:rsidRPr="006C075B">
          <w:rPr>
            <w:rStyle w:val="Hyperlink"/>
            <w:color w:val="000000" w:themeColor="text1"/>
            <w:sz w:val="11"/>
            <w:u w:val="none"/>
          </w:rPr>
          <w:t>port</w:t>
        </w:r>
      </w:hyperlink>
      <w:r w:rsidRPr="006C075B">
        <w:rPr>
          <w:color w:val="000000" w:themeColor="text1"/>
          <w:spacing w:val="39"/>
          <w:sz w:val="11"/>
        </w:rPr>
        <w:t xml:space="preserve"> </w:t>
      </w:r>
      <w:r w:rsidRPr="006C075B">
        <w:rPr>
          <w:color w:val="000000" w:themeColor="text1"/>
          <w:sz w:val="16"/>
        </w:rPr>
        <w:t>(</w:t>
      </w:r>
      <w:r>
        <w:rPr>
          <w:sz w:val="16"/>
        </w:rPr>
        <w:t xml:space="preserve">May 2023), </w:t>
      </w:r>
      <w:r>
        <w:rPr>
          <w:i/>
          <w:sz w:val="16"/>
        </w:rPr>
        <w:t xml:space="preserve">available at </w:t>
      </w:r>
      <w:hyperlink r:id="rId141">
        <w:r>
          <w:rPr>
            <w:color w:val="215E9E"/>
            <w:sz w:val="16"/>
            <w:u w:val="single" w:color="215E9E"/>
          </w:rPr>
          <w:t>https://www.boston.gov/sites/default/</w:t>
        </w:r>
      </w:hyperlink>
      <w:r>
        <w:rPr>
          <w:color w:val="215E9E"/>
          <w:spacing w:val="40"/>
          <w:sz w:val="16"/>
        </w:rPr>
        <w:t xml:space="preserve"> </w:t>
      </w:r>
      <w:r>
        <w:rPr>
          <w:color w:val="215E9E"/>
          <w:spacing w:val="-2"/>
          <w:sz w:val="16"/>
          <w:u w:val="single" w:color="215E9E"/>
        </w:rPr>
        <w:t>files/file/2023/05/HOB_Cancer_2023_FINAL_May11.pdf</w:t>
      </w:r>
      <w:r>
        <w:rPr>
          <w:spacing w:val="-2"/>
          <w:sz w:val="16"/>
        </w:rPr>
        <w:t>.</w:t>
      </w:r>
    </w:p>
    <w:p w14:paraId="1C34EF9F" w14:textId="2D1C86A6" w:rsidR="004C558F" w:rsidRDefault="00D35C55">
      <w:pPr>
        <w:pStyle w:val="ListParagraph"/>
        <w:numPr>
          <w:ilvl w:val="0"/>
          <w:numId w:val="1"/>
        </w:numPr>
        <w:tabs>
          <w:tab w:val="left" w:pos="526"/>
        </w:tabs>
        <w:spacing w:line="261" w:lineRule="auto"/>
        <w:ind w:right="766" w:hanging="270"/>
        <w:jc w:val="both"/>
        <w:rPr>
          <w:sz w:val="16"/>
        </w:rPr>
      </w:pPr>
      <w:hyperlink r:id="rId142" w:history="1">
        <w:r w:rsidR="00461887" w:rsidRPr="00D35C55">
          <w:rPr>
            <w:rStyle w:val="Hyperlink"/>
            <w:i/>
            <w:color w:val="000000" w:themeColor="text1"/>
            <w:w w:val="110"/>
            <w:sz w:val="16"/>
            <w:u w:val="none"/>
          </w:rPr>
          <w:t>Cancer</w:t>
        </w:r>
        <w:r w:rsidR="00461887" w:rsidRPr="00D35C55">
          <w:rPr>
            <w:rStyle w:val="Hyperlink"/>
            <w:i/>
            <w:color w:val="000000" w:themeColor="text1"/>
            <w:spacing w:val="-7"/>
            <w:w w:val="110"/>
            <w:sz w:val="16"/>
            <w:u w:val="none"/>
          </w:rPr>
          <w:t xml:space="preserve"> </w:t>
        </w:r>
        <w:r w:rsidR="00461887" w:rsidRPr="00D35C55">
          <w:rPr>
            <w:rStyle w:val="Hyperlink"/>
            <w:i/>
            <w:color w:val="000000" w:themeColor="text1"/>
            <w:w w:val="110"/>
            <w:sz w:val="16"/>
            <w:u w:val="none"/>
          </w:rPr>
          <w:t>and</w:t>
        </w:r>
        <w:r w:rsidR="00461887" w:rsidRPr="00D35C55">
          <w:rPr>
            <w:rStyle w:val="Hyperlink"/>
            <w:i/>
            <w:color w:val="000000" w:themeColor="text1"/>
            <w:spacing w:val="-7"/>
            <w:w w:val="110"/>
            <w:sz w:val="16"/>
            <w:u w:val="none"/>
          </w:rPr>
          <w:t xml:space="preserve"> </w:t>
        </w:r>
        <w:r w:rsidR="00461887" w:rsidRPr="00D35C55">
          <w:rPr>
            <w:rStyle w:val="Hyperlink"/>
            <w:i/>
            <w:color w:val="000000" w:themeColor="text1"/>
            <w:w w:val="110"/>
            <w:sz w:val="16"/>
            <w:u w:val="none"/>
          </w:rPr>
          <w:t>Hispanic</w:t>
        </w:r>
        <w:r w:rsidR="00461887" w:rsidRPr="00D35C55">
          <w:rPr>
            <w:rStyle w:val="Hyperlink"/>
            <w:i/>
            <w:color w:val="000000" w:themeColor="text1"/>
            <w:spacing w:val="-7"/>
            <w:w w:val="110"/>
            <w:sz w:val="16"/>
            <w:u w:val="none"/>
          </w:rPr>
          <w:t xml:space="preserve"> </w:t>
        </w:r>
        <w:r w:rsidR="00461887" w:rsidRPr="00D35C55">
          <w:rPr>
            <w:rStyle w:val="Hyperlink"/>
            <w:i/>
            <w:color w:val="000000" w:themeColor="text1"/>
            <w:w w:val="110"/>
            <w:sz w:val="16"/>
            <w:u w:val="none"/>
          </w:rPr>
          <w:t>Americans,</w:t>
        </w:r>
      </w:hyperlink>
      <w:r w:rsidR="00461887" w:rsidRPr="00D35C55">
        <w:rPr>
          <w:i/>
          <w:color w:val="000000" w:themeColor="text1"/>
          <w:spacing w:val="-6"/>
          <w:w w:val="110"/>
          <w:sz w:val="16"/>
        </w:rPr>
        <w:t xml:space="preserve"> </w:t>
      </w:r>
      <w:r w:rsidR="00461887">
        <w:rPr>
          <w:w w:val="110"/>
          <w:sz w:val="16"/>
        </w:rPr>
        <w:t>U.S.</w:t>
      </w:r>
      <w:r w:rsidR="00461887">
        <w:rPr>
          <w:spacing w:val="-5"/>
          <w:w w:val="110"/>
          <w:sz w:val="16"/>
        </w:rPr>
        <w:t xml:space="preserve"> </w:t>
      </w:r>
      <w:proofErr w:type="spellStart"/>
      <w:r w:rsidR="00461887">
        <w:rPr>
          <w:w w:val="110"/>
          <w:sz w:val="16"/>
        </w:rPr>
        <w:t>D</w:t>
      </w:r>
      <w:r w:rsidR="00461887">
        <w:rPr>
          <w:w w:val="110"/>
          <w:sz w:val="11"/>
        </w:rPr>
        <w:t>epartmeNt</w:t>
      </w:r>
      <w:proofErr w:type="spellEnd"/>
      <w:r w:rsidR="00461887">
        <w:rPr>
          <w:w w:val="110"/>
          <w:sz w:val="11"/>
        </w:rPr>
        <w:t xml:space="preserve"> of </w:t>
      </w:r>
      <w:r w:rsidR="00461887">
        <w:rPr>
          <w:w w:val="110"/>
          <w:sz w:val="16"/>
        </w:rPr>
        <w:t>h</w:t>
      </w:r>
      <w:r w:rsidR="00461887">
        <w:rPr>
          <w:w w:val="110"/>
          <w:sz w:val="11"/>
        </w:rPr>
        <w:t xml:space="preserve">ealth </w:t>
      </w:r>
      <w:proofErr w:type="spellStart"/>
      <w:r w:rsidR="00461887">
        <w:rPr>
          <w:w w:val="110"/>
          <w:sz w:val="16"/>
        </w:rPr>
        <w:t>h</w:t>
      </w:r>
      <w:r w:rsidR="00461887">
        <w:rPr>
          <w:w w:val="110"/>
          <w:sz w:val="11"/>
        </w:rPr>
        <w:t>umaN</w:t>
      </w:r>
      <w:proofErr w:type="spellEnd"/>
      <w:r w:rsidR="00461887">
        <w:rPr>
          <w:spacing w:val="40"/>
          <w:w w:val="115"/>
          <w:sz w:val="11"/>
        </w:rPr>
        <w:t xml:space="preserve"> </w:t>
      </w:r>
      <w:proofErr w:type="spellStart"/>
      <w:r w:rsidR="00461887">
        <w:rPr>
          <w:w w:val="115"/>
          <w:sz w:val="16"/>
        </w:rPr>
        <w:t>s</w:t>
      </w:r>
      <w:r w:rsidR="00461887">
        <w:rPr>
          <w:w w:val="115"/>
          <w:sz w:val="11"/>
        </w:rPr>
        <w:t>erviCes</w:t>
      </w:r>
      <w:proofErr w:type="spellEnd"/>
      <w:r w:rsidR="00461887">
        <w:rPr>
          <w:spacing w:val="-8"/>
          <w:w w:val="115"/>
          <w:sz w:val="11"/>
        </w:rPr>
        <w:t xml:space="preserve"> </w:t>
      </w:r>
      <w:proofErr w:type="spellStart"/>
      <w:r w:rsidR="00461887">
        <w:rPr>
          <w:w w:val="115"/>
          <w:sz w:val="16"/>
        </w:rPr>
        <w:t>o</w:t>
      </w:r>
      <w:r w:rsidR="00461887">
        <w:rPr>
          <w:w w:val="115"/>
          <w:sz w:val="11"/>
        </w:rPr>
        <w:t>ffiCe</w:t>
      </w:r>
      <w:proofErr w:type="spellEnd"/>
      <w:r w:rsidR="00461887">
        <w:rPr>
          <w:spacing w:val="-8"/>
          <w:w w:val="115"/>
          <w:sz w:val="11"/>
        </w:rPr>
        <w:t xml:space="preserve"> </w:t>
      </w:r>
      <w:r w:rsidR="00461887">
        <w:rPr>
          <w:w w:val="120"/>
          <w:sz w:val="11"/>
        </w:rPr>
        <w:t>of</w:t>
      </w:r>
      <w:r w:rsidR="00461887">
        <w:rPr>
          <w:spacing w:val="-9"/>
          <w:w w:val="120"/>
          <w:sz w:val="11"/>
        </w:rPr>
        <w:t xml:space="preserve"> </w:t>
      </w:r>
      <w:proofErr w:type="spellStart"/>
      <w:r w:rsidR="00461887">
        <w:rPr>
          <w:w w:val="115"/>
          <w:sz w:val="16"/>
        </w:rPr>
        <w:t>m</w:t>
      </w:r>
      <w:r w:rsidR="00461887">
        <w:rPr>
          <w:w w:val="115"/>
          <w:sz w:val="11"/>
        </w:rPr>
        <w:t>iNority</w:t>
      </w:r>
      <w:proofErr w:type="spellEnd"/>
      <w:r w:rsidR="00461887">
        <w:rPr>
          <w:spacing w:val="-7"/>
          <w:w w:val="115"/>
          <w:sz w:val="11"/>
        </w:rPr>
        <w:t xml:space="preserve"> </w:t>
      </w:r>
      <w:r w:rsidR="00461887">
        <w:rPr>
          <w:w w:val="115"/>
          <w:sz w:val="16"/>
        </w:rPr>
        <w:t>h</w:t>
      </w:r>
      <w:r w:rsidR="00461887">
        <w:rPr>
          <w:w w:val="115"/>
          <w:sz w:val="11"/>
        </w:rPr>
        <w:t>ealth</w:t>
      </w:r>
      <w:r w:rsidR="00461887">
        <w:rPr>
          <w:w w:val="115"/>
          <w:sz w:val="16"/>
        </w:rPr>
        <w:t>,</w:t>
      </w:r>
      <w:r w:rsidR="00461887">
        <w:rPr>
          <w:spacing w:val="-12"/>
          <w:w w:val="115"/>
          <w:sz w:val="16"/>
        </w:rPr>
        <w:t xml:space="preserve"> </w:t>
      </w:r>
      <w:r w:rsidR="00461887">
        <w:rPr>
          <w:color w:val="215E9E"/>
          <w:w w:val="115"/>
          <w:sz w:val="16"/>
          <w:u w:val="single" w:color="215E9E"/>
        </w:rPr>
        <w:t>https://minorityhealth.hhs.gov/</w:t>
      </w:r>
      <w:r w:rsidR="00461887">
        <w:rPr>
          <w:color w:val="215E9E"/>
          <w:w w:val="115"/>
          <w:sz w:val="16"/>
        </w:rPr>
        <w:t xml:space="preserve"> </w:t>
      </w:r>
      <w:r w:rsidR="00461887">
        <w:rPr>
          <w:color w:val="215E9E"/>
          <w:sz w:val="16"/>
          <w:u w:val="single" w:color="215E9E"/>
        </w:rPr>
        <w:t>cancer-and-</w:t>
      </w:r>
      <w:proofErr w:type="spellStart"/>
      <w:r w:rsidR="00461887">
        <w:rPr>
          <w:color w:val="215E9E"/>
          <w:sz w:val="16"/>
          <w:u w:val="single" w:color="215E9E"/>
        </w:rPr>
        <w:t>hispanic</w:t>
      </w:r>
      <w:proofErr w:type="spellEnd"/>
      <w:r w:rsidR="00461887">
        <w:rPr>
          <w:color w:val="215E9E"/>
          <w:sz w:val="16"/>
          <w:u w:val="single" w:color="215E9E"/>
        </w:rPr>
        <w:t>-</w:t>
      </w:r>
      <w:proofErr w:type="spellStart"/>
      <w:r w:rsidR="00461887">
        <w:rPr>
          <w:color w:val="215E9E"/>
          <w:sz w:val="16"/>
          <w:u w:val="single" w:color="215E9E"/>
        </w:rPr>
        <w:t>americans</w:t>
      </w:r>
      <w:proofErr w:type="spellEnd"/>
      <w:r w:rsidR="00461887">
        <w:rPr>
          <w:color w:val="215E9E"/>
          <w:sz w:val="16"/>
        </w:rPr>
        <w:t xml:space="preserve"> </w:t>
      </w:r>
      <w:r w:rsidR="00461887">
        <w:rPr>
          <w:sz w:val="16"/>
        </w:rPr>
        <w:t>(last visited February 27, 2025).</w:t>
      </w:r>
    </w:p>
    <w:p w14:paraId="1C34EFA1" w14:textId="68391725" w:rsidR="004C558F" w:rsidRPr="00D35C55" w:rsidRDefault="00D35C55" w:rsidP="00D35C55">
      <w:pPr>
        <w:pStyle w:val="ListParagraph"/>
        <w:numPr>
          <w:ilvl w:val="0"/>
          <w:numId w:val="1"/>
        </w:numPr>
        <w:tabs>
          <w:tab w:val="left" w:pos="524"/>
          <w:tab w:val="left" w:pos="526"/>
        </w:tabs>
        <w:spacing w:before="1" w:line="261" w:lineRule="auto"/>
        <w:ind w:right="516" w:hanging="270"/>
        <w:jc w:val="both"/>
        <w:rPr>
          <w:sz w:val="16"/>
        </w:rPr>
      </w:pPr>
      <w:hyperlink r:id="rId143" w:history="1">
        <w:r w:rsidR="00461887" w:rsidRPr="00D35C55">
          <w:rPr>
            <w:rStyle w:val="Hyperlink"/>
            <w:i/>
            <w:color w:val="000000" w:themeColor="text1"/>
            <w:w w:val="110"/>
            <w:sz w:val="16"/>
            <w:u w:val="none"/>
          </w:rPr>
          <w:t>Cancer</w:t>
        </w:r>
        <w:r w:rsidR="00461887" w:rsidRPr="00D35C55">
          <w:rPr>
            <w:rStyle w:val="Hyperlink"/>
            <w:i/>
            <w:color w:val="000000" w:themeColor="text1"/>
            <w:spacing w:val="-8"/>
            <w:w w:val="110"/>
            <w:sz w:val="16"/>
            <w:u w:val="none"/>
          </w:rPr>
          <w:t xml:space="preserve"> </w:t>
        </w:r>
        <w:r w:rsidR="00461887" w:rsidRPr="00D35C55">
          <w:rPr>
            <w:rStyle w:val="Hyperlink"/>
            <w:i/>
            <w:color w:val="000000" w:themeColor="text1"/>
            <w:w w:val="110"/>
            <w:sz w:val="16"/>
            <w:u w:val="none"/>
          </w:rPr>
          <w:t>and</w:t>
        </w:r>
        <w:r w:rsidR="00461887" w:rsidRPr="00D35C55">
          <w:rPr>
            <w:rStyle w:val="Hyperlink"/>
            <w:i/>
            <w:color w:val="000000" w:themeColor="text1"/>
            <w:spacing w:val="-8"/>
            <w:w w:val="110"/>
            <w:sz w:val="16"/>
            <w:u w:val="none"/>
          </w:rPr>
          <w:t xml:space="preserve"> </w:t>
        </w:r>
        <w:r w:rsidR="00461887" w:rsidRPr="00D35C55">
          <w:rPr>
            <w:rStyle w:val="Hyperlink"/>
            <w:i/>
            <w:color w:val="000000" w:themeColor="text1"/>
            <w:w w:val="110"/>
            <w:sz w:val="16"/>
            <w:u w:val="none"/>
          </w:rPr>
          <w:t>Asian</w:t>
        </w:r>
        <w:r w:rsidR="00461887" w:rsidRPr="00D35C55">
          <w:rPr>
            <w:rStyle w:val="Hyperlink"/>
            <w:i/>
            <w:color w:val="000000" w:themeColor="text1"/>
            <w:spacing w:val="-8"/>
            <w:w w:val="110"/>
            <w:sz w:val="16"/>
            <w:u w:val="none"/>
          </w:rPr>
          <w:t xml:space="preserve"> </w:t>
        </w:r>
        <w:r w:rsidR="00461887" w:rsidRPr="00D35C55">
          <w:rPr>
            <w:rStyle w:val="Hyperlink"/>
            <w:i/>
            <w:color w:val="000000" w:themeColor="text1"/>
            <w:w w:val="110"/>
            <w:sz w:val="16"/>
            <w:u w:val="none"/>
          </w:rPr>
          <w:t>Americans,</w:t>
        </w:r>
      </w:hyperlink>
      <w:r w:rsidR="00461887" w:rsidRPr="00D35C55">
        <w:rPr>
          <w:i/>
          <w:color w:val="000000" w:themeColor="text1"/>
          <w:spacing w:val="-7"/>
          <w:w w:val="110"/>
          <w:sz w:val="16"/>
        </w:rPr>
        <w:t xml:space="preserve"> </w:t>
      </w:r>
      <w:r w:rsidR="00461887">
        <w:rPr>
          <w:w w:val="110"/>
          <w:sz w:val="16"/>
        </w:rPr>
        <w:t>U.S.</w:t>
      </w:r>
      <w:r w:rsidR="00461887">
        <w:rPr>
          <w:spacing w:val="-6"/>
          <w:w w:val="110"/>
          <w:sz w:val="16"/>
        </w:rPr>
        <w:t xml:space="preserve"> </w:t>
      </w:r>
      <w:proofErr w:type="spellStart"/>
      <w:r w:rsidR="00461887">
        <w:rPr>
          <w:w w:val="110"/>
          <w:sz w:val="16"/>
        </w:rPr>
        <w:t>D</w:t>
      </w:r>
      <w:r w:rsidR="00461887">
        <w:rPr>
          <w:w w:val="110"/>
          <w:sz w:val="11"/>
        </w:rPr>
        <w:t>epartmeNt</w:t>
      </w:r>
      <w:proofErr w:type="spellEnd"/>
      <w:r w:rsidR="00461887">
        <w:rPr>
          <w:w w:val="110"/>
          <w:sz w:val="11"/>
        </w:rPr>
        <w:t xml:space="preserve"> of </w:t>
      </w:r>
      <w:r w:rsidR="00461887">
        <w:rPr>
          <w:w w:val="110"/>
          <w:sz w:val="16"/>
        </w:rPr>
        <w:t>h</w:t>
      </w:r>
      <w:r w:rsidR="00461887">
        <w:rPr>
          <w:w w:val="110"/>
          <w:sz w:val="11"/>
        </w:rPr>
        <w:t xml:space="preserve">ealth </w:t>
      </w:r>
      <w:proofErr w:type="spellStart"/>
      <w:r w:rsidR="00461887">
        <w:rPr>
          <w:w w:val="110"/>
          <w:sz w:val="16"/>
        </w:rPr>
        <w:t>h</w:t>
      </w:r>
      <w:r w:rsidR="00461887">
        <w:rPr>
          <w:w w:val="110"/>
          <w:sz w:val="11"/>
        </w:rPr>
        <w:t>umaN</w:t>
      </w:r>
      <w:proofErr w:type="spellEnd"/>
      <w:r w:rsidR="00461887">
        <w:rPr>
          <w:w w:val="110"/>
          <w:sz w:val="11"/>
        </w:rPr>
        <w:t xml:space="preserve"> </w:t>
      </w:r>
      <w:proofErr w:type="spellStart"/>
      <w:r w:rsidR="00461887">
        <w:rPr>
          <w:w w:val="110"/>
          <w:sz w:val="16"/>
        </w:rPr>
        <w:t>s</w:t>
      </w:r>
      <w:r w:rsidR="00461887">
        <w:rPr>
          <w:w w:val="110"/>
          <w:sz w:val="11"/>
        </w:rPr>
        <w:t>erviCes</w:t>
      </w:r>
      <w:proofErr w:type="spellEnd"/>
      <w:r w:rsidR="00461887">
        <w:rPr>
          <w:spacing w:val="40"/>
          <w:w w:val="115"/>
          <w:sz w:val="11"/>
        </w:rPr>
        <w:t xml:space="preserve"> </w:t>
      </w:r>
      <w:proofErr w:type="spellStart"/>
      <w:r w:rsidR="00461887">
        <w:rPr>
          <w:w w:val="115"/>
          <w:sz w:val="16"/>
        </w:rPr>
        <w:t>o</w:t>
      </w:r>
      <w:r w:rsidR="00461887">
        <w:rPr>
          <w:w w:val="115"/>
          <w:sz w:val="11"/>
        </w:rPr>
        <w:t>ffiCe</w:t>
      </w:r>
      <w:proofErr w:type="spellEnd"/>
      <w:r w:rsidR="00461887">
        <w:rPr>
          <w:w w:val="115"/>
          <w:sz w:val="11"/>
        </w:rPr>
        <w:t xml:space="preserve"> </w:t>
      </w:r>
      <w:r w:rsidR="00461887">
        <w:rPr>
          <w:w w:val="120"/>
          <w:sz w:val="11"/>
        </w:rPr>
        <w:t>of</w:t>
      </w:r>
      <w:r w:rsidR="00461887">
        <w:rPr>
          <w:spacing w:val="-1"/>
          <w:w w:val="120"/>
          <w:sz w:val="11"/>
        </w:rPr>
        <w:t xml:space="preserve"> </w:t>
      </w:r>
      <w:proofErr w:type="spellStart"/>
      <w:r w:rsidR="00461887">
        <w:rPr>
          <w:w w:val="115"/>
          <w:sz w:val="16"/>
        </w:rPr>
        <w:t>m</w:t>
      </w:r>
      <w:r w:rsidR="00461887">
        <w:rPr>
          <w:w w:val="115"/>
          <w:sz w:val="11"/>
        </w:rPr>
        <w:t>iNority</w:t>
      </w:r>
      <w:proofErr w:type="spellEnd"/>
      <w:r w:rsidR="00461887">
        <w:rPr>
          <w:w w:val="115"/>
          <w:sz w:val="11"/>
        </w:rPr>
        <w:t xml:space="preserve"> </w:t>
      </w:r>
      <w:r w:rsidR="00461887">
        <w:rPr>
          <w:w w:val="115"/>
          <w:sz w:val="16"/>
        </w:rPr>
        <w:t>h</w:t>
      </w:r>
      <w:r w:rsidR="00461887">
        <w:rPr>
          <w:w w:val="115"/>
          <w:sz w:val="11"/>
        </w:rPr>
        <w:t>ealth</w:t>
      </w:r>
      <w:r w:rsidR="00461887">
        <w:rPr>
          <w:w w:val="115"/>
          <w:sz w:val="16"/>
        </w:rPr>
        <w:t>,</w:t>
      </w:r>
      <w:r w:rsidR="00461887">
        <w:rPr>
          <w:spacing w:val="-12"/>
          <w:w w:val="115"/>
          <w:sz w:val="16"/>
        </w:rPr>
        <w:t xml:space="preserve"> </w:t>
      </w:r>
      <w:r w:rsidR="00461887">
        <w:rPr>
          <w:color w:val="215E9E"/>
          <w:w w:val="115"/>
          <w:sz w:val="16"/>
          <w:u w:val="single" w:color="215E9E"/>
        </w:rPr>
        <w:t>https://minorityhealth.hhs.gov/can</w:t>
      </w:r>
      <w:r w:rsidR="00461887" w:rsidRPr="00D35C55">
        <w:rPr>
          <w:color w:val="215E9E"/>
          <w:sz w:val="16"/>
          <w:u w:val="single" w:color="215E9E"/>
        </w:rPr>
        <w:t>cer-and-hispanic-americans</w:t>
      </w:r>
      <w:r w:rsidR="00461887" w:rsidRPr="00D35C55">
        <w:rPr>
          <w:color w:val="215E9E"/>
          <w:spacing w:val="16"/>
          <w:sz w:val="16"/>
        </w:rPr>
        <w:t xml:space="preserve"> </w:t>
      </w:r>
      <w:r w:rsidR="00461887" w:rsidRPr="00D35C55">
        <w:rPr>
          <w:sz w:val="16"/>
        </w:rPr>
        <w:t>(last</w:t>
      </w:r>
      <w:r w:rsidR="00461887" w:rsidRPr="00D35C55">
        <w:rPr>
          <w:spacing w:val="19"/>
          <w:sz w:val="16"/>
        </w:rPr>
        <w:t xml:space="preserve"> </w:t>
      </w:r>
      <w:r w:rsidR="00461887" w:rsidRPr="00D35C55">
        <w:rPr>
          <w:sz w:val="16"/>
        </w:rPr>
        <w:t>visited</w:t>
      </w:r>
      <w:r w:rsidR="00461887" w:rsidRPr="00D35C55">
        <w:rPr>
          <w:spacing w:val="18"/>
          <w:sz w:val="16"/>
        </w:rPr>
        <w:t xml:space="preserve"> </w:t>
      </w:r>
      <w:r w:rsidR="00461887" w:rsidRPr="00D35C55">
        <w:rPr>
          <w:sz w:val="16"/>
        </w:rPr>
        <w:t>February</w:t>
      </w:r>
      <w:r w:rsidR="00461887" w:rsidRPr="00D35C55">
        <w:rPr>
          <w:spacing w:val="19"/>
          <w:sz w:val="16"/>
        </w:rPr>
        <w:t xml:space="preserve"> </w:t>
      </w:r>
      <w:r w:rsidR="00461887" w:rsidRPr="00D35C55">
        <w:rPr>
          <w:sz w:val="16"/>
        </w:rPr>
        <w:t>27,</w:t>
      </w:r>
      <w:r w:rsidR="00461887" w:rsidRPr="00D35C55">
        <w:rPr>
          <w:spacing w:val="18"/>
          <w:sz w:val="16"/>
        </w:rPr>
        <w:t xml:space="preserve"> </w:t>
      </w:r>
      <w:r w:rsidR="00461887" w:rsidRPr="00D35C55">
        <w:rPr>
          <w:spacing w:val="-2"/>
          <w:sz w:val="16"/>
        </w:rPr>
        <w:t>2025).</w:t>
      </w:r>
    </w:p>
    <w:p w14:paraId="1C34EFA2" w14:textId="02B2DA7A" w:rsidR="004C558F" w:rsidRDefault="008C417D">
      <w:pPr>
        <w:pStyle w:val="ListParagraph"/>
        <w:numPr>
          <w:ilvl w:val="0"/>
          <w:numId w:val="1"/>
        </w:numPr>
        <w:tabs>
          <w:tab w:val="left" w:pos="523"/>
          <w:tab w:val="left" w:pos="526"/>
        </w:tabs>
        <w:spacing w:before="16" w:line="261" w:lineRule="auto"/>
        <w:ind w:right="812" w:hanging="270"/>
        <w:rPr>
          <w:sz w:val="16"/>
        </w:rPr>
      </w:pPr>
      <w:hyperlink r:id="rId144" w:history="1">
        <w:r w:rsidR="00461887" w:rsidRPr="008C417D">
          <w:rPr>
            <w:rStyle w:val="Hyperlink"/>
            <w:color w:val="000000" w:themeColor="text1"/>
            <w:w w:val="110"/>
            <w:sz w:val="16"/>
            <w:u w:val="none"/>
          </w:rPr>
          <w:t>m</w:t>
        </w:r>
        <w:r w:rsidR="00461887" w:rsidRPr="008C417D">
          <w:rPr>
            <w:rStyle w:val="Hyperlink"/>
            <w:color w:val="000000" w:themeColor="text1"/>
            <w:w w:val="110"/>
            <w:sz w:val="11"/>
            <w:u w:val="none"/>
          </w:rPr>
          <w:t xml:space="preserve">assaChusetts </w:t>
        </w:r>
        <w:r w:rsidR="00461887" w:rsidRPr="008C417D">
          <w:rPr>
            <w:rStyle w:val="Hyperlink"/>
            <w:color w:val="000000" w:themeColor="text1"/>
            <w:w w:val="110"/>
            <w:sz w:val="16"/>
            <w:u w:val="none"/>
          </w:rPr>
          <w:t>C</w:t>
        </w:r>
        <w:r w:rsidR="00461887" w:rsidRPr="008C417D">
          <w:rPr>
            <w:rStyle w:val="Hyperlink"/>
            <w:color w:val="000000" w:themeColor="text1"/>
            <w:w w:val="110"/>
            <w:sz w:val="11"/>
            <w:u w:val="none"/>
          </w:rPr>
          <w:t xml:space="preserve">aNCer </w:t>
        </w:r>
        <w:r w:rsidR="00461887" w:rsidRPr="008C417D">
          <w:rPr>
            <w:rStyle w:val="Hyperlink"/>
            <w:color w:val="000000" w:themeColor="text1"/>
            <w:w w:val="125"/>
            <w:sz w:val="16"/>
            <w:u w:val="none"/>
          </w:rPr>
          <w:t>r</w:t>
        </w:r>
        <w:r w:rsidR="00461887" w:rsidRPr="008C417D">
          <w:rPr>
            <w:rStyle w:val="Hyperlink"/>
            <w:color w:val="000000" w:themeColor="text1"/>
            <w:w w:val="125"/>
            <w:sz w:val="11"/>
            <w:u w:val="none"/>
          </w:rPr>
          <w:t>egistry</w:t>
        </w:r>
        <w:r w:rsidR="00461887" w:rsidRPr="008C417D">
          <w:rPr>
            <w:rStyle w:val="Hyperlink"/>
            <w:color w:val="000000" w:themeColor="text1"/>
            <w:w w:val="125"/>
            <w:sz w:val="16"/>
            <w:u w:val="none"/>
          </w:rPr>
          <w:t xml:space="preserve">, </w:t>
        </w:r>
        <w:r w:rsidR="00461887" w:rsidRPr="008C417D">
          <w:rPr>
            <w:rStyle w:val="Hyperlink"/>
            <w:color w:val="000000" w:themeColor="text1"/>
            <w:w w:val="110"/>
            <w:sz w:val="16"/>
            <w:u w:val="none"/>
          </w:rPr>
          <w:t>C</w:t>
        </w:r>
        <w:r w:rsidR="00461887" w:rsidRPr="008C417D">
          <w:rPr>
            <w:rStyle w:val="Hyperlink"/>
            <w:color w:val="000000" w:themeColor="text1"/>
            <w:w w:val="110"/>
            <w:sz w:val="11"/>
            <w:u w:val="none"/>
          </w:rPr>
          <w:t xml:space="preserve">aNCer </w:t>
        </w:r>
        <w:r w:rsidR="00461887" w:rsidRPr="008C417D">
          <w:rPr>
            <w:rStyle w:val="Hyperlink"/>
            <w:color w:val="000000" w:themeColor="text1"/>
            <w:w w:val="110"/>
            <w:sz w:val="16"/>
            <w:u w:val="none"/>
          </w:rPr>
          <w:t>i</w:t>
        </w:r>
        <w:r w:rsidR="00461887" w:rsidRPr="008C417D">
          <w:rPr>
            <w:rStyle w:val="Hyperlink"/>
            <w:color w:val="000000" w:themeColor="text1"/>
            <w:w w:val="110"/>
            <w:sz w:val="11"/>
            <w:u w:val="none"/>
          </w:rPr>
          <w:t xml:space="preserve">NCiDeNCe aND </w:t>
        </w:r>
        <w:r w:rsidR="00461887" w:rsidRPr="008C417D">
          <w:rPr>
            <w:rStyle w:val="Hyperlink"/>
            <w:color w:val="000000" w:themeColor="text1"/>
            <w:w w:val="125"/>
            <w:sz w:val="16"/>
            <w:u w:val="none"/>
          </w:rPr>
          <w:t>m</w:t>
        </w:r>
        <w:r w:rsidR="00461887" w:rsidRPr="008C417D">
          <w:rPr>
            <w:rStyle w:val="Hyperlink"/>
            <w:color w:val="000000" w:themeColor="text1"/>
            <w:w w:val="125"/>
            <w:sz w:val="11"/>
            <w:u w:val="none"/>
          </w:rPr>
          <w:t xml:space="preserve">ortality </w:t>
        </w:r>
        <w:r w:rsidR="00461887" w:rsidRPr="008C417D">
          <w:rPr>
            <w:rStyle w:val="Hyperlink"/>
            <w:color w:val="000000" w:themeColor="text1"/>
            <w:w w:val="110"/>
            <w:sz w:val="11"/>
            <w:u w:val="none"/>
          </w:rPr>
          <w:t>iN</w:t>
        </w:r>
        <w:r w:rsidR="00461887" w:rsidRPr="008C417D">
          <w:rPr>
            <w:rStyle w:val="Hyperlink"/>
            <w:color w:val="000000" w:themeColor="text1"/>
            <w:spacing w:val="40"/>
            <w:w w:val="110"/>
            <w:sz w:val="11"/>
            <w:u w:val="none"/>
          </w:rPr>
          <w:t xml:space="preserve"> </w:t>
        </w:r>
        <w:r w:rsidR="00461887" w:rsidRPr="008C417D">
          <w:rPr>
            <w:rStyle w:val="Hyperlink"/>
            <w:color w:val="000000" w:themeColor="text1"/>
            <w:sz w:val="16"/>
            <w:u w:val="none"/>
          </w:rPr>
          <w:t>m</w:t>
        </w:r>
        <w:r w:rsidR="00461887" w:rsidRPr="008C417D">
          <w:rPr>
            <w:rStyle w:val="Hyperlink"/>
            <w:color w:val="000000" w:themeColor="text1"/>
            <w:sz w:val="11"/>
            <w:u w:val="none"/>
          </w:rPr>
          <w:t>assaChusetts</w:t>
        </w:r>
        <w:r w:rsidR="00461887" w:rsidRPr="008C417D">
          <w:rPr>
            <w:rStyle w:val="Hyperlink"/>
            <w:color w:val="000000" w:themeColor="text1"/>
            <w:spacing w:val="38"/>
            <w:sz w:val="11"/>
            <w:u w:val="none"/>
          </w:rPr>
          <w:t xml:space="preserve"> </w:t>
        </w:r>
        <w:r w:rsidR="00461887" w:rsidRPr="008C417D">
          <w:rPr>
            <w:rStyle w:val="Hyperlink"/>
            <w:color w:val="000000" w:themeColor="text1"/>
            <w:sz w:val="16"/>
            <w:u w:val="none"/>
          </w:rPr>
          <w:t>2016-2020</w:t>
        </w:r>
      </w:hyperlink>
      <w:r w:rsidR="00461887">
        <w:rPr>
          <w:sz w:val="16"/>
        </w:rPr>
        <w:t xml:space="preserve"> (Jun. 2024), </w:t>
      </w:r>
      <w:r w:rsidR="00461887">
        <w:rPr>
          <w:i/>
          <w:sz w:val="16"/>
        </w:rPr>
        <w:t xml:space="preserve">available at </w:t>
      </w:r>
      <w:hyperlink r:id="rId145">
        <w:r w:rsidR="00461887">
          <w:rPr>
            <w:color w:val="215E9E"/>
            <w:sz w:val="16"/>
            <w:u w:val="single" w:color="215E9E"/>
          </w:rPr>
          <w:t>https://www.</w:t>
        </w:r>
      </w:hyperlink>
      <w:r w:rsidR="00461887">
        <w:rPr>
          <w:color w:val="215E9E"/>
          <w:spacing w:val="40"/>
          <w:sz w:val="16"/>
        </w:rPr>
        <w:t xml:space="preserve"> </w:t>
      </w:r>
      <w:r w:rsidR="00461887">
        <w:rPr>
          <w:color w:val="215E9E"/>
          <w:spacing w:val="-2"/>
          <w:sz w:val="16"/>
          <w:u w:val="single" w:color="215E9E"/>
        </w:rPr>
        <w:t>mass.gov/doc/cancer-incidence-and-mortality-in-</w:t>
      </w:r>
      <w:proofErr w:type="spellStart"/>
      <w:r w:rsidR="00461887">
        <w:rPr>
          <w:color w:val="215E9E"/>
          <w:spacing w:val="-2"/>
          <w:sz w:val="16"/>
          <w:u w:val="single" w:color="215E9E"/>
        </w:rPr>
        <w:t>massachu</w:t>
      </w:r>
      <w:proofErr w:type="spellEnd"/>
      <w:proofErr w:type="gramStart"/>
      <w:r w:rsidR="00461887">
        <w:rPr>
          <w:color w:val="215E9E"/>
          <w:spacing w:val="-2"/>
          <w:sz w:val="16"/>
        </w:rPr>
        <w:t>-</w:t>
      </w:r>
      <w:r w:rsidR="00461887">
        <w:rPr>
          <w:color w:val="215E9E"/>
          <w:spacing w:val="40"/>
          <w:sz w:val="16"/>
        </w:rPr>
        <w:t xml:space="preserve">  </w:t>
      </w:r>
      <w:r w:rsidR="00461887">
        <w:rPr>
          <w:color w:val="215E9E"/>
          <w:spacing w:val="-2"/>
          <w:sz w:val="16"/>
          <w:u w:val="single" w:color="215E9E"/>
        </w:rPr>
        <w:t>setts</w:t>
      </w:r>
      <w:proofErr w:type="gramEnd"/>
      <w:r w:rsidR="00461887">
        <w:rPr>
          <w:color w:val="215E9E"/>
          <w:spacing w:val="-2"/>
          <w:sz w:val="16"/>
          <w:u w:val="single" w:color="215E9E"/>
        </w:rPr>
        <w:t>-2016-2020-statewide-report/download</w:t>
      </w:r>
      <w:r w:rsidR="00461887">
        <w:rPr>
          <w:spacing w:val="-2"/>
          <w:sz w:val="16"/>
        </w:rPr>
        <w:t>.</w:t>
      </w:r>
    </w:p>
    <w:p w14:paraId="1C34EFA3" w14:textId="5C2C6E6F" w:rsidR="004C558F" w:rsidRDefault="00461887">
      <w:pPr>
        <w:pStyle w:val="ListParagraph"/>
        <w:numPr>
          <w:ilvl w:val="0"/>
          <w:numId w:val="1"/>
        </w:numPr>
        <w:tabs>
          <w:tab w:val="left" w:pos="525"/>
        </w:tabs>
        <w:spacing w:before="1" w:line="261" w:lineRule="auto"/>
        <w:ind w:left="525" w:right="621" w:hanging="270"/>
        <w:rPr>
          <w:sz w:val="16"/>
        </w:rPr>
      </w:pPr>
      <w:r>
        <w:rPr>
          <w:sz w:val="16"/>
        </w:rPr>
        <w:t xml:space="preserve">Darran Liu et al., </w:t>
      </w:r>
      <w:hyperlink r:id="rId146" w:history="1">
        <w:r w:rsidRPr="00FD694A">
          <w:rPr>
            <w:rStyle w:val="Hyperlink"/>
            <w:i/>
            <w:color w:val="000000" w:themeColor="text1"/>
            <w:sz w:val="16"/>
            <w:u w:val="none"/>
          </w:rPr>
          <w:t>Interventions to Reduce Healthcare Disparities in</w:t>
        </w:r>
        <w:r w:rsidRPr="00FD694A">
          <w:rPr>
            <w:rStyle w:val="Hyperlink"/>
            <w:i/>
            <w:color w:val="000000" w:themeColor="text1"/>
            <w:spacing w:val="40"/>
            <w:sz w:val="16"/>
            <w:u w:val="none"/>
          </w:rPr>
          <w:t xml:space="preserve"> </w:t>
        </w:r>
        <w:r w:rsidRPr="00FD694A">
          <w:rPr>
            <w:rStyle w:val="Hyperlink"/>
            <w:i/>
            <w:color w:val="000000" w:themeColor="text1"/>
            <w:sz w:val="16"/>
            <w:u w:val="none"/>
          </w:rPr>
          <w:t>Cancer Screening Among Minority Adults: A Systematic Review,</w:t>
        </w:r>
      </w:hyperlink>
      <w:r w:rsidRPr="00FD694A">
        <w:rPr>
          <w:i/>
          <w:color w:val="000000" w:themeColor="text1"/>
          <w:sz w:val="16"/>
        </w:rPr>
        <w:t xml:space="preserve"> </w:t>
      </w:r>
      <w:r w:rsidRPr="00FD694A">
        <w:rPr>
          <w:color w:val="000000" w:themeColor="text1"/>
          <w:sz w:val="16"/>
        </w:rPr>
        <w:t>8</w:t>
      </w:r>
      <w:r w:rsidRPr="00FD694A">
        <w:rPr>
          <w:color w:val="000000" w:themeColor="text1"/>
          <w:w w:val="120"/>
          <w:sz w:val="16"/>
        </w:rPr>
        <w:t xml:space="preserve"> </w:t>
      </w:r>
      <w:proofErr w:type="spellStart"/>
      <w:r>
        <w:rPr>
          <w:w w:val="120"/>
          <w:sz w:val="16"/>
        </w:rPr>
        <w:t>J</w:t>
      </w:r>
      <w:r>
        <w:rPr>
          <w:w w:val="120"/>
          <w:sz w:val="11"/>
        </w:rPr>
        <w:t>ourNal</w:t>
      </w:r>
      <w:proofErr w:type="spellEnd"/>
      <w:r>
        <w:rPr>
          <w:w w:val="120"/>
          <w:sz w:val="11"/>
        </w:rPr>
        <w:t xml:space="preserve"> of </w:t>
      </w:r>
      <w:proofErr w:type="spellStart"/>
      <w:r>
        <w:rPr>
          <w:w w:val="120"/>
          <w:sz w:val="16"/>
        </w:rPr>
        <w:t>r</w:t>
      </w:r>
      <w:r>
        <w:rPr>
          <w:w w:val="120"/>
          <w:sz w:val="11"/>
        </w:rPr>
        <w:t>aCial</w:t>
      </w:r>
      <w:proofErr w:type="spellEnd"/>
      <w:r>
        <w:rPr>
          <w:w w:val="120"/>
          <w:sz w:val="11"/>
        </w:rPr>
        <w:t xml:space="preserve"> </w:t>
      </w:r>
      <w:proofErr w:type="spellStart"/>
      <w:r>
        <w:rPr>
          <w:w w:val="110"/>
          <w:sz w:val="11"/>
        </w:rPr>
        <w:t>aND</w:t>
      </w:r>
      <w:proofErr w:type="spellEnd"/>
      <w:r>
        <w:rPr>
          <w:w w:val="110"/>
          <w:sz w:val="11"/>
        </w:rPr>
        <w:t xml:space="preserve"> </w:t>
      </w:r>
      <w:proofErr w:type="spellStart"/>
      <w:r>
        <w:rPr>
          <w:w w:val="110"/>
          <w:sz w:val="16"/>
        </w:rPr>
        <w:t>e</w:t>
      </w:r>
      <w:r>
        <w:rPr>
          <w:w w:val="110"/>
          <w:sz w:val="11"/>
        </w:rPr>
        <w:t>thNiC</w:t>
      </w:r>
      <w:proofErr w:type="spellEnd"/>
      <w:r>
        <w:rPr>
          <w:w w:val="110"/>
          <w:sz w:val="11"/>
        </w:rPr>
        <w:t xml:space="preserve"> </w:t>
      </w:r>
      <w:r>
        <w:rPr>
          <w:w w:val="120"/>
          <w:sz w:val="16"/>
        </w:rPr>
        <w:t>h</w:t>
      </w:r>
      <w:r>
        <w:rPr>
          <w:w w:val="120"/>
          <w:sz w:val="11"/>
        </w:rPr>
        <w:t xml:space="preserve">ealth </w:t>
      </w:r>
      <w:r>
        <w:rPr>
          <w:w w:val="110"/>
          <w:sz w:val="16"/>
        </w:rPr>
        <w:t>D</w:t>
      </w:r>
      <w:r>
        <w:rPr>
          <w:w w:val="110"/>
          <w:sz w:val="11"/>
        </w:rPr>
        <w:t xml:space="preserve">isparities </w:t>
      </w:r>
      <w:r>
        <w:rPr>
          <w:w w:val="110"/>
          <w:sz w:val="16"/>
        </w:rPr>
        <w:t>107,</w:t>
      </w:r>
      <w:r>
        <w:rPr>
          <w:spacing w:val="-6"/>
          <w:w w:val="110"/>
          <w:sz w:val="16"/>
        </w:rPr>
        <w:t xml:space="preserve"> </w:t>
      </w:r>
      <w:r>
        <w:rPr>
          <w:w w:val="110"/>
          <w:sz w:val="16"/>
        </w:rPr>
        <w:t>(2021),</w:t>
      </w:r>
      <w:r>
        <w:rPr>
          <w:spacing w:val="-6"/>
          <w:w w:val="110"/>
          <w:sz w:val="16"/>
        </w:rPr>
        <w:t xml:space="preserve"> </w:t>
      </w:r>
      <w:r>
        <w:rPr>
          <w:i/>
          <w:w w:val="110"/>
          <w:sz w:val="16"/>
        </w:rPr>
        <w:t>available</w:t>
      </w:r>
      <w:r>
        <w:rPr>
          <w:i/>
          <w:spacing w:val="-8"/>
          <w:w w:val="110"/>
          <w:sz w:val="16"/>
        </w:rPr>
        <w:t xml:space="preserve"> </w:t>
      </w:r>
      <w:r>
        <w:rPr>
          <w:i/>
          <w:w w:val="110"/>
          <w:sz w:val="16"/>
        </w:rPr>
        <w:t xml:space="preserve">at </w:t>
      </w:r>
      <w:r>
        <w:rPr>
          <w:color w:val="215E9E"/>
          <w:spacing w:val="-2"/>
          <w:sz w:val="16"/>
          <w:u w:val="single" w:color="215E9E"/>
        </w:rPr>
        <w:t>https://link.springer.com/article/10.1007/s40615-020-00763-1</w:t>
      </w:r>
      <w:r>
        <w:rPr>
          <w:spacing w:val="-2"/>
          <w:sz w:val="16"/>
        </w:rPr>
        <w:t>.</w:t>
      </w:r>
    </w:p>
    <w:p w14:paraId="1C34EFA4" w14:textId="78A2048B" w:rsidR="004C558F" w:rsidRDefault="00461887">
      <w:pPr>
        <w:pStyle w:val="ListParagraph"/>
        <w:numPr>
          <w:ilvl w:val="0"/>
          <w:numId w:val="1"/>
        </w:numPr>
        <w:tabs>
          <w:tab w:val="left" w:pos="523"/>
          <w:tab w:val="left" w:pos="525"/>
        </w:tabs>
        <w:spacing w:before="1" w:line="261" w:lineRule="auto"/>
        <w:ind w:left="525" w:right="624" w:hanging="270"/>
        <w:rPr>
          <w:sz w:val="16"/>
        </w:rPr>
      </w:pPr>
      <w:r>
        <w:rPr>
          <w:w w:val="105"/>
          <w:sz w:val="16"/>
        </w:rPr>
        <w:t xml:space="preserve">Michelle Tong et al., </w:t>
      </w:r>
      <w:hyperlink r:id="rId147" w:history="1">
        <w:r w:rsidRPr="00FD694A">
          <w:rPr>
            <w:rStyle w:val="Hyperlink"/>
            <w:i/>
            <w:color w:val="000000" w:themeColor="text1"/>
            <w:w w:val="105"/>
            <w:sz w:val="16"/>
            <w:u w:val="none"/>
          </w:rPr>
          <w:t>Racial Disparities in Cancer Outcomes, Screening,</w:t>
        </w:r>
        <w:r w:rsidRPr="00FD694A">
          <w:rPr>
            <w:rStyle w:val="Hyperlink"/>
            <w:i/>
            <w:color w:val="000000" w:themeColor="text1"/>
            <w:spacing w:val="-1"/>
            <w:w w:val="105"/>
            <w:sz w:val="16"/>
            <w:u w:val="none"/>
          </w:rPr>
          <w:t xml:space="preserve"> </w:t>
        </w:r>
        <w:r w:rsidRPr="00FD694A">
          <w:rPr>
            <w:rStyle w:val="Hyperlink"/>
            <w:i/>
            <w:color w:val="000000" w:themeColor="text1"/>
            <w:w w:val="105"/>
            <w:sz w:val="16"/>
            <w:u w:val="none"/>
          </w:rPr>
          <w:t>and</w:t>
        </w:r>
        <w:r w:rsidRPr="00FD694A">
          <w:rPr>
            <w:rStyle w:val="Hyperlink"/>
            <w:i/>
            <w:color w:val="000000" w:themeColor="text1"/>
            <w:spacing w:val="-1"/>
            <w:w w:val="105"/>
            <w:sz w:val="16"/>
            <w:u w:val="none"/>
          </w:rPr>
          <w:t xml:space="preserve"> </w:t>
        </w:r>
        <w:r w:rsidRPr="00FD694A">
          <w:rPr>
            <w:rStyle w:val="Hyperlink"/>
            <w:i/>
            <w:color w:val="000000" w:themeColor="text1"/>
            <w:w w:val="105"/>
            <w:sz w:val="16"/>
            <w:u w:val="none"/>
          </w:rPr>
          <w:t>Treatment</w:t>
        </w:r>
      </w:hyperlink>
      <w:r w:rsidRPr="00FD694A">
        <w:rPr>
          <w:i/>
          <w:color w:val="000000" w:themeColor="text1"/>
          <w:w w:val="105"/>
          <w:sz w:val="16"/>
        </w:rPr>
        <w:t xml:space="preserve">, </w:t>
      </w:r>
      <w:proofErr w:type="spellStart"/>
      <w:r>
        <w:rPr>
          <w:w w:val="130"/>
          <w:sz w:val="16"/>
        </w:rPr>
        <w:t>kff</w:t>
      </w:r>
      <w:proofErr w:type="spellEnd"/>
      <w:r>
        <w:rPr>
          <w:spacing w:val="-10"/>
          <w:w w:val="130"/>
          <w:sz w:val="16"/>
        </w:rPr>
        <w:t xml:space="preserve"> </w:t>
      </w:r>
      <w:r>
        <w:rPr>
          <w:w w:val="105"/>
          <w:sz w:val="16"/>
        </w:rPr>
        <w:t xml:space="preserve">[hereinafter Tong et al.,], </w:t>
      </w:r>
      <w:r>
        <w:rPr>
          <w:color w:val="215E9E"/>
          <w:w w:val="105"/>
          <w:sz w:val="16"/>
          <w:u w:val="single" w:color="215E9E"/>
        </w:rPr>
        <w:t>https://</w:t>
      </w:r>
      <w:r>
        <w:rPr>
          <w:color w:val="215E9E"/>
          <w:w w:val="105"/>
          <w:sz w:val="16"/>
        </w:rPr>
        <w:t xml:space="preserve"> </w:t>
      </w:r>
      <w:hyperlink r:id="rId148">
        <w:r>
          <w:rPr>
            <w:color w:val="215E9E"/>
            <w:spacing w:val="-2"/>
            <w:w w:val="105"/>
            <w:sz w:val="16"/>
            <w:u w:val="single" w:color="215E9E"/>
          </w:rPr>
          <w:t>www.kff.org/racial-equity-and-health-policy/issue-brief/racial-dis-</w:t>
        </w:r>
      </w:hyperlink>
      <w:r>
        <w:rPr>
          <w:color w:val="215E9E"/>
          <w:w w:val="105"/>
          <w:sz w:val="16"/>
        </w:rPr>
        <w:t xml:space="preserve"> </w:t>
      </w:r>
      <w:r>
        <w:rPr>
          <w:color w:val="215E9E"/>
          <w:sz w:val="16"/>
          <w:u w:val="single" w:color="215E9E"/>
        </w:rPr>
        <w:t>parities-in-cancer-outcomes-screening-and-treatment/</w:t>
      </w:r>
      <w:r>
        <w:rPr>
          <w:color w:val="215E9E"/>
          <w:sz w:val="16"/>
        </w:rPr>
        <w:t xml:space="preserve"> </w:t>
      </w:r>
      <w:r>
        <w:rPr>
          <w:sz w:val="16"/>
        </w:rPr>
        <w:t>(last visited</w:t>
      </w:r>
      <w:r>
        <w:rPr>
          <w:w w:val="105"/>
          <w:sz w:val="16"/>
        </w:rPr>
        <w:t xml:space="preserve"> February 27, 2025).</w:t>
      </w:r>
    </w:p>
    <w:p w14:paraId="1C34EFA5" w14:textId="77777777" w:rsidR="004C558F" w:rsidRDefault="00461887">
      <w:pPr>
        <w:pStyle w:val="ListParagraph"/>
        <w:numPr>
          <w:ilvl w:val="0"/>
          <w:numId w:val="1"/>
        </w:numPr>
        <w:tabs>
          <w:tab w:val="left" w:pos="523"/>
        </w:tabs>
        <w:spacing w:before="2"/>
        <w:ind w:left="523" w:hanging="268"/>
        <w:rPr>
          <w:i/>
          <w:sz w:val="16"/>
        </w:rPr>
      </w:pPr>
      <w:r>
        <w:rPr>
          <w:i/>
          <w:spacing w:val="-5"/>
          <w:w w:val="105"/>
          <w:sz w:val="16"/>
        </w:rPr>
        <w:t>Id.</w:t>
      </w:r>
    </w:p>
    <w:p w14:paraId="1C34EFA6" w14:textId="38025223" w:rsidR="004C558F" w:rsidRDefault="00461887">
      <w:pPr>
        <w:pStyle w:val="ListParagraph"/>
        <w:numPr>
          <w:ilvl w:val="0"/>
          <w:numId w:val="1"/>
        </w:numPr>
        <w:tabs>
          <w:tab w:val="left" w:pos="523"/>
          <w:tab w:val="left" w:pos="525"/>
        </w:tabs>
        <w:spacing w:before="16" w:line="261" w:lineRule="auto"/>
        <w:ind w:left="525" w:right="605" w:hanging="270"/>
        <w:rPr>
          <w:sz w:val="16"/>
        </w:rPr>
      </w:pPr>
      <w:r>
        <w:rPr>
          <w:sz w:val="16"/>
        </w:rPr>
        <w:t xml:space="preserve">Whitney Zahnd et al., </w:t>
      </w:r>
      <w:hyperlink r:id="rId149" w:history="1">
        <w:r w:rsidRPr="00434339">
          <w:rPr>
            <w:rStyle w:val="Hyperlink"/>
            <w:i/>
            <w:color w:val="000000" w:themeColor="text1"/>
            <w:sz w:val="16"/>
            <w:u w:val="none"/>
          </w:rPr>
          <w:t>Rural-Urban Differences in Cancer Incidence</w:t>
        </w:r>
        <w:r w:rsidRPr="00434339">
          <w:rPr>
            <w:rStyle w:val="Hyperlink"/>
            <w:i/>
            <w:color w:val="000000" w:themeColor="text1"/>
            <w:w w:val="110"/>
            <w:sz w:val="16"/>
            <w:u w:val="none"/>
          </w:rPr>
          <w:t xml:space="preserve"> and</w:t>
        </w:r>
        <w:r w:rsidRPr="00434339">
          <w:rPr>
            <w:rStyle w:val="Hyperlink"/>
            <w:i/>
            <w:color w:val="000000" w:themeColor="text1"/>
            <w:spacing w:val="-11"/>
            <w:w w:val="110"/>
            <w:sz w:val="16"/>
            <w:u w:val="none"/>
          </w:rPr>
          <w:t xml:space="preserve"> </w:t>
        </w:r>
        <w:r w:rsidRPr="00434339">
          <w:rPr>
            <w:rStyle w:val="Hyperlink"/>
            <w:i/>
            <w:color w:val="000000" w:themeColor="text1"/>
            <w:w w:val="110"/>
            <w:sz w:val="16"/>
            <w:u w:val="none"/>
          </w:rPr>
          <w:t>Trends</w:t>
        </w:r>
        <w:r w:rsidRPr="00434339">
          <w:rPr>
            <w:rStyle w:val="Hyperlink"/>
            <w:i/>
            <w:color w:val="000000" w:themeColor="text1"/>
            <w:spacing w:val="-11"/>
            <w:w w:val="110"/>
            <w:sz w:val="16"/>
            <w:u w:val="none"/>
          </w:rPr>
          <w:t xml:space="preserve"> </w:t>
        </w:r>
        <w:r w:rsidRPr="00434339">
          <w:rPr>
            <w:rStyle w:val="Hyperlink"/>
            <w:i/>
            <w:color w:val="000000" w:themeColor="text1"/>
            <w:w w:val="110"/>
            <w:sz w:val="16"/>
            <w:u w:val="none"/>
          </w:rPr>
          <w:t>in</w:t>
        </w:r>
        <w:r w:rsidRPr="00434339">
          <w:rPr>
            <w:rStyle w:val="Hyperlink"/>
            <w:i/>
            <w:color w:val="000000" w:themeColor="text1"/>
            <w:spacing w:val="-11"/>
            <w:w w:val="110"/>
            <w:sz w:val="16"/>
            <w:u w:val="none"/>
          </w:rPr>
          <w:t xml:space="preserve"> </w:t>
        </w:r>
        <w:r w:rsidRPr="00434339">
          <w:rPr>
            <w:rStyle w:val="Hyperlink"/>
            <w:i/>
            <w:color w:val="000000" w:themeColor="text1"/>
            <w:w w:val="110"/>
            <w:sz w:val="16"/>
            <w:u w:val="none"/>
          </w:rPr>
          <w:t>the</w:t>
        </w:r>
        <w:r w:rsidRPr="00434339">
          <w:rPr>
            <w:rStyle w:val="Hyperlink"/>
            <w:i/>
            <w:color w:val="000000" w:themeColor="text1"/>
            <w:spacing w:val="-11"/>
            <w:w w:val="110"/>
            <w:sz w:val="16"/>
            <w:u w:val="none"/>
          </w:rPr>
          <w:t xml:space="preserve"> </w:t>
        </w:r>
        <w:r w:rsidRPr="00434339">
          <w:rPr>
            <w:rStyle w:val="Hyperlink"/>
            <w:i/>
            <w:color w:val="000000" w:themeColor="text1"/>
            <w:w w:val="110"/>
            <w:sz w:val="16"/>
            <w:u w:val="none"/>
          </w:rPr>
          <w:t>United</w:t>
        </w:r>
        <w:r w:rsidRPr="00434339">
          <w:rPr>
            <w:rStyle w:val="Hyperlink"/>
            <w:i/>
            <w:color w:val="000000" w:themeColor="text1"/>
            <w:spacing w:val="-11"/>
            <w:w w:val="110"/>
            <w:sz w:val="16"/>
            <w:u w:val="none"/>
          </w:rPr>
          <w:t xml:space="preserve"> </w:t>
        </w:r>
        <w:r w:rsidRPr="00434339">
          <w:rPr>
            <w:rStyle w:val="Hyperlink"/>
            <w:i/>
            <w:color w:val="000000" w:themeColor="text1"/>
            <w:w w:val="110"/>
            <w:sz w:val="16"/>
            <w:u w:val="none"/>
          </w:rPr>
          <w:t>States</w:t>
        </w:r>
      </w:hyperlink>
      <w:r w:rsidRPr="00434339">
        <w:rPr>
          <w:color w:val="000000" w:themeColor="text1"/>
          <w:w w:val="110"/>
          <w:sz w:val="16"/>
        </w:rPr>
        <w:t>,</w:t>
      </w:r>
      <w:r w:rsidRPr="00434339">
        <w:rPr>
          <w:color w:val="000000" w:themeColor="text1"/>
          <w:spacing w:val="-11"/>
          <w:w w:val="110"/>
          <w:sz w:val="16"/>
        </w:rPr>
        <w:t xml:space="preserve"> </w:t>
      </w:r>
      <w:r>
        <w:rPr>
          <w:w w:val="110"/>
          <w:sz w:val="16"/>
        </w:rPr>
        <w:t>27</w:t>
      </w:r>
      <w:r>
        <w:rPr>
          <w:spacing w:val="-11"/>
          <w:w w:val="110"/>
          <w:sz w:val="16"/>
        </w:rPr>
        <w:t xml:space="preserve"> </w:t>
      </w:r>
      <w:proofErr w:type="spellStart"/>
      <w:r>
        <w:rPr>
          <w:w w:val="110"/>
          <w:sz w:val="16"/>
        </w:rPr>
        <w:t>C</w:t>
      </w:r>
      <w:r>
        <w:rPr>
          <w:w w:val="110"/>
          <w:sz w:val="11"/>
        </w:rPr>
        <w:t>aNCer</w:t>
      </w:r>
      <w:proofErr w:type="spellEnd"/>
      <w:r>
        <w:rPr>
          <w:spacing w:val="-5"/>
          <w:w w:val="110"/>
          <w:sz w:val="11"/>
        </w:rPr>
        <w:t xml:space="preserve"> </w:t>
      </w:r>
      <w:proofErr w:type="spellStart"/>
      <w:r>
        <w:rPr>
          <w:w w:val="110"/>
          <w:sz w:val="16"/>
        </w:rPr>
        <w:t>e</w:t>
      </w:r>
      <w:r>
        <w:rPr>
          <w:w w:val="110"/>
          <w:sz w:val="11"/>
        </w:rPr>
        <w:t>piDemiol</w:t>
      </w:r>
      <w:proofErr w:type="spellEnd"/>
      <w:r>
        <w:rPr>
          <w:spacing w:val="-5"/>
          <w:w w:val="110"/>
          <w:sz w:val="11"/>
        </w:rPr>
        <w:t xml:space="preserve"> </w:t>
      </w:r>
      <w:r>
        <w:rPr>
          <w:w w:val="110"/>
          <w:sz w:val="16"/>
        </w:rPr>
        <w:t>B</w:t>
      </w:r>
      <w:r>
        <w:rPr>
          <w:w w:val="110"/>
          <w:sz w:val="11"/>
        </w:rPr>
        <w:t>iomarkers</w:t>
      </w:r>
      <w:r>
        <w:rPr>
          <w:spacing w:val="-2"/>
          <w:w w:val="110"/>
          <w:sz w:val="11"/>
        </w:rPr>
        <w:t xml:space="preserve"> </w:t>
      </w:r>
      <w:r>
        <w:rPr>
          <w:w w:val="110"/>
          <w:sz w:val="16"/>
        </w:rPr>
        <w:t>p</w:t>
      </w:r>
      <w:r>
        <w:rPr>
          <w:w w:val="110"/>
          <w:sz w:val="11"/>
        </w:rPr>
        <w:t>rev</w:t>
      </w:r>
      <w:r>
        <w:rPr>
          <w:w w:val="110"/>
          <w:sz w:val="16"/>
        </w:rPr>
        <w:t xml:space="preserve">. </w:t>
      </w:r>
      <w:r>
        <w:rPr>
          <w:sz w:val="16"/>
        </w:rPr>
        <w:t xml:space="preserve">1265, (2018), available at </w:t>
      </w:r>
      <w:r>
        <w:rPr>
          <w:color w:val="215E9E"/>
          <w:sz w:val="16"/>
          <w:u w:val="single" w:color="215E9E"/>
        </w:rPr>
        <w:t>https://pmc.ncbi.nlm.nih.gov/articles/</w:t>
      </w:r>
      <w:r>
        <w:rPr>
          <w:color w:val="215E9E"/>
          <w:w w:val="110"/>
          <w:sz w:val="16"/>
        </w:rPr>
        <w:t xml:space="preserve"> </w:t>
      </w:r>
      <w:r>
        <w:rPr>
          <w:color w:val="215E9E"/>
          <w:spacing w:val="-2"/>
          <w:w w:val="110"/>
          <w:sz w:val="16"/>
          <w:u w:val="single" w:color="215E9E"/>
        </w:rPr>
        <w:t>PMC5787045/pdf/nihms895528.pdf</w:t>
      </w:r>
      <w:r>
        <w:rPr>
          <w:spacing w:val="-2"/>
          <w:w w:val="110"/>
          <w:sz w:val="16"/>
        </w:rPr>
        <w:t>.</w:t>
      </w:r>
    </w:p>
    <w:p w14:paraId="1C34EFA7" w14:textId="77777777" w:rsidR="004C558F" w:rsidRDefault="00461887">
      <w:pPr>
        <w:pStyle w:val="ListParagraph"/>
        <w:numPr>
          <w:ilvl w:val="0"/>
          <w:numId w:val="1"/>
        </w:numPr>
        <w:tabs>
          <w:tab w:val="left" w:pos="523"/>
        </w:tabs>
        <w:spacing w:before="1"/>
        <w:ind w:left="523" w:hanging="268"/>
        <w:rPr>
          <w:sz w:val="16"/>
        </w:rPr>
      </w:pPr>
      <w:r>
        <w:rPr>
          <w:spacing w:val="-2"/>
          <w:w w:val="110"/>
          <w:sz w:val="16"/>
        </w:rPr>
        <w:t>ACS</w:t>
      </w:r>
      <w:r>
        <w:rPr>
          <w:spacing w:val="-5"/>
          <w:w w:val="110"/>
          <w:sz w:val="16"/>
        </w:rPr>
        <w:t xml:space="preserve"> </w:t>
      </w:r>
      <w:r>
        <w:rPr>
          <w:spacing w:val="-2"/>
          <w:w w:val="110"/>
          <w:sz w:val="16"/>
        </w:rPr>
        <w:t>2023</w:t>
      </w:r>
      <w:r>
        <w:rPr>
          <w:spacing w:val="-5"/>
          <w:w w:val="110"/>
          <w:sz w:val="16"/>
        </w:rPr>
        <w:t xml:space="preserve"> </w:t>
      </w:r>
      <w:r>
        <w:rPr>
          <w:spacing w:val="-2"/>
          <w:w w:val="120"/>
          <w:sz w:val="16"/>
        </w:rPr>
        <w:t>r</w:t>
      </w:r>
      <w:r>
        <w:rPr>
          <w:spacing w:val="-2"/>
          <w:w w:val="120"/>
          <w:sz w:val="11"/>
        </w:rPr>
        <w:t>eport</w:t>
      </w:r>
      <w:r>
        <w:rPr>
          <w:spacing w:val="-2"/>
          <w:w w:val="120"/>
          <w:sz w:val="16"/>
        </w:rPr>
        <w:t>,</w:t>
      </w:r>
      <w:r>
        <w:rPr>
          <w:spacing w:val="-8"/>
          <w:w w:val="120"/>
          <w:sz w:val="16"/>
        </w:rPr>
        <w:t xml:space="preserve"> </w:t>
      </w:r>
      <w:r>
        <w:rPr>
          <w:i/>
          <w:spacing w:val="-2"/>
          <w:w w:val="110"/>
          <w:sz w:val="16"/>
        </w:rPr>
        <w:t>supra</w:t>
      </w:r>
      <w:r>
        <w:rPr>
          <w:i/>
          <w:spacing w:val="-6"/>
          <w:w w:val="110"/>
          <w:sz w:val="16"/>
        </w:rPr>
        <w:t xml:space="preserve"> </w:t>
      </w:r>
      <w:r>
        <w:rPr>
          <w:spacing w:val="-2"/>
          <w:w w:val="110"/>
          <w:sz w:val="16"/>
        </w:rPr>
        <w:t>note</w:t>
      </w:r>
      <w:r>
        <w:rPr>
          <w:spacing w:val="-5"/>
          <w:w w:val="110"/>
          <w:sz w:val="16"/>
        </w:rPr>
        <w:t xml:space="preserve"> 7.</w:t>
      </w:r>
    </w:p>
    <w:p w14:paraId="1C34EFA8" w14:textId="77777777" w:rsidR="004C558F" w:rsidRDefault="004C558F">
      <w:pPr>
        <w:rPr>
          <w:sz w:val="16"/>
        </w:rPr>
        <w:sectPr w:rsidR="004C558F">
          <w:pgSz w:w="12240" w:h="15840"/>
          <w:pgMar w:top="1140" w:right="440" w:bottom="720" w:left="680" w:header="0" w:footer="521" w:gutter="0"/>
          <w:cols w:num="2" w:space="720" w:equalWidth="0">
            <w:col w:w="5289" w:space="92"/>
            <w:col w:w="5739"/>
          </w:cols>
        </w:sectPr>
      </w:pPr>
    </w:p>
    <w:p w14:paraId="1C34EFA9" w14:textId="77777777" w:rsidR="004C558F" w:rsidRDefault="00461887">
      <w:pPr>
        <w:pStyle w:val="BodyText"/>
        <w:spacing w:before="80"/>
        <w:ind w:left="3" w:right="238"/>
        <w:jc w:val="center"/>
      </w:pPr>
      <w:r>
        <w:rPr>
          <w:noProof/>
        </w:rPr>
        <w:lastRenderedPageBreak/>
        <mc:AlternateContent>
          <mc:Choice Requires="wpg">
            <w:drawing>
              <wp:anchor distT="0" distB="0" distL="0" distR="0" simplePos="0" relativeHeight="251622400" behindDoc="1" locked="0" layoutInCell="1" allowOverlap="1" wp14:anchorId="1C34F170" wp14:editId="5C8E2953">
                <wp:simplePos x="0" y="0"/>
                <wp:positionH relativeFrom="page">
                  <wp:posOffset>726757</wp:posOffset>
                </wp:positionH>
                <wp:positionV relativeFrom="paragraph">
                  <wp:posOffset>228193</wp:posOffset>
                </wp:positionV>
                <wp:extent cx="5953125" cy="3171825"/>
                <wp:effectExtent l="0" t="0" r="0" b="0"/>
                <wp:wrapNone/>
                <wp:docPr id="573" name="Group 573" descr="Bar graph of DFCI’s Inpatient Medical Oncology Payer Mix (2019 –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171825"/>
                          <a:chOff x="0" y="0"/>
                          <a:chExt cx="5953125" cy="3171825"/>
                        </a:xfrm>
                      </wpg:grpSpPr>
                      <wps:wsp>
                        <wps:cNvPr id="574" name="Graphic 574"/>
                        <wps:cNvSpPr/>
                        <wps:spPr>
                          <a:xfrm>
                            <a:off x="894372" y="29438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084875"/>
                          </a:solidFill>
                        </wps:spPr>
                        <wps:bodyPr wrap="square" lIns="0" tIns="0" rIns="0" bIns="0" rtlCol="0">
                          <a:prstTxWarp prst="textNoShape">
                            <a:avLst/>
                          </a:prstTxWarp>
                          <a:noAutofit/>
                        </wps:bodyPr>
                      </wps:wsp>
                      <wps:wsp>
                        <wps:cNvPr id="575" name="Graphic 575"/>
                        <wps:cNvSpPr/>
                        <wps:spPr>
                          <a:xfrm>
                            <a:off x="1826234" y="29438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1682A"/>
                          </a:solidFill>
                        </wps:spPr>
                        <wps:bodyPr wrap="square" lIns="0" tIns="0" rIns="0" bIns="0" rtlCol="0">
                          <a:prstTxWarp prst="textNoShape">
                            <a:avLst/>
                          </a:prstTxWarp>
                          <a:noAutofit/>
                        </wps:bodyPr>
                      </wps:wsp>
                      <wps:wsp>
                        <wps:cNvPr id="576" name="Graphic 576"/>
                        <wps:cNvSpPr/>
                        <wps:spPr>
                          <a:xfrm>
                            <a:off x="2602217" y="29438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339FC7"/>
                          </a:solidFill>
                        </wps:spPr>
                        <wps:bodyPr wrap="square" lIns="0" tIns="0" rIns="0" bIns="0" rtlCol="0">
                          <a:prstTxWarp prst="textNoShape">
                            <a:avLst/>
                          </a:prstTxWarp>
                          <a:noAutofit/>
                        </wps:bodyPr>
                      </wps:wsp>
                      <wps:wsp>
                        <wps:cNvPr id="577" name="Graphic 577"/>
                        <wps:cNvSpPr/>
                        <wps:spPr>
                          <a:xfrm>
                            <a:off x="3389109" y="29438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9A720"/>
                          </a:solidFill>
                        </wps:spPr>
                        <wps:bodyPr wrap="square" lIns="0" tIns="0" rIns="0" bIns="0" rtlCol="0">
                          <a:prstTxWarp prst="textNoShape">
                            <a:avLst/>
                          </a:prstTxWarp>
                          <a:noAutofit/>
                        </wps:bodyPr>
                      </wps:wsp>
                      <wps:wsp>
                        <wps:cNvPr id="578" name="Graphic 578"/>
                        <wps:cNvSpPr/>
                        <wps:spPr>
                          <a:xfrm>
                            <a:off x="4188904" y="294389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53C0A4"/>
                          </a:solidFill>
                        </wps:spPr>
                        <wps:bodyPr wrap="square" lIns="0" tIns="0" rIns="0" bIns="0" rtlCol="0">
                          <a:prstTxWarp prst="textNoShape">
                            <a:avLst/>
                          </a:prstTxWarp>
                          <a:noAutofit/>
                        </wps:bodyPr>
                      </wps:wsp>
                      <wps:wsp>
                        <wps:cNvPr id="579" name="Graphic 579"/>
                        <wps:cNvSpPr/>
                        <wps:spPr>
                          <a:xfrm>
                            <a:off x="4762" y="4762"/>
                            <a:ext cx="5943600" cy="3162300"/>
                          </a:xfrm>
                          <a:custGeom>
                            <a:avLst/>
                            <a:gdLst/>
                            <a:ahLst/>
                            <a:cxnLst/>
                            <a:rect l="l" t="t" r="r" b="b"/>
                            <a:pathLst>
                              <a:path w="5943600" h="3162300">
                                <a:moveTo>
                                  <a:pt x="0" y="0"/>
                                </a:moveTo>
                                <a:lnTo>
                                  <a:pt x="5943600" y="0"/>
                                </a:lnTo>
                                <a:lnTo>
                                  <a:pt x="5943600" y="3162300"/>
                                </a:lnTo>
                                <a:lnTo>
                                  <a:pt x="0" y="31623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80" name="Textbox 580"/>
                        <wps:cNvSpPr txBox="1"/>
                        <wps:spPr>
                          <a:xfrm>
                            <a:off x="87277" y="63254"/>
                            <a:ext cx="343535" cy="152400"/>
                          </a:xfrm>
                          <a:prstGeom prst="rect">
                            <a:avLst/>
                          </a:prstGeom>
                        </wps:spPr>
                        <wps:txbx>
                          <w:txbxContent>
                            <w:p w14:paraId="1C34F26A" w14:textId="77777777" w:rsidR="004C558F" w:rsidRDefault="00461887">
                              <w:pPr>
                                <w:spacing w:before="1"/>
                                <w:rPr>
                                  <w:sz w:val="21"/>
                                </w:rPr>
                              </w:pPr>
                              <w:r>
                                <w:rPr>
                                  <w:color w:val="585858"/>
                                  <w:spacing w:val="-4"/>
                                  <w:sz w:val="21"/>
                                </w:rPr>
                                <w:t>100%</w:t>
                              </w:r>
                            </w:p>
                          </w:txbxContent>
                        </wps:txbx>
                        <wps:bodyPr wrap="square" lIns="0" tIns="0" rIns="0" bIns="0" rtlCol="0">
                          <a:noAutofit/>
                        </wps:bodyPr>
                      </wps:wsp>
                      <wps:wsp>
                        <wps:cNvPr id="581" name="Textbox 581"/>
                        <wps:cNvSpPr txBox="1"/>
                        <wps:spPr>
                          <a:xfrm>
                            <a:off x="710374" y="63254"/>
                            <a:ext cx="715645" cy="152400"/>
                          </a:xfrm>
                          <a:prstGeom prst="rect">
                            <a:avLst/>
                          </a:prstGeom>
                        </wps:spPr>
                        <wps:txbx>
                          <w:txbxContent>
                            <w:p w14:paraId="1C34F26B" w14:textId="77777777" w:rsidR="004C558F" w:rsidRDefault="00461887">
                              <w:pPr>
                                <w:tabs>
                                  <w:tab w:val="left" w:pos="1106"/>
                                </w:tabs>
                                <w:spacing w:before="1"/>
                                <w:rPr>
                                  <w:sz w:val="21"/>
                                </w:rPr>
                              </w:pPr>
                              <w:r>
                                <w:rPr>
                                  <w:color w:val="585858"/>
                                  <w:sz w:val="21"/>
                                  <w:u w:val="single" w:color="F9A720"/>
                                </w:rPr>
                                <w:t xml:space="preserve"> </w:t>
                              </w:r>
                              <w:r>
                                <w:rPr>
                                  <w:color w:val="585858"/>
                                  <w:sz w:val="21"/>
                                  <w:u w:val="single" w:color="F9A720"/>
                                </w:rPr>
                                <w:tab/>
                              </w:r>
                            </w:p>
                          </w:txbxContent>
                        </wps:txbx>
                        <wps:bodyPr wrap="square" lIns="0" tIns="0" rIns="0" bIns="0" rtlCol="0">
                          <a:noAutofit/>
                        </wps:bodyPr>
                      </wps:wsp>
                      <wps:wsp>
                        <wps:cNvPr id="582" name="Textbox 582"/>
                        <wps:cNvSpPr txBox="1"/>
                        <wps:spPr>
                          <a:xfrm>
                            <a:off x="165464" y="664612"/>
                            <a:ext cx="266700" cy="152400"/>
                          </a:xfrm>
                          <a:prstGeom prst="rect">
                            <a:avLst/>
                          </a:prstGeom>
                        </wps:spPr>
                        <wps:txbx>
                          <w:txbxContent>
                            <w:p w14:paraId="1C34F26C" w14:textId="77777777" w:rsidR="004C558F" w:rsidRDefault="00461887">
                              <w:pPr>
                                <w:spacing w:before="1"/>
                                <w:rPr>
                                  <w:sz w:val="21"/>
                                </w:rPr>
                              </w:pPr>
                              <w:r>
                                <w:rPr>
                                  <w:color w:val="585858"/>
                                  <w:spacing w:val="-5"/>
                                  <w:sz w:val="21"/>
                                </w:rPr>
                                <w:t>75%</w:t>
                              </w:r>
                            </w:p>
                          </w:txbxContent>
                        </wps:txbx>
                        <wps:bodyPr wrap="square" lIns="0" tIns="0" rIns="0" bIns="0" rtlCol="0">
                          <a:noAutofit/>
                        </wps:bodyPr>
                      </wps:wsp>
                      <wps:wsp>
                        <wps:cNvPr id="583" name="Textbox 583"/>
                        <wps:cNvSpPr txBox="1"/>
                        <wps:spPr>
                          <a:xfrm>
                            <a:off x="165464" y="1265970"/>
                            <a:ext cx="266700" cy="152400"/>
                          </a:xfrm>
                          <a:prstGeom prst="rect">
                            <a:avLst/>
                          </a:prstGeom>
                        </wps:spPr>
                        <wps:txbx>
                          <w:txbxContent>
                            <w:p w14:paraId="1C34F26D" w14:textId="77777777" w:rsidR="004C558F" w:rsidRDefault="00461887">
                              <w:pPr>
                                <w:spacing w:before="1"/>
                                <w:rPr>
                                  <w:sz w:val="21"/>
                                </w:rPr>
                              </w:pPr>
                              <w:r>
                                <w:rPr>
                                  <w:color w:val="585858"/>
                                  <w:spacing w:val="-5"/>
                                  <w:sz w:val="21"/>
                                </w:rPr>
                                <w:t>50%</w:t>
                              </w:r>
                            </w:p>
                          </w:txbxContent>
                        </wps:txbx>
                        <wps:bodyPr wrap="square" lIns="0" tIns="0" rIns="0" bIns="0" rtlCol="0">
                          <a:noAutofit/>
                        </wps:bodyPr>
                      </wps:wsp>
                      <wps:wsp>
                        <wps:cNvPr id="584" name="Textbox 584"/>
                        <wps:cNvSpPr txBox="1"/>
                        <wps:spPr>
                          <a:xfrm>
                            <a:off x="165464" y="1867329"/>
                            <a:ext cx="266700" cy="152400"/>
                          </a:xfrm>
                          <a:prstGeom prst="rect">
                            <a:avLst/>
                          </a:prstGeom>
                        </wps:spPr>
                        <wps:txbx>
                          <w:txbxContent>
                            <w:p w14:paraId="1C34F26E" w14:textId="77777777" w:rsidR="004C558F" w:rsidRDefault="00461887">
                              <w:pPr>
                                <w:spacing w:before="1"/>
                                <w:rPr>
                                  <w:sz w:val="21"/>
                                </w:rPr>
                              </w:pPr>
                              <w:r>
                                <w:rPr>
                                  <w:color w:val="585858"/>
                                  <w:spacing w:val="-5"/>
                                  <w:sz w:val="21"/>
                                </w:rPr>
                                <w:t>25%</w:t>
                              </w:r>
                            </w:p>
                          </w:txbxContent>
                        </wps:txbx>
                        <wps:bodyPr wrap="square" lIns="0" tIns="0" rIns="0" bIns="0" rtlCol="0">
                          <a:noAutofit/>
                        </wps:bodyPr>
                      </wps:wsp>
                      <wps:wsp>
                        <wps:cNvPr id="585" name="Textbox 585"/>
                        <wps:cNvSpPr txBox="1"/>
                        <wps:spPr>
                          <a:xfrm>
                            <a:off x="243652" y="2468687"/>
                            <a:ext cx="187325" cy="152400"/>
                          </a:xfrm>
                          <a:prstGeom prst="rect">
                            <a:avLst/>
                          </a:prstGeom>
                        </wps:spPr>
                        <wps:txbx>
                          <w:txbxContent>
                            <w:p w14:paraId="1C34F26F" w14:textId="77777777" w:rsidR="004C558F" w:rsidRDefault="00461887">
                              <w:pPr>
                                <w:spacing w:before="1"/>
                                <w:rPr>
                                  <w:sz w:val="21"/>
                                </w:rPr>
                              </w:pPr>
                              <w:r>
                                <w:rPr>
                                  <w:color w:val="585858"/>
                                  <w:spacing w:val="-5"/>
                                  <w:sz w:val="21"/>
                                </w:rPr>
                                <w:t>0%</w:t>
                              </w:r>
                            </w:p>
                          </w:txbxContent>
                        </wps:txbx>
                        <wps:bodyPr wrap="square" lIns="0" tIns="0" rIns="0" bIns="0" rtlCol="0">
                          <a:noAutofit/>
                        </wps:bodyPr>
                      </wps:wsp>
                      <wps:wsp>
                        <wps:cNvPr id="586" name="Textbox 586"/>
                        <wps:cNvSpPr txBox="1"/>
                        <wps:spPr>
                          <a:xfrm>
                            <a:off x="905226" y="2630023"/>
                            <a:ext cx="770255" cy="419100"/>
                          </a:xfrm>
                          <a:prstGeom prst="rect">
                            <a:avLst/>
                          </a:prstGeom>
                        </wps:spPr>
                        <wps:txbx>
                          <w:txbxContent>
                            <w:p w14:paraId="1C34F270" w14:textId="77777777" w:rsidR="004C558F" w:rsidRDefault="00461887">
                              <w:pPr>
                                <w:spacing w:before="1"/>
                                <w:rPr>
                                  <w:sz w:val="21"/>
                                </w:rPr>
                              </w:pPr>
                              <w:r>
                                <w:rPr>
                                  <w:color w:val="585858"/>
                                  <w:spacing w:val="-4"/>
                                  <w:sz w:val="21"/>
                                </w:rPr>
                                <w:t>2019</w:t>
                              </w:r>
                            </w:p>
                            <w:p w14:paraId="1C34F271" w14:textId="77777777" w:rsidR="004C558F" w:rsidRDefault="00461887">
                              <w:pPr>
                                <w:spacing w:before="182"/>
                                <w:ind w:left="136"/>
                                <w:rPr>
                                  <w:sz w:val="21"/>
                                </w:rPr>
                              </w:pPr>
                              <w:r>
                                <w:rPr>
                                  <w:color w:val="585858"/>
                                  <w:spacing w:val="-2"/>
                                  <w:sz w:val="21"/>
                                </w:rPr>
                                <w:t>Commercial</w:t>
                              </w:r>
                            </w:p>
                          </w:txbxContent>
                        </wps:txbx>
                        <wps:bodyPr wrap="square" lIns="0" tIns="0" rIns="0" bIns="0" rtlCol="0">
                          <a:noAutofit/>
                        </wps:bodyPr>
                      </wps:wsp>
                      <wps:wsp>
                        <wps:cNvPr id="587" name="Textbox 587"/>
                        <wps:cNvSpPr txBox="1"/>
                        <wps:spPr>
                          <a:xfrm>
                            <a:off x="1923527" y="2630023"/>
                            <a:ext cx="528955" cy="419100"/>
                          </a:xfrm>
                          <a:prstGeom prst="rect">
                            <a:avLst/>
                          </a:prstGeom>
                        </wps:spPr>
                        <wps:txbx>
                          <w:txbxContent>
                            <w:p w14:paraId="1C34F272" w14:textId="77777777" w:rsidR="004C558F" w:rsidRDefault="00461887">
                              <w:pPr>
                                <w:spacing w:before="1"/>
                                <w:ind w:left="57"/>
                                <w:rPr>
                                  <w:sz w:val="21"/>
                                </w:rPr>
                              </w:pPr>
                              <w:r>
                                <w:rPr>
                                  <w:color w:val="585858"/>
                                  <w:spacing w:val="-4"/>
                                  <w:sz w:val="21"/>
                                </w:rPr>
                                <w:t>2020</w:t>
                              </w:r>
                            </w:p>
                            <w:p w14:paraId="1C34F273" w14:textId="77777777" w:rsidR="004C558F" w:rsidRDefault="00461887">
                              <w:pPr>
                                <w:spacing w:before="182"/>
                                <w:rPr>
                                  <w:sz w:val="21"/>
                                </w:rPr>
                              </w:pPr>
                              <w:r>
                                <w:rPr>
                                  <w:color w:val="585858"/>
                                  <w:spacing w:val="-2"/>
                                  <w:sz w:val="21"/>
                                </w:rPr>
                                <w:t>Medicaid</w:t>
                              </w:r>
                            </w:p>
                          </w:txbxContent>
                        </wps:txbx>
                        <wps:bodyPr wrap="square" lIns="0" tIns="0" rIns="0" bIns="0" rtlCol="0">
                          <a:noAutofit/>
                        </wps:bodyPr>
                      </wps:wsp>
                      <wps:wsp>
                        <wps:cNvPr id="588" name="Textbox 588"/>
                        <wps:cNvSpPr txBox="1"/>
                        <wps:spPr>
                          <a:xfrm>
                            <a:off x="2699504" y="2630023"/>
                            <a:ext cx="2750820" cy="419100"/>
                          </a:xfrm>
                          <a:prstGeom prst="rect">
                            <a:avLst/>
                          </a:prstGeom>
                        </wps:spPr>
                        <wps:txbx>
                          <w:txbxContent>
                            <w:p w14:paraId="1C34F274" w14:textId="77777777" w:rsidR="004C558F" w:rsidRDefault="00461887">
                              <w:pPr>
                                <w:tabs>
                                  <w:tab w:val="left" w:pos="2158"/>
                                  <w:tab w:val="left" w:pos="3819"/>
                                </w:tabs>
                                <w:spacing w:before="1"/>
                                <w:ind w:left="496"/>
                                <w:rPr>
                                  <w:sz w:val="21"/>
                                </w:rPr>
                              </w:pPr>
                              <w:r>
                                <w:rPr>
                                  <w:color w:val="585858"/>
                                  <w:spacing w:val="-4"/>
                                  <w:sz w:val="21"/>
                                </w:rPr>
                                <w:t>2021</w:t>
                              </w:r>
                              <w:r>
                                <w:rPr>
                                  <w:color w:val="585858"/>
                                  <w:sz w:val="21"/>
                                </w:rPr>
                                <w:tab/>
                              </w:r>
                              <w:r>
                                <w:rPr>
                                  <w:color w:val="585858"/>
                                  <w:spacing w:val="-4"/>
                                  <w:sz w:val="21"/>
                                </w:rPr>
                                <w:t>2022</w:t>
                              </w:r>
                              <w:r>
                                <w:rPr>
                                  <w:color w:val="585858"/>
                                  <w:sz w:val="21"/>
                                </w:rPr>
                                <w:tab/>
                              </w:r>
                              <w:r>
                                <w:rPr>
                                  <w:color w:val="585858"/>
                                  <w:spacing w:val="-4"/>
                                  <w:sz w:val="21"/>
                                </w:rPr>
                                <w:t>2023</w:t>
                              </w:r>
                            </w:p>
                            <w:p w14:paraId="1C34F275" w14:textId="77777777" w:rsidR="004C558F" w:rsidRDefault="00461887">
                              <w:pPr>
                                <w:tabs>
                                  <w:tab w:val="left" w:pos="1239"/>
                                  <w:tab w:val="left" w:pos="2498"/>
                                </w:tabs>
                                <w:spacing w:before="182"/>
                                <w:rPr>
                                  <w:sz w:val="21"/>
                                </w:rPr>
                              </w:pPr>
                              <w:r>
                                <w:rPr>
                                  <w:color w:val="585858"/>
                                  <w:spacing w:val="-2"/>
                                  <w:sz w:val="21"/>
                                </w:rPr>
                                <w:t>Medicare</w:t>
                              </w:r>
                              <w:r>
                                <w:rPr>
                                  <w:color w:val="585858"/>
                                  <w:sz w:val="21"/>
                                </w:rPr>
                                <w:tab/>
                                <w:t>Other</w:t>
                              </w:r>
                              <w:r>
                                <w:rPr>
                                  <w:color w:val="585858"/>
                                  <w:spacing w:val="-5"/>
                                  <w:sz w:val="21"/>
                                </w:rPr>
                                <w:t xml:space="preserve"> gov</w:t>
                              </w:r>
                              <w:r>
                                <w:rPr>
                                  <w:color w:val="585858"/>
                                  <w:sz w:val="21"/>
                                </w:rPr>
                                <w:tab/>
                                <w:t>Self</w:t>
                              </w:r>
                              <w:r>
                                <w:rPr>
                                  <w:color w:val="585858"/>
                                  <w:spacing w:val="-3"/>
                                  <w:sz w:val="21"/>
                                </w:rPr>
                                <w:t xml:space="preserve"> </w:t>
                              </w:r>
                              <w:r>
                                <w:rPr>
                                  <w:color w:val="585858"/>
                                  <w:spacing w:val="-2"/>
                                  <w:sz w:val="21"/>
                                </w:rPr>
                                <w:t>Pay/Other</w:t>
                              </w:r>
                            </w:p>
                          </w:txbxContent>
                        </wps:txbx>
                        <wps:bodyPr wrap="square" lIns="0" tIns="0" rIns="0" bIns="0" rtlCol="0">
                          <a:noAutofit/>
                        </wps:bodyPr>
                      </wps:wsp>
                    </wpg:wgp>
                  </a:graphicData>
                </a:graphic>
              </wp:anchor>
            </w:drawing>
          </mc:Choice>
          <mc:Fallback>
            <w:pict>
              <v:group w14:anchorId="1C34F170" id="Group 573" o:spid="_x0000_s1485" alt="Bar graph of DFCI’s Inpatient Medical Oncology Payer Mix (2019 – 2023)" style="position:absolute;left:0;text-align:left;margin-left:57.2pt;margin-top:17.95pt;width:468.75pt;height:249.75pt;z-index:-251694080;mso-wrap-distance-left:0;mso-wrap-distance-right:0;mso-position-horizontal-relative:page;mso-position-vertical-relative:text" coordsize="59531,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">
                <v:shape id="Graphic 574" o:spid="_x0000_s1486" style="position:absolute;left:8943;top:29438;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" path="m68033,l,,,68033r68033,l68033,xe" fillcolor="#084875" stroked="f">
                  <v:path arrowok="t"/>
                </v:shape>
                <v:shape id="Graphic 575" o:spid="_x0000_s1487" style="position:absolute;left:18262;top:29438;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" path="m68033,l,,,68033r68033,l68033,xe" fillcolor="#f1682a" stroked="f">
                  <v:path arrowok="t"/>
                </v:shape>
                <v:shape id="Graphic 576" o:spid="_x0000_s1488" style="position:absolute;left:26022;top:2943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" path="m68033,l,,,68033r68033,l68033,xe" fillcolor="#339fc7" stroked="f">
                  <v:path arrowok="t"/>
                </v:shape>
                <v:shape id="Graphic 577" o:spid="_x0000_s1489" style="position:absolute;left:33891;top:2943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" path="m68033,l,,,68033r68033,l68033,xe" fillcolor="#f9a720" stroked="f">
                  <v:path arrowok="t"/>
                </v:shape>
                <v:shape id="Graphic 578" o:spid="_x0000_s1490" style="position:absolute;left:41889;top:2943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" path="m68033,l,,,68033r68033,l68033,xe" fillcolor="#53c0a4" stroked="f">
                  <v:path arrowok="t"/>
                </v:shape>
                <v:shape id="Graphic 579" o:spid="_x0000_s1491" style="position:absolute;left:47;top:47;width:59436;height:31623;visibility:visible;mso-wrap-style:square;v-text-anchor:top" coordsize="5943600,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" path="m,l5943600,r,3162300l,3162300,,xe" filled="f" strokecolor="#d9d9d9">
                  <v:path arrowok="t"/>
                </v:shape>
                <v:shape id="Textbox 580" o:spid="_x0000_s1492" type="#_x0000_t202" style="position:absolute;left:872;top:632;width:34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C34F26A" w14:textId="77777777" w:rsidR="004C558F" w:rsidRDefault="00461887">
                        <w:pPr>
                          <w:spacing w:before="1"/>
                          <w:rPr>
                            <w:sz w:val="21"/>
                          </w:rPr>
                        </w:pPr>
                        <w:r>
                          <w:rPr>
                            <w:color w:val="585858"/>
                            <w:spacing w:val="-4"/>
                            <w:sz w:val="21"/>
                          </w:rPr>
                          <w:t>100%</w:t>
                        </w:r>
                      </w:p>
                    </w:txbxContent>
                  </v:textbox>
                </v:shape>
                <v:shape id="Textbox 581" o:spid="_x0000_s1493" type="#_x0000_t202" style="position:absolute;left:7103;top:632;width:71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C34F26B" w14:textId="77777777" w:rsidR="004C558F" w:rsidRDefault="00461887">
                        <w:pPr>
                          <w:tabs>
                            <w:tab w:val="left" w:pos="1106"/>
                          </w:tabs>
                          <w:spacing w:before="1"/>
                          <w:rPr>
                            <w:sz w:val="21"/>
                          </w:rPr>
                        </w:pPr>
                        <w:r>
                          <w:rPr>
                            <w:color w:val="585858"/>
                            <w:sz w:val="21"/>
                            <w:u w:val="single" w:color="F9A720"/>
                          </w:rPr>
                          <w:t xml:space="preserve"> </w:t>
                        </w:r>
                        <w:r>
                          <w:rPr>
                            <w:color w:val="585858"/>
                            <w:sz w:val="21"/>
                            <w:u w:val="single" w:color="F9A720"/>
                          </w:rPr>
                          <w:tab/>
                        </w:r>
                      </w:p>
                    </w:txbxContent>
                  </v:textbox>
                </v:shape>
                <v:shape id="Textbox 582" o:spid="_x0000_s1494" type="#_x0000_t202" style="position:absolute;left:1654;top:6646;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34F26C" w14:textId="77777777" w:rsidR="004C558F" w:rsidRDefault="00461887">
                        <w:pPr>
                          <w:spacing w:before="1"/>
                          <w:rPr>
                            <w:sz w:val="21"/>
                          </w:rPr>
                        </w:pPr>
                        <w:r>
                          <w:rPr>
                            <w:color w:val="585858"/>
                            <w:spacing w:val="-5"/>
                            <w:sz w:val="21"/>
                          </w:rPr>
                          <w:t>75%</w:t>
                        </w:r>
                      </w:p>
                    </w:txbxContent>
                  </v:textbox>
                </v:shape>
                <v:shape id="Textbox 583" o:spid="_x0000_s1495" type="#_x0000_t202" style="position:absolute;left:1654;top:12659;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C34F26D" w14:textId="77777777" w:rsidR="004C558F" w:rsidRDefault="00461887">
                        <w:pPr>
                          <w:spacing w:before="1"/>
                          <w:rPr>
                            <w:sz w:val="21"/>
                          </w:rPr>
                        </w:pPr>
                        <w:r>
                          <w:rPr>
                            <w:color w:val="585858"/>
                            <w:spacing w:val="-5"/>
                            <w:sz w:val="21"/>
                          </w:rPr>
                          <w:t>50%</w:t>
                        </w:r>
                      </w:p>
                    </w:txbxContent>
                  </v:textbox>
                </v:shape>
                <v:shape id="Textbox 584" o:spid="_x0000_s1496" type="#_x0000_t202" style="position:absolute;left:1654;top:18673;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1C34F26E" w14:textId="77777777" w:rsidR="004C558F" w:rsidRDefault="00461887">
                        <w:pPr>
                          <w:spacing w:before="1"/>
                          <w:rPr>
                            <w:sz w:val="21"/>
                          </w:rPr>
                        </w:pPr>
                        <w:r>
                          <w:rPr>
                            <w:color w:val="585858"/>
                            <w:spacing w:val="-5"/>
                            <w:sz w:val="21"/>
                          </w:rPr>
                          <w:t>25%</w:t>
                        </w:r>
                      </w:p>
                    </w:txbxContent>
                  </v:textbox>
                </v:shape>
                <v:shape id="Textbox 585" o:spid="_x0000_s1497" type="#_x0000_t202" style="position:absolute;left:2436;top:24686;width:1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1C34F26F" w14:textId="77777777" w:rsidR="004C558F" w:rsidRDefault="00461887">
                        <w:pPr>
                          <w:spacing w:before="1"/>
                          <w:rPr>
                            <w:sz w:val="21"/>
                          </w:rPr>
                        </w:pPr>
                        <w:r>
                          <w:rPr>
                            <w:color w:val="585858"/>
                            <w:spacing w:val="-5"/>
                            <w:sz w:val="21"/>
                          </w:rPr>
                          <w:t>0%</w:t>
                        </w:r>
                      </w:p>
                    </w:txbxContent>
                  </v:textbox>
                </v:shape>
                <v:shape id="Textbox 586" o:spid="_x0000_s1498" type="#_x0000_t202" style="position:absolute;left:9052;top:26300;width:770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34F270" w14:textId="77777777" w:rsidR="004C558F" w:rsidRDefault="00461887">
                        <w:pPr>
                          <w:spacing w:before="1"/>
                          <w:rPr>
                            <w:sz w:val="21"/>
                          </w:rPr>
                        </w:pPr>
                        <w:r>
                          <w:rPr>
                            <w:color w:val="585858"/>
                            <w:spacing w:val="-4"/>
                            <w:sz w:val="21"/>
                          </w:rPr>
                          <w:t>2019</w:t>
                        </w:r>
                      </w:p>
                      <w:p w14:paraId="1C34F271" w14:textId="77777777" w:rsidR="004C558F" w:rsidRDefault="00461887">
                        <w:pPr>
                          <w:spacing w:before="182"/>
                          <w:ind w:left="136"/>
                          <w:rPr>
                            <w:sz w:val="21"/>
                          </w:rPr>
                        </w:pPr>
                        <w:r>
                          <w:rPr>
                            <w:color w:val="585858"/>
                            <w:spacing w:val="-2"/>
                            <w:sz w:val="21"/>
                          </w:rPr>
                          <w:t>Commercial</w:t>
                        </w:r>
                      </w:p>
                    </w:txbxContent>
                  </v:textbox>
                </v:shape>
                <v:shape id="Textbox 587" o:spid="_x0000_s1499" type="#_x0000_t202" style="position:absolute;left:19235;top:26300;width:52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C34F272" w14:textId="77777777" w:rsidR="004C558F" w:rsidRDefault="00461887">
                        <w:pPr>
                          <w:spacing w:before="1"/>
                          <w:ind w:left="57"/>
                          <w:rPr>
                            <w:sz w:val="21"/>
                          </w:rPr>
                        </w:pPr>
                        <w:r>
                          <w:rPr>
                            <w:color w:val="585858"/>
                            <w:spacing w:val="-4"/>
                            <w:sz w:val="21"/>
                          </w:rPr>
                          <w:t>2020</w:t>
                        </w:r>
                      </w:p>
                      <w:p w14:paraId="1C34F273" w14:textId="77777777" w:rsidR="004C558F" w:rsidRDefault="00461887">
                        <w:pPr>
                          <w:spacing w:before="182"/>
                          <w:rPr>
                            <w:sz w:val="21"/>
                          </w:rPr>
                        </w:pPr>
                        <w:r>
                          <w:rPr>
                            <w:color w:val="585858"/>
                            <w:spacing w:val="-2"/>
                            <w:sz w:val="21"/>
                          </w:rPr>
                          <w:t>Medicaid</w:t>
                        </w:r>
                      </w:p>
                    </w:txbxContent>
                  </v:textbox>
                </v:shape>
                <v:shape id="Textbox 588" o:spid="_x0000_s1500" type="#_x0000_t202" style="position:absolute;left:26995;top:26300;width:2750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C34F274" w14:textId="77777777" w:rsidR="004C558F" w:rsidRDefault="00461887">
                        <w:pPr>
                          <w:tabs>
                            <w:tab w:val="left" w:pos="2158"/>
                            <w:tab w:val="left" w:pos="3819"/>
                          </w:tabs>
                          <w:spacing w:before="1"/>
                          <w:ind w:left="496"/>
                          <w:rPr>
                            <w:sz w:val="21"/>
                          </w:rPr>
                        </w:pPr>
                        <w:r>
                          <w:rPr>
                            <w:color w:val="585858"/>
                            <w:spacing w:val="-4"/>
                            <w:sz w:val="21"/>
                          </w:rPr>
                          <w:t>2021</w:t>
                        </w:r>
                        <w:r>
                          <w:rPr>
                            <w:color w:val="585858"/>
                            <w:sz w:val="21"/>
                          </w:rPr>
                          <w:tab/>
                        </w:r>
                        <w:r>
                          <w:rPr>
                            <w:color w:val="585858"/>
                            <w:spacing w:val="-4"/>
                            <w:sz w:val="21"/>
                          </w:rPr>
                          <w:t>2022</w:t>
                        </w:r>
                        <w:r>
                          <w:rPr>
                            <w:color w:val="585858"/>
                            <w:sz w:val="21"/>
                          </w:rPr>
                          <w:tab/>
                        </w:r>
                        <w:r>
                          <w:rPr>
                            <w:color w:val="585858"/>
                            <w:spacing w:val="-4"/>
                            <w:sz w:val="21"/>
                          </w:rPr>
                          <w:t>2023</w:t>
                        </w:r>
                      </w:p>
                      <w:p w14:paraId="1C34F275" w14:textId="77777777" w:rsidR="004C558F" w:rsidRDefault="00461887">
                        <w:pPr>
                          <w:tabs>
                            <w:tab w:val="left" w:pos="1239"/>
                            <w:tab w:val="left" w:pos="2498"/>
                          </w:tabs>
                          <w:spacing w:before="182"/>
                          <w:rPr>
                            <w:sz w:val="21"/>
                          </w:rPr>
                        </w:pPr>
                        <w:r>
                          <w:rPr>
                            <w:color w:val="585858"/>
                            <w:spacing w:val="-2"/>
                            <w:sz w:val="21"/>
                          </w:rPr>
                          <w:t>Medicare</w:t>
                        </w:r>
                        <w:r>
                          <w:rPr>
                            <w:color w:val="585858"/>
                            <w:sz w:val="21"/>
                          </w:rPr>
                          <w:tab/>
                          <w:t>Other</w:t>
                        </w:r>
                        <w:r>
                          <w:rPr>
                            <w:color w:val="585858"/>
                            <w:spacing w:val="-5"/>
                            <w:sz w:val="21"/>
                          </w:rPr>
                          <w:t xml:space="preserve"> gov</w:t>
                        </w:r>
                        <w:r>
                          <w:rPr>
                            <w:color w:val="585858"/>
                            <w:sz w:val="21"/>
                          </w:rPr>
                          <w:tab/>
                          <w:t>Self</w:t>
                        </w:r>
                        <w:r>
                          <w:rPr>
                            <w:color w:val="585858"/>
                            <w:spacing w:val="-3"/>
                            <w:sz w:val="21"/>
                          </w:rPr>
                          <w:t xml:space="preserve"> </w:t>
                        </w:r>
                        <w:r>
                          <w:rPr>
                            <w:color w:val="585858"/>
                            <w:spacing w:val="-2"/>
                            <w:sz w:val="21"/>
                          </w:rPr>
                          <w:t>Pay/Other</w:t>
                        </w:r>
                      </w:p>
                    </w:txbxContent>
                  </v:textbox>
                </v:shape>
                <w10:wrap anchorx="page"/>
              </v:group>
            </w:pict>
          </mc:Fallback>
        </mc:AlternateContent>
      </w:r>
      <w:bookmarkStart w:id="253" w:name="_bookmark316"/>
      <w:bookmarkEnd w:id="253"/>
      <w:r>
        <w:t>Figure</w:t>
      </w:r>
      <w:r>
        <w:rPr>
          <w:spacing w:val="-5"/>
        </w:rPr>
        <w:t xml:space="preserve"> </w:t>
      </w:r>
      <w:r>
        <w:t>A6:</w:t>
      </w:r>
      <w:r>
        <w:rPr>
          <w:spacing w:val="-3"/>
        </w:rPr>
        <w:t xml:space="preserve"> </w:t>
      </w:r>
      <w:r>
        <w:t>DFCI’s</w:t>
      </w:r>
      <w:r>
        <w:rPr>
          <w:spacing w:val="-3"/>
        </w:rPr>
        <w:t xml:space="preserve"> </w:t>
      </w:r>
      <w:r>
        <w:t>Inpatient</w:t>
      </w:r>
      <w:r>
        <w:rPr>
          <w:spacing w:val="-4"/>
        </w:rPr>
        <w:t xml:space="preserve"> </w:t>
      </w:r>
      <w:r>
        <w:t>Medical</w:t>
      </w:r>
      <w:r>
        <w:rPr>
          <w:spacing w:val="-4"/>
        </w:rPr>
        <w:t xml:space="preserve"> </w:t>
      </w:r>
      <w:r>
        <w:t>Oncology</w:t>
      </w:r>
      <w:r>
        <w:rPr>
          <w:spacing w:val="-4"/>
        </w:rPr>
        <w:t xml:space="preserve"> </w:t>
      </w:r>
      <w:r>
        <w:t>Payer</w:t>
      </w:r>
      <w:r>
        <w:rPr>
          <w:spacing w:val="-6"/>
        </w:rPr>
        <w:t xml:space="preserve"> </w:t>
      </w:r>
      <w:r>
        <w:t>Mix</w:t>
      </w:r>
      <w:r>
        <w:rPr>
          <w:spacing w:val="-3"/>
        </w:rPr>
        <w:t xml:space="preserve"> </w:t>
      </w:r>
      <w:r>
        <w:t>(2019</w:t>
      </w:r>
      <w:r>
        <w:rPr>
          <w:spacing w:val="-3"/>
        </w:rPr>
        <w:t xml:space="preserve"> </w:t>
      </w:r>
      <w:r>
        <w:t>–</w:t>
      </w:r>
      <w:r>
        <w:rPr>
          <w:spacing w:val="-2"/>
        </w:rPr>
        <w:t xml:space="preserve"> 2023)</w:t>
      </w:r>
    </w:p>
    <w:p w14:paraId="1C34EFAA" w14:textId="77777777" w:rsidR="004C558F" w:rsidRDefault="004C558F">
      <w:pPr>
        <w:pStyle w:val="BodyText"/>
        <w:spacing w:before="6"/>
        <w:rPr>
          <w:sz w:val="20"/>
        </w:rPr>
      </w:pPr>
    </w:p>
    <w:tbl>
      <w:tblPr>
        <w:tblW w:w="0" w:type="auto"/>
        <w:tblInd w:w="1313" w:type="dxa"/>
        <w:tblLayout w:type="fixed"/>
        <w:tblCellMar>
          <w:left w:w="0" w:type="dxa"/>
          <w:right w:w="0" w:type="dxa"/>
        </w:tblCellMar>
        <w:tblLook w:val="01E0" w:firstRow="1" w:lastRow="1" w:firstColumn="1" w:lastColumn="1" w:noHBand="0" w:noVBand="0"/>
      </w:tblPr>
      <w:tblGrid>
        <w:gridCol w:w="277"/>
        <w:gridCol w:w="1106"/>
        <w:gridCol w:w="554"/>
        <w:gridCol w:w="1106"/>
        <w:gridCol w:w="554"/>
        <w:gridCol w:w="1108"/>
        <w:gridCol w:w="551"/>
        <w:gridCol w:w="1108"/>
        <w:gridCol w:w="554"/>
        <w:gridCol w:w="1106"/>
        <w:gridCol w:w="276"/>
      </w:tblGrid>
      <w:tr w:rsidR="004C558F" w14:paraId="1C34EFBA" w14:textId="77777777">
        <w:trPr>
          <w:trHeight w:hRule="exact" w:val="112"/>
        </w:trPr>
        <w:tc>
          <w:tcPr>
            <w:tcW w:w="277" w:type="dxa"/>
            <w:vMerge w:val="restart"/>
            <w:tcBorders>
              <w:top w:val="single" w:sz="6" w:space="0" w:color="ECECEC"/>
              <w:bottom w:val="single" w:sz="6" w:space="0" w:color="ECECEC"/>
            </w:tcBorders>
          </w:tcPr>
          <w:p w14:paraId="1C34EFAB" w14:textId="77777777" w:rsidR="004C558F" w:rsidRDefault="004C558F">
            <w:pPr>
              <w:pStyle w:val="TableParagraph"/>
              <w:spacing w:before="0"/>
              <w:jc w:val="left"/>
              <w:rPr>
                <w:rFonts w:ascii="Times New Roman"/>
              </w:rPr>
            </w:pPr>
          </w:p>
        </w:tc>
        <w:tc>
          <w:tcPr>
            <w:tcW w:w="1106" w:type="dxa"/>
            <w:tcBorders>
              <w:top w:val="single" w:sz="6" w:space="0" w:color="ECECEC"/>
            </w:tcBorders>
            <w:shd w:val="clear" w:color="auto" w:fill="53C0A4"/>
          </w:tcPr>
          <w:p w14:paraId="1C34EFAC" w14:textId="77777777" w:rsidR="004C558F" w:rsidRDefault="004C558F">
            <w:pPr>
              <w:pStyle w:val="TableParagraph"/>
              <w:spacing w:before="0"/>
              <w:jc w:val="left"/>
              <w:rPr>
                <w:rFonts w:ascii="Times New Roman"/>
                <w:sz w:val="4"/>
              </w:rPr>
            </w:pPr>
          </w:p>
        </w:tc>
        <w:tc>
          <w:tcPr>
            <w:tcW w:w="554" w:type="dxa"/>
            <w:vMerge w:val="restart"/>
            <w:tcBorders>
              <w:top w:val="single" w:sz="6" w:space="0" w:color="ECECEC"/>
              <w:bottom w:val="single" w:sz="6" w:space="0" w:color="ECECEC"/>
            </w:tcBorders>
          </w:tcPr>
          <w:p w14:paraId="1C34EFAD" w14:textId="77777777" w:rsidR="004C558F" w:rsidRDefault="004C558F">
            <w:pPr>
              <w:pStyle w:val="TableParagraph"/>
              <w:spacing w:before="0"/>
              <w:jc w:val="left"/>
              <w:rPr>
                <w:rFonts w:ascii="Times New Roman"/>
              </w:rPr>
            </w:pPr>
          </w:p>
        </w:tc>
        <w:tc>
          <w:tcPr>
            <w:tcW w:w="1106" w:type="dxa"/>
            <w:vMerge w:val="restart"/>
            <w:tcBorders>
              <w:top w:val="single" w:sz="18" w:space="0" w:color="53C0A4"/>
            </w:tcBorders>
            <w:shd w:val="clear" w:color="auto" w:fill="339FC7"/>
          </w:tcPr>
          <w:p w14:paraId="1C34EFAE" w14:textId="77777777" w:rsidR="004C558F" w:rsidRDefault="004C558F">
            <w:pPr>
              <w:pStyle w:val="TableParagraph"/>
              <w:spacing w:before="245"/>
              <w:jc w:val="left"/>
              <w:rPr>
                <w:sz w:val="36"/>
              </w:rPr>
            </w:pPr>
          </w:p>
          <w:p w14:paraId="1C34EFAF" w14:textId="77777777" w:rsidR="004C558F" w:rsidRDefault="00461887">
            <w:pPr>
              <w:pStyle w:val="TableParagraph"/>
              <w:spacing w:before="0"/>
              <w:ind w:left="107"/>
              <w:jc w:val="left"/>
              <w:rPr>
                <w:rFonts w:ascii="Franklin Gothic Medium Cond"/>
                <w:sz w:val="36"/>
              </w:rPr>
            </w:pPr>
            <w:r>
              <w:rPr>
                <w:rFonts w:ascii="Franklin Gothic Medium Cond"/>
                <w:spacing w:val="-2"/>
                <w:sz w:val="36"/>
              </w:rPr>
              <w:t>44.8%</w:t>
            </w:r>
          </w:p>
        </w:tc>
        <w:tc>
          <w:tcPr>
            <w:tcW w:w="554" w:type="dxa"/>
            <w:vMerge w:val="restart"/>
            <w:tcBorders>
              <w:top w:val="single" w:sz="6" w:space="0" w:color="ECECEC"/>
              <w:bottom w:val="single" w:sz="6" w:space="0" w:color="ECECEC"/>
            </w:tcBorders>
          </w:tcPr>
          <w:p w14:paraId="1C34EFB0" w14:textId="77777777" w:rsidR="004C558F" w:rsidRDefault="004C558F">
            <w:pPr>
              <w:pStyle w:val="TableParagraph"/>
              <w:spacing w:before="0"/>
              <w:jc w:val="left"/>
              <w:rPr>
                <w:rFonts w:ascii="Times New Roman"/>
              </w:rPr>
            </w:pPr>
          </w:p>
        </w:tc>
        <w:tc>
          <w:tcPr>
            <w:tcW w:w="1108" w:type="dxa"/>
            <w:vMerge w:val="restart"/>
            <w:tcBorders>
              <w:top w:val="single" w:sz="12" w:space="0" w:color="F9A720"/>
            </w:tcBorders>
            <w:shd w:val="clear" w:color="auto" w:fill="339FC7"/>
          </w:tcPr>
          <w:p w14:paraId="1C34EFB1" w14:textId="77777777" w:rsidR="004C558F" w:rsidRDefault="004C558F">
            <w:pPr>
              <w:pStyle w:val="TableParagraph"/>
              <w:spacing w:before="175"/>
              <w:jc w:val="left"/>
              <w:rPr>
                <w:sz w:val="36"/>
              </w:rPr>
            </w:pPr>
          </w:p>
          <w:p w14:paraId="1C34EFB2" w14:textId="77777777" w:rsidR="004C558F" w:rsidRDefault="00461887">
            <w:pPr>
              <w:pStyle w:val="TableParagraph"/>
              <w:spacing w:before="0"/>
              <w:ind w:left="110"/>
              <w:jc w:val="left"/>
              <w:rPr>
                <w:rFonts w:ascii="Franklin Gothic Medium Cond"/>
                <w:sz w:val="36"/>
              </w:rPr>
            </w:pPr>
            <w:r>
              <w:rPr>
                <w:rFonts w:ascii="Franklin Gothic Medium Cond"/>
                <w:spacing w:val="-2"/>
                <w:sz w:val="36"/>
              </w:rPr>
              <w:t>39.2%</w:t>
            </w:r>
          </w:p>
        </w:tc>
        <w:tc>
          <w:tcPr>
            <w:tcW w:w="551" w:type="dxa"/>
            <w:vMerge w:val="restart"/>
            <w:tcBorders>
              <w:top w:val="single" w:sz="6" w:space="0" w:color="ECECEC"/>
              <w:bottom w:val="single" w:sz="6" w:space="0" w:color="ECECEC"/>
            </w:tcBorders>
          </w:tcPr>
          <w:p w14:paraId="1C34EFB3" w14:textId="77777777" w:rsidR="004C558F" w:rsidRDefault="004C558F">
            <w:pPr>
              <w:pStyle w:val="TableParagraph"/>
              <w:spacing w:before="0"/>
              <w:jc w:val="left"/>
              <w:rPr>
                <w:rFonts w:ascii="Times New Roman"/>
              </w:rPr>
            </w:pPr>
          </w:p>
        </w:tc>
        <w:tc>
          <w:tcPr>
            <w:tcW w:w="1108" w:type="dxa"/>
            <w:vMerge w:val="restart"/>
            <w:tcBorders>
              <w:top w:val="single" w:sz="12" w:space="0" w:color="ECECEC"/>
            </w:tcBorders>
            <w:shd w:val="clear" w:color="auto" w:fill="339FC7"/>
          </w:tcPr>
          <w:p w14:paraId="1C34EFB4" w14:textId="77777777" w:rsidR="004C558F" w:rsidRDefault="004C558F">
            <w:pPr>
              <w:pStyle w:val="TableParagraph"/>
              <w:spacing w:before="311"/>
              <w:jc w:val="left"/>
              <w:rPr>
                <w:sz w:val="36"/>
              </w:rPr>
            </w:pPr>
          </w:p>
          <w:p w14:paraId="1C34EFB5" w14:textId="77777777" w:rsidR="004C558F" w:rsidRDefault="00461887">
            <w:pPr>
              <w:pStyle w:val="TableParagraph"/>
              <w:spacing w:before="0"/>
              <w:ind w:left="110"/>
              <w:jc w:val="left"/>
              <w:rPr>
                <w:rFonts w:ascii="Franklin Gothic Medium Cond"/>
                <w:sz w:val="36"/>
              </w:rPr>
            </w:pPr>
            <w:r>
              <w:rPr>
                <w:rFonts w:ascii="Franklin Gothic Medium Cond"/>
                <w:spacing w:val="-2"/>
                <w:sz w:val="36"/>
              </w:rPr>
              <w:t>48.9%</w:t>
            </w:r>
          </w:p>
        </w:tc>
        <w:tc>
          <w:tcPr>
            <w:tcW w:w="554" w:type="dxa"/>
            <w:vMerge w:val="restart"/>
            <w:tcBorders>
              <w:top w:val="single" w:sz="6" w:space="0" w:color="ECECEC"/>
              <w:bottom w:val="single" w:sz="6" w:space="0" w:color="ECECEC"/>
            </w:tcBorders>
          </w:tcPr>
          <w:p w14:paraId="1C34EFB6" w14:textId="77777777" w:rsidR="004C558F" w:rsidRDefault="004C558F">
            <w:pPr>
              <w:pStyle w:val="TableParagraph"/>
              <w:spacing w:before="0"/>
              <w:jc w:val="left"/>
              <w:rPr>
                <w:rFonts w:ascii="Times New Roman"/>
              </w:rPr>
            </w:pPr>
          </w:p>
        </w:tc>
        <w:tc>
          <w:tcPr>
            <w:tcW w:w="1106" w:type="dxa"/>
            <w:vMerge w:val="restart"/>
            <w:tcBorders>
              <w:top w:val="single" w:sz="24" w:space="0" w:color="F9A720"/>
            </w:tcBorders>
            <w:shd w:val="clear" w:color="auto" w:fill="339FC7"/>
          </w:tcPr>
          <w:p w14:paraId="1C34EFB7" w14:textId="77777777" w:rsidR="004C558F" w:rsidRDefault="004C558F">
            <w:pPr>
              <w:pStyle w:val="TableParagraph"/>
              <w:spacing w:before="318"/>
              <w:jc w:val="left"/>
              <w:rPr>
                <w:sz w:val="36"/>
              </w:rPr>
            </w:pPr>
          </w:p>
          <w:p w14:paraId="1C34EFB8" w14:textId="77777777" w:rsidR="004C558F" w:rsidRDefault="00461887">
            <w:pPr>
              <w:pStyle w:val="TableParagraph"/>
              <w:spacing w:before="0"/>
              <w:ind w:left="108"/>
              <w:jc w:val="left"/>
              <w:rPr>
                <w:rFonts w:ascii="Franklin Gothic Medium Cond"/>
                <w:sz w:val="36"/>
              </w:rPr>
            </w:pPr>
            <w:r>
              <w:rPr>
                <w:rFonts w:ascii="Franklin Gothic Medium Cond"/>
                <w:spacing w:val="-2"/>
                <w:sz w:val="36"/>
              </w:rPr>
              <w:t>48.7%</w:t>
            </w:r>
          </w:p>
        </w:tc>
        <w:tc>
          <w:tcPr>
            <w:tcW w:w="276" w:type="dxa"/>
            <w:vMerge w:val="restart"/>
            <w:tcBorders>
              <w:top w:val="single" w:sz="6" w:space="0" w:color="ECECEC"/>
              <w:bottom w:val="single" w:sz="6" w:space="0" w:color="ECECEC"/>
            </w:tcBorders>
          </w:tcPr>
          <w:p w14:paraId="1C34EFB9" w14:textId="77777777" w:rsidR="004C558F" w:rsidRDefault="004C558F">
            <w:pPr>
              <w:pStyle w:val="TableParagraph"/>
              <w:spacing w:before="0"/>
              <w:jc w:val="left"/>
              <w:rPr>
                <w:rFonts w:ascii="Times New Roman"/>
              </w:rPr>
            </w:pPr>
          </w:p>
        </w:tc>
      </w:tr>
      <w:tr w:rsidR="004C558F" w14:paraId="1C34EFC7" w14:textId="77777777">
        <w:trPr>
          <w:trHeight w:hRule="exact" w:val="835"/>
        </w:trPr>
        <w:tc>
          <w:tcPr>
            <w:tcW w:w="277" w:type="dxa"/>
            <w:vMerge/>
            <w:tcBorders>
              <w:top w:val="nil"/>
              <w:bottom w:val="single" w:sz="6" w:space="0" w:color="ECECEC"/>
            </w:tcBorders>
          </w:tcPr>
          <w:p w14:paraId="1C34EFBB" w14:textId="77777777" w:rsidR="004C558F" w:rsidRDefault="004C558F">
            <w:pPr>
              <w:rPr>
                <w:sz w:val="2"/>
                <w:szCs w:val="2"/>
              </w:rPr>
            </w:pPr>
          </w:p>
        </w:tc>
        <w:tc>
          <w:tcPr>
            <w:tcW w:w="1106" w:type="dxa"/>
            <w:vMerge w:val="restart"/>
            <w:shd w:val="clear" w:color="auto" w:fill="339FC7"/>
          </w:tcPr>
          <w:p w14:paraId="1C34EFBC" w14:textId="77777777" w:rsidR="004C558F" w:rsidRDefault="004C558F">
            <w:pPr>
              <w:pStyle w:val="TableParagraph"/>
              <w:spacing w:before="249"/>
              <w:jc w:val="left"/>
              <w:rPr>
                <w:sz w:val="36"/>
              </w:rPr>
            </w:pPr>
          </w:p>
          <w:p w14:paraId="1C34EFBD" w14:textId="77777777" w:rsidR="004C558F" w:rsidRDefault="00461887">
            <w:pPr>
              <w:pStyle w:val="TableParagraph"/>
              <w:spacing w:before="0"/>
              <w:ind w:left="109"/>
              <w:jc w:val="left"/>
              <w:rPr>
                <w:rFonts w:ascii="Franklin Gothic Medium Cond"/>
                <w:sz w:val="36"/>
              </w:rPr>
            </w:pPr>
            <w:r>
              <w:rPr>
                <w:rFonts w:ascii="Franklin Gothic Medium Cond"/>
                <w:spacing w:val="-2"/>
                <w:sz w:val="36"/>
              </w:rPr>
              <w:t>45.6%</w:t>
            </w:r>
          </w:p>
        </w:tc>
        <w:tc>
          <w:tcPr>
            <w:tcW w:w="554" w:type="dxa"/>
            <w:vMerge/>
            <w:tcBorders>
              <w:top w:val="nil"/>
              <w:bottom w:val="single" w:sz="6" w:space="0" w:color="ECECEC"/>
            </w:tcBorders>
          </w:tcPr>
          <w:p w14:paraId="1C34EFBE" w14:textId="77777777" w:rsidR="004C558F" w:rsidRDefault="004C558F">
            <w:pPr>
              <w:rPr>
                <w:sz w:val="2"/>
                <w:szCs w:val="2"/>
              </w:rPr>
            </w:pPr>
          </w:p>
        </w:tc>
        <w:tc>
          <w:tcPr>
            <w:tcW w:w="1106" w:type="dxa"/>
            <w:vMerge/>
            <w:tcBorders>
              <w:top w:val="nil"/>
            </w:tcBorders>
            <w:shd w:val="clear" w:color="auto" w:fill="339FC7"/>
          </w:tcPr>
          <w:p w14:paraId="1C34EFBF" w14:textId="77777777" w:rsidR="004C558F" w:rsidRDefault="004C558F">
            <w:pPr>
              <w:rPr>
                <w:sz w:val="2"/>
                <w:szCs w:val="2"/>
              </w:rPr>
            </w:pPr>
          </w:p>
        </w:tc>
        <w:tc>
          <w:tcPr>
            <w:tcW w:w="554" w:type="dxa"/>
            <w:vMerge/>
            <w:tcBorders>
              <w:top w:val="nil"/>
              <w:bottom w:val="single" w:sz="6" w:space="0" w:color="ECECEC"/>
            </w:tcBorders>
          </w:tcPr>
          <w:p w14:paraId="1C34EFC0" w14:textId="77777777" w:rsidR="004C558F" w:rsidRDefault="004C558F">
            <w:pPr>
              <w:rPr>
                <w:sz w:val="2"/>
                <w:szCs w:val="2"/>
              </w:rPr>
            </w:pPr>
          </w:p>
        </w:tc>
        <w:tc>
          <w:tcPr>
            <w:tcW w:w="1108" w:type="dxa"/>
            <w:vMerge/>
            <w:tcBorders>
              <w:top w:val="nil"/>
            </w:tcBorders>
            <w:shd w:val="clear" w:color="auto" w:fill="339FC7"/>
          </w:tcPr>
          <w:p w14:paraId="1C34EFC1" w14:textId="77777777" w:rsidR="004C558F" w:rsidRDefault="004C558F">
            <w:pPr>
              <w:rPr>
                <w:sz w:val="2"/>
                <w:szCs w:val="2"/>
              </w:rPr>
            </w:pPr>
          </w:p>
        </w:tc>
        <w:tc>
          <w:tcPr>
            <w:tcW w:w="551" w:type="dxa"/>
            <w:vMerge/>
            <w:tcBorders>
              <w:top w:val="nil"/>
              <w:bottom w:val="single" w:sz="6" w:space="0" w:color="ECECEC"/>
            </w:tcBorders>
          </w:tcPr>
          <w:p w14:paraId="1C34EFC2" w14:textId="77777777" w:rsidR="004C558F" w:rsidRDefault="004C558F">
            <w:pPr>
              <w:rPr>
                <w:sz w:val="2"/>
                <w:szCs w:val="2"/>
              </w:rPr>
            </w:pPr>
          </w:p>
        </w:tc>
        <w:tc>
          <w:tcPr>
            <w:tcW w:w="1108" w:type="dxa"/>
            <w:vMerge/>
            <w:tcBorders>
              <w:top w:val="nil"/>
            </w:tcBorders>
            <w:shd w:val="clear" w:color="auto" w:fill="339FC7"/>
          </w:tcPr>
          <w:p w14:paraId="1C34EFC3" w14:textId="77777777" w:rsidR="004C558F" w:rsidRDefault="004C558F">
            <w:pPr>
              <w:rPr>
                <w:sz w:val="2"/>
                <w:szCs w:val="2"/>
              </w:rPr>
            </w:pPr>
          </w:p>
        </w:tc>
        <w:tc>
          <w:tcPr>
            <w:tcW w:w="554" w:type="dxa"/>
            <w:vMerge/>
            <w:tcBorders>
              <w:top w:val="nil"/>
              <w:bottom w:val="single" w:sz="6" w:space="0" w:color="ECECEC"/>
            </w:tcBorders>
          </w:tcPr>
          <w:p w14:paraId="1C34EFC4" w14:textId="77777777" w:rsidR="004C558F" w:rsidRDefault="004C558F">
            <w:pPr>
              <w:rPr>
                <w:sz w:val="2"/>
                <w:szCs w:val="2"/>
              </w:rPr>
            </w:pPr>
          </w:p>
        </w:tc>
        <w:tc>
          <w:tcPr>
            <w:tcW w:w="1106" w:type="dxa"/>
            <w:vMerge/>
            <w:tcBorders>
              <w:top w:val="nil"/>
            </w:tcBorders>
            <w:shd w:val="clear" w:color="auto" w:fill="339FC7"/>
          </w:tcPr>
          <w:p w14:paraId="1C34EFC5" w14:textId="77777777" w:rsidR="004C558F" w:rsidRDefault="004C558F">
            <w:pPr>
              <w:rPr>
                <w:sz w:val="2"/>
                <w:szCs w:val="2"/>
              </w:rPr>
            </w:pPr>
          </w:p>
        </w:tc>
        <w:tc>
          <w:tcPr>
            <w:tcW w:w="276" w:type="dxa"/>
            <w:vMerge/>
            <w:tcBorders>
              <w:top w:val="nil"/>
              <w:bottom w:val="single" w:sz="6" w:space="0" w:color="ECECEC"/>
            </w:tcBorders>
          </w:tcPr>
          <w:p w14:paraId="1C34EFC6" w14:textId="77777777" w:rsidR="004C558F" w:rsidRDefault="004C558F">
            <w:pPr>
              <w:rPr>
                <w:sz w:val="2"/>
                <w:szCs w:val="2"/>
              </w:rPr>
            </w:pPr>
          </w:p>
        </w:tc>
      </w:tr>
      <w:tr w:rsidR="004C558F" w14:paraId="1C34EFD3" w14:textId="77777777">
        <w:trPr>
          <w:trHeight w:hRule="exact" w:val="597"/>
        </w:trPr>
        <w:tc>
          <w:tcPr>
            <w:tcW w:w="277" w:type="dxa"/>
            <w:vMerge w:val="restart"/>
            <w:tcBorders>
              <w:top w:val="single" w:sz="6" w:space="0" w:color="ECECEC"/>
              <w:bottom w:val="single" w:sz="6" w:space="0" w:color="ECECEC"/>
            </w:tcBorders>
          </w:tcPr>
          <w:p w14:paraId="1C34EFC8"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EFC9"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EFCA"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EFCB"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EFCC"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EFCD" w14:textId="77777777" w:rsidR="004C558F" w:rsidRDefault="004C558F">
            <w:pPr>
              <w:rPr>
                <w:sz w:val="2"/>
                <w:szCs w:val="2"/>
              </w:rPr>
            </w:pPr>
          </w:p>
        </w:tc>
        <w:tc>
          <w:tcPr>
            <w:tcW w:w="551" w:type="dxa"/>
            <w:vMerge w:val="restart"/>
            <w:tcBorders>
              <w:top w:val="single" w:sz="6" w:space="0" w:color="ECECEC"/>
              <w:bottom w:val="single" w:sz="6" w:space="0" w:color="ECECEC"/>
            </w:tcBorders>
          </w:tcPr>
          <w:p w14:paraId="1C34EFCE"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EFCF"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EFD0"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EFD1" w14:textId="77777777" w:rsidR="004C558F" w:rsidRDefault="004C558F">
            <w:pPr>
              <w:rPr>
                <w:sz w:val="2"/>
                <w:szCs w:val="2"/>
              </w:rPr>
            </w:pPr>
          </w:p>
        </w:tc>
        <w:tc>
          <w:tcPr>
            <w:tcW w:w="276" w:type="dxa"/>
            <w:vMerge w:val="restart"/>
            <w:tcBorders>
              <w:top w:val="single" w:sz="6" w:space="0" w:color="ECECEC"/>
              <w:bottom w:val="single" w:sz="6" w:space="0" w:color="ECECEC"/>
            </w:tcBorders>
          </w:tcPr>
          <w:p w14:paraId="1C34EFD2" w14:textId="77777777" w:rsidR="004C558F" w:rsidRDefault="004C558F">
            <w:pPr>
              <w:pStyle w:val="TableParagraph"/>
              <w:spacing w:before="0"/>
              <w:jc w:val="left"/>
              <w:rPr>
                <w:rFonts w:ascii="Times New Roman"/>
              </w:rPr>
            </w:pPr>
          </w:p>
        </w:tc>
      </w:tr>
      <w:tr w:rsidR="004C558F" w14:paraId="1C34EFDF" w14:textId="77777777">
        <w:trPr>
          <w:trHeight w:hRule="exact" w:val="184"/>
        </w:trPr>
        <w:tc>
          <w:tcPr>
            <w:tcW w:w="277" w:type="dxa"/>
            <w:vMerge/>
            <w:tcBorders>
              <w:top w:val="nil"/>
              <w:bottom w:val="single" w:sz="6" w:space="0" w:color="ECECEC"/>
            </w:tcBorders>
          </w:tcPr>
          <w:p w14:paraId="1C34EFD4" w14:textId="77777777" w:rsidR="004C558F" w:rsidRDefault="004C558F">
            <w:pPr>
              <w:rPr>
                <w:sz w:val="2"/>
                <w:szCs w:val="2"/>
              </w:rPr>
            </w:pPr>
          </w:p>
        </w:tc>
        <w:tc>
          <w:tcPr>
            <w:tcW w:w="1106" w:type="dxa"/>
            <w:vMerge/>
            <w:tcBorders>
              <w:top w:val="nil"/>
            </w:tcBorders>
            <w:shd w:val="clear" w:color="auto" w:fill="339FC7"/>
          </w:tcPr>
          <w:p w14:paraId="1C34EFD5" w14:textId="77777777" w:rsidR="004C558F" w:rsidRDefault="004C558F">
            <w:pPr>
              <w:rPr>
                <w:sz w:val="2"/>
                <w:szCs w:val="2"/>
              </w:rPr>
            </w:pPr>
          </w:p>
        </w:tc>
        <w:tc>
          <w:tcPr>
            <w:tcW w:w="554" w:type="dxa"/>
            <w:vMerge/>
            <w:tcBorders>
              <w:top w:val="nil"/>
              <w:bottom w:val="single" w:sz="6" w:space="0" w:color="ECECEC"/>
            </w:tcBorders>
          </w:tcPr>
          <w:p w14:paraId="1C34EFD6" w14:textId="77777777" w:rsidR="004C558F" w:rsidRDefault="004C558F">
            <w:pPr>
              <w:rPr>
                <w:sz w:val="2"/>
                <w:szCs w:val="2"/>
              </w:rPr>
            </w:pPr>
          </w:p>
        </w:tc>
        <w:tc>
          <w:tcPr>
            <w:tcW w:w="1106" w:type="dxa"/>
            <w:vMerge/>
            <w:tcBorders>
              <w:top w:val="nil"/>
            </w:tcBorders>
            <w:shd w:val="clear" w:color="auto" w:fill="339FC7"/>
          </w:tcPr>
          <w:p w14:paraId="1C34EFD7" w14:textId="77777777" w:rsidR="004C558F" w:rsidRDefault="004C558F">
            <w:pPr>
              <w:rPr>
                <w:sz w:val="2"/>
                <w:szCs w:val="2"/>
              </w:rPr>
            </w:pPr>
          </w:p>
        </w:tc>
        <w:tc>
          <w:tcPr>
            <w:tcW w:w="554" w:type="dxa"/>
            <w:vMerge/>
            <w:tcBorders>
              <w:top w:val="nil"/>
              <w:bottom w:val="single" w:sz="6" w:space="0" w:color="ECECEC"/>
            </w:tcBorders>
          </w:tcPr>
          <w:p w14:paraId="1C34EFD8" w14:textId="77777777" w:rsidR="004C558F" w:rsidRDefault="004C558F">
            <w:pPr>
              <w:rPr>
                <w:sz w:val="2"/>
                <w:szCs w:val="2"/>
              </w:rPr>
            </w:pPr>
          </w:p>
        </w:tc>
        <w:tc>
          <w:tcPr>
            <w:tcW w:w="1108" w:type="dxa"/>
            <w:vMerge w:val="restart"/>
            <w:shd w:val="clear" w:color="auto" w:fill="F1682A"/>
          </w:tcPr>
          <w:p w14:paraId="1C34EFD9" w14:textId="77777777" w:rsidR="004C558F" w:rsidRDefault="00461887">
            <w:pPr>
              <w:pStyle w:val="TableParagraph"/>
              <w:spacing w:before="64"/>
              <w:ind w:left="162"/>
              <w:jc w:val="left"/>
              <w:rPr>
                <w:rFonts w:ascii="Franklin Gothic Medium Cond"/>
                <w:sz w:val="32"/>
              </w:rPr>
            </w:pPr>
            <w:r>
              <w:rPr>
                <w:rFonts w:ascii="Franklin Gothic Medium Cond"/>
                <w:spacing w:val="-2"/>
                <w:sz w:val="32"/>
              </w:rPr>
              <w:t>12.9%</w:t>
            </w:r>
          </w:p>
        </w:tc>
        <w:tc>
          <w:tcPr>
            <w:tcW w:w="551" w:type="dxa"/>
            <w:vMerge/>
            <w:tcBorders>
              <w:top w:val="nil"/>
              <w:bottom w:val="single" w:sz="6" w:space="0" w:color="ECECEC"/>
            </w:tcBorders>
          </w:tcPr>
          <w:p w14:paraId="1C34EFDA" w14:textId="77777777" w:rsidR="004C558F" w:rsidRDefault="004C558F">
            <w:pPr>
              <w:rPr>
                <w:sz w:val="2"/>
                <w:szCs w:val="2"/>
              </w:rPr>
            </w:pPr>
          </w:p>
        </w:tc>
        <w:tc>
          <w:tcPr>
            <w:tcW w:w="1108" w:type="dxa"/>
            <w:vMerge/>
            <w:tcBorders>
              <w:top w:val="nil"/>
            </w:tcBorders>
            <w:shd w:val="clear" w:color="auto" w:fill="339FC7"/>
          </w:tcPr>
          <w:p w14:paraId="1C34EFDB" w14:textId="77777777" w:rsidR="004C558F" w:rsidRDefault="004C558F">
            <w:pPr>
              <w:rPr>
                <w:sz w:val="2"/>
                <w:szCs w:val="2"/>
              </w:rPr>
            </w:pPr>
          </w:p>
        </w:tc>
        <w:tc>
          <w:tcPr>
            <w:tcW w:w="554" w:type="dxa"/>
            <w:vMerge/>
            <w:tcBorders>
              <w:top w:val="nil"/>
              <w:bottom w:val="single" w:sz="6" w:space="0" w:color="ECECEC"/>
            </w:tcBorders>
          </w:tcPr>
          <w:p w14:paraId="1C34EFDC" w14:textId="77777777" w:rsidR="004C558F" w:rsidRDefault="004C558F">
            <w:pPr>
              <w:rPr>
                <w:sz w:val="2"/>
                <w:szCs w:val="2"/>
              </w:rPr>
            </w:pPr>
          </w:p>
        </w:tc>
        <w:tc>
          <w:tcPr>
            <w:tcW w:w="1106" w:type="dxa"/>
            <w:vMerge/>
            <w:tcBorders>
              <w:top w:val="nil"/>
            </w:tcBorders>
            <w:shd w:val="clear" w:color="auto" w:fill="339FC7"/>
          </w:tcPr>
          <w:p w14:paraId="1C34EFDD" w14:textId="77777777" w:rsidR="004C558F" w:rsidRDefault="004C558F">
            <w:pPr>
              <w:rPr>
                <w:sz w:val="2"/>
                <w:szCs w:val="2"/>
              </w:rPr>
            </w:pPr>
          </w:p>
        </w:tc>
        <w:tc>
          <w:tcPr>
            <w:tcW w:w="276" w:type="dxa"/>
            <w:vMerge/>
            <w:tcBorders>
              <w:top w:val="nil"/>
              <w:bottom w:val="single" w:sz="6" w:space="0" w:color="ECECEC"/>
            </w:tcBorders>
          </w:tcPr>
          <w:p w14:paraId="1C34EFDE" w14:textId="77777777" w:rsidR="004C558F" w:rsidRDefault="004C558F">
            <w:pPr>
              <w:rPr>
                <w:sz w:val="2"/>
                <w:szCs w:val="2"/>
              </w:rPr>
            </w:pPr>
          </w:p>
        </w:tc>
      </w:tr>
      <w:tr w:rsidR="004C558F" w14:paraId="1C34EFEB" w14:textId="77777777">
        <w:trPr>
          <w:trHeight w:hRule="exact" w:val="163"/>
        </w:trPr>
        <w:tc>
          <w:tcPr>
            <w:tcW w:w="277" w:type="dxa"/>
            <w:vMerge/>
            <w:tcBorders>
              <w:top w:val="nil"/>
              <w:bottom w:val="single" w:sz="6" w:space="0" w:color="ECECEC"/>
            </w:tcBorders>
          </w:tcPr>
          <w:p w14:paraId="1C34EFE0" w14:textId="77777777" w:rsidR="004C558F" w:rsidRDefault="004C558F">
            <w:pPr>
              <w:rPr>
                <w:sz w:val="2"/>
                <w:szCs w:val="2"/>
              </w:rPr>
            </w:pPr>
          </w:p>
        </w:tc>
        <w:tc>
          <w:tcPr>
            <w:tcW w:w="1106" w:type="dxa"/>
            <w:vMerge/>
            <w:tcBorders>
              <w:top w:val="nil"/>
            </w:tcBorders>
            <w:shd w:val="clear" w:color="auto" w:fill="339FC7"/>
          </w:tcPr>
          <w:p w14:paraId="1C34EFE1" w14:textId="77777777" w:rsidR="004C558F" w:rsidRDefault="004C558F">
            <w:pPr>
              <w:rPr>
                <w:sz w:val="2"/>
                <w:szCs w:val="2"/>
              </w:rPr>
            </w:pPr>
          </w:p>
        </w:tc>
        <w:tc>
          <w:tcPr>
            <w:tcW w:w="554" w:type="dxa"/>
            <w:vMerge/>
            <w:tcBorders>
              <w:top w:val="nil"/>
              <w:bottom w:val="single" w:sz="6" w:space="0" w:color="ECECEC"/>
            </w:tcBorders>
          </w:tcPr>
          <w:p w14:paraId="1C34EFE2" w14:textId="77777777" w:rsidR="004C558F" w:rsidRDefault="004C558F">
            <w:pPr>
              <w:rPr>
                <w:sz w:val="2"/>
                <w:szCs w:val="2"/>
              </w:rPr>
            </w:pPr>
          </w:p>
        </w:tc>
        <w:tc>
          <w:tcPr>
            <w:tcW w:w="1106" w:type="dxa"/>
            <w:vMerge w:val="restart"/>
            <w:shd w:val="clear" w:color="auto" w:fill="F1682A"/>
          </w:tcPr>
          <w:p w14:paraId="1C34EFE3" w14:textId="77777777" w:rsidR="004C558F" w:rsidRDefault="00461887">
            <w:pPr>
              <w:pStyle w:val="TableParagraph"/>
              <w:spacing w:before="9" w:line="326" w:lineRule="exact"/>
              <w:ind w:left="172"/>
              <w:jc w:val="left"/>
              <w:rPr>
                <w:rFonts w:ascii="Franklin Gothic Medium Cond"/>
                <w:sz w:val="32"/>
              </w:rPr>
            </w:pPr>
            <w:r>
              <w:rPr>
                <w:rFonts w:ascii="Franklin Gothic Medium Cond"/>
                <w:spacing w:val="-2"/>
                <w:sz w:val="32"/>
              </w:rPr>
              <w:t>10.1%</w:t>
            </w:r>
          </w:p>
        </w:tc>
        <w:tc>
          <w:tcPr>
            <w:tcW w:w="554" w:type="dxa"/>
            <w:vMerge/>
            <w:tcBorders>
              <w:top w:val="nil"/>
              <w:bottom w:val="single" w:sz="6" w:space="0" w:color="ECECEC"/>
            </w:tcBorders>
          </w:tcPr>
          <w:p w14:paraId="1C34EFE4" w14:textId="77777777" w:rsidR="004C558F" w:rsidRDefault="004C558F">
            <w:pPr>
              <w:rPr>
                <w:sz w:val="2"/>
                <w:szCs w:val="2"/>
              </w:rPr>
            </w:pPr>
          </w:p>
        </w:tc>
        <w:tc>
          <w:tcPr>
            <w:tcW w:w="1108" w:type="dxa"/>
            <w:vMerge/>
            <w:tcBorders>
              <w:top w:val="nil"/>
            </w:tcBorders>
            <w:shd w:val="clear" w:color="auto" w:fill="F1682A"/>
          </w:tcPr>
          <w:p w14:paraId="1C34EFE5" w14:textId="77777777" w:rsidR="004C558F" w:rsidRDefault="004C558F">
            <w:pPr>
              <w:rPr>
                <w:sz w:val="2"/>
                <w:szCs w:val="2"/>
              </w:rPr>
            </w:pPr>
          </w:p>
        </w:tc>
        <w:tc>
          <w:tcPr>
            <w:tcW w:w="551" w:type="dxa"/>
            <w:vMerge/>
            <w:tcBorders>
              <w:top w:val="nil"/>
              <w:bottom w:val="single" w:sz="6" w:space="0" w:color="ECECEC"/>
            </w:tcBorders>
          </w:tcPr>
          <w:p w14:paraId="1C34EFE6" w14:textId="77777777" w:rsidR="004C558F" w:rsidRDefault="004C558F">
            <w:pPr>
              <w:rPr>
                <w:sz w:val="2"/>
                <w:szCs w:val="2"/>
              </w:rPr>
            </w:pPr>
          </w:p>
        </w:tc>
        <w:tc>
          <w:tcPr>
            <w:tcW w:w="1108" w:type="dxa"/>
            <w:vMerge/>
            <w:tcBorders>
              <w:top w:val="nil"/>
            </w:tcBorders>
            <w:shd w:val="clear" w:color="auto" w:fill="339FC7"/>
          </w:tcPr>
          <w:p w14:paraId="1C34EFE7" w14:textId="77777777" w:rsidR="004C558F" w:rsidRDefault="004C558F">
            <w:pPr>
              <w:rPr>
                <w:sz w:val="2"/>
                <w:szCs w:val="2"/>
              </w:rPr>
            </w:pPr>
          </w:p>
        </w:tc>
        <w:tc>
          <w:tcPr>
            <w:tcW w:w="554" w:type="dxa"/>
            <w:vMerge/>
            <w:tcBorders>
              <w:top w:val="nil"/>
              <w:bottom w:val="single" w:sz="6" w:space="0" w:color="ECECEC"/>
            </w:tcBorders>
          </w:tcPr>
          <w:p w14:paraId="1C34EFE8" w14:textId="77777777" w:rsidR="004C558F" w:rsidRDefault="004C558F">
            <w:pPr>
              <w:rPr>
                <w:sz w:val="2"/>
                <w:szCs w:val="2"/>
              </w:rPr>
            </w:pPr>
          </w:p>
        </w:tc>
        <w:tc>
          <w:tcPr>
            <w:tcW w:w="1106" w:type="dxa"/>
            <w:vMerge/>
            <w:tcBorders>
              <w:top w:val="nil"/>
            </w:tcBorders>
            <w:shd w:val="clear" w:color="auto" w:fill="339FC7"/>
          </w:tcPr>
          <w:p w14:paraId="1C34EFE9" w14:textId="77777777" w:rsidR="004C558F" w:rsidRDefault="004C558F">
            <w:pPr>
              <w:rPr>
                <w:sz w:val="2"/>
                <w:szCs w:val="2"/>
              </w:rPr>
            </w:pPr>
          </w:p>
        </w:tc>
        <w:tc>
          <w:tcPr>
            <w:tcW w:w="276" w:type="dxa"/>
            <w:vMerge/>
            <w:tcBorders>
              <w:top w:val="nil"/>
              <w:bottom w:val="single" w:sz="6" w:space="0" w:color="ECECEC"/>
            </w:tcBorders>
          </w:tcPr>
          <w:p w14:paraId="1C34EFEA" w14:textId="77777777" w:rsidR="004C558F" w:rsidRDefault="004C558F">
            <w:pPr>
              <w:rPr>
                <w:sz w:val="2"/>
                <w:szCs w:val="2"/>
              </w:rPr>
            </w:pPr>
          </w:p>
        </w:tc>
      </w:tr>
      <w:tr w:rsidR="004C558F" w14:paraId="1C34EFF7" w14:textId="77777777">
        <w:trPr>
          <w:trHeight w:hRule="exact" w:val="166"/>
        </w:trPr>
        <w:tc>
          <w:tcPr>
            <w:tcW w:w="277" w:type="dxa"/>
            <w:vMerge w:val="restart"/>
            <w:tcBorders>
              <w:top w:val="single" w:sz="6" w:space="0" w:color="ECECEC"/>
              <w:bottom w:val="single" w:sz="6" w:space="0" w:color="ECECEC"/>
            </w:tcBorders>
          </w:tcPr>
          <w:p w14:paraId="1C34EFEC" w14:textId="77777777" w:rsidR="004C558F" w:rsidRDefault="004C558F">
            <w:pPr>
              <w:pStyle w:val="TableParagraph"/>
              <w:spacing w:before="0"/>
              <w:jc w:val="left"/>
              <w:rPr>
                <w:rFonts w:ascii="Times New Roman"/>
              </w:rPr>
            </w:pPr>
          </w:p>
        </w:tc>
        <w:tc>
          <w:tcPr>
            <w:tcW w:w="1106" w:type="dxa"/>
            <w:shd w:val="clear" w:color="auto" w:fill="F1682A"/>
          </w:tcPr>
          <w:p w14:paraId="1C34EFED" w14:textId="77777777" w:rsidR="004C558F" w:rsidRDefault="00461887">
            <w:pPr>
              <w:pStyle w:val="TableParagraph"/>
              <w:spacing w:before="0" w:line="173" w:lineRule="exact"/>
              <w:ind w:left="241"/>
              <w:jc w:val="left"/>
              <w:rPr>
                <w:rFonts w:ascii="Franklin Gothic Medium Cond"/>
                <w:sz w:val="32"/>
              </w:rPr>
            </w:pPr>
            <w:r>
              <w:rPr>
                <w:rFonts w:ascii="Franklin Gothic Medium Cond"/>
                <w:spacing w:val="-4"/>
                <w:sz w:val="32"/>
              </w:rPr>
              <w:t>6.5%</w:t>
            </w:r>
          </w:p>
        </w:tc>
        <w:tc>
          <w:tcPr>
            <w:tcW w:w="554" w:type="dxa"/>
            <w:vMerge w:val="restart"/>
            <w:tcBorders>
              <w:top w:val="single" w:sz="6" w:space="0" w:color="ECECEC"/>
              <w:bottom w:val="single" w:sz="6" w:space="0" w:color="ECECEC"/>
            </w:tcBorders>
          </w:tcPr>
          <w:p w14:paraId="1C34EFEE" w14:textId="77777777" w:rsidR="004C558F" w:rsidRDefault="004C558F">
            <w:pPr>
              <w:pStyle w:val="TableParagraph"/>
              <w:spacing w:before="0"/>
              <w:jc w:val="left"/>
              <w:rPr>
                <w:rFonts w:ascii="Times New Roman"/>
              </w:rPr>
            </w:pPr>
          </w:p>
        </w:tc>
        <w:tc>
          <w:tcPr>
            <w:tcW w:w="1106" w:type="dxa"/>
            <w:vMerge/>
            <w:tcBorders>
              <w:top w:val="nil"/>
            </w:tcBorders>
            <w:shd w:val="clear" w:color="auto" w:fill="F1682A"/>
          </w:tcPr>
          <w:p w14:paraId="1C34EFEF"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EFF0" w14:textId="77777777" w:rsidR="004C558F" w:rsidRDefault="004C558F">
            <w:pPr>
              <w:pStyle w:val="TableParagraph"/>
              <w:spacing w:before="0"/>
              <w:jc w:val="left"/>
              <w:rPr>
                <w:rFonts w:ascii="Times New Roman"/>
              </w:rPr>
            </w:pPr>
          </w:p>
        </w:tc>
        <w:tc>
          <w:tcPr>
            <w:tcW w:w="1108" w:type="dxa"/>
            <w:vMerge/>
            <w:tcBorders>
              <w:top w:val="nil"/>
            </w:tcBorders>
            <w:shd w:val="clear" w:color="auto" w:fill="F1682A"/>
          </w:tcPr>
          <w:p w14:paraId="1C34EFF1" w14:textId="77777777" w:rsidR="004C558F" w:rsidRDefault="004C558F">
            <w:pPr>
              <w:rPr>
                <w:sz w:val="2"/>
                <w:szCs w:val="2"/>
              </w:rPr>
            </w:pPr>
          </w:p>
        </w:tc>
        <w:tc>
          <w:tcPr>
            <w:tcW w:w="551" w:type="dxa"/>
            <w:vMerge w:val="restart"/>
            <w:tcBorders>
              <w:top w:val="single" w:sz="6" w:space="0" w:color="ECECEC"/>
              <w:bottom w:val="single" w:sz="6" w:space="0" w:color="ECECEC"/>
            </w:tcBorders>
          </w:tcPr>
          <w:p w14:paraId="1C34EFF2" w14:textId="77777777" w:rsidR="004C558F" w:rsidRDefault="004C558F">
            <w:pPr>
              <w:pStyle w:val="TableParagraph"/>
              <w:spacing w:before="0"/>
              <w:jc w:val="left"/>
              <w:rPr>
                <w:rFonts w:ascii="Times New Roman"/>
              </w:rPr>
            </w:pPr>
          </w:p>
        </w:tc>
        <w:tc>
          <w:tcPr>
            <w:tcW w:w="1108" w:type="dxa"/>
            <w:vMerge w:val="restart"/>
            <w:shd w:val="clear" w:color="auto" w:fill="F1682A"/>
          </w:tcPr>
          <w:p w14:paraId="1C34EFF3" w14:textId="77777777" w:rsidR="004C558F" w:rsidRDefault="00461887">
            <w:pPr>
              <w:pStyle w:val="TableParagraph"/>
              <w:spacing w:before="60"/>
              <w:ind w:left="168"/>
              <w:jc w:val="left"/>
              <w:rPr>
                <w:rFonts w:ascii="Franklin Gothic Medium Cond"/>
                <w:sz w:val="32"/>
              </w:rPr>
            </w:pPr>
            <w:r>
              <w:rPr>
                <w:rFonts w:ascii="Franklin Gothic Medium Cond"/>
                <w:spacing w:val="-2"/>
                <w:sz w:val="32"/>
              </w:rPr>
              <w:t>14.2%</w:t>
            </w:r>
          </w:p>
        </w:tc>
        <w:tc>
          <w:tcPr>
            <w:tcW w:w="554" w:type="dxa"/>
            <w:vMerge w:val="restart"/>
            <w:tcBorders>
              <w:top w:val="single" w:sz="6" w:space="0" w:color="ECECEC"/>
              <w:bottom w:val="single" w:sz="6" w:space="0" w:color="ECECEC"/>
            </w:tcBorders>
          </w:tcPr>
          <w:p w14:paraId="1C34EFF4" w14:textId="77777777" w:rsidR="004C558F" w:rsidRDefault="004C558F">
            <w:pPr>
              <w:pStyle w:val="TableParagraph"/>
              <w:spacing w:before="0"/>
              <w:jc w:val="left"/>
              <w:rPr>
                <w:rFonts w:ascii="Times New Roman"/>
              </w:rPr>
            </w:pPr>
          </w:p>
        </w:tc>
        <w:tc>
          <w:tcPr>
            <w:tcW w:w="1106" w:type="dxa"/>
            <w:vMerge w:val="restart"/>
            <w:shd w:val="clear" w:color="auto" w:fill="F1682A"/>
          </w:tcPr>
          <w:p w14:paraId="1C34EFF5" w14:textId="77777777" w:rsidR="004C558F" w:rsidRDefault="00461887">
            <w:pPr>
              <w:pStyle w:val="TableParagraph"/>
              <w:spacing w:before="78"/>
              <w:ind w:left="165"/>
              <w:jc w:val="left"/>
              <w:rPr>
                <w:rFonts w:ascii="Franklin Gothic Medium Cond"/>
                <w:sz w:val="32"/>
              </w:rPr>
            </w:pPr>
            <w:r>
              <w:rPr>
                <w:rFonts w:ascii="Franklin Gothic Medium Cond"/>
                <w:spacing w:val="-2"/>
                <w:sz w:val="32"/>
              </w:rPr>
              <w:t>14.2%</w:t>
            </w:r>
          </w:p>
        </w:tc>
        <w:tc>
          <w:tcPr>
            <w:tcW w:w="276" w:type="dxa"/>
            <w:vMerge w:val="restart"/>
            <w:tcBorders>
              <w:top w:val="single" w:sz="6" w:space="0" w:color="ECECEC"/>
              <w:bottom w:val="single" w:sz="6" w:space="0" w:color="ECECEC"/>
            </w:tcBorders>
          </w:tcPr>
          <w:p w14:paraId="1C34EFF6" w14:textId="77777777" w:rsidR="004C558F" w:rsidRDefault="004C558F">
            <w:pPr>
              <w:pStyle w:val="TableParagraph"/>
              <w:spacing w:before="0"/>
              <w:jc w:val="left"/>
              <w:rPr>
                <w:rFonts w:ascii="Times New Roman"/>
              </w:rPr>
            </w:pPr>
          </w:p>
        </w:tc>
      </w:tr>
      <w:tr w:rsidR="004C558F" w14:paraId="1C34F006" w14:textId="77777777">
        <w:trPr>
          <w:trHeight w:hRule="exact" w:val="327"/>
        </w:trPr>
        <w:tc>
          <w:tcPr>
            <w:tcW w:w="277" w:type="dxa"/>
            <w:vMerge/>
            <w:tcBorders>
              <w:top w:val="nil"/>
              <w:bottom w:val="single" w:sz="6" w:space="0" w:color="ECECEC"/>
            </w:tcBorders>
          </w:tcPr>
          <w:p w14:paraId="1C34EFF8" w14:textId="77777777" w:rsidR="004C558F" w:rsidRDefault="004C558F">
            <w:pPr>
              <w:rPr>
                <w:sz w:val="2"/>
                <w:szCs w:val="2"/>
              </w:rPr>
            </w:pPr>
          </w:p>
        </w:tc>
        <w:tc>
          <w:tcPr>
            <w:tcW w:w="1106" w:type="dxa"/>
            <w:vMerge w:val="restart"/>
            <w:tcBorders>
              <w:bottom w:val="single" w:sz="6" w:space="0" w:color="D9D9D9"/>
            </w:tcBorders>
            <w:shd w:val="clear" w:color="auto" w:fill="084875"/>
          </w:tcPr>
          <w:p w14:paraId="1C34EFF9" w14:textId="77777777" w:rsidR="004C558F" w:rsidRDefault="004C558F">
            <w:pPr>
              <w:pStyle w:val="TableParagraph"/>
              <w:spacing w:before="236"/>
              <w:jc w:val="left"/>
              <w:rPr>
                <w:sz w:val="36"/>
              </w:rPr>
            </w:pPr>
          </w:p>
          <w:p w14:paraId="1C34EFFA" w14:textId="77777777" w:rsidR="004C558F" w:rsidRDefault="00461887">
            <w:pPr>
              <w:pStyle w:val="TableParagraph"/>
              <w:spacing w:before="0"/>
              <w:ind w:left="109"/>
              <w:jc w:val="left"/>
              <w:rPr>
                <w:rFonts w:ascii="Franklin Gothic Medium Cond"/>
                <w:sz w:val="36"/>
              </w:rPr>
            </w:pPr>
            <w:r>
              <w:rPr>
                <w:rFonts w:ascii="Franklin Gothic Medium Cond"/>
                <w:color w:val="FFFFFF"/>
                <w:spacing w:val="-2"/>
                <w:sz w:val="36"/>
              </w:rPr>
              <w:t>45.0%</w:t>
            </w:r>
          </w:p>
        </w:tc>
        <w:tc>
          <w:tcPr>
            <w:tcW w:w="554" w:type="dxa"/>
            <w:vMerge/>
            <w:tcBorders>
              <w:top w:val="nil"/>
              <w:bottom w:val="single" w:sz="6" w:space="0" w:color="ECECEC"/>
            </w:tcBorders>
          </w:tcPr>
          <w:p w14:paraId="1C34EFFB" w14:textId="77777777" w:rsidR="004C558F" w:rsidRDefault="004C558F">
            <w:pPr>
              <w:rPr>
                <w:sz w:val="2"/>
                <w:szCs w:val="2"/>
              </w:rPr>
            </w:pPr>
          </w:p>
        </w:tc>
        <w:tc>
          <w:tcPr>
            <w:tcW w:w="1106" w:type="dxa"/>
            <w:vMerge w:val="restart"/>
            <w:tcBorders>
              <w:bottom w:val="single" w:sz="6" w:space="0" w:color="D9D9D9"/>
            </w:tcBorders>
            <w:shd w:val="clear" w:color="auto" w:fill="084875"/>
          </w:tcPr>
          <w:p w14:paraId="1C34EFFC" w14:textId="77777777" w:rsidR="004C558F" w:rsidRDefault="004C558F">
            <w:pPr>
              <w:pStyle w:val="TableParagraph"/>
              <w:spacing w:before="250"/>
              <w:jc w:val="left"/>
              <w:rPr>
                <w:sz w:val="36"/>
              </w:rPr>
            </w:pPr>
          </w:p>
          <w:p w14:paraId="1C34EFFD" w14:textId="77777777" w:rsidR="004C558F" w:rsidRDefault="00461887">
            <w:pPr>
              <w:pStyle w:val="TableParagraph"/>
              <w:spacing w:before="1"/>
              <w:ind w:left="107"/>
              <w:jc w:val="left"/>
              <w:rPr>
                <w:rFonts w:ascii="Franklin Gothic Medium Cond"/>
                <w:sz w:val="36"/>
              </w:rPr>
            </w:pPr>
            <w:r>
              <w:rPr>
                <w:rFonts w:ascii="Franklin Gothic Medium Cond"/>
                <w:color w:val="FFFFFF"/>
                <w:spacing w:val="-2"/>
                <w:sz w:val="36"/>
              </w:rPr>
              <w:t>44.2%</w:t>
            </w:r>
          </w:p>
        </w:tc>
        <w:tc>
          <w:tcPr>
            <w:tcW w:w="554" w:type="dxa"/>
            <w:vMerge/>
            <w:tcBorders>
              <w:top w:val="nil"/>
              <w:bottom w:val="single" w:sz="6" w:space="0" w:color="ECECEC"/>
            </w:tcBorders>
          </w:tcPr>
          <w:p w14:paraId="1C34EFFE" w14:textId="77777777" w:rsidR="004C558F" w:rsidRDefault="004C558F">
            <w:pPr>
              <w:rPr>
                <w:sz w:val="2"/>
                <w:szCs w:val="2"/>
              </w:rPr>
            </w:pPr>
          </w:p>
        </w:tc>
        <w:tc>
          <w:tcPr>
            <w:tcW w:w="1108" w:type="dxa"/>
            <w:vMerge w:val="restart"/>
            <w:tcBorders>
              <w:bottom w:val="single" w:sz="6" w:space="0" w:color="D9D9D9"/>
            </w:tcBorders>
            <w:shd w:val="clear" w:color="auto" w:fill="084875"/>
          </w:tcPr>
          <w:p w14:paraId="1C34EFFF" w14:textId="77777777" w:rsidR="004C558F" w:rsidRDefault="004C558F">
            <w:pPr>
              <w:pStyle w:val="TableParagraph"/>
              <w:spacing w:before="238"/>
              <w:jc w:val="left"/>
              <w:rPr>
                <w:sz w:val="36"/>
              </w:rPr>
            </w:pPr>
          </w:p>
          <w:p w14:paraId="1C34F000" w14:textId="77777777" w:rsidR="004C558F" w:rsidRDefault="00461887">
            <w:pPr>
              <w:pStyle w:val="TableParagraph"/>
              <w:spacing w:before="0"/>
              <w:ind w:left="110"/>
              <w:jc w:val="left"/>
              <w:rPr>
                <w:rFonts w:ascii="Franklin Gothic Medium Cond"/>
                <w:sz w:val="36"/>
              </w:rPr>
            </w:pPr>
            <w:r>
              <w:rPr>
                <w:rFonts w:ascii="Franklin Gothic Medium Cond"/>
                <w:color w:val="FFFFFF"/>
                <w:spacing w:val="-2"/>
                <w:sz w:val="36"/>
              </w:rPr>
              <w:t>46.2%</w:t>
            </w:r>
          </w:p>
        </w:tc>
        <w:tc>
          <w:tcPr>
            <w:tcW w:w="551" w:type="dxa"/>
            <w:vMerge/>
            <w:tcBorders>
              <w:top w:val="nil"/>
              <w:bottom w:val="single" w:sz="6" w:space="0" w:color="ECECEC"/>
            </w:tcBorders>
          </w:tcPr>
          <w:p w14:paraId="1C34F001" w14:textId="77777777" w:rsidR="004C558F" w:rsidRDefault="004C558F">
            <w:pPr>
              <w:rPr>
                <w:sz w:val="2"/>
                <w:szCs w:val="2"/>
              </w:rPr>
            </w:pPr>
          </w:p>
        </w:tc>
        <w:tc>
          <w:tcPr>
            <w:tcW w:w="1108" w:type="dxa"/>
            <w:vMerge/>
            <w:tcBorders>
              <w:top w:val="nil"/>
            </w:tcBorders>
            <w:shd w:val="clear" w:color="auto" w:fill="F1682A"/>
          </w:tcPr>
          <w:p w14:paraId="1C34F002" w14:textId="77777777" w:rsidR="004C558F" w:rsidRDefault="004C558F">
            <w:pPr>
              <w:rPr>
                <w:sz w:val="2"/>
                <w:szCs w:val="2"/>
              </w:rPr>
            </w:pPr>
          </w:p>
        </w:tc>
        <w:tc>
          <w:tcPr>
            <w:tcW w:w="554" w:type="dxa"/>
            <w:vMerge/>
            <w:tcBorders>
              <w:top w:val="nil"/>
              <w:bottom w:val="single" w:sz="6" w:space="0" w:color="ECECEC"/>
            </w:tcBorders>
          </w:tcPr>
          <w:p w14:paraId="1C34F003" w14:textId="77777777" w:rsidR="004C558F" w:rsidRDefault="004C558F">
            <w:pPr>
              <w:rPr>
                <w:sz w:val="2"/>
                <w:szCs w:val="2"/>
              </w:rPr>
            </w:pPr>
          </w:p>
        </w:tc>
        <w:tc>
          <w:tcPr>
            <w:tcW w:w="1106" w:type="dxa"/>
            <w:vMerge/>
            <w:tcBorders>
              <w:top w:val="nil"/>
            </w:tcBorders>
            <w:shd w:val="clear" w:color="auto" w:fill="F1682A"/>
          </w:tcPr>
          <w:p w14:paraId="1C34F004" w14:textId="77777777" w:rsidR="004C558F" w:rsidRDefault="004C558F">
            <w:pPr>
              <w:rPr>
                <w:sz w:val="2"/>
                <w:szCs w:val="2"/>
              </w:rPr>
            </w:pPr>
          </w:p>
        </w:tc>
        <w:tc>
          <w:tcPr>
            <w:tcW w:w="276" w:type="dxa"/>
            <w:vMerge/>
            <w:tcBorders>
              <w:top w:val="nil"/>
              <w:bottom w:val="single" w:sz="6" w:space="0" w:color="ECECEC"/>
            </w:tcBorders>
          </w:tcPr>
          <w:p w14:paraId="1C34F005" w14:textId="77777777" w:rsidR="004C558F" w:rsidRDefault="004C558F">
            <w:pPr>
              <w:rPr>
                <w:sz w:val="2"/>
                <w:szCs w:val="2"/>
              </w:rPr>
            </w:pPr>
          </w:p>
        </w:tc>
      </w:tr>
      <w:tr w:rsidR="004C558F" w14:paraId="1C34F014" w14:textId="77777777">
        <w:trPr>
          <w:trHeight w:hRule="exact" w:val="428"/>
        </w:trPr>
        <w:tc>
          <w:tcPr>
            <w:tcW w:w="277" w:type="dxa"/>
            <w:vMerge/>
            <w:tcBorders>
              <w:top w:val="nil"/>
              <w:bottom w:val="single" w:sz="6" w:space="0" w:color="ECECEC"/>
            </w:tcBorders>
          </w:tcPr>
          <w:p w14:paraId="1C34F007" w14:textId="77777777" w:rsidR="004C558F" w:rsidRDefault="004C558F">
            <w:pPr>
              <w:rPr>
                <w:sz w:val="2"/>
                <w:szCs w:val="2"/>
              </w:rPr>
            </w:pPr>
          </w:p>
        </w:tc>
        <w:tc>
          <w:tcPr>
            <w:tcW w:w="1106" w:type="dxa"/>
            <w:vMerge/>
            <w:tcBorders>
              <w:top w:val="nil"/>
              <w:bottom w:val="single" w:sz="6" w:space="0" w:color="D9D9D9"/>
            </w:tcBorders>
            <w:shd w:val="clear" w:color="auto" w:fill="084875"/>
          </w:tcPr>
          <w:p w14:paraId="1C34F008" w14:textId="77777777" w:rsidR="004C558F" w:rsidRDefault="004C558F">
            <w:pPr>
              <w:rPr>
                <w:sz w:val="2"/>
                <w:szCs w:val="2"/>
              </w:rPr>
            </w:pPr>
          </w:p>
        </w:tc>
        <w:tc>
          <w:tcPr>
            <w:tcW w:w="554" w:type="dxa"/>
            <w:vMerge/>
            <w:tcBorders>
              <w:top w:val="nil"/>
              <w:bottom w:val="single" w:sz="6" w:space="0" w:color="ECECEC"/>
            </w:tcBorders>
          </w:tcPr>
          <w:p w14:paraId="1C34F009" w14:textId="77777777" w:rsidR="004C558F" w:rsidRDefault="004C558F">
            <w:pPr>
              <w:rPr>
                <w:sz w:val="2"/>
                <w:szCs w:val="2"/>
              </w:rPr>
            </w:pPr>
          </w:p>
        </w:tc>
        <w:tc>
          <w:tcPr>
            <w:tcW w:w="1106" w:type="dxa"/>
            <w:vMerge/>
            <w:tcBorders>
              <w:top w:val="nil"/>
              <w:bottom w:val="single" w:sz="6" w:space="0" w:color="D9D9D9"/>
            </w:tcBorders>
            <w:shd w:val="clear" w:color="auto" w:fill="084875"/>
          </w:tcPr>
          <w:p w14:paraId="1C34F00A" w14:textId="77777777" w:rsidR="004C558F" w:rsidRDefault="004C558F">
            <w:pPr>
              <w:rPr>
                <w:sz w:val="2"/>
                <w:szCs w:val="2"/>
              </w:rPr>
            </w:pPr>
          </w:p>
        </w:tc>
        <w:tc>
          <w:tcPr>
            <w:tcW w:w="554" w:type="dxa"/>
            <w:vMerge/>
            <w:tcBorders>
              <w:top w:val="nil"/>
              <w:bottom w:val="single" w:sz="6" w:space="0" w:color="ECECEC"/>
            </w:tcBorders>
          </w:tcPr>
          <w:p w14:paraId="1C34F00B" w14:textId="77777777" w:rsidR="004C558F" w:rsidRDefault="004C558F">
            <w:pPr>
              <w:rPr>
                <w:sz w:val="2"/>
                <w:szCs w:val="2"/>
              </w:rPr>
            </w:pPr>
          </w:p>
        </w:tc>
        <w:tc>
          <w:tcPr>
            <w:tcW w:w="1108" w:type="dxa"/>
            <w:vMerge/>
            <w:tcBorders>
              <w:top w:val="nil"/>
              <w:bottom w:val="single" w:sz="6" w:space="0" w:color="D9D9D9"/>
            </w:tcBorders>
            <w:shd w:val="clear" w:color="auto" w:fill="084875"/>
          </w:tcPr>
          <w:p w14:paraId="1C34F00C" w14:textId="77777777" w:rsidR="004C558F" w:rsidRDefault="004C558F">
            <w:pPr>
              <w:rPr>
                <w:sz w:val="2"/>
                <w:szCs w:val="2"/>
              </w:rPr>
            </w:pPr>
          </w:p>
        </w:tc>
        <w:tc>
          <w:tcPr>
            <w:tcW w:w="551" w:type="dxa"/>
            <w:vMerge/>
            <w:tcBorders>
              <w:top w:val="nil"/>
              <w:bottom w:val="single" w:sz="6" w:space="0" w:color="ECECEC"/>
            </w:tcBorders>
          </w:tcPr>
          <w:p w14:paraId="1C34F00D" w14:textId="77777777" w:rsidR="004C558F" w:rsidRDefault="004C558F">
            <w:pPr>
              <w:rPr>
                <w:sz w:val="2"/>
                <w:szCs w:val="2"/>
              </w:rPr>
            </w:pPr>
          </w:p>
        </w:tc>
        <w:tc>
          <w:tcPr>
            <w:tcW w:w="1108" w:type="dxa"/>
            <w:vMerge w:val="restart"/>
            <w:tcBorders>
              <w:bottom w:val="single" w:sz="6" w:space="0" w:color="D9D9D9"/>
            </w:tcBorders>
            <w:shd w:val="clear" w:color="auto" w:fill="084875"/>
          </w:tcPr>
          <w:p w14:paraId="1C34F00E" w14:textId="77777777" w:rsidR="004C558F" w:rsidRDefault="004C558F">
            <w:pPr>
              <w:pStyle w:val="TableParagraph"/>
              <w:spacing w:before="70"/>
              <w:jc w:val="left"/>
              <w:rPr>
                <w:sz w:val="36"/>
              </w:rPr>
            </w:pPr>
          </w:p>
          <w:p w14:paraId="1C34F00F" w14:textId="77777777" w:rsidR="004C558F" w:rsidRDefault="00461887">
            <w:pPr>
              <w:pStyle w:val="TableParagraph"/>
              <w:spacing w:before="0"/>
              <w:ind w:left="110"/>
              <w:jc w:val="left"/>
              <w:rPr>
                <w:rFonts w:ascii="Franklin Gothic Medium Cond"/>
                <w:sz w:val="36"/>
              </w:rPr>
            </w:pPr>
            <w:r>
              <w:rPr>
                <w:rFonts w:ascii="Franklin Gothic Medium Cond"/>
                <w:color w:val="FFFFFF"/>
                <w:spacing w:val="-2"/>
                <w:sz w:val="36"/>
              </w:rPr>
              <w:t>36.5%</w:t>
            </w:r>
          </w:p>
        </w:tc>
        <w:tc>
          <w:tcPr>
            <w:tcW w:w="554" w:type="dxa"/>
            <w:vMerge/>
            <w:tcBorders>
              <w:top w:val="nil"/>
              <w:bottom w:val="single" w:sz="6" w:space="0" w:color="ECECEC"/>
            </w:tcBorders>
          </w:tcPr>
          <w:p w14:paraId="1C34F010" w14:textId="77777777" w:rsidR="004C558F" w:rsidRDefault="004C558F">
            <w:pPr>
              <w:rPr>
                <w:sz w:val="2"/>
                <w:szCs w:val="2"/>
              </w:rPr>
            </w:pPr>
          </w:p>
        </w:tc>
        <w:tc>
          <w:tcPr>
            <w:tcW w:w="1106" w:type="dxa"/>
            <w:vMerge w:val="restart"/>
            <w:tcBorders>
              <w:bottom w:val="single" w:sz="6" w:space="0" w:color="D9D9D9"/>
            </w:tcBorders>
            <w:shd w:val="clear" w:color="auto" w:fill="084875"/>
          </w:tcPr>
          <w:p w14:paraId="1C34F011" w14:textId="77777777" w:rsidR="004C558F" w:rsidRDefault="004C558F">
            <w:pPr>
              <w:pStyle w:val="TableParagraph"/>
              <w:spacing w:before="78"/>
              <w:jc w:val="left"/>
              <w:rPr>
                <w:sz w:val="36"/>
              </w:rPr>
            </w:pPr>
          </w:p>
          <w:p w14:paraId="1C34F012" w14:textId="77777777" w:rsidR="004C558F" w:rsidRDefault="00461887">
            <w:pPr>
              <w:pStyle w:val="TableParagraph"/>
              <w:spacing w:before="0"/>
              <w:ind w:left="118"/>
              <w:jc w:val="left"/>
              <w:rPr>
                <w:rFonts w:ascii="Franklin Gothic Medium Cond"/>
                <w:sz w:val="36"/>
              </w:rPr>
            </w:pPr>
            <w:r>
              <w:rPr>
                <w:rFonts w:ascii="Franklin Gothic Medium Cond"/>
                <w:color w:val="FFFFFF"/>
                <w:spacing w:val="-2"/>
                <w:sz w:val="36"/>
              </w:rPr>
              <w:t>36.1%</w:t>
            </w:r>
          </w:p>
        </w:tc>
        <w:tc>
          <w:tcPr>
            <w:tcW w:w="276" w:type="dxa"/>
            <w:vMerge/>
            <w:tcBorders>
              <w:top w:val="nil"/>
              <w:bottom w:val="single" w:sz="6" w:space="0" w:color="ECECEC"/>
            </w:tcBorders>
          </w:tcPr>
          <w:p w14:paraId="1C34F013" w14:textId="77777777" w:rsidR="004C558F" w:rsidRDefault="004C558F">
            <w:pPr>
              <w:rPr>
                <w:sz w:val="2"/>
                <w:szCs w:val="2"/>
              </w:rPr>
            </w:pPr>
          </w:p>
        </w:tc>
      </w:tr>
      <w:tr w:rsidR="004C558F" w14:paraId="1C34F020" w14:textId="77777777">
        <w:trPr>
          <w:trHeight w:hRule="exact" w:val="946"/>
        </w:trPr>
        <w:tc>
          <w:tcPr>
            <w:tcW w:w="277" w:type="dxa"/>
            <w:tcBorders>
              <w:top w:val="single" w:sz="6" w:space="0" w:color="ECECEC"/>
              <w:bottom w:val="single" w:sz="6" w:space="0" w:color="D9D9D9"/>
            </w:tcBorders>
          </w:tcPr>
          <w:p w14:paraId="1C34F015" w14:textId="77777777" w:rsidR="004C558F" w:rsidRDefault="004C558F">
            <w:pPr>
              <w:pStyle w:val="TableParagraph"/>
              <w:spacing w:before="0"/>
              <w:jc w:val="left"/>
              <w:rPr>
                <w:rFonts w:ascii="Times New Roman"/>
              </w:rPr>
            </w:pPr>
          </w:p>
        </w:tc>
        <w:tc>
          <w:tcPr>
            <w:tcW w:w="1106" w:type="dxa"/>
            <w:vMerge/>
            <w:tcBorders>
              <w:top w:val="nil"/>
              <w:bottom w:val="single" w:sz="6" w:space="0" w:color="D9D9D9"/>
            </w:tcBorders>
            <w:shd w:val="clear" w:color="auto" w:fill="084875"/>
          </w:tcPr>
          <w:p w14:paraId="1C34F016" w14:textId="77777777" w:rsidR="004C558F" w:rsidRDefault="004C558F">
            <w:pPr>
              <w:rPr>
                <w:sz w:val="2"/>
                <w:szCs w:val="2"/>
              </w:rPr>
            </w:pPr>
          </w:p>
        </w:tc>
        <w:tc>
          <w:tcPr>
            <w:tcW w:w="554" w:type="dxa"/>
            <w:tcBorders>
              <w:top w:val="single" w:sz="6" w:space="0" w:color="ECECEC"/>
              <w:bottom w:val="single" w:sz="6" w:space="0" w:color="D9D9D9"/>
            </w:tcBorders>
          </w:tcPr>
          <w:p w14:paraId="1C34F017" w14:textId="77777777" w:rsidR="004C558F" w:rsidRDefault="004C558F">
            <w:pPr>
              <w:pStyle w:val="TableParagraph"/>
              <w:spacing w:before="0"/>
              <w:jc w:val="left"/>
              <w:rPr>
                <w:rFonts w:ascii="Times New Roman"/>
              </w:rPr>
            </w:pPr>
          </w:p>
        </w:tc>
        <w:tc>
          <w:tcPr>
            <w:tcW w:w="1106" w:type="dxa"/>
            <w:vMerge/>
            <w:tcBorders>
              <w:top w:val="nil"/>
              <w:bottom w:val="single" w:sz="6" w:space="0" w:color="D9D9D9"/>
            </w:tcBorders>
            <w:shd w:val="clear" w:color="auto" w:fill="084875"/>
          </w:tcPr>
          <w:p w14:paraId="1C34F018" w14:textId="77777777" w:rsidR="004C558F" w:rsidRDefault="004C558F">
            <w:pPr>
              <w:rPr>
                <w:sz w:val="2"/>
                <w:szCs w:val="2"/>
              </w:rPr>
            </w:pPr>
          </w:p>
        </w:tc>
        <w:tc>
          <w:tcPr>
            <w:tcW w:w="554" w:type="dxa"/>
            <w:tcBorders>
              <w:top w:val="single" w:sz="6" w:space="0" w:color="ECECEC"/>
              <w:bottom w:val="single" w:sz="6" w:space="0" w:color="D9D9D9"/>
            </w:tcBorders>
          </w:tcPr>
          <w:p w14:paraId="1C34F019" w14:textId="77777777" w:rsidR="004C558F" w:rsidRDefault="004C558F">
            <w:pPr>
              <w:pStyle w:val="TableParagraph"/>
              <w:spacing w:before="0"/>
              <w:jc w:val="left"/>
              <w:rPr>
                <w:rFonts w:ascii="Times New Roman"/>
              </w:rPr>
            </w:pPr>
          </w:p>
        </w:tc>
        <w:tc>
          <w:tcPr>
            <w:tcW w:w="1108" w:type="dxa"/>
            <w:vMerge/>
            <w:tcBorders>
              <w:top w:val="nil"/>
              <w:bottom w:val="single" w:sz="6" w:space="0" w:color="D9D9D9"/>
            </w:tcBorders>
            <w:shd w:val="clear" w:color="auto" w:fill="084875"/>
          </w:tcPr>
          <w:p w14:paraId="1C34F01A" w14:textId="77777777" w:rsidR="004C558F" w:rsidRDefault="004C558F">
            <w:pPr>
              <w:rPr>
                <w:sz w:val="2"/>
                <w:szCs w:val="2"/>
              </w:rPr>
            </w:pPr>
          </w:p>
        </w:tc>
        <w:tc>
          <w:tcPr>
            <w:tcW w:w="551" w:type="dxa"/>
            <w:tcBorders>
              <w:top w:val="single" w:sz="6" w:space="0" w:color="ECECEC"/>
              <w:bottom w:val="single" w:sz="6" w:space="0" w:color="D9D9D9"/>
            </w:tcBorders>
          </w:tcPr>
          <w:p w14:paraId="1C34F01B" w14:textId="77777777" w:rsidR="004C558F" w:rsidRDefault="004C558F">
            <w:pPr>
              <w:pStyle w:val="TableParagraph"/>
              <w:spacing w:before="0"/>
              <w:jc w:val="left"/>
              <w:rPr>
                <w:rFonts w:ascii="Times New Roman"/>
              </w:rPr>
            </w:pPr>
          </w:p>
        </w:tc>
        <w:tc>
          <w:tcPr>
            <w:tcW w:w="1108" w:type="dxa"/>
            <w:vMerge/>
            <w:tcBorders>
              <w:top w:val="nil"/>
              <w:bottom w:val="single" w:sz="6" w:space="0" w:color="D9D9D9"/>
            </w:tcBorders>
            <w:shd w:val="clear" w:color="auto" w:fill="084875"/>
          </w:tcPr>
          <w:p w14:paraId="1C34F01C" w14:textId="77777777" w:rsidR="004C558F" w:rsidRDefault="004C558F">
            <w:pPr>
              <w:rPr>
                <w:sz w:val="2"/>
                <w:szCs w:val="2"/>
              </w:rPr>
            </w:pPr>
          </w:p>
        </w:tc>
        <w:tc>
          <w:tcPr>
            <w:tcW w:w="554" w:type="dxa"/>
            <w:tcBorders>
              <w:top w:val="single" w:sz="6" w:space="0" w:color="ECECEC"/>
              <w:bottom w:val="single" w:sz="6" w:space="0" w:color="D9D9D9"/>
            </w:tcBorders>
          </w:tcPr>
          <w:p w14:paraId="1C34F01D" w14:textId="77777777" w:rsidR="004C558F" w:rsidRDefault="004C558F">
            <w:pPr>
              <w:pStyle w:val="TableParagraph"/>
              <w:spacing w:before="0"/>
              <w:jc w:val="left"/>
              <w:rPr>
                <w:rFonts w:ascii="Times New Roman"/>
              </w:rPr>
            </w:pPr>
          </w:p>
        </w:tc>
        <w:tc>
          <w:tcPr>
            <w:tcW w:w="1106" w:type="dxa"/>
            <w:vMerge/>
            <w:tcBorders>
              <w:top w:val="nil"/>
              <w:bottom w:val="single" w:sz="6" w:space="0" w:color="D9D9D9"/>
            </w:tcBorders>
            <w:shd w:val="clear" w:color="auto" w:fill="084875"/>
          </w:tcPr>
          <w:p w14:paraId="1C34F01E" w14:textId="77777777" w:rsidR="004C558F" w:rsidRDefault="004C558F">
            <w:pPr>
              <w:rPr>
                <w:sz w:val="2"/>
                <w:szCs w:val="2"/>
              </w:rPr>
            </w:pPr>
          </w:p>
        </w:tc>
        <w:tc>
          <w:tcPr>
            <w:tcW w:w="276" w:type="dxa"/>
            <w:tcBorders>
              <w:top w:val="single" w:sz="6" w:space="0" w:color="ECECEC"/>
              <w:bottom w:val="single" w:sz="6" w:space="0" w:color="D9D9D9"/>
            </w:tcBorders>
          </w:tcPr>
          <w:p w14:paraId="1C34F01F" w14:textId="77777777" w:rsidR="004C558F" w:rsidRDefault="004C558F">
            <w:pPr>
              <w:pStyle w:val="TableParagraph"/>
              <w:spacing w:before="0"/>
              <w:jc w:val="left"/>
              <w:rPr>
                <w:rFonts w:ascii="Times New Roman"/>
              </w:rPr>
            </w:pPr>
          </w:p>
        </w:tc>
      </w:tr>
    </w:tbl>
    <w:p w14:paraId="1C34F021" w14:textId="77777777" w:rsidR="004C558F" w:rsidRDefault="004C558F">
      <w:pPr>
        <w:pStyle w:val="BodyText"/>
      </w:pPr>
    </w:p>
    <w:p w14:paraId="1C34F022" w14:textId="77777777" w:rsidR="004C558F" w:rsidRDefault="004C558F">
      <w:pPr>
        <w:pStyle w:val="BodyText"/>
      </w:pPr>
    </w:p>
    <w:p w14:paraId="1C34F023" w14:textId="77777777" w:rsidR="004C558F" w:rsidRDefault="004C558F">
      <w:pPr>
        <w:pStyle w:val="BodyText"/>
      </w:pPr>
    </w:p>
    <w:p w14:paraId="1C34F024" w14:textId="77777777" w:rsidR="004C558F" w:rsidRDefault="004C558F">
      <w:pPr>
        <w:pStyle w:val="BodyText"/>
        <w:spacing w:before="29"/>
      </w:pPr>
    </w:p>
    <w:p w14:paraId="1C34F025" w14:textId="77777777" w:rsidR="004C558F" w:rsidRDefault="00461887">
      <w:pPr>
        <w:ind w:left="472"/>
        <w:rPr>
          <w:sz w:val="20"/>
        </w:rPr>
      </w:pPr>
      <w:r>
        <w:rPr>
          <w:sz w:val="20"/>
        </w:rPr>
        <w:t>Source:</w:t>
      </w:r>
      <w:r>
        <w:rPr>
          <w:spacing w:val="-7"/>
          <w:sz w:val="20"/>
        </w:rPr>
        <w:t xml:space="preserve"> </w:t>
      </w:r>
      <w:r>
        <w:rPr>
          <w:sz w:val="20"/>
        </w:rPr>
        <w:t>HPC</w:t>
      </w:r>
      <w:r>
        <w:rPr>
          <w:spacing w:val="-7"/>
          <w:sz w:val="20"/>
        </w:rPr>
        <w:t xml:space="preserve"> </w:t>
      </w:r>
      <w:r>
        <w:rPr>
          <w:sz w:val="20"/>
        </w:rPr>
        <w:t>analysis</w:t>
      </w:r>
      <w:r>
        <w:rPr>
          <w:spacing w:val="-6"/>
          <w:sz w:val="20"/>
        </w:rPr>
        <w:t xml:space="preserve"> </w:t>
      </w:r>
      <w:r>
        <w:rPr>
          <w:sz w:val="20"/>
        </w:rPr>
        <w:t>of</w:t>
      </w:r>
      <w:r>
        <w:rPr>
          <w:spacing w:val="-7"/>
          <w:sz w:val="20"/>
        </w:rPr>
        <w:t xml:space="preserve"> </w:t>
      </w:r>
      <w:r>
        <w:rPr>
          <w:sz w:val="20"/>
        </w:rPr>
        <w:t>CHIA</w:t>
      </w:r>
      <w:r>
        <w:rPr>
          <w:spacing w:val="-7"/>
          <w:sz w:val="20"/>
        </w:rPr>
        <w:t xml:space="preserve"> </w:t>
      </w:r>
      <w:r>
        <w:rPr>
          <w:sz w:val="20"/>
        </w:rPr>
        <w:t>Massachusetts</w:t>
      </w:r>
      <w:r>
        <w:rPr>
          <w:spacing w:val="-6"/>
          <w:sz w:val="20"/>
        </w:rPr>
        <w:t xml:space="preserve"> </w:t>
      </w:r>
      <w:r>
        <w:rPr>
          <w:sz w:val="20"/>
        </w:rPr>
        <w:t>Hospital</w:t>
      </w:r>
      <w:r>
        <w:rPr>
          <w:spacing w:val="-7"/>
          <w:sz w:val="20"/>
        </w:rPr>
        <w:t xml:space="preserve"> </w:t>
      </w:r>
      <w:r>
        <w:rPr>
          <w:sz w:val="20"/>
        </w:rPr>
        <w:t>Discharge</w:t>
      </w:r>
      <w:r>
        <w:rPr>
          <w:spacing w:val="-8"/>
          <w:sz w:val="20"/>
        </w:rPr>
        <w:t xml:space="preserve"> </w:t>
      </w:r>
      <w:r>
        <w:rPr>
          <w:spacing w:val="-2"/>
          <w:sz w:val="20"/>
        </w:rPr>
        <w:t>Database.</w:t>
      </w:r>
    </w:p>
    <w:p w14:paraId="1C34F026" w14:textId="77777777" w:rsidR="004C558F" w:rsidRDefault="00461887">
      <w:pPr>
        <w:spacing w:before="35" w:line="273" w:lineRule="auto"/>
        <w:ind w:left="472" w:right="774"/>
        <w:rPr>
          <w:sz w:val="20"/>
        </w:rPr>
      </w:pPr>
      <w:r>
        <w:rPr>
          <w:sz w:val="20"/>
        </w:rPr>
        <w:t>Note:</w:t>
      </w:r>
      <w:r>
        <w:rPr>
          <w:spacing w:val="-3"/>
          <w:sz w:val="20"/>
        </w:rPr>
        <w:t xml:space="preserve"> </w:t>
      </w:r>
      <w:r>
        <w:rPr>
          <w:sz w:val="20"/>
        </w:rPr>
        <w:t>Includes</w:t>
      </w:r>
      <w:r>
        <w:rPr>
          <w:spacing w:val="-3"/>
          <w:sz w:val="20"/>
        </w:rPr>
        <w:t xml:space="preserve"> </w:t>
      </w:r>
      <w:r>
        <w:rPr>
          <w:sz w:val="20"/>
        </w:rPr>
        <w:t>medical</w:t>
      </w:r>
      <w:r>
        <w:rPr>
          <w:spacing w:val="-4"/>
          <w:sz w:val="20"/>
        </w:rPr>
        <w:t xml:space="preserve"> </w:t>
      </w:r>
      <w:r>
        <w:rPr>
          <w:sz w:val="20"/>
        </w:rPr>
        <w:t>oncology</w:t>
      </w:r>
      <w:r>
        <w:rPr>
          <w:spacing w:val="-5"/>
          <w:sz w:val="20"/>
        </w:rPr>
        <w:t xml:space="preserve"> </w:t>
      </w:r>
      <w:r>
        <w:rPr>
          <w:sz w:val="20"/>
        </w:rPr>
        <w:t>discharges</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Massachusetts</w:t>
      </w:r>
      <w:r>
        <w:rPr>
          <w:spacing w:val="-3"/>
          <w:sz w:val="20"/>
        </w:rPr>
        <w:t xml:space="preserve"> </w:t>
      </w:r>
      <w:r>
        <w:rPr>
          <w:sz w:val="20"/>
        </w:rPr>
        <w:t>hospitals,</w:t>
      </w:r>
      <w:r>
        <w:rPr>
          <w:spacing w:val="-3"/>
          <w:sz w:val="20"/>
        </w:rPr>
        <w:t xml:space="preserve"> </w:t>
      </w:r>
      <w:r>
        <w:rPr>
          <w:sz w:val="20"/>
        </w:rPr>
        <w:t>excluding</w:t>
      </w:r>
      <w:r>
        <w:rPr>
          <w:spacing w:val="-4"/>
          <w:sz w:val="20"/>
        </w:rPr>
        <w:t xml:space="preserve"> </w:t>
      </w:r>
      <w:r>
        <w:rPr>
          <w:sz w:val="20"/>
        </w:rPr>
        <w:t>non-MA</w:t>
      </w:r>
      <w:r>
        <w:rPr>
          <w:spacing w:val="-5"/>
          <w:sz w:val="20"/>
        </w:rPr>
        <w:t xml:space="preserve"> </w:t>
      </w:r>
      <w:r>
        <w:rPr>
          <w:sz w:val="20"/>
        </w:rPr>
        <w:t>residents,</w:t>
      </w:r>
      <w:r>
        <w:rPr>
          <w:spacing w:val="-3"/>
          <w:sz w:val="20"/>
        </w:rPr>
        <w:t xml:space="preserve"> </w:t>
      </w:r>
      <w:r>
        <w:rPr>
          <w:sz w:val="20"/>
        </w:rPr>
        <w:t>normal newborns, and discharges for patients under 18 years of age.</w:t>
      </w:r>
    </w:p>
    <w:p w14:paraId="1C34F027" w14:textId="77777777" w:rsidR="004C558F" w:rsidRDefault="004C558F">
      <w:pPr>
        <w:pStyle w:val="BodyText"/>
        <w:spacing w:before="140"/>
        <w:rPr>
          <w:sz w:val="20"/>
        </w:rPr>
      </w:pPr>
    </w:p>
    <w:p w14:paraId="1C34F028" w14:textId="77777777" w:rsidR="004C558F" w:rsidRDefault="00461887">
      <w:pPr>
        <w:pStyle w:val="BodyText"/>
        <w:ind w:left="3" w:right="238"/>
        <w:jc w:val="center"/>
      </w:pPr>
      <w:r>
        <w:rPr>
          <w:noProof/>
        </w:rPr>
        <mc:AlternateContent>
          <mc:Choice Requires="wpg">
            <w:drawing>
              <wp:anchor distT="0" distB="0" distL="0" distR="0" simplePos="0" relativeHeight="251623424" behindDoc="1" locked="0" layoutInCell="1" allowOverlap="1" wp14:anchorId="1C34F172" wp14:editId="7209D7B3">
                <wp:simplePos x="0" y="0"/>
                <wp:positionH relativeFrom="page">
                  <wp:posOffset>726757</wp:posOffset>
                </wp:positionH>
                <wp:positionV relativeFrom="paragraph">
                  <wp:posOffset>178004</wp:posOffset>
                </wp:positionV>
                <wp:extent cx="5953125" cy="3152775"/>
                <wp:effectExtent l="0" t="0" r="0" b="0"/>
                <wp:wrapNone/>
                <wp:docPr id="589" name="Group 589" descr="Bar Graph of BIDMC’s Inpatient Medical Oncology Payer Mix (2019 –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152775"/>
                          <a:chOff x="0" y="0"/>
                          <a:chExt cx="5953125" cy="3152775"/>
                        </a:xfrm>
                      </wpg:grpSpPr>
                      <wps:wsp>
                        <wps:cNvPr id="590" name="Graphic 590"/>
                        <wps:cNvSpPr/>
                        <wps:spPr>
                          <a:xfrm>
                            <a:off x="894372" y="29248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084875"/>
                          </a:solidFill>
                        </wps:spPr>
                        <wps:bodyPr wrap="square" lIns="0" tIns="0" rIns="0" bIns="0" rtlCol="0">
                          <a:prstTxWarp prst="textNoShape">
                            <a:avLst/>
                          </a:prstTxWarp>
                          <a:noAutofit/>
                        </wps:bodyPr>
                      </wps:wsp>
                      <wps:wsp>
                        <wps:cNvPr id="591" name="Graphic 591"/>
                        <wps:cNvSpPr/>
                        <wps:spPr>
                          <a:xfrm>
                            <a:off x="1826234" y="29248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1682A"/>
                          </a:solidFill>
                        </wps:spPr>
                        <wps:bodyPr wrap="square" lIns="0" tIns="0" rIns="0" bIns="0" rtlCol="0">
                          <a:prstTxWarp prst="textNoShape">
                            <a:avLst/>
                          </a:prstTxWarp>
                          <a:noAutofit/>
                        </wps:bodyPr>
                      </wps:wsp>
                      <wps:wsp>
                        <wps:cNvPr id="592" name="Graphic 592"/>
                        <wps:cNvSpPr/>
                        <wps:spPr>
                          <a:xfrm>
                            <a:off x="2602217" y="29248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339FC7"/>
                          </a:solidFill>
                        </wps:spPr>
                        <wps:bodyPr wrap="square" lIns="0" tIns="0" rIns="0" bIns="0" rtlCol="0">
                          <a:prstTxWarp prst="textNoShape">
                            <a:avLst/>
                          </a:prstTxWarp>
                          <a:noAutofit/>
                        </wps:bodyPr>
                      </wps:wsp>
                      <wps:wsp>
                        <wps:cNvPr id="593" name="Graphic 593"/>
                        <wps:cNvSpPr/>
                        <wps:spPr>
                          <a:xfrm>
                            <a:off x="3389109" y="29248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F9A720"/>
                          </a:solidFill>
                        </wps:spPr>
                        <wps:bodyPr wrap="square" lIns="0" tIns="0" rIns="0" bIns="0" rtlCol="0">
                          <a:prstTxWarp prst="textNoShape">
                            <a:avLst/>
                          </a:prstTxWarp>
                          <a:noAutofit/>
                        </wps:bodyPr>
                      </wps:wsp>
                      <wps:wsp>
                        <wps:cNvPr id="594" name="Graphic 594"/>
                        <wps:cNvSpPr/>
                        <wps:spPr>
                          <a:xfrm>
                            <a:off x="4188904" y="2924848"/>
                            <a:ext cx="68580" cy="68580"/>
                          </a:xfrm>
                          <a:custGeom>
                            <a:avLst/>
                            <a:gdLst/>
                            <a:ahLst/>
                            <a:cxnLst/>
                            <a:rect l="l" t="t" r="r" b="b"/>
                            <a:pathLst>
                              <a:path w="68580" h="68580">
                                <a:moveTo>
                                  <a:pt x="68033" y="0"/>
                                </a:moveTo>
                                <a:lnTo>
                                  <a:pt x="0" y="0"/>
                                </a:lnTo>
                                <a:lnTo>
                                  <a:pt x="0" y="68033"/>
                                </a:lnTo>
                                <a:lnTo>
                                  <a:pt x="68033" y="68033"/>
                                </a:lnTo>
                                <a:lnTo>
                                  <a:pt x="68033" y="0"/>
                                </a:lnTo>
                                <a:close/>
                              </a:path>
                            </a:pathLst>
                          </a:custGeom>
                          <a:solidFill>
                            <a:srgbClr val="53C0A4"/>
                          </a:solidFill>
                        </wps:spPr>
                        <wps:bodyPr wrap="square" lIns="0" tIns="0" rIns="0" bIns="0" rtlCol="0">
                          <a:prstTxWarp prst="textNoShape">
                            <a:avLst/>
                          </a:prstTxWarp>
                          <a:noAutofit/>
                        </wps:bodyPr>
                      </wps:wsp>
                      <wps:wsp>
                        <wps:cNvPr id="595" name="Graphic 595"/>
                        <wps:cNvSpPr/>
                        <wps:spPr>
                          <a:xfrm>
                            <a:off x="4762" y="4762"/>
                            <a:ext cx="5943600" cy="3143250"/>
                          </a:xfrm>
                          <a:custGeom>
                            <a:avLst/>
                            <a:gdLst/>
                            <a:ahLst/>
                            <a:cxnLst/>
                            <a:rect l="l" t="t" r="r" b="b"/>
                            <a:pathLst>
                              <a:path w="5943600" h="3143250">
                                <a:moveTo>
                                  <a:pt x="0" y="0"/>
                                </a:moveTo>
                                <a:lnTo>
                                  <a:pt x="5943600" y="0"/>
                                </a:lnTo>
                                <a:lnTo>
                                  <a:pt x="5943600" y="3143250"/>
                                </a:lnTo>
                                <a:lnTo>
                                  <a:pt x="0" y="31432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96" name="Textbox 596"/>
                        <wps:cNvSpPr txBox="1"/>
                        <wps:spPr>
                          <a:xfrm>
                            <a:off x="87277" y="63516"/>
                            <a:ext cx="343535" cy="152400"/>
                          </a:xfrm>
                          <a:prstGeom prst="rect">
                            <a:avLst/>
                          </a:prstGeom>
                        </wps:spPr>
                        <wps:txbx>
                          <w:txbxContent>
                            <w:p w14:paraId="1C34F276" w14:textId="77777777" w:rsidR="004C558F" w:rsidRDefault="00461887">
                              <w:pPr>
                                <w:spacing w:before="1"/>
                                <w:rPr>
                                  <w:sz w:val="21"/>
                                </w:rPr>
                              </w:pPr>
                              <w:r>
                                <w:rPr>
                                  <w:color w:val="585858"/>
                                  <w:spacing w:val="-4"/>
                                  <w:sz w:val="21"/>
                                </w:rPr>
                                <w:t>100%</w:t>
                              </w:r>
                            </w:p>
                          </w:txbxContent>
                        </wps:txbx>
                        <wps:bodyPr wrap="square" lIns="0" tIns="0" rIns="0" bIns="0" rtlCol="0">
                          <a:noAutofit/>
                        </wps:bodyPr>
                      </wps:wsp>
                      <wps:wsp>
                        <wps:cNvPr id="597" name="Textbox 597"/>
                        <wps:cNvSpPr txBox="1"/>
                        <wps:spPr>
                          <a:xfrm>
                            <a:off x="165464" y="660046"/>
                            <a:ext cx="266700" cy="152400"/>
                          </a:xfrm>
                          <a:prstGeom prst="rect">
                            <a:avLst/>
                          </a:prstGeom>
                        </wps:spPr>
                        <wps:txbx>
                          <w:txbxContent>
                            <w:p w14:paraId="1C34F277" w14:textId="77777777" w:rsidR="004C558F" w:rsidRDefault="00461887">
                              <w:pPr>
                                <w:spacing w:before="1"/>
                                <w:rPr>
                                  <w:sz w:val="21"/>
                                </w:rPr>
                              </w:pPr>
                              <w:r>
                                <w:rPr>
                                  <w:color w:val="585858"/>
                                  <w:spacing w:val="-5"/>
                                  <w:sz w:val="21"/>
                                </w:rPr>
                                <w:t>75%</w:t>
                              </w:r>
                            </w:p>
                          </w:txbxContent>
                        </wps:txbx>
                        <wps:bodyPr wrap="square" lIns="0" tIns="0" rIns="0" bIns="0" rtlCol="0">
                          <a:noAutofit/>
                        </wps:bodyPr>
                      </wps:wsp>
                      <wps:wsp>
                        <wps:cNvPr id="598" name="Textbox 598"/>
                        <wps:cNvSpPr txBox="1"/>
                        <wps:spPr>
                          <a:xfrm>
                            <a:off x="165464" y="1256576"/>
                            <a:ext cx="266700" cy="152400"/>
                          </a:xfrm>
                          <a:prstGeom prst="rect">
                            <a:avLst/>
                          </a:prstGeom>
                        </wps:spPr>
                        <wps:txbx>
                          <w:txbxContent>
                            <w:p w14:paraId="1C34F278" w14:textId="77777777" w:rsidR="004C558F" w:rsidRDefault="00461887">
                              <w:pPr>
                                <w:spacing w:before="1"/>
                                <w:rPr>
                                  <w:sz w:val="21"/>
                                </w:rPr>
                              </w:pPr>
                              <w:r>
                                <w:rPr>
                                  <w:color w:val="585858"/>
                                  <w:spacing w:val="-5"/>
                                  <w:sz w:val="21"/>
                                </w:rPr>
                                <w:t>50%</w:t>
                              </w:r>
                            </w:p>
                          </w:txbxContent>
                        </wps:txbx>
                        <wps:bodyPr wrap="square" lIns="0" tIns="0" rIns="0" bIns="0" rtlCol="0">
                          <a:noAutofit/>
                        </wps:bodyPr>
                      </wps:wsp>
                      <wps:wsp>
                        <wps:cNvPr id="599" name="Textbox 599"/>
                        <wps:cNvSpPr txBox="1"/>
                        <wps:spPr>
                          <a:xfrm>
                            <a:off x="165464" y="1853107"/>
                            <a:ext cx="266700" cy="152400"/>
                          </a:xfrm>
                          <a:prstGeom prst="rect">
                            <a:avLst/>
                          </a:prstGeom>
                        </wps:spPr>
                        <wps:txbx>
                          <w:txbxContent>
                            <w:p w14:paraId="1C34F279" w14:textId="77777777" w:rsidR="004C558F" w:rsidRDefault="00461887">
                              <w:pPr>
                                <w:spacing w:before="1"/>
                                <w:rPr>
                                  <w:sz w:val="21"/>
                                </w:rPr>
                              </w:pPr>
                              <w:r>
                                <w:rPr>
                                  <w:color w:val="585858"/>
                                  <w:spacing w:val="-5"/>
                                  <w:sz w:val="21"/>
                                </w:rPr>
                                <w:t>25%</w:t>
                              </w:r>
                            </w:p>
                          </w:txbxContent>
                        </wps:txbx>
                        <wps:bodyPr wrap="square" lIns="0" tIns="0" rIns="0" bIns="0" rtlCol="0">
                          <a:noAutofit/>
                        </wps:bodyPr>
                      </wps:wsp>
                      <wps:wsp>
                        <wps:cNvPr id="600" name="Textbox 600"/>
                        <wps:cNvSpPr txBox="1"/>
                        <wps:spPr>
                          <a:xfrm>
                            <a:off x="243652" y="2449637"/>
                            <a:ext cx="187325" cy="152400"/>
                          </a:xfrm>
                          <a:prstGeom prst="rect">
                            <a:avLst/>
                          </a:prstGeom>
                        </wps:spPr>
                        <wps:txbx>
                          <w:txbxContent>
                            <w:p w14:paraId="1C34F27A" w14:textId="77777777" w:rsidR="004C558F" w:rsidRDefault="00461887">
                              <w:pPr>
                                <w:spacing w:before="1"/>
                                <w:rPr>
                                  <w:sz w:val="21"/>
                                </w:rPr>
                              </w:pPr>
                              <w:r>
                                <w:rPr>
                                  <w:color w:val="585858"/>
                                  <w:spacing w:val="-5"/>
                                  <w:sz w:val="21"/>
                                </w:rPr>
                                <w:t>0%</w:t>
                              </w:r>
                            </w:p>
                          </w:txbxContent>
                        </wps:txbx>
                        <wps:bodyPr wrap="square" lIns="0" tIns="0" rIns="0" bIns="0" rtlCol="0">
                          <a:noAutofit/>
                        </wps:bodyPr>
                      </wps:wsp>
                      <wps:wsp>
                        <wps:cNvPr id="601" name="Textbox 601"/>
                        <wps:cNvSpPr txBox="1"/>
                        <wps:spPr>
                          <a:xfrm>
                            <a:off x="905226" y="2611242"/>
                            <a:ext cx="770255" cy="419100"/>
                          </a:xfrm>
                          <a:prstGeom prst="rect">
                            <a:avLst/>
                          </a:prstGeom>
                        </wps:spPr>
                        <wps:txbx>
                          <w:txbxContent>
                            <w:p w14:paraId="1C34F27B" w14:textId="77777777" w:rsidR="004C558F" w:rsidRDefault="00461887">
                              <w:pPr>
                                <w:spacing w:before="1"/>
                                <w:rPr>
                                  <w:sz w:val="21"/>
                                </w:rPr>
                              </w:pPr>
                              <w:r>
                                <w:rPr>
                                  <w:color w:val="585858"/>
                                  <w:spacing w:val="-4"/>
                                  <w:sz w:val="21"/>
                                </w:rPr>
                                <w:t>2019</w:t>
                              </w:r>
                            </w:p>
                            <w:p w14:paraId="1C34F27C" w14:textId="77777777" w:rsidR="004C558F" w:rsidRDefault="00461887">
                              <w:pPr>
                                <w:spacing w:before="182"/>
                                <w:ind w:left="136"/>
                                <w:rPr>
                                  <w:sz w:val="21"/>
                                </w:rPr>
                              </w:pPr>
                              <w:r>
                                <w:rPr>
                                  <w:color w:val="585858"/>
                                  <w:spacing w:val="-2"/>
                                  <w:sz w:val="21"/>
                                </w:rPr>
                                <w:t>Commercial</w:t>
                              </w:r>
                            </w:p>
                          </w:txbxContent>
                        </wps:txbx>
                        <wps:bodyPr wrap="square" lIns="0" tIns="0" rIns="0" bIns="0" rtlCol="0">
                          <a:noAutofit/>
                        </wps:bodyPr>
                      </wps:wsp>
                      <wps:wsp>
                        <wps:cNvPr id="602" name="Textbox 602"/>
                        <wps:cNvSpPr txBox="1"/>
                        <wps:spPr>
                          <a:xfrm>
                            <a:off x="1923527" y="2611242"/>
                            <a:ext cx="528955" cy="419100"/>
                          </a:xfrm>
                          <a:prstGeom prst="rect">
                            <a:avLst/>
                          </a:prstGeom>
                        </wps:spPr>
                        <wps:txbx>
                          <w:txbxContent>
                            <w:p w14:paraId="1C34F27D" w14:textId="77777777" w:rsidR="004C558F" w:rsidRDefault="00461887">
                              <w:pPr>
                                <w:spacing w:before="1"/>
                                <w:ind w:left="57"/>
                                <w:rPr>
                                  <w:sz w:val="21"/>
                                </w:rPr>
                              </w:pPr>
                              <w:r>
                                <w:rPr>
                                  <w:color w:val="585858"/>
                                  <w:spacing w:val="-4"/>
                                  <w:sz w:val="21"/>
                                </w:rPr>
                                <w:t>2020</w:t>
                              </w:r>
                            </w:p>
                            <w:p w14:paraId="1C34F27E" w14:textId="77777777" w:rsidR="004C558F" w:rsidRDefault="00461887">
                              <w:pPr>
                                <w:spacing w:before="182"/>
                                <w:rPr>
                                  <w:sz w:val="21"/>
                                </w:rPr>
                              </w:pPr>
                              <w:r>
                                <w:rPr>
                                  <w:color w:val="585858"/>
                                  <w:spacing w:val="-2"/>
                                  <w:sz w:val="21"/>
                                </w:rPr>
                                <w:t>Medicaid</w:t>
                              </w:r>
                            </w:p>
                          </w:txbxContent>
                        </wps:txbx>
                        <wps:bodyPr wrap="square" lIns="0" tIns="0" rIns="0" bIns="0" rtlCol="0">
                          <a:noAutofit/>
                        </wps:bodyPr>
                      </wps:wsp>
                      <wps:wsp>
                        <wps:cNvPr id="603" name="Textbox 603"/>
                        <wps:cNvSpPr txBox="1"/>
                        <wps:spPr>
                          <a:xfrm>
                            <a:off x="2699504" y="2611242"/>
                            <a:ext cx="2750820" cy="419100"/>
                          </a:xfrm>
                          <a:prstGeom prst="rect">
                            <a:avLst/>
                          </a:prstGeom>
                        </wps:spPr>
                        <wps:txbx>
                          <w:txbxContent>
                            <w:p w14:paraId="1C34F27F" w14:textId="77777777" w:rsidR="004C558F" w:rsidRDefault="00461887">
                              <w:pPr>
                                <w:tabs>
                                  <w:tab w:val="left" w:pos="2158"/>
                                  <w:tab w:val="left" w:pos="3819"/>
                                </w:tabs>
                                <w:spacing w:before="1"/>
                                <w:ind w:left="496"/>
                                <w:rPr>
                                  <w:sz w:val="21"/>
                                </w:rPr>
                              </w:pPr>
                              <w:r>
                                <w:rPr>
                                  <w:color w:val="585858"/>
                                  <w:spacing w:val="-4"/>
                                  <w:sz w:val="21"/>
                                </w:rPr>
                                <w:t>2021</w:t>
                              </w:r>
                              <w:r>
                                <w:rPr>
                                  <w:color w:val="585858"/>
                                  <w:sz w:val="21"/>
                                </w:rPr>
                                <w:tab/>
                              </w:r>
                              <w:r>
                                <w:rPr>
                                  <w:color w:val="585858"/>
                                  <w:spacing w:val="-4"/>
                                  <w:sz w:val="21"/>
                                </w:rPr>
                                <w:t>2022</w:t>
                              </w:r>
                              <w:r>
                                <w:rPr>
                                  <w:color w:val="585858"/>
                                  <w:sz w:val="21"/>
                                </w:rPr>
                                <w:tab/>
                              </w:r>
                              <w:r>
                                <w:rPr>
                                  <w:color w:val="585858"/>
                                  <w:spacing w:val="-4"/>
                                  <w:sz w:val="21"/>
                                </w:rPr>
                                <w:t>2023</w:t>
                              </w:r>
                            </w:p>
                            <w:p w14:paraId="1C34F280" w14:textId="77777777" w:rsidR="004C558F" w:rsidRDefault="00461887">
                              <w:pPr>
                                <w:tabs>
                                  <w:tab w:val="left" w:pos="1239"/>
                                  <w:tab w:val="left" w:pos="2498"/>
                                </w:tabs>
                                <w:spacing w:before="182"/>
                                <w:rPr>
                                  <w:sz w:val="21"/>
                                </w:rPr>
                              </w:pPr>
                              <w:r>
                                <w:rPr>
                                  <w:color w:val="585858"/>
                                  <w:spacing w:val="-2"/>
                                  <w:sz w:val="21"/>
                                </w:rPr>
                                <w:t>Medicare</w:t>
                              </w:r>
                              <w:r>
                                <w:rPr>
                                  <w:color w:val="585858"/>
                                  <w:sz w:val="21"/>
                                </w:rPr>
                                <w:tab/>
                                <w:t>Other</w:t>
                              </w:r>
                              <w:r>
                                <w:rPr>
                                  <w:color w:val="585858"/>
                                  <w:spacing w:val="-5"/>
                                  <w:sz w:val="21"/>
                                </w:rPr>
                                <w:t xml:space="preserve"> gov</w:t>
                              </w:r>
                              <w:r>
                                <w:rPr>
                                  <w:color w:val="585858"/>
                                  <w:sz w:val="21"/>
                                </w:rPr>
                                <w:tab/>
                                <w:t>Self</w:t>
                              </w:r>
                              <w:r>
                                <w:rPr>
                                  <w:color w:val="585858"/>
                                  <w:spacing w:val="-3"/>
                                  <w:sz w:val="21"/>
                                </w:rPr>
                                <w:t xml:space="preserve"> </w:t>
                              </w:r>
                              <w:r>
                                <w:rPr>
                                  <w:color w:val="585858"/>
                                  <w:spacing w:val="-2"/>
                                  <w:sz w:val="21"/>
                                </w:rPr>
                                <w:t>Pay/Other</w:t>
                              </w:r>
                            </w:p>
                          </w:txbxContent>
                        </wps:txbx>
                        <wps:bodyPr wrap="square" lIns="0" tIns="0" rIns="0" bIns="0" rtlCol="0">
                          <a:noAutofit/>
                        </wps:bodyPr>
                      </wps:wsp>
                    </wpg:wgp>
                  </a:graphicData>
                </a:graphic>
              </wp:anchor>
            </w:drawing>
          </mc:Choice>
          <mc:Fallback>
            <w:pict>
              <v:group w14:anchorId="1C34F172" id="Group 589" o:spid="_x0000_s1501" alt="Bar Graph of BIDMC’s Inpatient Medical Oncology Payer Mix (2019 – 2023)" style="position:absolute;left:0;text-align:left;margin-left:57.2pt;margin-top:14pt;width:468.75pt;height:248.25pt;z-index:-251693056;mso-wrap-distance-left:0;mso-wrap-distance-right:0;mso-position-horizontal-relative:page;mso-position-vertical-relative:text" coordsize="59531,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">
                <v:shape id="Graphic 590" o:spid="_x0000_s1502" style="position:absolute;left:8943;top:29248;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" path="m68033,l,,,68033r68033,l68033,xe" fillcolor="#084875" stroked="f">
                  <v:path arrowok="t"/>
                </v:shape>
                <v:shape id="Graphic 591" o:spid="_x0000_s1503" style="position:absolute;left:18262;top:29248;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" path="m68033,l,,,68033r68033,l68033,xe" fillcolor="#f1682a" stroked="f">
                  <v:path arrowok="t"/>
                </v:shape>
                <v:shape id="Graphic 592" o:spid="_x0000_s1504" style="position:absolute;left:26022;top:2924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" path="m68033,l,,,68033r68033,l68033,xe" fillcolor="#339fc7" stroked="f">
                  <v:path arrowok="t"/>
                </v:shape>
                <v:shape id="Graphic 593" o:spid="_x0000_s1505" style="position:absolute;left:33891;top:2924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" path="m68033,l,,,68033r68033,l68033,xe" fillcolor="#f9a720" stroked="f">
                  <v:path arrowok="t"/>
                </v:shape>
                <v:shape id="Graphic 594" o:spid="_x0000_s1506" style="position:absolute;left:41889;top:29248;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" path="m68033,l,,,68033r68033,l68033,xe" fillcolor="#53c0a4" stroked="f">
                  <v:path arrowok="t"/>
                </v:shape>
                <v:shape id="Graphic 595" o:spid="_x0000_s1507" style="position:absolute;left:47;top:47;width:59436;height:31433;visibility:visible;mso-wrap-style:square;v-text-anchor:top" coordsize="5943600,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" path="m,l5943600,r,3143250l,3143250,,xe" filled="f" strokecolor="#d9d9d9">
                  <v:path arrowok="t"/>
                </v:shape>
                <v:shape id="Textbox 596" o:spid="_x0000_s1508" type="#_x0000_t202" style="position:absolute;left:872;top:635;width:34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1C34F276" w14:textId="77777777" w:rsidR="004C558F" w:rsidRDefault="00461887">
                        <w:pPr>
                          <w:spacing w:before="1"/>
                          <w:rPr>
                            <w:sz w:val="21"/>
                          </w:rPr>
                        </w:pPr>
                        <w:r>
                          <w:rPr>
                            <w:color w:val="585858"/>
                            <w:spacing w:val="-4"/>
                            <w:sz w:val="21"/>
                          </w:rPr>
                          <w:t>100%</w:t>
                        </w:r>
                      </w:p>
                    </w:txbxContent>
                  </v:textbox>
                </v:shape>
                <v:shape id="Textbox 597" o:spid="_x0000_s1509" type="#_x0000_t202" style="position:absolute;left:1654;top:6600;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1C34F277" w14:textId="77777777" w:rsidR="004C558F" w:rsidRDefault="00461887">
                        <w:pPr>
                          <w:spacing w:before="1"/>
                          <w:rPr>
                            <w:sz w:val="21"/>
                          </w:rPr>
                        </w:pPr>
                        <w:r>
                          <w:rPr>
                            <w:color w:val="585858"/>
                            <w:spacing w:val="-5"/>
                            <w:sz w:val="21"/>
                          </w:rPr>
                          <w:t>75%</w:t>
                        </w:r>
                      </w:p>
                    </w:txbxContent>
                  </v:textbox>
                </v:shape>
                <v:shape id="Textbox 598" o:spid="_x0000_s1510" type="#_x0000_t202" style="position:absolute;left:1654;top:12565;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C34F278" w14:textId="77777777" w:rsidR="004C558F" w:rsidRDefault="00461887">
                        <w:pPr>
                          <w:spacing w:before="1"/>
                          <w:rPr>
                            <w:sz w:val="21"/>
                          </w:rPr>
                        </w:pPr>
                        <w:r>
                          <w:rPr>
                            <w:color w:val="585858"/>
                            <w:spacing w:val="-5"/>
                            <w:sz w:val="21"/>
                          </w:rPr>
                          <w:t>50%</w:t>
                        </w:r>
                      </w:p>
                    </w:txbxContent>
                  </v:textbox>
                </v:shape>
                <v:shape id="Textbox 599" o:spid="_x0000_s1511" type="#_x0000_t202" style="position:absolute;left:1654;top:18531;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C34F279" w14:textId="77777777" w:rsidR="004C558F" w:rsidRDefault="00461887">
                        <w:pPr>
                          <w:spacing w:before="1"/>
                          <w:rPr>
                            <w:sz w:val="21"/>
                          </w:rPr>
                        </w:pPr>
                        <w:r>
                          <w:rPr>
                            <w:color w:val="585858"/>
                            <w:spacing w:val="-5"/>
                            <w:sz w:val="21"/>
                          </w:rPr>
                          <w:t>25%</w:t>
                        </w:r>
                      </w:p>
                    </w:txbxContent>
                  </v:textbox>
                </v:shape>
                <v:shape id="Textbox 600" o:spid="_x0000_s1512" type="#_x0000_t202" style="position:absolute;left:2436;top:24496;width:1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1C34F27A" w14:textId="77777777" w:rsidR="004C558F" w:rsidRDefault="00461887">
                        <w:pPr>
                          <w:spacing w:before="1"/>
                          <w:rPr>
                            <w:sz w:val="21"/>
                          </w:rPr>
                        </w:pPr>
                        <w:r>
                          <w:rPr>
                            <w:color w:val="585858"/>
                            <w:spacing w:val="-5"/>
                            <w:sz w:val="21"/>
                          </w:rPr>
                          <w:t>0%</w:t>
                        </w:r>
                      </w:p>
                    </w:txbxContent>
                  </v:textbox>
                </v:shape>
                <v:shape id="Textbox 601" o:spid="_x0000_s1513" type="#_x0000_t202" style="position:absolute;left:9052;top:26112;width:770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1C34F27B" w14:textId="77777777" w:rsidR="004C558F" w:rsidRDefault="00461887">
                        <w:pPr>
                          <w:spacing w:before="1"/>
                          <w:rPr>
                            <w:sz w:val="21"/>
                          </w:rPr>
                        </w:pPr>
                        <w:r>
                          <w:rPr>
                            <w:color w:val="585858"/>
                            <w:spacing w:val="-4"/>
                            <w:sz w:val="21"/>
                          </w:rPr>
                          <w:t>2019</w:t>
                        </w:r>
                      </w:p>
                      <w:p w14:paraId="1C34F27C" w14:textId="77777777" w:rsidR="004C558F" w:rsidRDefault="00461887">
                        <w:pPr>
                          <w:spacing w:before="182"/>
                          <w:ind w:left="136"/>
                          <w:rPr>
                            <w:sz w:val="21"/>
                          </w:rPr>
                        </w:pPr>
                        <w:r>
                          <w:rPr>
                            <w:color w:val="585858"/>
                            <w:spacing w:val="-2"/>
                            <w:sz w:val="21"/>
                          </w:rPr>
                          <w:t>Commercial</w:t>
                        </w:r>
                      </w:p>
                    </w:txbxContent>
                  </v:textbox>
                </v:shape>
                <v:shape id="Textbox 602" o:spid="_x0000_s1514" type="#_x0000_t202" style="position:absolute;left:19235;top:26112;width:52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C34F27D" w14:textId="77777777" w:rsidR="004C558F" w:rsidRDefault="00461887">
                        <w:pPr>
                          <w:spacing w:before="1"/>
                          <w:ind w:left="57"/>
                          <w:rPr>
                            <w:sz w:val="21"/>
                          </w:rPr>
                        </w:pPr>
                        <w:r>
                          <w:rPr>
                            <w:color w:val="585858"/>
                            <w:spacing w:val="-4"/>
                            <w:sz w:val="21"/>
                          </w:rPr>
                          <w:t>2020</w:t>
                        </w:r>
                      </w:p>
                      <w:p w14:paraId="1C34F27E" w14:textId="77777777" w:rsidR="004C558F" w:rsidRDefault="00461887">
                        <w:pPr>
                          <w:spacing w:before="182"/>
                          <w:rPr>
                            <w:sz w:val="21"/>
                          </w:rPr>
                        </w:pPr>
                        <w:r>
                          <w:rPr>
                            <w:color w:val="585858"/>
                            <w:spacing w:val="-2"/>
                            <w:sz w:val="21"/>
                          </w:rPr>
                          <w:t>Medicaid</w:t>
                        </w:r>
                      </w:p>
                    </w:txbxContent>
                  </v:textbox>
                </v:shape>
                <v:shape id="Textbox 603" o:spid="_x0000_s1515" type="#_x0000_t202" style="position:absolute;left:26995;top:26112;width:2750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C34F27F" w14:textId="77777777" w:rsidR="004C558F" w:rsidRDefault="00461887">
                        <w:pPr>
                          <w:tabs>
                            <w:tab w:val="left" w:pos="2158"/>
                            <w:tab w:val="left" w:pos="3819"/>
                          </w:tabs>
                          <w:spacing w:before="1"/>
                          <w:ind w:left="496"/>
                          <w:rPr>
                            <w:sz w:val="21"/>
                          </w:rPr>
                        </w:pPr>
                        <w:r>
                          <w:rPr>
                            <w:color w:val="585858"/>
                            <w:spacing w:val="-4"/>
                            <w:sz w:val="21"/>
                          </w:rPr>
                          <w:t>2021</w:t>
                        </w:r>
                        <w:r>
                          <w:rPr>
                            <w:color w:val="585858"/>
                            <w:sz w:val="21"/>
                          </w:rPr>
                          <w:tab/>
                        </w:r>
                        <w:r>
                          <w:rPr>
                            <w:color w:val="585858"/>
                            <w:spacing w:val="-4"/>
                            <w:sz w:val="21"/>
                          </w:rPr>
                          <w:t>2022</w:t>
                        </w:r>
                        <w:r>
                          <w:rPr>
                            <w:color w:val="585858"/>
                            <w:sz w:val="21"/>
                          </w:rPr>
                          <w:tab/>
                        </w:r>
                        <w:r>
                          <w:rPr>
                            <w:color w:val="585858"/>
                            <w:spacing w:val="-4"/>
                            <w:sz w:val="21"/>
                          </w:rPr>
                          <w:t>2023</w:t>
                        </w:r>
                      </w:p>
                      <w:p w14:paraId="1C34F280" w14:textId="77777777" w:rsidR="004C558F" w:rsidRDefault="00461887">
                        <w:pPr>
                          <w:tabs>
                            <w:tab w:val="left" w:pos="1239"/>
                            <w:tab w:val="left" w:pos="2498"/>
                          </w:tabs>
                          <w:spacing w:before="182"/>
                          <w:rPr>
                            <w:sz w:val="21"/>
                          </w:rPr>
                        </w:pPr>
                        <w:r>
                          <w:rPr>
                            <w:color w:val="585858"/>
                            <w:spacing w:val="-2"/>
                            <w:sz w:val="21"/>
                          </w:rPr>
                          <w:t>Medicare</w:t>
                        </w:r>
                        <w:r>
                          <w:rPr>
                            <w:color w:val="585858"/>
                            <w:sz w:val="21"/>
                          </w:rPr>
                          <w:tab/>
                          <w:t>Other</w:t>
                        </w:r>
                        <w:r>
                          <w:rPr>
                            <w:color w:val="585858"/>
                            <w:spacing w:val="-5"/>
                            <w:sz w:val="21"/>
                          </w:rPr>
                          <w:t xml:space="preserve"> gov</w:t>
                        </w:r>
                        <w:r>
                          <w:rPr>
                            <w:color w:val="585858"/>
                            <w:sz w:val="21"/>
                          </w:rPr>
                          <w:tab/>
                          <w:t>Self</w:t>
                        </w:r>
                        <w:r>
                          <w:rPr>
                            <w:color w:val="585858"/>
                            <w:spacing w:val="-3"/>
                            <w:sz w:val="21"/>
                          </w:rPr>
                          <w:t xml:space="preserve"> </w:t>
                        </w:r>
                        <w:r>
                          <w:rPr>
                            <w:color w:val="585858"/>
                            <w:spacing w:val="-2"/>
                            <w:sz w:val="21"/>
                          </w:rPr>
                          <w:t>Pay/Other</w:t>
                        </w:r>
                      </w:p>
                    </w:txbxContent>
                  </v:textbox>
                </v:shape>
                <w10:wrap anchorx="page"/>
              </v:group>
            </w:pict>
          </mc:Fallback>
        </mc:AlternateContent>
      </w:r>
      <w:r>
        <w:t>Figure</w:t>
      </w:r>
      <w:r>
        <w:rPr>
          <w:spacing w:val="-5"/>
        </w:rPr>
        <w:t xml:space="preserve"> </w:t>
      </w:r>
      <w:r>
        <w:t>A7:</w:t>
      </w:r>
      <w:r>
        <w:rPr>
          <w:spacing w:val="-3"/>
        </w:rPr>
        <w:t xml:space="preserve"> </w:t>
      </w:r>
      <w:r>
        <w:t>BIDMC’s</w:t>
      </w:r>
      <w:r>
        <w:rPr>
          <w:spacing w:val="-2"/>
        </w:rPr>
        <w:t xml:space="preserve"> </w:t>
      </w:r>
      <w:r>
        <w:t>Inpatient</w:t>
      </w:r>
      <w:r>
        <w:rPr>
          <w:spacing w:val="-4"/>
        </w:rPr>
        <w:t xml:space="preserve"> </w:t>
      </w:r>
      <w:r>
        <w:t>Medical</w:t>
      </w:r>
      <w:r>
        <w:rPr>
          <w:spacing w:val="-4"/>
        </w:rPr>
        <w:t xml:space="preserve"> </w:t>
      </w:r>
      <w:r>
        <w:t>Oncology</w:t>
      </w:r>
      <w:r>
        <w:rPr>
          <w:spacing w:val="-4"/>
        </w:rPr>
        <w:t xml:space="preserve"> </w:t>
      </w:r>
      <w:r>
        <w:t>Payer</w:t>
      </w:r>
      <w:r>
        <w:rPr>
          <w:spacing w:val="-4"/>
        </w:rPr>
        <w:t xml:space="preserve"> </w:t>
      </w:r>
      <w:r>
        <w:t>Mix</w:t>
      </w:r>
      <w:r>
        <w:rPr>
          <w:spacing w:val="-3"/>
        </w:rPr>
        <w:t xml:space="preserve"> </w:t>
      </w:r>
      <w:r>
        <w:t>(2019</w:t>
      </w:r>
      <w:r>
        <w:rPr>
          <w:spacing w:val="-3"/>
        </w:rPr>
        <w:t xml:space="preserve"> </w:t>
      </w:r>
      <w:r>
        <w:t>–</w:t>
      </w:r>
      <w:r>
        <w:rPr>
          <w:spacing w:val="-2"/>
        </w:rPr>
        <w:t xml:space="preserve"> 2023)</w:t>
      </w:r>
    </w:p>
    <w:p w14:paraId="1C34F029" w14:textId="77777777" w:rsidR="004C558F" w:rsidRDefault="004C558F">
      <w:pPr>
        <w:pStyle w:val="BodyText"/>
        <w:spacing w:before="3"/>
        <w:rPr>
          <w:sz w:val="20"/>
        </w:rPr>
      </w:pPr>
    </w:p>
    <w:tbl>
      <w:tblPr>
        <w:tblW w:w="0" w:type="auto"/>
        <w:tblInd w:w="1313" w:type="dxa"/>
        <w:tblLayout w:type="fixed"/>
        <w:tblCellMar>
          <w:left w:w="0" w:type="dxa"/>
          <w:right w:w="0" w:type="dxa"/>
        </w:tblCellMar>
        <w:tblLook w:val="01E0" w:firstRow="1" w:lastRow="1" w:firstColumn="1" w:lastColumn="1" w:noHBand="0" w:noVBand="0"/>
      </w:tblPr>
      <w:tblGrid>
        <w:gridCol w:w="277"/>
        <w:gridCol w:w="1106"/>
        <w:gridCol w:w="554"/>
        <w:gridCol w:w="1106"/>
        <w:gridCol w:w="554"/>
        <w:gridCol w:w="1108"/>
        <w:gridCol w:w="551"/>
        <w:gridCol w:w="1108"/>
        <w:gridCol w:w="554"/>
        <w:gridCol w:w="1106"/>
        <w:gridCol w:w="276"/>
      </w:tblGrid>
      <w:tr w:rsidR="004C558F" w14:paraId="1C34F03F" w14:textId="77777777">
        <w:trPr>
          <w:trHeight w:hRule="exact" w:val="939"/>
        </w:trPr>
        <w:tc>
          <w:tcPr>
            <w:tcW w:w="277" w:type="dxa"/>
            <w:tcBorders>
              <w:top w:val="single" w:sz="6" w:space="0" w:color="ECECEC"/>
              <w:bottom w:val="single" w:sz="6" w:space="0" w:color="ECECEC"/>
            </w:tcBorders>
          </w:tcPr>
          <w:p w14:paraId="1C34F02A" w14:textId="77777777" w:rsidR="004C558F" w:rsidRDefault="004C558F">
            <w:pPr>
              <w:pStyle w:val="TableParagraph"/>
              <w:spacing w:before="0"/>
              <w:jc w:val="left"/>
              <w:rPr>
                <w:rFonts w:ascii="Times New Roman"/>
              </w:rPr>
            </w:pPr>
          </w:p>
        </w:tc>
        <w:tc>
          <w:tcPr>
            <w:tcW w:w="1106" w:type="dxa"/>
            <w:vMerge w:val="restart"/>
            <w:tcBorders>
              <w:top w:val="single" w:sz="18" w:space="0" w:color="53C0A4"/>
            </w:tcBorders>
            <w:shd w:val="clear" w:color="auto" w:fill="339FC7"/>
          </w:tcPr>
          <w:p w14:paraId="1C34F02B" w14:textId="77777777" w:rsidR="004C558F" w:rsidRDefault="004C558F">
            <w:pPr>
              <w:pStyle w:val="TableParagraph"/>
              <w:spacing w:before="0"/>
              <w:jc w:val="left"/>
              <w:rPr>
                <w:sz w:val="32"/>
              </w:rPr>
            </w:pPr>
          </w:p>
          <w:p w14:paraId="1C34F02C" w14:textId="77777777" w:rsidR="004C558F" w:rsidRDefault="004C558F">
            <w:pPr>
              <w:pStyle w:val="TableParagraph"/>
              <w:spacing w:before="143"/>
              <w:jc w:val="left"/>
              <w:rPr>
                <w:sz w:val="32"/>
              </w:rPr>
            </w:pPr>
          </w:p>
          <w:p w14:paraId="1C34F02D" w14:textId="77777777" w:rsidR="004C558F" w:rsidRDefault="00461887">
            <w:pPr>
              <w:pStyle w:val="TableParagraph"/>
              <w:spacing w:before="0"/>
              <w:ind w:left="158"/>
              <w:jc w:val="left"/>
              <w:rPr>
                <w:rFonts w:ascii="Franklin Gothic Medium Cond"/>
                <w:sz w:val="32"/>
              </w:rPr>
            </w:pPr>
            <w:r>
              <w:rPr>
                <w:rFonts w:ascii="Franklin Gothic Medium Cond"/>
                <w:spacing w:val="-2"/>
                <w:sz w:val="32"/>
              </w:rPr>
              <w:t>55.5%</w:t>
            </w:r>
          </w:p>
        </w:tc>
        <w:tc>
          <w:tcPr>
            <w:tcW w:w="554" w:type="dxa"/>
            <w:tcBorders>
              <w:top w:val="single" w:sz="6" w:space="0" w:color="ECECEC"/>
              <w:bottom w:val="single" w:sz="6" w:space="0" w:color="ECECEC"/>
            </w:tcBorders>
          </w:tcPr>
          <w:p w14:paraId="1C34F02E" w14:textId="77777777" w:rsidR="004C558F" w:rsidRDefault="004C558F">
            <w:pPr>
              <w:pStyle w:val="TableParagraph"/>
              <w:spacing w:before="0"/>
              <w:jc w:val="left"/>
              <w:rPr>
                <w:rFonts w:ascii="Times New Roman"/>
              </w:rPr>
            </w:pPr>
          </w:p>
        </w:tc>
        <w:tc>
          <w:tcPr>
            <w:tcW w:w="1106" w:type="dxa"/>
            <w:vMerge w:val="restart"/>
            <w:tcBorders>
              <w:top w:val="single" w:sz="18" w:space="0" w:color="53C0A4"/>
            </w:tcBorders>
            <w:shd w:val="clear" w:color="auto" w:fill="339FC7"/>
          </w:tcPr>
          <w:p w14:paraId="1C34F02F" w14:textId="77777777" w:rsidR="004C558F" w:rsidRDefault="004C558F">
            <w:pPr>
              <w:pStyle w:val="TableParagraph"/>
              <w:spacing w:before="0"/>
              <w:jc w:val="left"/>
              <w:rPr>
                <w:sz w:val="32"/>
              </w:rPr>
            </w:pPr>
          </w:p>
          <w:p w14:paraId="1C34F030" w14:textId="77777777" w:rsidR="004C558F" w:rsidRDefault="004C558F">
            <w:pPr>
              <w:pStyle w:val="TableParagraph"/>
              <w:spacing w:before="180"/>
              <w:jc w:val="left"/>
              <w:rPr>
                <w:sz w:val="32"/>
              </w:rPr>
            </w:pPr>
          </w:p>
          <w:p w14:paraId="1C34F031" w14:textId="77777777" w:rsidR="004C558F" w:rsidRDefault="00461887">
            <w:pPr>
              <w:pStyle w:val="TableParagraph"/>
              <w:spacing w:before="0"/>
              <w:ind w:left="178"/>
              <w:jc w:val="left"/>
              <w:rPr>
                <w:rFonts w:ascii="Franklin Gothic Medium Cond"/>
                <w:sz w:val="32"/>
              </w:rPr>
            </w:pPr>
            <w:r>
              <w:rPr>
                <w:rFonts w:ascii="Franklin Gothic Medium Cond"/>
                <w:spacing w:val="-2"/>
                <w:sz w:val="32"/>
              </w:rPr>
              <w:t>57.4%</w:t>
            </w:r>
          </w:p>
        </w:tc>
        <w:tc>
          <w:tcPr>
            <w:tcW w:w="554" w:type="dxa"/>
            <w:tcBorders>
              <w:top w:val="single" w:sz="6" w:space="0" w:color="ECECEC"/>
              <w:bottom w:val="single" w:sz="6" w:space="0" w:color="ECECEC"/>
            </w:tcBorders>
          </w:tcPr>
          <w:p w14:paraId="1C34F032" w14:textId="77777777" w:rsidR="004C558F" w:rsidRDefault="004C558F">
            <w:pPr>
              <w:pStyle w:val="TableParagraph"/>
              <w:spacing w:before="0"/>
              <w:jc w:val="left"/>
              <w:rPr>
                <w:rFonts w:ascii="Times New Roman"/>
              </w:rPr>
            </w:pPr>
          </w:p>
        </w:tc>
        <w:tc>
          <w:tcPr>
            <w:tcW w:w="1108" w:type="dxa"/>
            <w:vMerge w:val="restart"/>
            <w:tcBorders>
              <w:top w:val="single" w:sz="18" w:space="0" w:color="53C0A4"/>
            </w:tcBorders>
            <w:shd w:val="clear" w:color="auto" w:fill="339FC7"/>
          </w:tcPr>
          <w:p w14:paraId="1C34F033" w14:textId="77777777" w:rsidR="004C558F" w:rsidRDefault="004C558F">
            <w:pPr>
              <w:pStyle w:val="TableParagraph"/>
              <w:spacing w:before="0"/>
              <w:jc w:val="left"/>
              <w:rPr>
                <w:sz w:val="32"/>
              </w:rPr>
            </w:pPr>
          </w:p>
          <w:p w14:paraId="1C34F034" w14:textId="77777777" w:rsidR="004C558F" w:rsidRDefault="004C558F">
            <w:pPr>
              <w:pStyle w:val="TableParagraph"/>
              <w:spacing w:before="189"/>
              <w:jc w:val="left"/>
              <w:rPr>
                <w:sz w:val="32"/>
              </w:rPr>
            </w:pPr>
          </w:p>
          <w:p w14:paraId="1C34F035" w14:textId="77777777" w:rsidR="004C558F" w:rsidRDefault="00461887">
            <w:pPr>
              <w:pStyle w:val="TableParagraph"/>
              <w:spacing w:before="1"/>
              <w:ind w:left="179"/>
              <w:jc w:val="left"/>
              <w:rPr>
                <w:rFonts w:ascii="Franklin Gothic Medium Cond"/>
                <w:sz w:val="32"/>
              </w:rPr>
            </w:pPr>
            <w:r>
              <w:rPr>
                <w:rFonts w:ascii="Franklin Gothic Medium Cond"/>
                <w:spacing w:val="-2"/>
                <w:sz w:val="32"/>
              </w:rPr>
              <w:t>57.6%</w:t>
            </w:r>
          </w:p>
        </w:tc>
        <w:tc>
          <w:tcPr>
            <w:tcW w:w="551" w:type="dxa"/>
            <w:tcBorders>
              <w:top w:val="single" w:sz="6" w:space="0" w:color="ECECEC"/>
              <w:bottom w:val="single" w:sz="6" w:space="0" w:color="ECECEC"/>
            </w:tcBorders>
          </w:tcPr>
          <w:p w14:paraId="1C34F036" w14:textId="77777777" w:rsidR="004C558F" w:rsidRDefault="004C558F">
            <w:pPr>
              <w:pStyle w:val="TableParagraph"/>
              <w:spacing w:before="0"/>
              <w:jc w:val="left"/>
              <w:rPr>
                <w:rFonts w:ascii="Times New Roman"/>
              </w:rPr>
            </w:pPr>
          </w:p>
        </w:tc>
        <w:tc>
          <w:tcPr>
            <w:tcW w:w="1108" w:type="dxa"/>
            <w:vMerge w:val="restart"/>
            <w:tcBorders>
              <w:top w:val="single" w:sz="24" w:space="0" w:color="53C0A4"/>
            </w:tcBorders>
            <w:shd w:val="clear" w:color="auto" w:fill="339FC7"/>
          </w:tcPr>
          <w:p w14:paraId="1C34F037" w14:textId="77777777" w:rsidR="004C558F" w:rsidRDefault="004C558F">
            <w:pPr>
              <w:pStyle w:val="TableParagraph"/>
              <w:spacing w:before="0"/>
              <w:jc w:val="left"/>
              <w:rPr>
                <w:sz w:val="32"/>
              </w:rPr>
            </w:pPr>
          </w:p>
          <w:p w14:paraId="1C34F038" w14:textId="77777777" w:rsidR="004C558F" w:rsidRDefault="004C558F">
            <w:pPr>
              <w:pStyle w:val="TableParagraph"/>
              <w:spacing w:before="250"/>
              <w:jc w:val="left"/>
              <w:rPr>
                <w:sz w:val="32"/>
              </w:rPr>
            </w:pPr>
          </w:p>
          <w:p w14:paraId="1C34F039" w14:textId="77777777" w:rsidR="004C558F" w:rsidRDefault="00461887">
            <w:pPr>
              <w:pStyle w:val="TableParagraph"/>
              <w:spacing w:before="0"/>
              <w:ind w:left="160"/>
              <w:jc w:val="left"/>
              <w:rPr>
                <w:rFonts w:ascii="Franklin Gothic Medium Cond"/>
                <w:sz w:val="32"/>
              </w:rPr>
            </w:pPr>
            <w:r>
              <w:rPr>
                <w:rFonts w:ascii="Franklin Gothic Medium Cond"/>
                <w:spacing w:val="-2"/>
                <w:sz w:val="32"/>
              </w:rPr>
              <w:t>60.6%</w:t>
            </w:r>
          </w:p>
        </w:tc>
        <w:tc>
          <w:tcPr>
            <w:tcW w:w="554" w:type="dxa"/>
            <w:tcBorders>
              <w:top w:val="single" w:sz="6" w:space="0" w:color="ECECEC"/>
              <w:bottom w:val="single" w:sz="6" w:space="0" w:color="ECECEC"/>
            </w:tcBorders>
          </w:tcPr>
          <w:p w14:paraId="1C34F03A" w14:textId="77777777" w:rsidR="004C558F" w:rsidRDefault="004C558F">
            <w:pPr>
              <w:pStyle w:val="TableParagraph"/>
              <w:spacing w:before="0"/>
              <w:jc w:val="left"/>
              <w:rPr>
                <w:rFonts w:ascii="Times New Roman"/>
              </w:rPr>
            </w:pPr>
          </w:p>
        </w:tc>
        <w:tc>
          <w:tcPr>
            <w:tcW w:w="1106" w:type="dxa"/>
            <w:vMerge w:val="restart"/>
            <w:tcBorders>
              <w:top w:val="single" w:sz="18" w:space="0" w:color="53C0A4"/>
            </w:tcBorders>
            <w:shd w:val="clear" w:color="auto" w:fill="339FC7"/>
          </w:tcPr>
          <w:p w14:paraId="1C34F03B" w14:textId="77777777" w:rsidR="004C558F" w:rsidRDefault="004C558F">
            <w:pPr>
              <w:pStyle w:val="TableParagraph"/>
              <w:spacing w:before="0"/>
              <w:jc w:val="left"/>
              <w:rPr>
                <w:sz w:val="32"/>
              </w:rPr>
            </w:pPr>
          </w:p>
          <w:p w14:paraId="1C34F03C" w14:textId="77777777" w:rsidR="004C558F" w:rsidRDefault="004C558F">
            <w:pPr>
              <w:pStyle w:val="TableParagraph"/>
              <w:spacing w:before="276"/>
              <w:jc w:val="left"/>
              <w:rPr>
                <w:sz w:val="32"/>
              </w:rPr>
            </w:pPr>
          </w:p>
          <w:p w14:paraId="1C34F03D" w14:textId="77777777" w:rsidR="004C558F" w:rsidRDefault="00461887">
            <w:pPr>
              <w:pStyle w:val="TableParagraph"/>
              <w:spacing w:before="0"/>
              <w:ind w:left="158"/>
              <w:jc w:val="left"/>
              <w:rPr>
                <w:rFonts w:ascii="Franklin Gothic Medium Cond"/>
                <w:sz w:val="32"/>
              </w:rPr>
            </w:pPr>
            <w:r>
              <w:rPr>
                <w:rFonts w:ascii="Franklin Gothic Medium Cond"/>
                <w:spacing w:val="-2"/>
                <w:sz w:val="32"/>
              </w:rPr>
              <w:t>62.4%</w:t>
            </w:r>
          </w:p>
        </w:tc>
        <w:tc>
          <w:tcPr>
            <w:tcW w:w="276" w:type="dxa"/>
            <w:tcBorders>
              <w:top w:val="single" w:sz="6" w:space="0" w:color="ECECEC"/>
              <w:bottom w:val="single" w:sz="6" w:space="0" w:color="ECECEC"/>
            </w:tcBorders>
          </w:tcPr>
          <w:p w14:paraId="1C34F03E" w14:textId="77777777" w:rsidR="004C558F" w:rsidRDefault="004C558F">
            <w:pPr>
              <w:pStyle w:val="TableParagraph"/>
              <w:spacing w:before="0"/>
              <w:jc w:val="left"/>
              <w:rPr>
                <w:rFonts w:ascii="Times New Roman"/>
              </w:rPr>
            </w:pPr>
          </w:p>
        </w:tc>
      </w:tr>
      <w:tr w:rsidR="004C558F" w14:paraId="1C34F04B" w14:textId="77777777">
        <w:trPr>
          <w:trHeight w:hRule="exact" w:val="938"/>
        </w:trPr>
        <w:tc>
          <w:tcPr>
            <w:tcW w:w="277" w:type="dxa"/>
            <w:tcBorders>
              <w:top w:val="single" w:sz="6" w:space="0" w:color="ECECEC"/>
              <w:bottom w:val="single" w:sz="6" w:space="0" w:color="ECECEC"/>
            </w:tcBorders>
          </w:tcPr>
          <w:p w14:paraId="1C34F040"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41" w14:textId="77777777" w:rsidR="004C558F" w:rsidRDefault="004C558F">
            <w:pPr>
              <w:rPr>
                <w:sz w:val="2"/>
                <w:szCs w:val="2"/>
              </w:rPr>
            </w:pPr>
          </w:p>
        </w:tc>
        <w:tc>
          <w:tcPr>
            <w:tcW w:w="554" w:type="dxa"/>
            <w:tcBorders>
              <w:top w:val="single" w:sz="6" w:space="0" w:color="ECECEC"/>
              <w:bottom w:val="single" w:sz="6" w:space="0" w:color="ECECEC"/>
            </w:tcBorders>
          </w:tcPr>
          <w:p w14:paraId="1C34F042"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43" w14:textId="77777777" w:rsidR="004C558F" w:rsidRDefault="004C558F">
            <w:pPr>
              <w:rPr>
                <w:sz w:val="2"/>
                <w:szCs w:val="2"/>
              </w:rPr>
            </w:pPr>
          </w:p>
        </w:tc>
        <w:tc>
          <w:tcPr>
            <w:tcW w:w="554" w:type="dxa"/>
            <w:tcBorders>
              <w:top w:val="single" w:sz="6" w:space="0" w:color="ECECEC"/>
              <w:bottom w:val="single" w:sz="6" w:space="0" w:color="ECECEC"/>
            </w:tcBorders>
          </w:tcPr>
          <w:p w14:paraId="1C34F044"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F045" w14:textId="77777777" w:rsidR="004C558F" w:rsidRDefault="004C558F">
            <w:pPr>
              <w:rPr>
                <w:sz w:val="2"/>
                <w:szCs w:val="2"/>
              </w:rPr>
            </w:pPr>
          </w:p>
        </w:tc>
        <w:tc>
          <w:tcPr>
            <w:tcW w:w="551" w:type="dxa"/>
            <w:tcBorders>
              <w:top w:val="single" w:sz="6" w:space="0" w:color="ECECEC"/>
              <w:bottom w:val="single" w:sz="6" w:space="0" w:color="ECECEC"/>
            </w:tcBorders>
          </w:tcPr>
          <w:p w14:paraId="1C34F046"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F047" w14:textId="77777777" w:rsidR="004C558F" w:rsidRDefault="004C558F">
            <w:pPr>
              <w:rPr>
                <w:sz w:val="2"/>
                <w:szCs w:val="2"/>
              </w:rPr>
            </w:pPr>
          </w:p>
        </w:tc>
        <w:tc>
          <w:tcPr>
            <w:tcW w:w="554" w:type="dxa"/>
            <w:tcBorders>
              <w:top w:val="single" w:sz="6" w:space="0" w:color="ECECEC"/>
              <w:bottom w:val="single" w:sz="6" w:space="0" w:color="ECECEC"/>
            </w:tcBorders>
          </w:tcPr>
          <w:p w14:paraId="1C34F048"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49" w14:textId="77777777" w:rsidR="004C558F" w:rsidRDefault="004C558F">
            <w:pPr>
              <w:rPr>
                <w:sz w:val="2"/>
                <w:szCs w:val="2"/>
              </w:rPr>
            </w:pPr>
          </w:p>
        </w:tc>
        <w:tc>
          <w:tcPr>
            <w:tcW w:w="276" w:type="dxa"/>
            <w:tcBorders>
              <w:top w:val="single" w:sz="6" w:space="0" w:color="ECECEC"/>
              <w:bottom w:val="single" w:sz="6" w:space="0" w:color="ECECEC"/>
            </w:tcBorders>
          </w:tcPr>
          <w:p w14:paraId="1C34F04A" w14:textId="77777777" w:rsidR="004C558F" w:rsidRDefault="004C558F">
            <w:pPr>
              <w:pStyle w:val="TableParagraph"/>
              <w:spacing w:before="0"/>
              <w:jc w:val="left"/>
              <w:rPr>
                <w:rFonts w:ascii="Times New Roman"/>
              </w:rPr>
            </w:pPr>
          </w:p>
        </w:tc>
      </w:tr>
      <w:tr w:rsidR="004C558F" w14:paraId="1C34F057" w14:textId="77777777">
        <w:trPr>
          <w:trHeight w:hRule="exact" w:val="273"/>
        </w:trPr>
        <w:tc>
          <w:tcPr>
            <w:tcW w:w="277" w:type="dxa"/>
            <w:vMerge w:val="restart"/>
            <w:tcBorders>
              <w:top w:val="single" w:sz="6" w:space="0" w:color="ECECEC"/>
              <w:bottom w:val="single" w:sz="6" w:space="0" w:color="ECECEC"/>
            </w:tcBorders>
          </w:tcPr>
          <w:p w14:paraId="1C34F04C"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4D"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F04E"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4F"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F050"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F051" w14:textId="77777777" w:rsidR="004C558F" w:rsidRDefault="004C558F">
            <w:pPr>
              <w:rPr>
                <w:sz w:val="2"/>
                <w:szCs w:val="2"/>
              </w:rPr>
            </w:pPr>
          </w:p>
        </w:tc>
        <w:tc>
          <w:tcPr>
            <w:tcW w:w="551" w:type="dxa"/>
            <w:vMerge w:val="restart"/>
            <w:tcBorders>
              <w:top w:val="single" w:sz="6" w:space="0" w:color="ECECEC"/>
              <w:bottom w:val="single" w:sz="6" w:space="0" w:color="ECECEC"/>
            </w:tcBorders>
          </w:tcPr>
          <w:p w14:paraId="1C34F052" w14:textId="77777777" w:rsidR="004C558F" w:rsidRDefault="004C558F">
            <w:pPr>
              <w:pStyle w:val="TableParagraph"/>
              <w:spacing w:before="0"/>
              <w:jc w:val="left"/>
              <w:rPr>
                <w:rFonts w:ascii="Times New Roman"/>
              </w:rPr>
            </w:pPr>
          </w:p>
        </w:tc>
        <w:tc>
          <w:tcPr>
            <w:tcW w:w="1108" w:type="dxa"/>
            <w:vMerge/>
            <w:tcBorders>
              <w:top w:val="nil"/>
            </w:tcBorders>
            <w:shd w:val="clear" w:color="auto" w:fill="339FC7"/>
          </w:tcPr>
          <w:p w14:paraId="1C34F053" w14:textId="77777777" w:rsidR="004C558F" w:rsidRDefault="004C558F">
            <w:pPr>
              <w:rPr>
                <w:sz w:val="2"/>
                <w:szCs w:val="2"/>
              </w:rPr>
            </w:pPr>
          </w:p>
        </w:tc>
        <w:tc>
          <w:tcPr>
            <w:tcW w:w="554" w:type="dxa"/>
            <w:vMerge w:val="restart"/>
            <w:tcBorders>
              <w:top w:val="single" w:sz="6" w:space="0" w:color="ECECEC"/>
              <w:bottom w:val="single" w:sz="6" w:space="0" w:color="ECECEC"/>
            </w:tcBorders>
          </w:tcPr>
          <w:p w14:paraId="1C34F054" w14:textId="77777777" w:rsidR="004C558F" w:rsidRDefault="004C558F">
            <w:pPr>
              <w:pStyle w:val="TableParagraph"/>
              <w:spacing w:before="0"/>
              <w:jc w:val="left"/>
              <w:rPr>
                <w:rFonts w:ascii="Times New Roman"/>
              </w:rPr>
            </w:pPr>
          </w:p>
        </w:tc>
        <w:tc>
          <w:tcPr>
            <w:tcW w:w="1106" w:type="dxa"/>
            <w:vMerge/>
            <w:tcBorders>
              <w:top w:val="nil"/>
            </w:tcBorders>
            <w:shd w:val="clear" w:color="auto" w:fill="339FC7"/>
          </w:tcPr>
          <w:p w14:paraId="1C34F055" w14:textId="77777777" w:rsidR="004C558F" w:rsidRDefault="004C558F">
            <w:pPr>
              <w:rPr>
                <w:sz w:val="2"/>
                <w:szCs w:val="2"/>
              </w:rPr>
            </w:pPr>
          </w:p>
        </w:tc>
        <w:tc>
          <w:tcPr>
            <w:tcW w:w="276" w:type="dxa"/>
            <w:vMerge w:val="restart"/>
            <w:tcBorders>
              <w:top w:val="single" w:sz="6" w:space="0" w:color="ECECEC"/>
              <w:bottom w:val="single" w:sz="6" w:space="0" w:color="ECECEC"/>
            </w:tcBorders>
          </w:tcPr>
          <w:p w14:paraId="1C34F056" w14:textId="77777777" w:rsidR="004C558F" w:rsidRDefault="004C558F">
            <w:pPr>
              <w:pStyle w:val="TableParagraph"/>
              <w:spacing w:before="0"/>
              <w:jc w:val="left"/>
              <w:rPr>
                <w:rFonts w:ascii="Times New Roman"/>
              </w:rPr>
            </w:pPr>
          </w:p>
        </w:tc>
      </w:tr>
      <w:tr w:rsidR="004C558F" w14:paraId="1C34F063" w14:textId="77777777">
        <w:trPr>
          <w:trHeight w:hRule="exact" w:val="175"/>
        </w:trPr>
        <w:tc>
          <w:tcPr>
            <w:tcW w:w="277" w:type="dxa"/>
            <w:vMerge/>
            <w:tcBorders>
              <w:top w:val="nil"/>
              <w:bottom w:val="single" w:sz="6" w:space="0" w:color="ECECEC"/>
            </w:tcBorders>
          </w:tcPr>
          <w:p w14:paraId="1C34F058" w14:textId="77777777" w:rsidR="004C558F" w:rsidRDefault="004C558F">
            <w:pPr>
              <w:rPr>
                <w:sz w:val="2"/>
                <w:szCs w:val="2"/>
              </w:rPr>
            </w:pPr>
          </w:p>
        </w:tc>
        <w:tc>
          <w:tcPr>
            <w:tcW w:w="1106" w:type="dxa"/>
            <w:vMerge w:val="restart"/>
            <w:shd w:val="clear" w:color="auto" w:fill="F1682A"/>
          </w:tcPr>
          <w:p w14:paraId="1C34F059" w14:textId="77777777" w:rsidR="004C558F" w:rsidRDefault="00461887">
            <w:pPr>
              <w:pStyle w:val="TableParagraph"/>
              <w:spacing w:before="125"/>
              <w:ind w:left="161"/>
              <w:jc w:val="left"/>
              <w:rPr>
                <w:rFonts w:ascii="Franklin Gothic Medium Cond"/>
                <w:sz w:val="32"/>
              </w:rPr>
            </w:pPr>
            <w:r>
              <w:rPr>
                <w:rFonts w:ascii="Franklin Gothic Medium Cond"/>
                <w:spacing w:val="-2"/>
                <w:sz w:val="32"/>
              </w:rPr>
              <w:t>18.2%</w:t>
            </w:r>
          </w:p>
        </w:tc>
        <w:tc>
          <w:tcPr>
            <w:tcW w:w="554" w:type="dxa"/>
            <w:vMerge/>
            <w:tcBorders>
              <w:top w:val="nil"/>
              <w:bottom w:val="single" w:sz="6" w:space="0" w:color="ECECEC"/>
            </w:tcBorders>
          </w:tcPr>
          <w:p w14:paraId="1C34F05A" w14:textId="77777777" w:rsidR="004C558F" w:rsidRDefault="004C558F">
            <w:pPr>
              <w:rPr>
                <w:sz w:val="2"/>
                <w:szCs w:val="2"/>
              </w:rPr>
            </w:pPr>
          </w:p>
        </w:tc>
        <w:tc>
          <w:tcPr>
            <w:tcW w:w="1106" w:type="dxa"/>
            <w:vMerge w:val="restart"/>
            <w:shd w:val="clear" w:color="auto" w:fill="F1682A"/>
          </w:tcPr>
          <w:p w14:paraId="1C34F05B" w14:textId="77777777" w:rsidR="004C558F" w:rsidRDefault="00461887">
            <w:pPr>
              <w:pStyle w:val="TableParagraph"/>
              <w:spacing w:before="131"/>
              <w:ind w:left="173"/>
              <w:jc w:val="left"/>
              <w:rPr>
                <w:rFonts w:ascii="Franklin Gothic Medium Cond"/>
                <w:sz w:val="32"/>
              </w:rPr>
            </w:pPr>
            <w:r>
              <w:rPr>
                <w:rFonts w:ascii="Franklin Gothic Medium Cond"/>
                <w:spacing w:val="-2"/>
                <w:sz w:val="32"/>
              </w:rPr>
              <w:t>16.1%</w:t>
            </w:r>
          </w:p>
        </w:tc>
        <w:tc>
          <w:tcPr>
            <w:tcW w:w="554" w:type="dxa"/>
            <w:vMerge/>
            <w:tcBorders>
              <w:top w:val="nil"/>
              <w:bottom w:val="single" w:sz="6" w:space="0" w:color="ECECEC"/>
            </w:tcBorders>
          </w:tcPr>
          <w:p w14:paraId="1C34F05C" w14:textId="77777777" w:rsidR="004C558F" w:rsidRDefault="004C558F">
            <w:pPr>
              <w:rPr>
                <w:sz w:val="2"/>
                <w:szCs w:val="2"/>
              </w:rPr>
            </w:pPr>
          </w:p>
        </w:tc>
        <w:tc>
          <w:tcPr>
            <w:tcW w:w="1108" w:type="dxa"/>
            <w:vMerge w:val="restart"/>
            <w:shd w:val="clear" w:color="auto" w:fill="F1682A"/>
          </w:tcPr>
          <w:p w14:paraId="1C34F05D" w14:textId="77777777" w:rsidR="004C558F" w:rsidRDefault="00461887">
            <w:pPr>
              <w:pStyle w:val="TableParagraph"/>
              <w:spacing w:before="183"/>
              <w:ind w:left="169"/>
              <w:jc w:val="left"/>
              <w:rPr>
                <w:rFonts w:ascii="Franklin Gothic Medium Cond"/>
                <w:sz w:val="32"/>
              </w:rPr>
            </w:pPr>
            <w:r>
              <w:rPr>
                <w:rFonts w:ascii="Franklin Gothic Medium Cond"/>
                <w:spacing w:val="-2"/>
                <w:sz w:val="32"/>
              </w:rPr>
              <w:t>18.1%</w:t>
            </w:r>
          </w:p>
        </w:tc>
        <w:tc>
          <w:tcPr>
            <w:tcW w:w="551" w:type="dxa"/>
            <w:vMerge/>
            <w:tcBorders>
              <w:top w:val="nil"/>
              <w:bottom w:val="single" w:sz="6" w:space="0" w:color="ECECEC"/>
            </w:tcBorders>
          </w:tcPr>
          <w:p w14:paraId="1C34F05E" w14:textId="77777777" w:rsidR="004C558F" w:rsidRDefault="004C558F">
            <w:pPr>
              <w:rPr>
                <w:sz w:val="2"/>
                <w:szCs w:val="2"/>
              </w:rPr>
            </w:pPr>
          </w:p>
        </w:tc>
        <w:tc>
          <w:tcPr>
            <w:tcW w:w="1108" w:type="dxa"/>
            <w:vMerge/>
            <w:tcBorders>
              <w:top w:val="nil"/>
            </w:tcBorders>
            <w:shd w:val="clear" w:color="auto" w:fill="339FC7"/>
          </w:tcPr>
          <w:p w14:paraId="1C34F05F" w14:textId="77777777" w:rsidR="004C558F" w:rsidRDefault="004C558F">
            <w:pPr>
              <w:rPr>
                <w:sz w:val="2"/>
                <w:szCs w:val="2"/>
              </w:rPr>
            </w:pPr>
          </w:p>
        </w:tc>
        <w:tc>
          <w:tcPr>
            <w:tcW w:w="554" w:type="dxa"/>
            <w:vMerge/>
            <w:tcBorders>
              <w:top w:val="nil"/>
              <w:bottom w:val="single" w:sz="6" w:space="0" w:color="ECECEC"/>
            </w:tcBorders>
          </w:tcPr>
          <w:p w14:paraId="1C34F060" w14:textId="77777777" w:rsidR="004C558F" w:rsidRDefault="004C558F">
            <w:pPr>
              <w:rPr>
                <w:sz w:val="2"/>
                <w:szCs w:val="2"/>
              </w:rPr>
            </w:pPr>
          </w:p>
        </w:tc>
        <w:tc>
          <w:tcPr>
            <w:tcW w:w="1106" w:type="dxa"/>
            <w:vMerge/>
            <w:tcBorders>
              <w:top w:val="nil"/>
            </w:tcBorders>
            <w:shd w:val="clear" w:color="auto" w:fill="339FC7"/>
          </w:tcPr>
          <w:p w14:paraId="1C34F061" w14:textId="77777777" w:rsidR="004C558F" w:rsidRDefault="004C558F">
            <w:pPr>
              <w:rPr>
                <w:sz w:val="2"/>
                <w:szCs w:val="2"/>
              </w:rPr>
            </w:pPr>
          </w:p>
        </w:tc>
        <w:tc>
          <w:tcPr>
            <w:tcW w:w="276" w:type="dxa"/>
            <w:vMerge/>
            <w:tcBorders>
              <w:top w:val="nil"/>
              <w:bottom w:val="single" w:sz="6" w:space="0" w:color="ECECEC"/>
            </w:tcBorders>
          </w:tcPr>
          <w:p w14:paraId="1C34F062" w14:textId="77777777" w:rsidR="004C558F" w:rsidRDefault="004C558F">
            <w:pPr>
              <w:rPr>
                <w:sz w:val="2"/>
                <w:szCs w:val="2"/>
              </w:rPr>
            </w:pPr>
          </w:p>
        </w:tc>
      </w:tr>
      <w:tr w:rsidR="004C558F" w14:paraId="1C34F06F" w14:textId="77777777">
        <w:trPr>
          <w:trHeight w:hRule="exact" w:val="466"/>
        </w:trPr>
        <w:tc>
          <w:tcPr>
            <w:tcW w:w="277" w:type="dxa"/>
            <w:vMerge/>
            <w:tcBorders>
              <w:top w:val="nil"/>
              <w:bottom w:val="single" w:sz="6" w:space="0" w:color="ECECEC"/>
            </w:tcBorders>
          </w:tcPr>
          <w:p w14:paraId="1C34F064" w14:textId="77777777" w:rsidR="004C558F" w:rsidRDefault="004C558F">
            <w:pPr>
              <w:rPr>
                <w:sz w:val="2"/>
                <w:szCs w:val="2"/>
              </w:rPr>
            </w:pPr>
          </w:p>
        </w:tc>
        <w:tc>
          <w:tcPr>
            <w:tcW w:w="1106" w:type="dxa"/>
            <w:vMerge/>
            <w:tcBorders>
              <w:top w:val="nil"/>
            </w:tcBorders>
            <w:shd w:val="clear" w:color="auto" w:fill="F1682A"/>
          </w:tcPr>
          <w:p w14:paraId="1C34F065" w14:textId="77777777" w:rsidR="004C558F" w:rsidRDefault="004C558F">
            <w:pPr>
              <w:rPr>
                <w:sz w:val="2"/>
                <w:szCs w:val="2"/>
              </w:rPr>
            </w:pPr>
          </w:p>
        </w:tc>
        <w:tc>
          <w:tcPr>
            <w:tcW w:w="554" w:type="dxa"/>
            <w:vMerge/>
            <w:tcBorders>
              <w:top w:val="nil"/>
              <w:bottom w:val="single" w:sz="6" w:space="0" w:color="ECECEC"/>
            </w:tcBorders>
          </w:tcPr>
          <w:p w14:paraId="1C34F066" w14:textId="77777777" w:rsidR="004C558F" w:rsidRDefault="004C558F">
            <w:pPr>
              <w:rPr>
                <w:sz w:val="2"/>
                <w:szCs w:val="2"/>
              </w:rPr>
            </w:pPr>
          </w:p>
        </w:tc>
        <w:tc>
          <w:tcPr>
            <w:tcW w:w="1106" w:type="dxa"/>
            <w:vMerge/>
            <w:tcBorders>
              <w:top w:val="nil"/>
            </w:tcBorders>
            <w:shd w:val="clear" w:color="auto" w:fill="F1682A"/>
          </w:tcPr>
          <w:p w14:paraId="1C34F067" w14:textId="77777777" w:rsidR="004C558F" w:rsidRDefault="004C558F">
            <w:pPr>
              <w:rPr>
                <w:sz w:val="2"/>
                <w:szCs w:val="2"/>
              </w:rPr>
            </w:pPr>
          </w:p>
        </w:tc>
        <w:tc>
          <w:tcPr>
            <w:tcW w:w="554" w:type="dxa"/>
            <w:vMerge/>
            <w:tcBorders>
              <w:top w:val="nil"/>
              <w:bottom w:val="single" w:sz="6" w:space="0" w:color="ECECEC"/>
            </w:tcBorders>
          </w:tcPr>
          <w:p w14:paraId="1C34F068" w14:textId="77777777" w:rsidR="004C558F" w:rsidRDefault="004C558F">
            <w:pPr>
              <w:rPr>
                <w:sz w:val="2"/>
                <w:szCs w:val="2"/>
              </w:rPr>
            </w:pPr>
          </w:p>
        </w:tc>
        <w:tc>
          <w:tcPr>
            <w:tcW w:w="1108" w:type="dxa"/>
            <w:vMerge/>
            <w:tcBorders>
              <w:top w:val="nil"/>
            </w:tcBorders>
            <w:shd w:val="clear" w:color="auto" w:fill="F1682A"/>
          </w:tcPr>
          <w:p w14:paraId="1C34F069" w14:textId="77777777" w:rsidR="004C558F" w:rsidRDefault="004C558F">
            <w:pPr>
              <w:rPr>
                <w:sz w:val="2"/>
                <w:szCs w:val="2"/>
              </w:rPr>
            </w:pPr>
          </w:p>
        </w:tc>
        <w:tc>
          <w:tcPr>
            <w:tcW w:w="551" w:type="dxa"/>
            <w:vMerge/>
            <w:tcBorders>
              <w:top w:val="nil"/>
              <w:bottom w:val="single" w:sz="6" w:space="0" w:color="ECECEC"/>
            </w:tcBorders>
          </w:tcPr>
          <w:p w14:paraId="1C34F06A" w14:textId="77777777" w:rsidR="004C558F" w:rsidRDefault="004C558F">
            <w:pPr>
              <w:rPr>
                <w:sz w:val="2"/>
                <w:szCs w:val="2"/>
              </w:rPr>
            </w:pPr>
          </w:p>
        </w:tc>
        <w:tc>
          <w:tcPr>
            <w:tcW w:w="1108" w:type="dxa"/>
            <w:shd w:val="clear" w:color="auto" w:fill="F1682A"/>
          </w:tcPr>
          <w:p w14:paraId="1C34F06B" w14:textId="77777777" w:rsidR="004C558F" w:rsidRDefault="00461887">
            <w:pPr>
              <w:pStyle w:val="TableParagraph"/>
              <w:spacing w:before="46"/>
              <w:ind w:right="2"/>
              <w:jc w:val="center"/>
              <w:rPr>
                <w:rFonts w:ascii="Franklin Gothic Medium Cond"/>
                <w:sz w:val="32"/>
              </w:rPr>
            </w:pPr>
            <w:r>
              <w:rPr>
                <w:rFonts w:ascii="Franklin Gothic Medium Cond"/>
                <w:spacing w:val="-2"/>
                <w:sz w:val="32"/>
              </w:rPr>
              <w:t>13.6%</w:t>
            </w:r>
          </w:p>
        </w:tc>
        <w:tc>
          <w:tcPr>
            <w:tcW w:w="554" w:type="dxa"/>
            <w:vMerge/>
            <w:tcBorders>
              <w:top w:val="nil"/>
              <w:bottom w:val="single" w:sz="6" w:space="0" w:color="ECECEC"/>
            </w:tcBorders>
          </w:tcPr>
          <w:p w14:paraId="1C34F06C" w14:textId="77777777" w:rsidR="004C558F" w:rsidRDefault="004C558F">
            <w:pPr>
              <w:rPr>
                <w:sz w:val="2"/>
                <w:szCs w:val="2"/>
              </w:rPr>
            </w:pPr>
          </w:p>
        </w:tc>
        <w:tc>
          <w:tcPr>
            <w:tcW w:w="1106" w:type="dxa"/>
            <w:shd w:val="clear" w:color="auto" w:fill="F1682A"/>
          </w:tcPr>
          <w:p w14:paraId="1C34F06D" w14:textId="77777777" w:rsidR="004C558F" w:rsidRDefault="00461887">
            <w:pPr>
              <w:pStyle w:val="TableParagraph"/>
              <w:spacing w:before="105" w:line="342" w:lineRule="exact"/>
              <w:ind w:right="4"/>
              <w:jc w:val="center"/>
              <w:rPr>
                <w:rFonts w:ascii="Franklin Gothic Medium Cond"/>
                <w:sz w:val="32"/>
              </w:rPr>
            </w:pPr>
            <w:r>
              <w:rPr>
                <w:rFonts w:ascii="Franklin Gothic Medium Cond"/>
                <w:spacing w:val="-2"/>
                <w:sz w:val="32"/>
              </w:rPr>
              <w:t>13.8%</w:t>
            </w:r>
          </w:p>
        </w:tc>
        <w:tc>
          <w:tcPr>
            <w:tcW w:w="276" w:type="dxa"/>
            <w:vMerge/>
            <w:tcBorders>
              <w:top w:val="nil"/>
              <w:bottom w:val="single" w:sz="6" w:space="0" w:color="ECECEC"/>
            </w:tcBorders>
          </w:tcPr>
          <w:p w14:paraId="1C34F06E" w14:textId="77777777" w:rsidR="004C558F" w:rsidRDefault="004C558F">
            <w:pPr>
              <w:rPr>
                <w:sz w:val="2"/>
                <w:szCs w:val="2"/>
              </w:rPr>
            </w:pPr>
          </w:p>
        </w:tc>
      </w:tr>
      <w:tr w:rsidR="004C558F" w14:paraId="1C34F07B" w14:textId="77777777">
        <w:trPr>
          <w:trHeight w:hRule="exact" w:val="938"/>
        </w:trPr>
        <w:tc>
          <w:tcPr>
            <w:tcW w:w="277" w:type="dxa"/>
            <w:tcBorders>
              <w:top w:val="single" w:sz="6" w:space="0" w:color="ECECEC"/>
              <w:bottom w:val="single" w:sz="6" w:space="0" w:color="D9D9D9"/>
            </w:tcBorders>
          </w:tcPr>
          <w:p w14:paraId="1C34F070" w14:textId="77777777" w:rsidR="004C558F" w:rsidRDefault="004C558F">
            <w:pPr>
              <w:pStyle w:val="TableParagraph"/>
              <w:spacing w:before="0"/>
              <w:jc w:val="left"/>
              <w:rPr>
                <w:rFonts w:ascii="Times New Roman"/>
              </w:rPr>
            </w:pPr>
          </w:p>
        </w:tc>
        <w:tc>
          <w:tcPr>
            <w:tcW w:w="1106" w:type="dxa"/>
            <w:tcBorders>
              <w:bottom w:val="single" w:sz="6" w:space="0" w:color="D9D9D9"/>
            </w:tcBorders>
            <w:shd w:val="clear" w:color="auto" w:fill="084875"/>
          </w:tcPr>
          <w:p w14:paraId="1C34F071" w14:textId="77777777" w:rsidR="004C558F" w:rsidRDefault="00461887">
            <w:pPr>
              <w:pStyle w:val="TableParagraph"/>
              <w:spacing w:before="278"/>
              <w:ind w:left="159"/>
              <w:jc w:val="left"/>
              <w:rPr>
                <w:rFonts w:ascii="Franklin Gothic Medium Cond"/>
                <w:sz w:val="32"/>
              </w:rPr>
            </w:pPr>
            <w:r>
              <w:rPr>
                <w:rFonts w:ascii="Franklin Gothic Medium Cond"/>
                <w:color w:val="FFFFFF"/>
                <w:spacing w:val="-2"/>
                <w:sz w:val="32"/>
              </w:rPr>
              <w:t>25.5%</w:t>
            </w:r>
          </w:p>
        </w:tc>
        <w:tc>
          <w:tcPr>
            <w:tcW w:w="554" w:type="dxa"/>
            <w:tcBorders>
              <w:top w:val="single" w:sz="6" w:space="0" w:color="ECECEC"/>
              <w:bottom w:val="single" w:sz="6" w:space="0" w:color="D9D9D9"/>
            </w:tcBorders>
          </w:tcPr>
          <w:p w14:paraId="1C34F072" w14:textId="77777777" w:rsidR="004C558F" w:rsidRDefault="004C558F">
            <w:pPr>
              <w:pStyle w:val="TableParagraph"/>
              <w:spacing w:before="0"/>
              <w:jc w:val="left"/>
              <w:rPr>
                <w:rFonts w:ascii="Times New Roman"/>
              </w:rPr>
            </w:pPr>
          </w:p>
        </w:tc>
        <w:tc>
          <w:tcPr>
            <w:tcW w:w="1106" w:type="dxa"/>
            <w:tcBorders>
              <w:bottom w:val="single" w:sz="6" w:space="0" w:color="D9D9D9"/>
            </w:tcBorders>
            <w:shd w:val="clear" w:color="auto" w:fill="084875"/>
          </w:tcPr>
          <w:p w14:paraId="1C34F073" w14:textId="77777777" w:rsidR="004C558F" w:rsidRDefault="00461887">
            <w:pPr>
              <w:pStyle w:val="TableParagraph"/>
              <w:spacing w:before="274"/>
              <w:ind w:left="159"/>
              <w:jc w:val="left"/>
              <w:rPr>
                <w:rFonts w:ascii="Franklin Gothic Medium Cond"/>
                <w:sz w:val="32"/>
              </w:rPr>
            </w:pPr>
            <w:r>
              <w:rPr>
                <w:rFonts w:ascii="Franklin Gothic Medium Cond"/>
                <w:color w:val="FFFFFF"/>
                <w:spacing w:val="-2"/>
                <w:sz w:val="32"/>
              </w:rPr>
              <w:t>25.7%</w:t>
            </w:r>
          </w:p>
        </w:tc>
        <w:tc>
          <w:tcPr>
            <w:tcW w:w="554" w:type="dxa"/>
            <w:tcBorders>
              <w:top w:val="single" w:sz="6" w:space="0" w:color="ECECEC"/>
              <w:bottom w:val="single" w:sz="6" w:space="0" w:color="D9D9D9"/>
            </w:tcBorders>
          </w:tcPr>
          <w:p w14:paraId="1C34F074" w14:textId="77777777" w:rsidR="004C558F" w:rsidRDefault="004C558F">
            <w:pPr>
              <w:pStyle w:val="TableParagraph"/>
              <w:spacing w:before="0"/>
              <w:jc w:val="left"/>
              <w:rPr>
                <w:rFonts w:ascii="Times New Roman"/>
              </w:rPr>
            </w:pPr>
          </w:p>
        </w:tc>
        <w:tc>
          <w:tcPr>
            <w:tcW w:w="1108" w:type="dxa"/>
            <w:tcBorders>
              <w:bottom w:val="single" w:sz="6" w:space="0" w:color="D9D9D9"/>
            </w:tcBorders>
            <w:shd w:val="clear" w:color="auto" w:fill="084875"/>
          </w:tcPr>
          <w:p w14:paraId="1C34F075" w14:textId="77777777" w:rsidR="004C558F" w:rsidRDefault="00461887">
            <w:pPr>
              <w:pStyle w:val="TableParagraph"/>
              <w:spacing w:before="319"/>
              <w:ind w:left="160"/>
              <w:jc w:val="left"/>
              <w:rPr>
                <w:rFonts w:ascii="Franklin Gothic Medium Cond"/>
                <w:sz w:val="32"/>
              </w:rPr>
            </w:pPr>
            <w:r>
              <w:rPr>
                <w:rFonts w:ascii="Franklin Gothic Medium Cond"/>
                <w:color w:val="FFFFFF"/>
                <w:spacing w:val="-2"/>
                <w:sz w:val="32"/>
              </w:rPr>
              <w:t>23.3%</w:t>
            </w:r>
          </w:p>
        </w:tc>
        <w:tc>
          <w:tcPr>
            <w:tcW w:w="551" w:type="dxa"/>
            <w:tcBorders>
              <w:top w:val="single" w:sz="6" w:space="0" w:color="ECECEC"/>
              <w:bottom w:val="single" w:sz="6" w:space="0" w:color="D9D9D9"/>
            </w:tcBorders>
          </w:tcPr>
          <w:p w14:paraId="1C34F076" w14:textId="77777777" w:rsidR="004C558F" w:rsidRDefault="004C558F">
            <w:pPr>
              <w:pStyle w:val="TableParagraph"/>
              <w:spacing w:before="0"/>
              <w:jc w:val="left"/>
              <w:rPr>
                <w:rFonts w:ascii="Times New Roman"/>
              </w:rPr>
            </w:pPr>
          </w:p>
        </w:tc>
        <w:tc>
          <w:tcPr>
            <w:tcW w:w="1108" w:type="dxa"/>
            <w:tcBorders>
              <w:bottom w:val="single" w:sz="6" w:space="0" w:color="D9D9D9"/>
            </w:tcBorders>
            <w:shd w:val="clear" w:color="auto" w:fill="084875"/>
          </w:tcPr>
          <w:p w14:paraId="1C34F077" w14:textId="77777777" w:rsidR="004C558F" w:rsidRDefault="00461887">
            <w:pPr>
              <w:pStyle w:val="TableParagraph"/>
              <w:spacing w:before="296"/>
              <w:ind w:right="2"/>
              <w:jc w:val="center"/>
              <w:rPr>
                <w:rFonts w:ascii="Franklin Gothic Medium Cond"/>
                <w:sz w:val="32"/>
              </w:rPr>
            </w:pPr>
            <w:r>
              <w:rPr>
                <w:rFonts w:ascii="Franklin Gothic Medium Cond"/>
                <w:color w:val="FFFFFF"/>
                <w:spacing w:val="-2"/>
                <w:sz w:val="32"/>
              </w:rPr>
              <w:t>24.5%</w:t>
            </w:r>
          </w:p>
        </w:tc>
        <w:tc>
          <w:tcPr>
            <w:tcW w:w="554" w:type="dxa"/>
            <w:tcBorders>
              <w:top w:val="single" w:sz="6" w:space="0" w:color="ECECEC"/>
              <w:bottom w:val="single" w:sz="6" w:space="0" w:color="D9D9D9"/>
            </w:tcBorders>
          </w:tcPr>
          <w:p w14:paraId="1C34F078" w14:textId="77777777" w:rsidR="004C558F" w:rsidRDefault="004C558F">
            <w:pPr>
              <w:pStyle w:val="TableParagraph"/>
              <w:spacing w:before="0"/>
              <w:jc w:val="left"/>
              <w:rPr>
                <w:rFonts w:ascii="Times New Roman"/>
              </w:rPr>
            </w:pPr>
          </w:p>
        </w:tc>
        <w:tc>
          <w:tcPr>
            <w:tcW w:w="1106" w:type="dxa"/>
            <w:tcBorders>
              <w:bottom w:val="single" w:sz="6" w:space="0" w:color="D9D9D9"/>
            </w:tcBorders>
            <w:shd w:val="clear" w:color="auto" w:fill="084875"/>
          </w:tcPr>
          <w:p w14:paraId="1C34F079" w14:textId="77777777" w:rsidR="004C558F" w:rsidRDefault="00461887">
            <w:pPr>
              <w:pStyle w:val="TableParagraph"/>
              <w:spacing w:before="327"/>
              <w:ind w:left="1" w:right="4"/>
              <w:jc w:val="center"/>
              <w:rPr>
                <w:rFonts w:ascii="Franklin Gothic Medium Cond"/>
                <w:sz w:val="32"/>
              </w:rPr>
            </w:pPr>
            <w:r>
              <w:rPr>
                <w:rFonts w:ascii="Franklin Gothic Medium Cond"/>
                <w:color w:val="FFFFFF"/>
                <w:spacing w:val="-2"/>
                <w:sz w:val="32"/>
              </w:rPr>
              <w:t>22.8%</w:t>
            </w:r>
          </w:p>
        </w:tc>
        <w:tc>
          <w:tcPr>
            <w:tcW w:w="276" w:type="dxa"/>
            <w:tcBorders>
              <w:top w:val="single" w:sz="6" w:space="0" w:color="ECECEC"/>
              <w:bottom w:val="single" w:sz="6" w:space="0" w:color="D9D9D9"/>
            </w:tcBorders>
          </w:tcPr>
          <w:p w14:paraId="1C34F07A" w14:textId="77777777" w:rsidR="004C558F" w:rsidRDefault="004C558F">
            <w:pPr>
              <w:pStyle w:val="TableParagraph"/>
              <w:spacing w:before="0"/>
              <w:jc w:val="left"/>
              <w:rPr>
                <w:rFonts w:ascii="Times New Roman"/>
              </w:rPr>
            </w:pPr>
          </w:p>
        </w:tc>
      </w:tr>
    </w:tbl>
    <w:p w14:paraId="1C34F07C" w14:textId="77777777" w:rsidR="004C558F" w:rsidRDefault="004C558F">
      <w:pPr>
        <w:pStyle w:val="BodyText"/>
      </w:pPr>
    </w:p>
    <w:p w14:paraId="1C34F07D" w14:textId="77777777" w:rsidR="004C558F" w:rsidRDefault="004C558F">
      <w:pPr>
        <w:pStyle w:val="BodyText"/>
      </w:pPr>
    </w:p>
    <w:p w14:paraId="1C34F07E" w14:textId="77777777" w:rsidR="004C558F" w:rsidRDefault="004C558F">
      <w:pPr>
        <w:pStyle w:val="BodyText"/>
      </w:pPr>
    </w:p>
    <w:p w14:paraId="1C34F07F" w14:textId="77777777" w:rsidR="004C558F" w:rsidRDefault="004C558F">
      <w:pPr>
        <w:pStyle w:val="BodyText"/>
        <w:spacing w:before="33"/>
      </w:pPr>
    </w:p>
    <w:p w14:paraId="1C34F080" w14:textId="77777777" w:rsidR="004C558F" w:rsidRDefault="00461887">
      <w:pPr>
        <w:ind w:left="472"/>
        <w:rPr>
          <w:sz w:val="20"/>
        </w:rPr>
      </w:pPr>
      <w:r>
        <w:rPr>
          <w:sz w:val="20"/>
        </w:rPr>
        <w:t>Source:</w:t>
      </w:r>
      <w:r>
        <w:rPr>
          <w:spacing w:val="-7"/>
          <w:sz w:val="20"/>
        </w:rPr>
        <w:t xml:space="preserve"> </w:t>
      </w:r>
      <w:r>
        <w:rPr>
          <w:sz w:val="20"/>
        </w:rPr>
        <w:t>HPC</w:t>
      </w:r>
      <w:r>
        <w:rPr>
          <w:spacing w:val="-7"/>
          <w:sz w:val="20"/>
        </w:rPr>
        <w:t xml:space="preserve"> </w:t>
      </w:r>
      <w:r>
        <w:rPr>
          <w:sz w:val="20"/>
        </w:rPr>
        <w:t>analysis</w:t>
      </w:r>
      <w:r>
        <w:rPr>
          <w:spacing w:val="-6"/>
          <w:sz w:val="20"/>
        </w:rPr>
        <w:t xml:space="preserve"> </w:t>
      </w:r>
      <w:r>
        <w:rPr>
          <w:sz w:val="20"/>
        </w:rPr>
        <w:t>of</w:t>
      </w:r>
      <w:r>
        <w:rPr>
          <w:spacing w:val="-7"/>
          <w:sz w:val="20"/>
        </w:rPr>
        <w:t xml:space="preserve"> </w:t>
      </w:r>
      <w:r>
        <w:rPr>
          <w:sz w:val="20"/>
        </w:rPr>
        <w:t>CHIA</w:t>
      </w:r>
      <w:r>
        <w:rPr>
          <w:spacing w:val="-7"/>
          <w:sz w:val="20"/>
        </w:rPr>
        <w:t xml:space="preserve"> </w:t>
      </w:r>
      <w:r>
        <w:rPr>
          <w:sz w:val="20"/>
        </w:rPr>
        <w:t>Massachusetts</w:t>
      </w:r>
      <w:r>
        <w:rPr>
          <w:spacing w:val="-6"/>
          <w:sz w:val="20"/>
        </w:rPr>
        <w:t xml:space="preserve"> </w:t>
      </w:r>
      <w:r>
        <w:rPr>
          <w:sz w:val="20"/>
        </w:rPr>
        <w:t>Hospital</w:t>
      </w:r>
      <w:r>
        <w:rPr>
          <w:spacing w:val="-7"/>
          <w:sz w:val="20"/>
        </w:rPr>
        <w:t xml:space="preserve"> </w:t>
      </w:r>
      <w:r>
        <w:rPr>
          <w:sz w:val="20"/>
        </w:rPr>
        <w:t>Discharge</w:t>
      </w:r>
      <w:r>
        <w:rPr>
          <w:spacing w:val="-8"/>
          <w:sz w:val="20"/>
        </w:rPr>
        <w:t xml:space="preserve"> </w:t>
      </w:r>
      <w:r>
        <w:rPr>
          <w:spacing w:val="-2"/>
          <w:sz w:val="20"/>
        </w:rPr>
        <w:t>Database.</w:t>
      </w:r>
    </w:p>
    <w:p w14:paraId="1C34F081" w14:textId="77777777" w:rsidR="004C558F" w:rsidRDefault="00461887">
      <w:pPr>
        <w:spacing w:before="33" w:line="276" w:lineRule="auto"/>
        <w:ind w:left="472" w:right="774"/>
        <w:rPr>
          <w:sz w:val="20"/>
        </w:rPr>
      </w:pPr>
      <w:r>
        <w:rPr>
          <w:sz w:val="20"/>
        </w:rPr>
        <w:t>Note:</w:t>
      </w:r>
      <w:r>
        <w:rPr>
          <w:spacing w:val="-3"/>
          <w:sz w:val="20"/>
        </w:rPr>
        <w:t xml:space="preserve"> </w:t>
      </w:r>
      <w:r>
        <w:rPr>
          <w:sz w:val="20"/>
        </w:rPr>
        <w:t>Includes</w:t>
      </w:r>
      <w:r>
        <w:rPr>
          <w:spacing w:val="-3"/>
          <w:sz w:val="20"/>
        </w:rPr>
        <w:t xml:space="preserve"> </w:t>
      </w:r>
      <w:r>
        <w:rPr>
          <w:sz w:val="20"/>
        </w:rPr>
        <w:t>medical</w:t>
      </w:r>
      <w:r>
        <w:rPr>
          <w:spacing w:val="-4"/>
          <w:sz w:val="20"/>
        </w:rPr>
        <w:t xml:space="preserve"> </w:t>
      </w:r>
      <w:r>
        <w:rPr>
          <w:sz w:val="20"/>
        </w:rPr>
        <w:t>oncology</w:t>
      </w:r>
      <w:r>
        <w:rPr>
          <w:spacing w:val="-5"/>
          <w:sz w:val="20"/>
        </w:rPr>
        <w:t xml:space="preserve"> </w:t>
      </w:r>
      <w:r>
        <w:rPr>
          <w:sz w:val="20"/>
        </w:rPr>
        <w:t>discharges</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Massachusetts</w:t>
      </w:r>
      <w:r>
        <w:rPr>
          <w:spacing w:val="-3"/>
          <w:sz w:val="20"/>
        </w:rPr>
        <w:t xml:space="preserve"> </w:t>
      </w:r>
      <w:r>
        <w:rPr>
          <w:sz w:val="20"/>
        </w:rPr>
        <w:t>hospitals,</w:t>
      </w:r>
      <w:r>
        <w:rPr>
          <w:spacing w:val="-3"/>
          <w:sz w:val="20"/>
        </w:rPr>
        <w:t xml:space="preserve"> </w:t>
      </w:r>
      <w:r>
        <w:rPr>
          <w:sz w:val="20"/>
        </w:rPr>
        <w:t>excluding</w:t>
      </w:r>
      <w:r>
        <w:rPr>
          <w:spacing w:val="-4"/>
          <w:sz w:val="20"/>
        </w:rPr>
        <w:t xml:space="preserve"> </w:t>
      </w:r>
      <w:r>
        <w:rPr>
          <w:sz w:val="20"/>
        </w:rPr>
        <w:t>non-MA</w:t>
      </w:r>
      <w:r>
        <w:rPr>
          <w:spacing w:val="-5"/>
          <w:sz w:val="20"/>
        </w:rPr>
        <w:t xml:space="preserve"> </w:t>
      </w:r>
      <w:r>
        <w:rPr>
          <w:sz w:val="20"/>
        </w:rPr>
        <w:t>residents,</w:t>
      </w:r>
      <w:r>
        <w:rPr>
          <w:spacing w:val="-3"/>
          <w:sz w:val="20"/>
        </w:rPr>
        <w:t xml:space="preserve"> </w:t>
      </w:r>
      <w:r>
        <w:rPr>
          <w:sz w:val="20"/>
        </w:rPr>
        <w:t>normal newborns, and discharges for patients under 18 years of age.</w:t>
      </w:r>
    </w:p>
    <w:p w14:paraId="1C34F082" w14:textId="77777777" w:rsidR="004C558F" w:rsidRDefault="004C558F">
      <w:pPr>
        <w:spacing w:line="276" w:lineRule="auto"/>
        <w:rPr>
          <w:sz w:val="20"/>
        </w:rPr>
        <w:sectPr w:rsidR="004C558F">
          <w:pgSz w:w="12240" w:h="15840"/>
          <w:pgMar w:top="1360" w:right="440" w:bottom="720" w:left="680" w:header="0" w:footer="521" w:gutter="0"/>
          <w:cols w:space="720"/>
        </w:sectPr>
      </w:pPr>
    </w:p>
    <w:p w14:paraId="1C34F083" w14:textId="77777777" w:rsidR="004C558F" w:rsidRDefault="00461887">
      <w:pPr>
        <w:pStyle w:val="Heading1"/>
        <w:ind w:left="472"/>
      </w:pPr>
      <w:bookmarkStart w:id="254" w:name="Acknowledgements"/>
      <w:bookmarkEnd w:id="254"/>
      <w:r>
        <w:rPr>
          <w:color w:val="063656"/>
          <w:spacing w:val="-2"/>
        </w:rPr>
        <w:lastRenderedPageBreak/>
        <w:t>Acknowledgements</w:t>
      </w:r>
    </w:p>
    <w:p w14:paraId="1C34F084" w14:textId="77777777" w:rsidR="004C558F" w:rsidRDefault="004C558F">
      <w:pPr>
        <w:pStyle w:val="BodyText"/>
        <w:spacing w:before="174"/>
        <w:rPr>
          <w:rFonts w:ascii="Franklin Gothic Demi"/>
          <w:b/>
          <w:sz w:val="20"/>
        </w:rPr>
      </w:pPr>
    </w:p>
    <w:p w14:paraId="1C34F085" w14:textId="77777777" w:rsidR="004C558F" w:rsidRDefault="004C558F">
      <w:pPr>
        <w:rPr>
          <w:rFonts w:ascii="Franklin Gothic Demi"/>
          <w:sz w:val="20"/>
        </w:rPr>
        <w:sectPr w:rsidR="004C558F">
          <w:pgSz w:w="12240" w:h="15840"/>
          <w:pgMar w:top="1360" w:right="440" w:bottom="720" w:left="680" w:header="0" w:footer="521" w:gutter="0"/>
          <w:cols w:space="720"/>
        </w:sectPr>
      </w:pPr>
    </w:p>
    <w:p w14:paraId="1C34F086" w14:textId="77777777" w:rsidR="004C558F" w:rsidRDefault="00461887">
      <w:pPr>
        <w:pStyle w:val="Heading2"/>
        <w:spacing w:before="101"/>
        <w:ind w:left="472" w:firstLine="0"/>
      </w:pPr>
      <w:bookmarkStart w:id="255" w:name="Commissioners"/>
      <w:bookmarkEnd w:id="255"/>
      <w:r>
        <w:rPr>
          <w:color w:val="084875"/>
          <w:spacing w:val="-2"/>
        </w:rPr>
        <w:t>Commissioners</w:t>
      </w:r>
    </w:p>
    <w:p w14:paraId="1C34F087" w14:textId="77777777" w:rsidR="004C558F" w:rsidRDefault="00461887">
      <w:pPr>
        <w:pStyle w:val="BodyText"/>
        <w:spacing w:before="47"/>
        <w:ind w:left="472"/>
        <w:rPr>
          <w:rFonts w:ascii="Franklin Gothic Medium"/>
        </w:rPr>
      </w:pPr>
      <w:r>
        <w:rPr>
          <w:rFonts w:ascii="Franklin Gothic Medium"/>
        </w:rPr>
        <w:t>Deborah</w:t>
      </w:r>
      <w:r>
        <w:rPr>
          <w:rFonts w:ascii="Franklin Gothic Medium"/>
          <w:spacing w:val="-4"/>
        </w:rPr>
        <w:t xml:space="preserve"> </w:t>
      </w:r>
      <w:r>
        <w:rPr>
          <w:rFonts w:ascii="Franklin Gothic Medium"/>
          <w:spacing w:val="-2"/>
        </w:rPr>
        <w:t>Devaux</w:t>
      </w:r>
    </w:p>
    <w:p w14:paraId="1C34F088" w14:textId="77777777" w:rsidR="004C558F" w:rsidRDefault="00461887">
      <w:pPr>
        <w:spacing w:before="39"/>
        <w:ind w:left="472"/>
        <w:rPr>
          <w:i/>
        </w:rPr>
      </w:pPr>
      <w:r>
        <w:rPr>
          <w:i/>
          <w:spacing w:val="-2"/>
        </w:rPr>
        <w:t>Chair</w:t>
      </w:r>
    </w:p>
    <w:p w14:paraId="1C34F089" w14:textId="77777777" w:rsidR="004C558F" w:rsidRDefault="00461887">
      <w:pPr>
        <w:pStyle w:val="BodyText"/>
        <w:spacing w:before="197"/>
        <w:ind w:left="472"/>
        <w:rPr>
          <w:rFonts w:ascii="Franklin Gothic Medium"/>
        </w:rPr>
      </w:pPr>
      <w:r>
        <w:rPr>
          <w:rFonts w:ascii="Franklin Gothic Medium"/>
        </w:rPr>
        <w:t>Martin</w:t>
      </w:r>
      <w:r>
        <w:rPr>
          <w:rFonts w:ascii="Franklin Gothic Medium"/>
          <w:spacing w:val="-2"/>
        </w:rPr>
        <w:t xml:space="preserve"> Cohen</w:t>
      </w:r>
    </w:p>
    <w:p w14:paraId="1C34F08A" w14:textId="77777777" w:rsidR="004C558F" w:rsidRDefault="00461887">
      <w:pPr>
        <w:pStyle w:val="BodyText"/>
        <w:spacing w:before="36" w:line="429" w:lineRule="auto"/>
        <w:ind w:left="471" w:right="167"/>
        <w:rPr>
          <w:rFonts w:ascii="Franklin Gothic Medium"/>
        </w:rPr>
      </w:pPr>
      <w:r>
        <w:t>Vic</w:t>
      </w:r>
      <w:r>
        <w:rPr>
          <w:i/>
        </w:rPr>
        <w:t>e Chair</w:t>
      </w:r>
      <w:r>
        <w:rPr>
          <w:i/>
          <w:spacing w:val="40"/>
        </w:rPr>
        <w:t xml:space="preserve"> </w:t>
      </w:r>
      <w:r>
        <w:rPr>
          <w:rFonts w:ascii="Franklin Gothic Medium"/>
        </w:rPr>
        <w:t>Barbara Blakeney Dr.</w:t>
      </w:r>
      <w:r>
        <w:rPr>
          <w:rFonts w:ascii="Franklin Gothic Medium"/>
          <w:spacing w:val="-14"/>
        </w:rPr>
        <w:t xml:space="preserve"> </w:t>
      </w:r>
      <w:r>
        <w:rPr>
          <w:rFonts w:ascii="Franklin Gothic Medium"/>
        </w:rPr>
        <w:t>Matilde</w:t>
      </w:r>
      <w:r>
        <w:rPr>
          <w:rFonts w:ascii="Franklin Gothic Medium"/>
          <w:spacing w:val="-14"/>
        </w:rPr>
        <w:t xml:space="preserve"> </w:t>
      </w:r>
      <w:r>
        <w:rPr>
          <w:rFonts w:ascii="Franklin Gothic Medium"/>
        </w:rPr>
        <w:t>Castiel Dr. David Cutler Timothy Foley</w:t>
      </w:r>
    </w:p>
    <w:p w14:paraId="1C34F08B" w14:textId="77777777" w:rsidR="004C558F" w:rsidRDefault="00461887">
      <w:pPr>
        <w:spacing w:before="216"/>
        <w:rPr>
          <w:rFonts w:ascii="Franklin Gothic Medium"/>
        </w:rPr>
      </w:pPr>
      <w:r>
        <w:br w:type="column"/>
      </w:r>
    </w:p>
    <w:p w14:paraId="1C34F08C" w14:textId="77777777" w:rsidR="004C558F" w:rsidRDefault="00461887">
      <w:pPr>
        <w:pStyle w:val="BodyText"/>
        <w:spacing w:before="1"/>
        <w:ind w:left="471"/>
        <w:rPr>
          <w:rFonts w:ascii="Franklin Gothic Medium"/>
        </w:rPr>
      </w:pPr>
      <w:r>
        <w:rPr>
          <w:rFonts w:ascii="Franklin Gothic Medium"/>
        </w:rPr>
        <w:t>Matthew</w:t>
      </w:r>
      <w:r>
        <w:rPr>
          <w:rFonts w:ascii="Franklin Gothic Medium"/>
          <w:spacing w:val="-6"/>
        </w:rPr>
        <w:t xml:space="preserve"> </w:t>
      </w:r>
      <w:proofErr w:type="spellStart"/>
      <w:r>
        <w:rPr>
          <w:rFonts w:ascii="Franklin Gothic Medium"/>
          <w:spacing w:val="-2"/>
        </w:rPr>
        <w:t>Gorzkowicz</w:t>
      </w:r>
      <w:proofErr w:type="spellEnd"/>
    </w:p>
    <w:p w14:paraId="1C34F08D" w14:textId="77777777" w:rsidR="004C558F" w:rsidRDefault="00461887">
      <w:pPr>
        <w:spacing w:before="38"/>
        <w:ind w:left="471"/>
        <w:rPr>
          <w:i/>
        </w:rPr>
      </w:pPr>
      <w:r>
        <w:rPr>
          <w:i/>
        </w:rPr>
        <w:t>Secretary</w:t>
      </w:r>
      <w:r>
        <w:rPr>
          <w:i/>
          <w:spacing w:val="-6"/>
        </w:rPr>
        <w:t xml:space="preserve"> </w:t>
      </w:r>
      <w:r>
        <w:rPr>
          <w:i/>
        </w:rPr>
        <w:t>of</w:t>
      </w:r>
      <w:r>
        <w:rPr>
          <w:i/>
          <w:spacing w:val="-6"/>
        </w:rPr>
        <w:t xml:space="preserve"> </w:t>
      </w:r>
      <w:r>
        <w:rPr>
          <w:i/>
        </w:rPr>
        <w:t>Administration</w:t>
      </w:r>
      <w:r>
        <w:rPr>
          <w:i/>
          <w:spacing w:val="-6"/>
        </w:rPr>
        <w:t xml:space="preserve"> </w:t>
      </w:r>
      <w:r>
        <w:rPr>
          <w:i/>
        </w:rPr>
        <w:t>and</w:t>
      </w:r>
      <w:r>
        <w:rPr>
          <w:i/>
          <w:spacing w:val="-6"/>
        </w:rPr>
        <w:t xml:space="preserve"> </w:t>
      </w:r>
      <w:r>
        <w:rPr>
          <w:i/>
          <w:spacing w:val="-2"/>
        </w:rPr>
        <w:t>Finance</w:t>
      </w:r>
    </w:p>
    <w:p w14:paraId="1C34F08E" w14:textId="77777777" w:rsidR="004C558F" w:rsidRDefault="00461887">
      <w:pPr>
        <w:pStyle w:val="BodyText"/>
        <w:spacing w:before="197"/>
        <w:ind w:left="471"/>
        <w:rPr>
          <w:rFonts w:ascii="Franklin Gothic Medium"/>
        </w:rPr>
      </w:pPr>
      <w:r>
        <w:rPr>
          <w:rFonts w:ascii="Franklin Gothic Medium"/>
        </w:rPr>
        <w:t>Patricia</w:t>
      </w:r>
      <w:r>
        <w:rPr>
          <w:rFonts w:ascii="Franklin Gothic Medium"/>
          <w:spacing w:val="-5"/>
        </w:rPr>
        <w:t xml:space="preserve"> </w:t>
      </w:r>
      <w:r>
        <w:rPr>
          <w:rFonts w:ascii="Franklin Gothic Medium"/>
          <w:spacing w:val="-2"/>
        </w:rPr>
        <w:t>Houpt</w:t>
      </w:r>
    </w:p>
    <w:p w14:paraId="1C34F08F" w14:textId="77777777" w:rsidR="004C558F" w:rsidRDefault="00461887">
      <w:pPr>
        <w:pStyle w:val="BodyText"/>
        <w:spacing w:before="7" w:line="440" w:lineRule="atLeast"/>
        <w:ind w:left="471" w:right="3129"/>
        <w:rPr>
          <w:rFonts w:ascii="Franklin Gothic Medium"/>
        </w:rPr>
      </w:pPr>
      <w:r>
        <w:rPr>
          <w:rFonts w:ascii="Franklin Gothic Medium"/>
        </w:rPr>
        <w:t>Renato</w:t>
      </w:r>
      <w:r>
        <w:rPr>
          <w:rFonts w:ascii="Franklin Gothic Medium"/>
          <w:spacing w:val="-14"/>
        </w:rPr>
        <w:t xml:space="preserve"> </w:t>
      </w:r>
      <w:r>
        <w:rPr>
          <w:rFonts w:ascii="Franklin Gothic Medium"/>
        </w:rPr>
        <w:t>Mastrogiovanni Dr. Alecia McGregor Kate Walsh</w:t>
      </w:r>
    </w:p>
    <w:p w14:paraId="1C34F090" w14:textId="77777777" w:rsidR="004C558F" w:rsidRDefault="00461887">
      <w:pPr>
        <w:spacing w:before="51"/>
        <w:ind w:left="471"/>
        <w:rPr>
          <w:i/>
        </w:rPr>
      </w:pPr>
      <w:r>
        <w:rPr>
          <w:i/>
        </w:rPr>
        <w:t>Secretary</w:t>
      </w:r>
      <w:r>
        <w:rPr>
          <w:i/>
          <w:spacing w:val="-4"/>
        </w:rPr>
        <w:t xml:space="preserve"> </w:t>
      </w:r>
      <w:r>
        <w:rPr>
          <w:i/>
        </w:rPr>
        <w:t>of</w:t>
      </w:r>
      <w:r>
        <w:rPr>
          <w:i/>
          <w:spacing w:val="-3"/>
        </w:rPr>
        <w:t xml:space="preserve"> </w:t>
      </w:r>
      <w:r>
        <w:rPr>
          <w:i/>
        </w:rPr>
        <w:t>Health</w:t>
      </w:r>
      <w:r>
        <w:rPr>
          <w:i/>
          <w:spacing w:val="-4"/>
        </w:rPr>
        <w:t xml:space="preserve"> </w:t>
      </w:r>
      <w:r>
        <w:rPr>
          <w:i/>
        </w:rPr>
        <w:t>and</w:t>
      </w:r>
      <w:r>
        <w:rPr>
          <w:i/>
          <w:spacing w:val="-5"/>
        </w:rPr>
        <w:t xml:space="preserve"> </w:t>
      </w:r>
      <w:r>
        <w:rPr>
          <w:i/>
        </w:rPr>
        <w:t>Human</w:t>
      </w:r>
      <w:r>
        <w:rPr>
          <w:i/>
          <w:spacing w:val="-4"/>
        </w:rPr>
        <w:t xml:space="preserve"> </w:t>
      </w:r>
      <w:r>
        <w:rPr>
          <w:i/>
          <w:spacing w:val="-2"/>
        </w:rPr>
        <w:t>Services</w:t>
      </w:r>
    </w:p>
    <w:p w14:paraId="1C34F091" w14:textId="77777777" w:rsidR="004C558F" w:rsidRDefault="004C558F">
      <w:pPr>
        <w:sectPr w:rsidR="004C558F">
          <w:type w:val="continuous"/>
          <w:pgSz w:w="12240" w:h="15840"/>
          <w:pgMar w:top="1820" w:right="440" w:bottom="280" w:left="680" w:header="0" w:footer="521" w:gutter="0"/>
          <w:cols w:num="2" w:space="720" w:equalWidth="0">
            <w:col w:w="2371" w:space="2957"/>
            <w:col w:w="5792"/>
          </w:cols>
        </w:sectPr>
      </w:pPr>
    </w:p>
    <w:p w14:paraId="1C34F092" w14:textId="77777777" w:rsidR="004C558F" w:rsidRDefault="004C558F">
      <w:pPr>
        <w:pStyle w:val="BodyText"/>
        <w:spacing w:before="123"/>
        <w:rPr>
          <w:i/>
          <w:sz w:val="20"/>
        </w:rPr>
      </w:pPr>
    </w:p>
    <w:p w14:paraId="1C34F093" w14:textId="77777777" w:rsidR="004C558F" w:rsidRDefault="004C558F">
      <w:pPr>
        <w:rPr>
          <w:sz w:val="20"/>
        </w:rPr>
        <w:sectPr w:rsidR="004C558F">
          <w:type w:val="continuous"/>
          <w:pgSz w:w="12240" w:h="15840"/>
          <w:pgMar w:top="1820" w:right="440" w:bottom="280" w:left="680" w:header="0" w:footer="521" w:gutter="0"/>
          <w:cols w:space="720"/>
        </w:sectPr>
      </w:pPr>
    </w:p>
    <w:p w14:paraId="1C34F094" w14:textId="77777777" w:rsidR="004C558F" w:rsidRDefault="00461887">
      <w:pPr>
        <w:spacing w:before="101"/>
        <w:ind w:left="472"/>
        <w:rPr>
          <w:rFonts w:ascii="Franklin Gothic Medium"/>
          <w:sz w:val="28"/>
        </w:rPr>
      </w:pPr>
      <w:bookmarkStart w:id="256" w:name="Executive_Leadership"/>
      <w:bookmarkEnd w:id="256"/>
      <w:r>
        <w:rPr>
          <w:rFonts w:ascii="Franklin Gothic Medium"/>
          <w:color w:val="084875"/>
          <w:sz w:val="28"/>
        </w:rPr>
        <w:t>Executive</w:t>
      </w:r>
      <w:r>
        <w:rPr>
          <w:rFonts w:ascii="Franklin Gothic Medium"/>
          <w:color w:val="084875"/>
          <w:spacing w:val="-5"/>
          <w:sz w:val="28"/>
        </w:rPr>
        <w:t xml:space="preserve"> </w:t>
      </w:r>
      <w:r>
        <w:rPr>
          <w:rFonts w:ascii="Franklin Gothic Medium"/>
          <w:color w:val="084875"/>
          <w:spacing w:val="-2"/>
          <w:sz w:val="28"/>
        </w:rPr>
        <w:t>Leadership</w:t>
      </w:r>
    </w:p>
    <w:p w14:paraId="1C34F095" w14:textId="77777777" w:rsidR="004C558F" w:rsidRDefault="00461887">
      <w:pPr>
        <w:pStyle w:val="BodyText"/>
        <w:spacing w:before="47"/>
        <w:ind w:left="472"/>
        <w:rPr>
          <w:rFonts w:ascii="Franklin Gothic Medium"/>
        </w:rPr>
      </w:pPr>
      <w:r>
        <w:rPr>
          <w:rFonts w:ascii="Franklin Gothic Medium"/>
        </w:rPr>
        <w:t>David</w:t>
      </w:r>
      <w:r>
        <w:rPr>
          <w:rFonts w:ascii="Franklin Gothic Medium"/>
          <w:spacing w:val="-7"/>
        </w:rPr>
        <w:t xml:space="preserve"> </w:t>
      </w:r>
      <w:r>
        <w:rPr>
          <w:rFonts w:ascii="Franklin Gothic Medium"/>
          <w:spacing w:val="-4"/>
        </w:rPr>
        <w:t>Seltz</w:t>
      </w:r>
    </w:p>
    <w:p w14:paraId="1C34F096" w14:textId="77777777" w:rsidR="004C558F" w:rsidRDefault="00461887">
      <w:pPr>
        <w:spacing w:before="37"/>
        <w:ind w:left="472"/>
        <w:rPr>
          <w:i/>
        </w:rPr>
      </w:pPr>
      <w:r>
        <w:rPr>
          <w:i/>
        </w:rPr>
        <w:t>Executive</w:t>
      </w:r>
      <w:r>
        <w:rPr>
          <w:i/>
          <w:spacing w:val="-6"/>
        </w:rPr>
        <w:t xml:space="preserve"> </w:t>
      </w:r>
      <w:r>
        <w:rPr>
          <w:i/>
          <w:spacing w:val="-2"/>
        </w:rPr>
        <w:t>Director</w:t>
      </w:r>
    </w:p>
    <w:p w14:paraId="1C34F097" w14:textId="77777777" w:rsidR="004C558F" w:rsidRDefault="00461887">
      <w:pPr>
        <w:spacing w:before="216"/>
        <w:rPr>
          <w:i/>
        </w:rPr>
      </w:pPr>
      <w:r>
        <w:br w:type="column"/>
      </w:r>
    </w:p>
    <w:p w14:paraId="1C34F098" w14:textId="77777777" w:rsidR="004C558F" w:rsidRDefault="00461887">
      <w:pPr>
        <w:pStyle w:val="BodyText"/>
        <w:spacing w:before="1"/>
        <w:ind w:left="472"/>
        <w:rPr>
          <w:rFonts w:ascii="Franklin Gothic Medium"/>
        </w:rPr>
      </w:pPr>
      <w:r>
        <w:rPr>
          <w:rFonts w:ascii="Franklin Gothic Medium"/>
        </w:rPr>
        <w:t>Coleen</w:t>
      </w:r>
      <w:r>
        <w:rPr>
          <w:rFonts w:ascii="Franklin Gothic Medium"/>
          <w:spacing w:val="-2"/>
        </w:rPr>
        <w:t xml:space="preserve"> </w:t>
      </w:r>
      <w:proofErr w:type="spellStart"/>
      <w:r>
        <w:rPr>
          <w:rFonts w:ascii="Franklin Gothic Medium"/>
          <w:spacing w:val="-2"/>
        </w:rPr>
        <w:t>Elstermeyer</w:t>
      </w:r>
      <w:proofErr w:type="spellEnd"/>
    </w:p>
    <w:p w14:paraId="1C34F099" w14:textId="77777777" w:rsidR="004C558F" w:rsidRDefault="00461887">
      <w:pPr>
        <w:spacing w:before="36"/>
        <w:ind w:left="472"/>
        <w:rPr>
          <w:i/>
        </w:rPr>
      </w:pPr>
      <w:r>
        <w:rPr>
          <w:i/>
        </w:rPr>
        <w:t>Deputy</w:t>
      </w:r>
      <w:r>
        <w:rPr>
          <w:i/>
          <w:spacing w:val="-5"/>
        </w:rPr>
        <w:t xml:space="preserve"> </w:t>
      </w:r>
      <w:r>
        <w:rPr>
          <w:i/>
        </w:rPr>
        <w:t>Executive</w:t>
      </w:r>
      <w:r>
        <w:rPr>
          <w:i/>
          <w:spacing w:val="-6"/>
        </w:rPr>
        <w:t xml:space="preserve"> </w:t>
      </w:r>
      <w:r>
        <w:rPr>
          <w:i/>
          <w:spacing w:val="-2"/>
        </w:rPr>
        <w:t>Director</w:t>
      </w:r>
    </w:p>
    <w:p w14:paraId="1C34F09A" w14:textId="77777777" w:rsidR="004C558F" w:rsidRDefault="004C558F">
      <w:pPr>
        <w:sectPr w:rsidR="004C558F">
          <w:type w:val="continuous"/>
          <w:pgSz w:w="12240" w:h="15840"/>
          <w:pgMar w:top="1820" w:right="440" w:bottom="280" w:left="680" w:header="0" w:footer="521" w:gutter="0"/>
          <w:cols w:num="2" w:space="720" w:equalWidth="0">
            <w:col w:w="3042" w:space="2286"/>
            <w:col w:w="5792"/>
          </w:cols>
        </w:sectPr>
      </w:pPr>
    </w:p>
    <w:p w14:paraId="1C34F09B" w14:textId="77777777" w:rsidR="004C558F" w:rsidRDefault="004C558F">
      <w:pPr>
        <w:pStyle w:val="BodyText"/>
        <w:rPr>
          <w:i/>
          <w:sz w:val="20"/>
        </w:rPr>
      </w:pPr>
    </w:p>
    <w:p w14:paraId="1C34F09C" w14:textId="77777777" w:rsidR="004C558F" w:rsidRDefault="004C558F">
      <w:pPr>
        <w:pStyle w:val="BodyText"/>
        <w:rPr>
          <w:i/>
          <w:sz w:val="20"/>
        </w:rPr>
      </w:pPr>
    </w:p>
    <w:p w14:paraId="1C34F09D" w14:textId="77777777" w:rsidR="004C558F" w:rsidRDefault="004C558F">
      <w:pPr>
        <w:pStyle w:val="BodyText"/>
        <w:spacing w:before="41"/>
        <w:rPr>
          <w:i/>
          <w:sz w:val="20"/>
        </w:rPr>
      </w:pPr>
    </w:p>
    <w:p w14:paraId="1C34F09E" w14:textId="77777777" w:rsidR="004C558F" w:rsidRDefault="00461887">
      <w:pPr>
        <w:pStyle w:val="BodyText"/>
        <w:spacing w:line="20" w:lineRule="exact"/>
        <w:ind w:left="400"/>
        <w:rPr>
          <w:sz w:val="2"/>
        </w:rPr>
      </w:pPr>
      <w:r>
        <w:rPr>
          <w:noProof/>
          <w:sz w:val="2"/>
        </w:rPr>
        <mc:AlternateContent>
          <mc:Choice Requires="wpg">
            <w:drawing>
              <wp:inline distT="0" distB="0" distL="0" distR="0" wp14:anchorId="1C34F174" wp14:editId="59469C54">
                <wp:extent cx="6400800" cy="22225"/>
                <wp:effectExtent l="19050" t="0" r="9525" b="6350"/>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2225"/>
                          <a:chOff x="0" y="0"/>
                          <a:chExt cx="6400800" cy="22225"/>
                        </a:xfrm>
                      </wpg:grpSpPr>
                      <wps:wsp>
                        <wps:cNvPr id="605" name="Graphic 605"/>
                        <wps:cNvSpPr/>
                        <wps:spPr>
                          <a:xfrm>
                            <a:off x="0" y="11112"/>
                            <a:ext cx="6400800" cy="1270"/>
                          </a:xfrm>
                          <a:custGeom>
                            <a:avLst/>
                            <a:gdLst/>
                            <a:ahLst/>
                            <a:cxnLst/>
                            <a:rect l="l" t="t" r="r" b="b"/>
                            <a:pathLst>
                              <a:path w="6400800">
                                <a:moveTo>
                                  <a:pt x="0" y="0"/>
                                </a:moveTo>
                                <a:lnTo>
                                  <a:pt x="6400800" y="0"/>
                                </a:lnTo>
                              </a:path>
                            </a:pathLst>
                          </a:custGeom>
                          <a:ln w="22225">
                            <a:solidFill>
                              <a:srgbClr val="084875"/>
                            </a:solidFill>
                            <a:prstDash val="dot"/>
                          </a:ln>
                        </wps:spPr>
                        <wps:bodyPr wrap="square" lIns="0" tIns="0" rIns="0" bIns="0" rtlCol="0">
                          <a:prstTxWarp prst="textNoShape">
                            <a:avLst/>
                          </a:prstTxWarp>
                          <a:noAutofit/>
                        </wps:bodyPr>
                      </wps:wsp>
                    </wpg:wgp>
                  </a:graphicData>
                </a:graphic>
              </wp:inline>
            </w:drawing>
          </mc:Choice>
          <mc:Fallback>
            <w:pict>
              <v:group w14:anchorId="5278880E" id="Group 604" o:spid="_x0000_s1026" alt="&quot;&quot;" style="width:7in;height:1.75pt;mso-position-horizontal-relative:char;mso-position-vertical-relative:line" coordsize="6400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">
                <v:shape id="Graphic 605" o:spid="_x0000_s1027" style="position:absolute;top:111;width:64008;height:12;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" path="m,l6400800,e" filled="f" strokecolor="#084875" strokeweight="1.75pt">
                  <v:stroke dashstyle="dot"/>
                  <v:path arrowok="t"/>
                </v:shape>
                <w10:anchorlock/>
              </v:group>
            </w:pict>
          </mc:Fallback>
        </mc:AlternateContent>
      </w:r>
    </w:p>
    <w:p w14:paraId="1C34F09F" w14:textId="77777777" w:rsidR="004C558F" w:rsidRDefault="004C558F">
      <w:pPr>
        <w:pStyle w:val="BodyText"/>
        <w:rPr>
          <w:i/>
        </w:rPr>
      </w:pPr>
    </w:p>
    <w:p w14:paraId="1C34F0A0" w14:textId="77777777" w:rsidR="004C558F" w:rsidRDefault="004C558F">
      <w:pPr>
        <w:pStyle w:val="BodyText"/>
        <w:spacing w:before="137"/>
        <w:rPr>
          <w:i/>
        </w:rPr>
      </w:pPr>
    </w:p>
    <w:p w14:paraId="1C34F0A1" w14:textId="77777777" w:rsidR="004C558F" w:rsidRDefault="00461887">
      <w:pPr>
        <w:pStyle w:val="BodyText"/>
        <w:spacing w:line="276" w:lineRule="auto"/>
        <w:ind w:left="471" w:right="774"/>
      </w:pPr>
      <w:r>
        <w:t>Sasha Hayes-</w:t>
      </w:r>
      <w:proofErr w:type="spellStart"/>
      <w:r>
        <w:t>Rusnov</w:t>
      </w:r>
      <w:proofErr w:type="spellEnd"/>
      <w:r>
        <w:t xml:space="preserve">, Rebecca Balder, Alexa Paiva, Joshua Roth, Sydney Birnbaum, Jessica Liu, Dylan Moore, Regina Dello Russo, and Kristine Mackin prepared this report under the direction of Katherine Scarborough Mills, Senior Director of Policy for Market Oversight and Transparency, and Megan Wulff, Director for Market Oversight and Monitoring, with significant contributions by Katherine Mikk, Adrian Ashley, David Auerbach, Katya </w:t>
      </w:r>
      <w:proofErr w:type="spellStart"/>
      <w:r>
        <w:t>Fonkych</w:t>
      </w:r>
      <w:proofErr w:type="spellEnd"/>
      <w:r>
        <w:t>, and Lois Johnson. The report was designed by Ashley Johnston and</w:t>
      </w:r>
      <w:r>
        <w:rPr>
          <w:spacing w:val="-4"/>
        </w:rPr>
        <w:t xml:space="preserve"> </w:t>
      </w:r>
      <w:r>
        <w:t>Rebecca</w:t>
      </w:r>
      <w:r>
        <w:rPr>
          <w:spacing w:val="-1"/>
        </w:rPr>
        <w:t xml:space="preserve"> </w:t>
      </w:r>
      <w:r>
        <w:t>Willmer.</w:t>
      </w:r>
      <w:r>
        <w:rPr>
          <w:spacing w:val="-5"/>
        </w:rPr>
        <w:t xml:space="preserve"> </w:t>
      </w:r>
      <w:r>
        <w:t>The</w:t>
      </w:r>
      <w:r>
        <w:rPr>
          <w:spacing w:val="-4"/>
        </w:rPr>
        <w:t xml:space="preserve"> </w:t>
      </w:r>
      <w:r>
        <w:t>HPC</w:t>
      </w:r>
      <w:r>
        <w:rPr>
          <w:spacing w:val="-3"/>
        </w:rPr>
        <w:t xml:space="preserve"> </w:t>
      </w:r>
      <w:r>
        <w:t>wishes</w:t>
      </w:r>
      <w:r>
        <w:rPr>
          <w:spacing w:val="-2"/>
        </w:rPr>
        <w:t xml:space="preserve"> </w:t>
      </w:r>
      <w:r>
        <w:t>to</w:t>
      </w:r>
      <w:r>
        <w:rPr>
          <w:spacing w:val="-4"/>
        </w:rPr>
        <w:t xml:space="preserve"> </w:t>
      </w:r>
      <w:r>
        <w:t>acknowledge</w:t>
      </w:r>
      <w:r>
        <w:rPr>
          <w:spacing w:val="-2"/>
        </w:rPr>
        <w:t xml:space="preserve"> </w:t>
      </w:r>
      <w:r>
        <w:t>the</w:t>
      </w:r>
      <w:r>
        <w:rPr>
          <w:spacing w:val="-4"/>
        </w:rPr>
        <w:t xml:space="preserve"> </w:t>
      </w:r>
      <w:r>
        <w:t>analytic</w:t>
      </w:r>
      <w:r>
        <w:rPr>
          <w:spacing w:val="-4"/>
        </w:rPr>
        <w:t xml:space="preserve"> </w:t>
      </w:r>
      <w:r>
        <w:t>support</w:t>
      </w:r>
      <w:r>
        <w:rPr>
          <w:spacing w:val="-3"/>
        </w:rPr>
        <w:t xml:space="preserve"> </w:t>
      </w:r>
      <w:r>
        <w:t>provided</w:t>
      </w:r>
      <w:r>
        <w:rPr>
          <w:spacing w:val="-1"/>
        </w:rPr>
        <w:t xml:space="preserve"> </w:t>
      </w:r>
      <w:r>
        <w:t>by</w:t>
      </w:r>
      <w:r>
        <w:rPr>
          <w:spacing w:val="-3"/>
        </w:rPr>
        <w:t xml:space="preserve"> </w:t>
      </w:r>
      <w:r>
        <w:t>Bates</w:t>
      </w:r>
      <w:r>
        <w:rPr>
          <w:spacing w:val="-2"/>
        </w:rPr>
        <w:t xml:space="preserve"> </w:t>
      </w:r>
      <w:r>
        <w:t>White,</w:t>
      </w:r>
      <w:r>
        <w:rPr>
          <w:spacing w:val="-2"/>
        </w:rPr>
        <w:t xml:space="preserve"> </w:t>
      </w:r>
      <w:r>
        <w:t xml:space="preserve">LLC, Health Management Associates, Inc, and Berry, Dunn, McNeil &amp; Parker, LLC. The HPC would also like to thank </w:t>
      </w:r>
      <w:proofErr w:type="gramStart"/>
      <w:r>
        <w:t>the provider</w:t>
      </w:r>
      <w:proofErr w:type="gramEnd"/>
      <w:r>
        <w:t xml:space="preserve"> organizations that provided information for this report for their courtesy and </w:t>
      </w:r>
      <w:r>
        <w:rPr>
          <w:spacing w:val="-2"/>
        </w:rPr>
        <w:t>cooperation.</w:t>
      </w:r>
    </w:p>
    <w:p w14:paraId="1C34F0A2" w14:textId="77777777" w:rsidR="004C558F" w:rsidRDefault="004C558F">
      <w:pPr>
        <w:pStyle w:val="BodyText"/>
        <w:rPr>
          <w:sz w:val="20"/>
        </w:rPr>
      </w:pPr>
    </w:p>
    <w:p w14:paraId="1C34F0A3" w14:textId="77777777" w:rsidR="004C558F" w:rsidRDefault="004C558F">
      <w:pPr>
        <w:pStyle w:val="BodyText"/>
        <w:rPr>
          <w:sz w:val="20"/>
        </w:rPr>
      </w:pPr>
    </w:p>
    <w:p w14:paraId="1C34F0A4" w14:textId="77777777" w:rsidR="004C558F" w:rsidRDefault="004C558F">
      <w:pPr>
        <w:pStyle w:val="BodyText"/>
        <w:rPr>
          <w:sz w:val="20"/>
        </w:rPr>
      </w:pPr>
    </w:p>
    <w:p w14:paraId="1C34F0A5" w14:textId="77777777" w:rsidR="004C558F" w:rsidRDefault="004C558F">
      <w:pPr>
        <w:pStyle w:val="BodyText"/>
        <w:rPr>
          <w:sz w:val="20"/>
        </w:rPr>
      </w:pPr>
    </w:p>
    <w:p w14:paraId="1C34F0A6" w14:textId="77777777" w:rsidR="004C558F" w:rsidRDefault="004C558F">
      <w:pPr>
        <w:pStyle w:val="BodyText"/>
        <w:rPr>
          <w:sz w:val="20"/>
        </w:rPr>
      </w:pPr>
    </w:p>
    <w:p w14:paraId="1C34F0A7" w14:textId="77777777" w:rsidR="004C558F" w:rsidRDefault="00461887">
      <w:pPr>
        <w:pStyle w:val="BodyText"/>
        <w:spacing w:before="116"/>
        <w:rPr>
          <w:sz w:val="20"/>
        </w:rPr>
      </w:pPr>
      <w:r>
        <w:rPr>
          <w:noProof/>
        </w:rPr>
        <w:drawing>
          <wp:anchor distT="0" distB="0" distL="0" distR="0" simplePos="0" relativeHeight="251708416" behindDoc="1" locked="0" layoutInCell="1" allowOverlap="1" wp14:anchorId="1C34F176" wp14:editId="5A1621C6">
            <wp:simplePos x="0" y="0"/>
            <wp:positionH relativeFrom="page">
              <wp:posOffset>2483486</wp:posOffset>
            </wp:positionH>
            <wp:positionV relativeFrom="paragraph">
              <wp:posOffset>233434</wp:posOffset>
            </wp:positionV>
            <wp:extent cx="2749703" cy="708088"/>
            <wp:effectExtent l="0" t="0" r="0" b="0"/>
            <wp:wrapTopAndBottom/>
            <wp:docPr id="606" name="Image 606" descr="Massachusetts Health Policy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descr="Massachusetts Health Policy Commission"/>
                    <pic:cNvPicPr/>
                  </pic:nvPicPr>
                  <pic:blipFill>
                    <a:blip r:embed="rId150" cstate="print"/>
                    <a:stretch>
                      <a:fillRect/>
                    </a:stretch>
                  </pic:blipFill>
                  <pic:spPr>
                    <a:xfrm>
                      <a:off x="0" y="0"/>
                      <a:ext cx="2749703" cy="708088"/>
                    </a:xfrm>
                    <a:prstGeom prst="rect">
                      <a:avLst/>
                    </a:prstGeom>
                  </pic:spPr>
                </pic:pic>
              </a:graphicData>
            </a:graphic>
          </wp:anchor>
        </w:drawing>
      </w:r>
    </w:p>
    <w:sectPr w:rsidR="004C558F">
      <w:type w:val="continuous"/>
      <w:pgSz w:w="12240" w:h="15840"/>
      <w:pgMar w:top="1820" w:right="440" w:bottom="280" w:left="680" w:header="0" w:footer="5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A78CA" w14:textId="77777777" w:rsidR="00681321" w:rsidRDefault="00681321">
      <w:r>
        <w:separator/>
      </w:r>
    </w:p>
  </w:endnote>
  <w:endnote w:type="continuationSeparator" w:id="0">
    <w:p w14:paraId="78ED3E1A" w14:textId="77777777" w:rsidR="00681321" w:rsidRDefault="0068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2530F" w14:textId="77777777" w:rsidR="00DF703B" w:rsidRDefault="00DF703B" w:rsidP="00DF703B">
    <w:pPr>
      <w:spacing w:before="20"/>
      <w:ind w:left="20"/>
      <w:jc w:val="center"/>
      <w:rPr>
        <w:sz w:val="16"/>
      </w:rPr>
    </w:pPr>
    <w:r>
      <w:rPr>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w:t>
    </w:r>
    <w:r>
      <w:rPr>
        <w:spacing w:val="-10"/>
        <w:sz w:val="16"/>
      </w:rPr>
      <w:t>-</w:t>
    </w:r>
  </w:p>
  <w:p w14:paraId="1C34F178" w14:textId="561BE6E3" w:rsidR="004C558F" w:rsidRDefault="004C558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F179" w14:textId="77777777" w:rsidR="004C558F" w:rsidRDefault="00461887">
    <w:pPr>
      <w:pStyle w:val="BodyText"/>
      <w:spacing w:line="14" w:lineRule="auto"/>
      <w:rPr>
        <w:sz w:val="20"/>
      </w:rPr>
    </w:pPr>
    <w:r>
      <w:rPr>
        <w:noProof/>
      </w:rPr>
      <mc:AlternateContent>
        <mc:Choice Requires="wps">
          <w:drawing>
            <wp:anchor distT="0" distB="0" distL="0" distR="0" simplePos="0" relativeHeight="483664896" behindDoc="1" locked="0" layoutInCell="1" allowOverlap="1" wp14:anchorId="1C34F17D" wp14:editId="1C34F17E">
              <wp:simplePos x="0" y="0"/>
              <wp:positionH relativeFrom="page">
                <wp:posOffset>4906117</wp:posOffset>
              </wp:positionH>
              <wp:positionV relativeFrom="page">
                <wp:posOffset>7301839</wp:posOffset>
              </wp:positionV>
              <wp:extent cx="246379" cy="14097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40970"/>
                      </a:xfrm>
                      <a:prstGeom prst="rect">
                        <a:avLst/>
                      </a:prstGeom>
                    </wps:spPr>
                    <wps:txbx>
                      <w:txbxContent>
                        <w:p w14:paraId="1C34F282" w14:textId="77777777" w:rsidR="004C558F" w:rsidRDefault="00461887">
                          <w:pPr>
                            <w:spacing w:before="20"/>
                            <w:ind w:left="20"/>
                            <w:rPr>
                              <w:sz w:val="16"/>
                            </w:rPr>
                          </w:pPr>
                          <w:r>
                            <w:rPr>
                              <w:sz w:val="16"/>
                            </w:rPr>
                            <w:t xml:space="preserve">- </w:t>
                          </w:r>
                          <w:r>
                            <w:rPr>
                              <w:sz w:val="16"/>
                            </w:rPr>
                            <w:fldChar w:fldCharType="begin"/>
                          </w:r>
                          <w:r>
                            <w:rPr>
                              <w:sz w:val="16"/>
                            </w:rPr>
                            <w:instrText xml:space="preserve"> PAGE </w:instrText>
                          </w:r>
                          <w:r>
                            <w:rPr>
                              <w:sz w:val="16"/>
                            </w:rPr>
                            <w:fldChar w:fldCharType="separate"/>
                          </w:r>
                          <w:r>
                            <w:rPr>
                              <w:sz w:val="16"/>
                            </w:rPr>
                            <w:t>92</w:t>
                          </w:r>
                          <w:r>
                            <w:rPr>
                              <w:sz w:val="16"/>
                            </w:rPr>
                            <w:fldChar w:fldCharType="end"/>
                          </w:r>
                          <w:r>
                            <w:rPr>
                              <w:sz w:val="16"/>
                            </w:rPr>
                            <w:t xml:space="preserve"> </w:t>
                          </w:r>
                          <w:r>
                            <w:rPr>
                              <w:spacing w:val="-10"/>
                              <w:sz w:val="16"/>
                            </w:rPr>
                            <w:t>-</w:t>
                          </w:r>
                        </w:p>
                      </w:txbxContent>
                    </wps:txbx>
                    <wps:bodyPr wrap="square" lIns="0" tIns="0" rIns="0" bIns="0" rtlCol="0">
                      <a:noAutofit/>
                    </wps:bodyPr>
                  </wps:wsp>
                </a:graphicData>
              </a:graphic>
            </wp:anchor>
          </w:drawing>
        </mc:Choice>
        <mc:Fallback>
          <w:pict>
            <v:shapetype w14:anchorId="1C34F17D" id="_x0000_t202" coordsize="21600,21600" o:spt="202" path="m,l,21600r21600,l21600,xe">
              <v:stroke joinstyle="miter"/>
              <v:path gradientshapeok="t" o:connecttype="rect"/>
            </v:shapetype>
            <v:shape id="Textbox 538" o:spid="_x0000_s1516" type="#_x0000_t202" style="position:absolute;margin-left:386.3pt;margin-top:574.95pt;width:19.4pt;height:11.1pt;z-index:-19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" filled="f" stroked="f">
              <v:textbox inset="0,0,0,0">
                <w:txbxContent>
                  <w:p w14:paraId="1C34F282" w14:textId="77777777" w:rsidR="004C558F" w:rsidRDefault="00461887">
                    <w:pPr>
                      <w:spacing w:before="20"/>
                      <w:ind w:left="20"/>
                      <w:rPr>
                        <w:sz w:val="16"/>
                      </w:rPr>
                    </w:pPr>
                    <w:r>
                      <w:rPr>
                        <w:sz w:val="16"/>
                      </w:rPr>
                      <w:t xml:space="preserve">- </w:t>
                    </w:r>
                    <w:r>
                      <w:rPr>
                        <w:sz w:val="16"/>
                      </w:rPr>
                      <w:fldChar w:fldCharType="begin"/>
                    </w:r>
                    <w:r>
                      <w:rPr>
                        <w:sz w:val="16"/>
                      </w:rPr>
                      <w:instrText xml:space="preserve"> PAGE </w:instrText>
                    </w:r>
                    <w:r>
                      <w:rPr>
                        <w:sz w:val="16"/>
                      </w:rPr>
                      <w:fldChar w:fldCharType="separate"/>
                    </w:r>
                    <w:r>
                      <w:rPr>
                        <w:sz w:val="16"/>
                      </w:rPr>
                      <w:t>92</w:t>
                    </w:r>
                    <w:r>
                      <w:rPr>
                        <w:sz w:val="16"/>
                      </w:rPr>
                      <w:fldChar w:fldCharType="end"/>
                    </w:r>
                    <w:r>
                      <w:rPr>
                        <w:sz w:val="16"/>
                      </w:rPr>
                      <w:t xml:space="preserve"> </w:t>
                    </w:r>
                    <w:r>
                      <w:rPr>
                        <w:spacing w:val="-10"/>
                        <w:sz w:val="16"/>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F17A" w14:textId="77777777" w:rsidR="004C558F" w:rsidRDefault="00461887">
    <w:pPr>
      <w:pStyle w:val="BodyText"/>
      <w:spacing w:line="14" w:lineRule="auto"/>
      <w:rPr>
        <w:sz w:val="20"/>
      </w:rPr>
    </w:pPr>
    <w:r>
      <w:rPr>
        <w:noProof/>
      </w:rPr>
      <mc:AlternateContent>
        <mc:Choice Requires="wps">
          <w:drawing>
            <wp:anchor distT="0" distB="0" distL="0" distR="0" simplePos="0" relativeHeight="483665408" behindDoc="1" locked="0" layoutInCell="1" allowOverlap="1" wp14:anchorId="1C34F17F" wp14:editId="1C34F180">
              <wp:simplePos x="0" y="0"/>
              <wp:positionH relativeFrom="page">
                <wp:posOffset>3763117</wp:posOffset>
              </wp:positionH>
              <wp:positionV relativeFrom="page">
                <wp:posOffset>9587839</wp:posOffset>
              </wp:positionV>
              <wp:extent cx="246379" cy="14097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40970"/>
                      </a:xfrm>
                      <a:prstGeom prst="rect">
                        <a:avLst/>
                      </a:prstGeom>
                    </wps:spPr>
                    <wps:txbx>
                      <w:txbxContent>
                        <w:p w14:paraId="1C34F283" w14:textId="77777777" w:rsidR="004C558F" w:rsidRDefault="00461887">
                          <w:pPr>
                            <w:spacing w:before="20"/>
                            <w:ind w:left="20"/>
                            <w:rPr>
                              <w:sz w:val="16"/>
                            </w:rPr>
                          </w:pPr>
                          <w:r>
                            <w:rPr>
                              <w:sz w:val="16"/>
                            </w:rPr>
                            <w:t xml:space="preserve">- </w:t>
                          </w:r>
                          <w:r>
                            <w:rPr>
                              <w:sz w:val="16"/>
                            </w:rPr>
                            <w:fldChar w:fldCharType="begin"/>
                          </w:r>
                          <w:r>
                            <w:rPr>
                              <w:sz w:val="16"/>
                            </w:rPr>
                            <w:instrText xml:space="preserve"> PAGE </w:instrText>
                          </w:r>
                          <w:r>
                            <w:rPr>
                              <w:sz w:val="16"/>
                            </w:rPr>
                            <w:fldChar w:fldCharType="separate"/>
                          </w:r>
                          <w:r>
                            <w:rPr>
                              <w:sz w:val="16"/>
                            </w:rPr>
                            <w:t>94</w:t>
                          </w:r>
                          <w:r>
                            <w:rPr>
                              <w:sz w:val="16"/>
                            </w:rPr>
                            <w:fldChar w:fldCharType="end"/>
                          </w:r>
                          <w:r>
                            <w:rPr>
                              <w:sz w:val="16"/>
                            </w:rPr>
                            <w:t xml:space="preserve"> </w:t>
                          </w:r>
                          <w:r>
                            <w:rPr>
                              <w:spacing w:val="-10"/>
                              <w:sz w:val="16"/>
                            </w:rPr>
                            <w:t>-</w:t>
                          </w:r>
                        </w:p>
                      </w:txbxContent>
                    </wps:txbx>
                    <wps:bodyPr wrap="square" lIns="0" tIns="0" rIns="0" bIns="0" rtlCol="0">
                      <a:noAutofit/>
                    </wps:bodyPr>
                  </wps:wsp>
                </a:graphicData>
              </a:graphic>
            </wp:anchor>
          </w:drawing>
        </mc:Choice>
        <mc:Fallback>
          <w:pict>
            <v:shapetype w14:anchorId="1C34F17F" id="_x0000_t202" coordsize="21600,21600" o:spt="202" path="m,l,21600r21600,l21600,xe">
              <v:stroke joinstyle="miter"/>
              <v:path gradientshapeok="t" o:connecttype="rect"/>
            </v:shapetype>
            <v:shape id="Textbox 539" o:spid="_x0000_s1517" type="#_x0000_t202" style="position:absolute;margin-left:296.3pt;margin-top:754.95pt;width:19.4pt;height:11.1pt;z-index:-19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" filled="f" stroked="f">
              <v:textbox inset="0,0,0,0">
                <w:txbxContent>
                  <w:p w14:paraId="1C34F283" w14:textId="77777777" w:rsidR="004C558F" w:rsidRDefault="00461887">
                    <w:pPr>
                      <w:spacing w:before="20"/>
                      <w:ind w:left="20"/>
                      <w:rPr>
                        <w:sz w:val="16"/>
                      </w:rPr>
                    </w:pPr>
                    <w:r>
                      <w:rPr>
                        <w:sz w:val="16"/>
                      </w:rPr>
                      <w:t xml:space="preserve">- </w:t>
                    </w:r>
                    <w:r>
                      <w:rPr>
                        <w:sz w:val="16"/>
                      </w:rPr>
                      <w:fldChar w:fldCharType="begin"/>
                    </w:r>
                    <w:r>
                      <w:rPr>
                        <w:sz w:val="16"/>
                      </w:rPr>
                      <w:instrText xml:space="preserve"> PAGE </w:instrText>
                    </w:r>
                    <w:r>
                      <w:rPr>
                        <w:sz w:val="16"/>
                      </w:rPr>
                      <w:fldChar w:fldCharType="separate"/>
                    </w:r>
                    <w:r>
                      <w:rPr>
                        <w:sz w:val="16"/>
                      </w:rPr>
                      <w:t>94</w:t>
                    </w:r>
                    <w:r>
                      <w:rPr>
                        <w:sz w:val="16"/>
                      </w:rPr>
                      <w:fldChar w:fldCharType="end"/>
                    </w:r>
                    <w:r>
                      <w:rPr>
                        <w:sz w:val="16"/>
                      </w:rPr>
                      <w:t xml:space="preserve"> </w:t>
                    </w:r>
                    <w:r>
                      <w:rPr>
                        <w:spacing w:val="-1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44A02" w14:textId="77777777" w:rsidR="00681321" w:rsidRDefault="00681321" w:rsidP="00BB6909">
      <w:pPr>
        <w:ind w:firstLine="720"/>
      </w:pPr>
      <w:r>
        <w:separator/>
      </w:r>
    </w:p>
  </w:footnote>
  <w:footnote w:type="continuationSeparator" w:id="0">
    <w:p w14:paraId="4B0413CA" w14:textId="77777777" w:rsidR="00681321" w:rsidRDefault="00681321">
      <w:r>
        <w:continuationSeparator/>
      </w:r>
    </w:p>
  </w:footnote>
  <w:footnote w:id="1">
    <w:p w14:paraId="5719D297" w14:textId="7BC584C2" w:rsidR="00BB6909" w:rsidRDefault="00BB6909" w:rsidP="00BB6909">
      <w:pPr>
        <w:spacing w:before="92"/>
        <w:ind w:left="959" w:right="956"/>
        <w:jc w:val="both"/>
        <w:rPr>
          <w:i/>
          <w:sz w:val="20"/>
        </w:rPr>
      </w:pPr>
      <w:r>
        <w:rPr>
          <w:rStyle w:val="FootnoteReference"/>
        </w:rPr>
        <w:footnoteRef/>
      </w:r>
      <w:r>
        <w:t xml:space="preserve"> </w:t>
      </w:r>
      <w:r>
        <w:rPr>
          <w:i/>
          <w:sz w:val="20"/>
        </w:rPr>
        <w:t>See</w:t>
      </w:r>
      <w:r>
        <w:rPr>
          <w:i/>
          <w:spacing w:val="-1"/>
          <w:sz w:val="20"/>
        </w:rPr>
        <w:t xml:space="preserve"> </w:t>
      </w:r>
      <w:hyperlink r:id="rId1" w:history="1">
        <w:r w:rsidRPr="00BB6909">
          <w:rPr>
            <w:rStyle w:val="Hyperlink"/>
            <w:color w:val="000000" w:themeColor="text1"/>
            <w:sz w:val="20"/>
            <w:u w:val="none"/>
          </w:rPr>
          <w:t>M</w:t>
        </w:r>
        <w:r w:rsidRPr="00BB6909">
          <w:rPr>
            <w:rStyle w:val="Hyperlink"/>
            <w:color w:val="000000" w:themeColor="text1"/>
            <w:sz w:val="16"/>
            <w:u w:val="none"/>
          </w:rPr>
          <w:t>ASS</w:t>
        </w:r>
        <w:r w:rsidRPr="00BB6909">
          <w:rPr>
            <w:rStyle w:val="Hyperlink"/>
            <w:color w:val="000000" w:themeColor="text1"/>
            <w:sz w:val="20"/>
            <w:u w:val="none"/>
          </w:rPr>
          <w:t>.</w:t>
        </w:r>
        <w:r w:rsidRPr="00BB6909">
          <w:rPr>
            <w:rStyle w:val="Hyperlink"/>
            <w:color w:val="000000" w:themeColor="text1"/>
            <w:spacing w:val="-11"/>
            <w:sz w:val="20"/>
            <w:u w:val="none"/>
          </w:rPr>
          <w:t xml:space="preserve"> </w:t>
        </w:r>
        <w:r w:rsidRPr="00BB6909">
          <w:rPr>
            <w:rStyle w:val="Hyperlink"/>
            <w:color w:val="000000" w:themeColor="text1"/>
            <w:sz w:val="20"/>
            <w:u w:val="none"/>
          </w:rPr>
          <w:t>G</w:t>
        </w:r>
        <w:r w:rsidRPr="00BB6909">
          <w:rPr>
            <w:rStyle w:val="Hyperlink"/>
            <w:color w:val="000000" w:themeColor="text1"/>
            <w:sz w:val="16"/>
            <w:u w:val="none"/>
          </w:rPr>
          <w:t>EN</w:t>
        </w:r>
        <w:r w:rsidRPr="00BB6909">
          <w:rPr>
            <w:rStyle w:val="Hyperlink"/>
            <w:color w:val="000000" w:themeColor="text1"/>
            <w:sz w:val="20"/>
            <w:u w:val="none"/>
          </w:rPr>
          <w:t>.</w:t>
        </w:r>
        <w:r w:rsidRPr="00BB6909">
          <w:rPr>
            <w:rStyle w:val="Hyperlink"/>
            <w:color w:val="000000" w:themeColor="text1"/>
            <w:spacing w:val="-13"/>
            <w:sz w:val="20"/>
            <w:u w:val="none"/>
          </w:rPr>
          <w:t xml:space="preserve"> </w:t>
        </w:r>
        <w:r w:rsidRPr="00BB6909">
          <w:rPr>
            <w:rStyle w:val="Hyperlink"/>
            <w:color w:val="000000" w:themeColor="text1"/>
            <w:sz w:val="20"/>
            <w:u w:val="none"/>
          </w:rPr>
          <w:t>L</w:t>
        </w:r>
        <w:r w:rsidRPr="00BB6909">
          <w:rPr>
            <w:rStyle w:val="Hyperlink"/>
            <w:color w:val="000000" w:themeColor="text1"/>
            <w:sz w:val="16"/>
            <w:u w:val="none"/>
          </w:rPr>
          <w:t xml:space="preserve">AWS </w:t>
        </w:r>
        <w:proofErr w:type="spellStart"/>
        <w:r w:rsidRPr="00BB6909">
          <w:rPr>
            <w:rStyle w:val="Hyperlink"/>
            <w:color w:val="000000" w:themeColor="text1"/>
            <w:sz w:val="20"/>
            <w:u w:val="none"/>
          </w:rPr>
          <w:t>ch.</w:t>
        </w:r>
        <w:proofErr w:type="spellEnd"/>
        <w:r w:rsidRPr="00BB6909">
          <w:rPr>
            <w:rStyle w:val="Hyperlink"/>
            <w:color w:val="000000" w:themeColor="text1"/>
            <w:spacing w:val="-2"/>
            <w:sz w:val="20"/>
            <w:u w:val="none"/>
          </w:rPr>
          <w:t xml:space="preserve"> </w:t>
        </w:r>
        <w:r w:rsidRPr="00BB6909">
          <w:rPr>
            <w:rStyle w:val="Hyperlink"/>
            <w:color w:val="000000" w:themeColor="text1"/>
            <w:sz w:val="20"/>
            <w:u w:val="none"/>
          </w:rPr>
          <w:t>6D,</w:t>
        </w:r>
        <w:r w:rsidRPr="00BB6909">
          <w:rPr>
            <w:rStyle w:val="Hyperlink"/>
            <w:color w:val="000000" w:themeColor="text1"/>
            <w:spacing w:val="-5"/>
            <w:sz w:val="20"/>
            <w:u w:val="none"/>
          </w:rPr>
          <w:t xml:space="preserve"> </w:t>
        </w:r>
        <w:r w:rsidRPr="00BB6909">
          <w:rPr>
            <w:rStyle w:val="Hyperlink"/>
            <w:color w:val="000000" w:themeColor="text1"/>
            <w:sz w:val="20"/>
            <w:u w:val="none"/>
          </w:rPr>
          <w:t>§</w:t>
        </w:r>
        <w:r w:rsidRPr="00BB6909">
          <w:rPr>
            <w:rStyle w:val="Hyperlink"/>
            <w:color w:val="000000" w:themeColor="text1"/>
            <w:spacing w:val="-2"/>
            <w:sz w:val="20"/>
            <w:u w:val="none"/>
          </w:rPr>
          <w:t xml:space="preserve"> </w:t>
        </w:r>
        <w:r w:rsidRPr="00BB6909">
          <w:rPr>
            <w:rStyle w:val="Hyperlink"/>
            <w:color w:val="000000" w:themeColor="text1"/>
            <w:sz w:val="20"/>
            <w:u w:val="none"/>
          </w:rPr>
          <w:t>13</w:t>
        </w:r>
      </w:hyperlink>
      <w:r w:rsidRPr="00BB6909">
        <w:rPr>
          <w:color w:val="000000" w:themeColor="text1"/>
          <w:spacing w:val="-2"/>
          <w:sz w:val="20"/>
        </w:rPr>
        <w:t xml:space="preserve"> </w:t>
      </w:r>
      <w:r w:rsidRPr="00BB6909">
        <w:rPr>
          <w:color w:val="000000" w:themeColor="text1"/>
          <w:sz w:val="20"/>
        </w:rPr>
        <w:t>(requiring</w:t>
      </w:r>
      <w:r w:rsidRPr="00BB6909">
        <w:rPr>
          <w:color w:val="000000" w:themeColor="text1"/>
          <w:spacing w:val="-3"/>
          <w:sz w:val="20"/>
        </w:rPr>
        <w:t xml:space="preserve"> </w:t>
      </w:r>
      <w:r>
        <w:rPr>
          <w:sz w:val="20"/>
        </w:rPr>
        <w:t>health</w:t>
      </w:r>
      <w:r>
        <w:rPr>
          <w:spacing w:val="-3"/>
          <w:sz w:val="20"/>
        </w:rPr>
        <w:t xml:space="preserve"> </w:t>
      </w:r>
      <w:r>
        <w:rPr>
          <w:sz w:val="20"/>
        </w:rPr>
        <w:t>care</w:t>
      </w:r>
      <w:r>
        <w:rPr>
          <w:spacing w:val="-1"/>
          <w:sz w:val="20"/>
        </w:rPr>
        <w:t xml:space="preserve"> </w:t>
      </w:r>
      <w:r>
        <w:rPr>
          <w:sz w:val="20"/>
        </w:rPr>
        <w:t>providers</w:t>
      </w:r>
      <w:r>
        <w:rPr>
          <w:spacing w:val="-2"/>
          <w:sz w:val="20"/>
        </w:rPr>
        <w:t xml:space="preserve"> </w:t>
      </w:r>
      <w:r>
        <w:rPr>
          <w:sz w:val="20"/>
        </w:rPr>
        <w:t>to</w:t>
      </w:r>
      <w:r>
        <w:rPr>
          <w:spacing w:val="-3"/>
          <w:sz w:val="20"/>
        </w:rPr>
        <w:t xml:space="preserve"> </w:t>
      </w:r>
      <w:r>
        <w:rPr>
          <w:sz w:val="20"/>
        </w:rPr>
        <w:t>notify</w:t>
      </w:r>
      <w:r>
        <w:rPr>
          <w:spacing w:val="-4"/>
          <w:sz w:val="20"/>
        </w:rPr>
        <w:t xml:space="preserve"> </w:t>
      </w:r>
      <w:r>
        <w:rPr>
          <w:sz w:val="20"/>
        </w:rPr>
        <w:t>the</w:t>
      </w:r>
      <w:r>
        <w:rPr>
          <w:spacing w:val="-4"/>
          <w:sz w:val="20"/>
        </w:rPr>
        <w:t xml:space="preserve"> </w:t>
      </w:r>
      <w:r>
        <w:rPr>
          <w:sz w:val="20"/>
        </w:rPr>
        <w:t>HPC</w:t>
      </w:r>
      <w:r>
        <w:rPr>
          <w:spacing w:val="-3"/>
          <w:sz w:val="20"/>
        </w:rPr>
        <w:t xml:space="preserve"> </w:t>
      </w:r>
      <w:r>
        <w:rPr>
          <w:sz w:val="20"/>
        </w:rPr>
        <w:t>before</w:t>
      </w:r>
      <w:r>
        <w:rPr>
          <w:spacing w:val="-4"/>
          <w:sz w:val="20"/>
        </w:rPr>
        <w:t xml:space="preserve"> </w:t>
      </w:r>
      <w:r>
        <w:rPr>
          <w:sz w:val="20"/>
        </w:rPr>
        <w:t>making</w:t>
      </w:r>
      <w:r>
        <w:rPr>
          <w:spacing w:val="-3"/>
          <w:sz w:val="20"/>
        </w:rPr>
        <w:t xml:space="preserve"> </w:t>
      </w:r>
      <w:r>
        <w:rPr>
          <w:sz w:val="20"/>
        </w:rPr>
        <w:t>material changes to their</w:t>
      </w:r>
      <w:r>
        <w:rPr>
          <w:spacing w:val="-1"/>
          <w:sz w:val="20"/>
        </w:rPr>
        <w:t xml:space="preserve"> </w:t>
      </w:r>
      <w:r>
        <w:rPr>
          <w:sz w:val="20"/>
        </w:rPr>
        <w:t>operations or</w:t>
      </w:r>
      <w:r>
        <w:rPr>
          <w:spacing w:val="-1"/>
          <w:sz w:val="20"/>
        </w:rPr>
        <w:t xml:space="preserve"> </w:t>
      </w:r>
      <w:r>
        <w:rPr>
          <w:sz w:val="20"/>
        </w:rPr>
        <w:t xml:space="preserve">governance). </w:t>
      </w:r>
      <w:r>
        <w:rPr>
          <w:i/>
          <w:sz w:val="20"/>
        </w:rPr>
        <w:t>See also</w:t>
      </w:r>
      <w:r>
        <w:rPr>
          <w:i/>
          <w:spacing w:val="-1"/>
          <w:sz w:val="20"/>
        </w:rPr>
        <w:t xml:space="preserve"> </w:t>
      </w:r>
      <w:r>
        <w:rPr>
          <w:sz w:val="20"/>
        </w:rPr>
        <w:t>M</w:t>
      </w:r>
      <w:r>
        <w:rPr>
          <w:sz w:val="16"/>
        </w:rPr>
        <w:t>ASS</w:t>
      </w:r>
      <w:r>
        <w:rPr>
          <w:sz w:val="20"/>
        </w:rPr>
        <w:t>.</w:t>
      </w:r>
      <w:r>
        <w:rPr>
          <w:spacing w:val="-9"/>
          <w:sz w:val="20"/>
        </w:rPr>
        <w:t xml:space="preserve"> </w:t>
      </w:r>
      <w:r>
        <w:rPr>
          <w:sz w:val="20"/>
        </w:rPr>
        <w:t>H</w:t>
      </w:r>
      <w:r>
        <w:rPr>
          <w:sz w:val="16"/>
        </w:rPr>
        <w:t xml:space="preserve">EALTH </w:t>
      </w:r>
      <w:r>
        <w:rPr>
          <w:sz w:val="20"/>
        </w:rPr>
        <w:t>P</w:t>
      </w:r>
      <w:r>
        <w:rPr>
          <w:sz w:val="16"/>
        </w:rPr>
        <w:t xml:space="preserve">OLICY </w:t>
      </w:r>
      <w:r>
        <w:rPr>
          <w:sz w:val="20"/>
        </w:rPr>
        <w:t>C</w:t>
      </w:r>
      <w:r>
        <w:rPr>
          <w:sz w:val="16"/>
        </w:rPr>
        <w:t>OMM</w:t>
      </w:r>
      <w:r>
        <w:rPr>
          <w:sz w:val="20"/>
        </w:rPr>
        <w:t>’</w:t>
      </w:r>
      <w:r>
        <w:rPr>
          <w:sz w:val="16"/>
        </w:rPr>
        <w:t>N</w:t>
      </w:r>
      <w:r>
        <w:rPr>
          <w:sz w:val="20"/>
        </w:rPr>
        <w:t>,</w:t>
      </w:r>
      <w:r>
        <w:rPr>
          <w:spacing w:val="-11"/>
          <w:sz w:val="20"/>
        </w:rPr>
        <w:t xml:space="preserve"> </w:t>
      </w:r>
      <w:r>
        <w:rPr>
          <w:sz w:val="20"/>
        </w:rPr>
        <w:t>958</w:t>
      </w:r>
      <w:r>
        <w:rPr>
          <w:spacing w:val="-9"/>
          <w:sz w:val="20"/>
        </w:rPr>
        <w:t xml:space="preserve"> </w:t>
      </w:r>
      <w:r>
        <w:rPr>
          <w:sz w:val="20"/>
        </w:rPr>
        <w:t>CMR</w:t>
      </w:r>
      <w:r>
        <w:rPr>
          <w:spacing w:val="-9"/>
          <w:sz w:val="20"/>
        </w:rPr>
        <w:t xml:space="preserve"> </w:t>
      </w:r>
      <w:r>
        <w:rPr>
          <w:sz w:val="20"/>
        </w:rPr>
        <w:t>7.00:</w:t>
      </w:r>
      <w:r>
        <w:rPr>
          <w:spacing w:val="-9"/>
          <w:sz w:val="20"/>
        </w:rPr>
        <w:t xml:space="preserve"> </w:t>
      </w:r>
      <w:r>
        <w:rPr>
          <w:sz w:val="20"/>
        </w:rPr>
        <w:t>N</w:t>
      </w:r>
      <w:r>
        <w:rPr>
          <w:sz w:val="16"/>
        </w:rPr>
        <w:t>OTICES OF</w:t>
      </w:r>
      <w:r>
        <w:rPr>
          <w:spacing w:val="40"/>
          <w:sz w:val="16"/>
        </w:rPr>
        <w:t xml:space="preserve"> </w:t>
      </w:r>
      <w:r>
        <w:rPr>
          <w:sz w:val="20"/>
        </w:rPr>
        <w:t>M</w:t>
      </w:r>
      <w:r>
        <w:rPr>
          <w:sz w:val="16"/>
        </w:rPr>
        <w:t xml:space="preserve">ATERIAL </w:t>
      </w:r>
      <w:r>
        <w:rPr>
          <w:sz w:val="20"/>
        </w:rPr>
        <w:t>C</w:t>
      </w:r>
      <w:r>
        <w:rPr>
          <w:sz w:val="16"/>
        </w:rPr>
        <w:t xml:space="preserve">HANGE AND </w:t>
      </w:r>
      <w:r>
        <w:rPr>
          <w:sz w:val="20"/>
        </w:rPr>
        <w:t>C</w:t>
      </w:r>
      <w:r>
        <w:rPr>
          <w:sz w:val="16"/>
        </w:rPr>
        <w:t xml:space="preserve">OST AND </w:t>
      </w:r>
      <w:r>
        <w:rPr>
          <w:sz w:val="20"/>
        </w:rPr>
        <w:t>M</w:t>
      </w:r>
      <w:r>
        <w:rPr>
          <w:sz w:val="16"/>
        </w:rPr>
        <w:t xml:space="preserve">ARKET </w:t>
      </w:r>
      <w:r>
        <w:rPr>
          <w:sz w:val="20"/>
        </w:rPr>
        <w:t>I</w:t>
      </w:r>
      <w:r>
        <w:rPr>
          <w:sz w:val="16"/>
        </w:rPr>
        <w:t xml:space="preserve">MPACT </w:t>
      </w:r>
      <w:r>
        <w:rPr>
          <w:sz w:val="20"/>
        </w:rPr>
        <w:t>R</w:t>
      </w:r>
      <w:r>
        <w:rPr>
          <w:sz w:val="16"/>
        </w:rPr>
        <w:t xml:space="preserve">EVIEWS </w:t>
      </w:r>
      <w:r>
        <w:rPr>
          <w:sz w:val="20"/>
        </w:rPr>
        <w:t xml:space="preserve">(Jan. 2, 2015), </w:t>
      </w:r>
      <w:r>
        <w:rPr>
          <w:i/>
          <w:sz w:val="20"/>
        </w:rPr>
        <w:t>available at</w:t>
      </w:r>
    </w:p>
    <w:p w14:paraId="14B0DBC6" w14:textId="77777777" w:rsidR="00BB6909" w:rsidRDefault="00BB6909" w:rsidP="00BB6909">
      <w:pPr>
        <w:spacing w:before="2"/>
        <w:ind w:left="960" w:right="799"/>
        <w:rPr>
          <w:sz w:val="20"/>
        </w:rPr>
      </w:pPr>
      <w:hyperlink r:id="rId2">
        <w:r>
          <w:rPr>
            <w:color w:val="486794"/>
            <w:sz w:val="20"/>
            <w:u w:val="single" w:color="486794"/>
          </w:rPr>
          <w:t>https://masshpc.gov/sites/default/files/2023-04/958cmr7.00-noticesofmcnandcmir.pdf</w:t>
        </w:r>
      </w:hyperlink>
      <w:r>
        <w:rPr>
          <w:color w:val="486794"/>
          <w:spacing w:val="-13"/>
          <w:sz w:val="20"/>
        </w:rPr>
        <w:t xml:space="preserve"> </w:t>
      </w:r>
      <w:r>
        <w:rPr>
          <w:sz w:val="20"/>
        </w:rPr>
        <w:t>(last</w:t>
      </w:r>
      <w:r>
        <w:rPr>
          <w:spacing w:val="-12"/>
          <w:sz w:val="20"/>
        </w:rPr>
        <w:t xml:space="preserve"> </w:t>
      </w:r>
      <w:r>
        <w:rPr>
          <w:sz w:val="20"/>
        </w:rPr>
        <w:t>visited February 27, 2025).</w:t>
      </w:r>
    </w:p>
    <w:p w14:paraId="7245FA73" w14:textId="5FEC0A80" w:rsidR="00BB6909" w:rsidRDefault="00BB6909" w:rsidP="00BB6909">
      <w:pPr>
        <w:pStyle w:val="FootnoteText"/>
        <w:ind w:left="900"/>
      </w:pPr>
    </w:p>
  </w:footnote>
  <w:footnote w:id="2">
    <w:p w14:paraId="0E8FE9F4" w14:textId="3345BAA0" w:rsidR="00FD31D4" w:rsidRDefault="00FD31D4" w:rsidP="00FD31D4">
      <w:pPr>
        <w:pStyle w:val="FootnoteText"/>
        <w:ind w:left="990" w:right="850"/>
      </w:pPr>
      <w:r>
        <w:rPr>
          <w:rStyle w:val="FootnoteReference"/>
        </w:rPr>
        <w:footnoteRef/>
      </w:r>
      <w:r>
        <w:t xml:space="preserve"> Many other states, including Connecticut, California, Illinois, New York, Oregon, and Washington, have since adopted processes for oversight and assessment of proposed transactions among health care entities, modeled</w:t>
      </w:r>
      <w:r>
        <w:rPr>
          <w:spacing w:val="-2"/>
        </w:rPr>
        <w:t xml:space="preserve"> </w:t>
      </w:r>
      <w:r>
        <w:t>in</w:t>
      </w:r>
      <w:r>
        <w:rPr>
          <w:spacing w:val="-3"/>
        </w:rPr>
        <w:t xml:space="preserve"> </w:t>
      </w:r>
      <w:r>
        <w:t>part</w:t>
      </w:r>
      <w:r>
        <w:rPr>
          <w:spacing w:val="-2"/>
        </w:rPr>
        <w:t xml:space="preserve"> </w:t>
      </w:r>
      <w:r>
        <w:t>on</w:t>
      </w:r>
      <w:r>
        <w:rPr>
          <w:spacing w:val="-3"/>
        </w:rPr>
        <w:t xml:space="preserve"> </w:t>
      </w:r>
      <w:r>
        <w:t>the</w:t>
      </w:r>
      <w:r>
        <w:rPr>
          <w:spacing w:val="-4"/>
        </w:rPr>
        <w:t xml:space="preserve"> </w:t>
      </w:r>
      <w:r>
        <w:t>system</w:t>
      </w:r>
      <w:r>
        <w:rPr>
          <w:spacing w:val="-2"/>
        </w:rPr>
        <w:t xml:space="preserve"> </w:t>
      </w:r>
      <w:r>
        <w:t>established</w:t>
      </w:r>
      <w:r>
        <w:rPr>
          <w:spacing w:val="-2"/>
        </w:rPr>
        <w:t xml:space="preserve"> </w:t>
      </w:r>
      <w:r>
        <w:t>in</w:t>
      </w:r>
      <w:r>
        <w:rPr>
          <w:spacing w:val="-3"/>
        </w:rPr>
        <w:t xml:space="preserve"> </w:t>
      </w:r>
      <w:r>
        <w:t>Massachusetts</w:t>
      </w:r>
      <w:r>
        <w:rPr>
          <w:spacing w:val="-2"/>
        </w:rPr>
        <w:t xml:space="preserve"> </w:t>
      </w:r>
      <w:r>
        <w:t>through</w:t>
      </w:r>
      <w:r>
        <w:rPr>
          <w:spacing w:val="-3"/>
        </w:rPr>
        <w:t xml:space="preserve"> </w:t>
      </w:r>
      <w:r>
        <w:t>the</w:t>
      </w:r>
      <w:r>
        <w:rPr>
          <w:spacing w:val="-4"/>
        </w:rPr>
        <w:t xml:space="preserve"> </w:t>
      </w:r>
      <w:r>
        <w:t>HPC.</w:t>
      </w:r>
      <w:r>
        <w:rPr>
          <w:spacing w:val="-2"/>
        </w:rPr>
        <w:t xml:space="preserve"> </w:t>
      </w:r>
      <w:r>
        <w:rPr>
          <w:i/>
        </w:rPr>
        <w:t>See</w:t>
      </w:r>
      <w:r>
        <w:rPr>
          <w:i/>
          <w:spacing w:val="-4"/>
        </w:rPr>
        <w:t xml:space="preserve"> </w:t>
      </w:r>
      <w:r>
        <w:t>National</w:t>
      </w:r>
      <w:r>
        <w:rPr>
          <w:spacing w:val="-3"/>
        </w:rPr>
        <w:t xml:space="preserve"> </w:t>
      </w:r>
      <w:r>
        <w:t>Academy</w:t>
      </w:r>
      <w:r>
        <w:rPr>
          <w:spacing w:val="-4"/>
        </w:rPr>
        <w:t xml:space="preserve"> </w:t>
      </w:r>
      <w:r>
        <w:t>for</w:t>
      </w:r>
      <w:r>
        <w:rPr>
          <w:spacing w:val="-4"/>
        </w:rPr>
        <w:t xml:space="preserve"> </w:t>
      </w:r>
      <w:r>
        <w:t xml:space="preserve">State Health Policy, </w:t>
      </w:r>
      <w:hyperlink r:id="rId3" w:history="1">
        <w:r w:rsidRPr="00FD31D4">
          <w:rPr>
            <w:rStyle w:val="Hyperlink"/>
            <w:i/>
            <w:color w:val="000000" w:themeColor="text1"/>
            <w:u w:val="none"/>
          </w:rPr>
          <w:t>State Action on Health Market Oversight Chart</w:t>
        </w:r>
      </w:hyperlink>
      <w:r w:rsidRPr="00FD31D4">
        <w:rPr>
          <w:color w:val="000000" w:themeColor="text1"/>
        </w:rPr>
        <w:t xml:space="preserve">, </w:t>
      </w:r>
      <w:hyperlink r:id="rId4">
        <w:r>
          <w:rPr>
            <w:color w:val="486794"/>
            <w:u w:val="single" w:color="486794"/>
          </w:rPr>
          <w:t>https://nashp.org/state-tracker/state-action-on-</w:t>
        </w:r>
      </w:hyperlink>
      <w:r>
        <w:rPr>
          <w:color w:val="486794"/>
        </w:rPr>
        <w:t xml:space="preserve"> </w:t>
      </w:r>
      <w:hyperlink r:id="rId5">
        <w:r>
          <w:rPr>
            <w:color w:val="486794"/>
            <w:u w:val="single" w:color="486794"/>
          </w:rPr>
          <w:t>health-market-oversight-chart/</w:t>
        </w:r>
      </w:hyperlink>
      <w:r>
        <w:rPr>
          <w:color w:val="486794"/>
        </w:rPr>
        <w:t xml:space="preserve"> </w:t>
      </w:r>
      <w:r>
        <w:t>(Dec. 2024).</w:t>
      </w:r>
    </w:p>
  </w:footnote>
  <w:footnote w:id="3">
    <w:p w14:paraId="4A5122E3" w14:textId="0CBBBE06" w:rsidR="00412F1F" w:rsidRDefault="00412F1F" w:rsidP="00412F1F">
      <w:pPr>
        <w:spacing w:before="92" w:line="226" w:lineRule="exact"/>
        <w:ind w:left="960"/>
        <w:rPr>
          <w:sz w:val="20"/>
        </w:rPr>
      </w:pPr>
      <w:r>
        <w:rPr>
          <w:rStyle w:val="FootnoteReference"/>
        </w:rPr>
        <w:footnoteRef/>
      </w:r>
      <w:r>
        <w:t xml:space="preserve"> </w:t>
      </w:r>
      <w:r>
        <w:rPr>
          <w:i/>
          <w:sz w:val="20"/>
        </w:rPr>
        <w:t>See</w:t>
      </w:r>
      <w:r>
        <w:rPr>
          <w:i/>
          <w:spacing w:val="-6"/>
          <w:sz w:val="20"/>
        </w:rPr>
        <w:t xml:space="preserve"> </w:t>
      </w:r>
      <w:hyperlink r:id="rId6" w:history="1">
        <w:r w:rsidRPr="007B1EE1">
          <w:rPr>
            <w:rStyle w:val="Hyperlink"/>
            <w:color w:val="000000" w:themeColor="text1"/>
            <w:sz w:val="20"/>
            <w:u w:val="none"/>
          </w:rPr>
          <w:t>D</w:t>
        </w:r>
        <w:r w:rsidRPr="007B1EE1">
          <w:rPr>
            <w:rStyle w:val="Hyperlink"/>
            <w:color w:val="000000" w:themeColor="text1"/>
            <w:sz w:val="16"/>
            <w:u w:val="none"/>
          </w:rPr>
          <w:t>ANA</w:t>
        </w:r>
        <w:r w:rsidRPr="007B1EE1">
          <w:rPr>
            <w:rStyle w:val="Hyperlink"/>
            <w:color w:val="000000" w:themeColor="text1"/>
            <w:sz w:val="20"/>
            <w:u w:val="none"/>
          </w:rPr>
          <w:t>-F</w:t>
        </w:r>
        <w:r w:rsidRPr="007B1EE1">
          <w:rPr>
            <w:rStyle w:val="Hyperlink"/>
            <w:color w:val="000000" w:themeColor="text1"/>
            <w:sz w:val="16"/>
            <w:u w:val="none"/>
          </w:rPr>
          <w:t>ARBER</w:t>
        </w:r>
        <w:r w:rsidRPr="007B1EE1">
          <w:rPr>
            <w:rStyle w:val="Hyperlink"/>
            <w:color w:val="000000" w:themeColor="text1"/>
            <w:spacing w:val="-6"/>
            <w:sz w:val="16"/>
            <w:u w:val="none"/>
          </w:rPr>
          <w:t xml:space="preserve"> </w:t>
        </w:r>
        <w:r w:rsidRPr="007B1EE1">
          <w:rPr>
            <w:rStyle w:val="Hyperlink"/>
            <w:color w:val="000000" w:themeColor="text1"/>
            <w:sz w:val="20"/>
            <w:u w:val="none"/>
          </w:rPr>
          <w:t>C</w:t>
        </w:r>
        <w:r w:rsidRPr="007B1EE1">
          <w:rPr>
            <w:rStyle w:val="Hyperlink"/>
            <w:color w:val="000000" w:themeColor="text1"/>
            <w:sz w:val="16"/>
            <w:u w:val="none"/>
          </w:rPr>
          <w:t>ANCER</w:t>
        </w:r>
        <w:r w:rsidRPr="007B1EE1">
          <w:rPr>
            <w:rStyle w:val="Hyperlink"/>
            <w:color w:val="000000" w:themeColor="text1"/>
            <w:spacing w:val="-4"/>
            <w:sz w:val="16"/>
            <w:u w:val="none"/>
          </w:rPr>
          <w:t xml:space="preserve"> </w:t>
        </w:r>
        <w:r w:rsidRPr="007B1EE1">
          <w:rPr>
            <w:rStyle w:val="Hyperlink"/>
            <w:color w:val="000000" w:themeColor="text1"/>
            <w:sz w:val="20"/>
            <w:u w:val="none"/>
          </w:rPr>
          <w:t>I</w:t>
        </w:r>
        <w:r w:rsidRPr="007B1EE1">
          <w:rPr>
            <w:rStyle w:val="Hyperlink"/>
            <w:color w:val="000000" w:themeColor="text1"/>
            <w:sz w:val="16"/>
            <w:u w:val="none"/>
          </w:rPr>
          <w:t>NSTITUTE</w:t>
        </w:r>
        <w:r w:rsidRPr="007B1EE1">
          <w:rPr>
            <w:rStyle w:val="Hyperlink"/>
            <w:color w:val="000000" w:themeColor="text1"/>
            <w:sz w:val="20"/>
            <w:u w:val="none"/>
          </w:rPr>
          <w:t>,</w:t>
        </w:r>
        <w:r w:rsidRPr="007B1EE1">
          <w:rPr>
            <w:rStyle w:val="Hyperlink"/>
            <w:color w:val="000000" w:themeColor="text1"/>
            <w:spacing w:val="-13"/>
            <w:sz w:val="20"/>
            <w:u w:val="none"/>
          </w:rPr>
          <w:t xml:space="preserve"> </w:t>
        </w:r>
        <w:r w:rsidRPr="007B1EE1">
          <w:rPr>
            <w:rStyle w:val="Hyperlink"/>
            <w:color w:val="000000" w:themeColor="text1"/>
            <w:sz w:val="16"/>
            <w:u w:val="none"/>
          </w:rPr>
          <w:t>INC</w:t>
        </w:r>
        <w:r w:rsidRPr="007B1EE1">
          <w:rPr>
            <w:rStyle w:val="Hyperlink"/>
            <w:color w:val="000000" w:themeColor="text1"/>
            <w:sz w:val="20"/>
            <w:u w:val="none"/>
          </w:rPr>
          <w:t>.,</w:t>
        </w:r>
        <w:r w:rsidRPr="007B1EE1">
          <w:rPr>
            <w:rStyle w:val="Hyperlink"/>
            <w:color w:val="000000" w:themeColor="text1"/>
            <w:spacing w:val="-12"/>
            <w:sz w:val="20"/>
            <w:u w:val="none"/>
          </w:rPr>
          <w:t xml:space="preserve"> </w:t>
        </w:r>
        <w:r w:rsidRPr="007B1EE1">
          <w:rPr>
            <w:rStyle w:val="Hyperlink"/>
            <w:color w:val="000000" w:themeColor="text1"/>
            <w:sz w:val="20"/>
            <w:u w:val="none"/>
          </w:rPr>
          <w:t>N</w:t>
        </w:r>
        <w:r w:rsidRPr="007B1EE1">
          <w:rPr>
            <w:rStyle w:val="Hyperlink"/>
            <w:color w:val="000000" w:themeColor="text1"/>
            <w:sz w:val="16"/>
            <w:u w:val="none"/>
          </w:rPr>
          <w:t>OTICE</w:t>
        </w:r>
        <w:r w:rsidRPr="007B1EE1">
          <w:rPr>
            <w:rStyle w:val="Hyperlink"/>
            <w:color w:val="000000" w:themeColor="text1"/>
            <w:spacing w:val="-3"/>
            <w:sz w:val="16"/>
            <w:u w:val="none"/>
          </w:rPr>
          <w:t xml:space="preserve"> </w:t>
        </w:r>
        <w:r w:rsidRPr="007B1EE1">
          <w:rPr>
            <w:rStyle w:val="Hyperlink"/>
            <w:color w:val="000000" w:themeColor="text1"/>
            <w:sz w:val="16"/>
            <w:u w:val="none"/>
          </w:rPr>
          <w:t>OF</w:t>
        </w:r>
        <w:r w:rsidRPr="007B1EE1">
          <w:rPr>
            <w:rStyle w:val="Hyperlink"/>
            <w:color w:val="000000" w:themeColor="text1"/>
            <w:spacing w:val="-4"/>
            <w:sz w:val="16"/>
            <w:u w:val="none"/>
          </w:rPr>
          <w:t xml:space="preserve"> </w:t>
        </w:r>
        <w:r w:rsidRPr="007B1EE1">
          <w:rPr>
            <w:rStyle w:val="Hyperlink"/>
            <w:color w:val="000000" w:themeColor="text1"/>
            <w:sz w:val="20"/>
            <w:u w:val="none"/>
          </w:rPr>
          <w:t>M</w:t>
        </w:r>
        <w:r w:rsidRPr="007B1EE1">
          <w:rPr>
            <w:rStyle w:val="Hyperlink"/>
            <w:color w:val="000000" w:themeColor="text1"/>
            <w:sz w:val="16"/>
            <w:u w:val="none"/>
          </w:rPr>
          <w:t>ATERIAL</w:t>
        </w:r>
        <w:r w:rsidRPr="007B1EE1">
          <w:rPr>
            <w:rStyle w:val="Hyperlink"/>
            <w:color w:val="000000" w:themeColor="text1"/>
            <w:spacing w:val="-6"/>
            <w:sz w:val="16"/>
            <w:u w:val="none"/>
          </w:rPr>
          <w:t xml:space="preserve"> </w:t>
        </w:r>
        <w:r w:rsidRPr="007B1EE1">
          <w:rPr>
            <w:rStyle w:val="Hyperlink"/>
            <w:color w:val="000000" w:themeColor="text1"/>
            <w:sz w:val="20"/>
            <w:u w:val="none"/>
          </w:rPr>
          <w:t>C</w:t>
        </w:r>
        <w:r w:rsidRPr="007B1EE1">
          <w:rPr>
            <w:rStyle w:val="Hyperlink"/>
            <w:color w:val="000000" w:themeColor="text1"/>
            <w:sz w:val="16"/>
            <w:u w:val="none"/>
          </w:rPr>
          <w:t>HANGE</w:t>
        </w:r>
        <w:r w:rsidRPr="007B1EE1">
          <w:rPr>
            <w:rStyle w:val="Hyperlink"/>
            <w:color w:val="000000" w:themeColor="text1"/>
            <w:spacing w:val="-5"/>
            <w:sz w:val="16"/>
            <w:u w:val="none"/>
          </w:rPr>
          <w:t xml:space="preserve"> </w:t>
        </w:r>
        <w:r w:rsidRPr="007B1EE1">
          <w:rPr>
            <w:rStyle w:val="Hyperlink"/>
            <w:color w:val="000000" w:themeColor="text1"/>
            <w:sz w:val="16"/>
            <w:u w:val="none"/>
          </w:rPr>
          <w:t>TO</w:t>
        </w:r>
        <w:r w:rsidRPr="007B1EE1">
          <w:rPr>
            <w:rStyle w:val="Hyperlink"/>
            <w:color w:val="000000" w:themeColor="text1"/>
            <w:spacing w:val="-7"/>
            <w:sz w:val="16"/>
            <w:u w:val="none"/>
          </w:rPr>
          <w:t xml:space="preserve"> </w:t>
        </w:r>
        <w:r w:rsidRPr="007B1EE1">
          <w:rPr>
            <w:rStyle w:val="Hyperlink"/>
            <w:color w:val="000000" w:themeColor="text1"/>
            <w:sz w:val="16"/>
            <w:u w:val="none"/>
          </w:rPr>
          <w:t>THE</w:t>
        </w:r>
        <w:r w:rsidRPr="007B1EE1">
          <w:rPr>
            <w:rStyle w:val="Hyperlink"/>
            <w:color w:val="000000" w:themeColor="text1"/>
            <w:spacing w:val="-5"/>
            <w:sz w:val="16"/>
            <w:u w:val="none"/>
          </w:rPr>
          <w:t xml:space="preserve"> </w:t>
        </w:r>
        <w:r w:rsidRPr="007B1EE1">
          <w:rPr>
            <w:rStyle w:val="Hyperlink"/>
            <w:color w:val="000000" w:themeColor="text1"/>
            <w:sz w:val="20"/>
            <w:u w:val="none"/>
          </w:rPr>
          <w:t>H</w:t>
        </w:r>
        <w:r w:rsidRPr="007B1EE1">
          <w:rPr>
            <w:rStyle w:val="Hyperlink"/>
            <w:color w:val="000000" w:themeColor="text1"/>
            <w:sz w:val="16"/>
            <w:u w:val="none"/>
          </w:rPr>
          <w:t>EALTH</w:t>
        </w:r>
        <w:r w:rsidRPr="007B1EE1">
          <w:rPr>
            <w:rStyle w:val="Hyperlink"/>
            <w:color w:val="000000" w:themeColor="text1"/>
            <w:spacing w:val="-4"/>
            <w:sz w:val="16"/>
            <w:u w:val="none"/>
          </w:rPr>
          <w:t xml:space="preserve"> </w:t>
        </w:r>
        <w:r w:rsidRPr="007B1EE1">
          <w:rPr>
            <w:rStyle w:val="Hyperlink"/>
            <w:color w:val="000000" w:themeColor="text1"/>
            <w:sz w:val="20"/>
            <w:u w:val="none"/>
          </w:rPr>
          <w:t>P</w:t>
        </w:r>
        <w:r w:rsidRPr="007B1EE1">
          <w:rPr>
            <w:rStyle w:val="Hyperlink"/>
            <w:color w:val="000000" w:themeColor="text1"/>
            <w:sz w:val="16"/>
            <w:u w:val="none"/>
          </w:rPr>
          <w:t>OLICY</w:t>
        </w:r>
        <w:r w:rsidRPr="007B1EE1">
          <w:rPr>
            <w:rStyle w:val="Hyperlink"/>
            <w:color w:val="000000" w:themeColor="text1"/>
            <w:spacing w:val="-5"/>
            <w:sz w:val="16"/>
            <w:u w:val="none"/>
          </w:rPr>
          <w:t xml:space="preserve"> </w:t>
        </w:r>
        <w:r w:rsidRPr="007B1EE1">
          <w:rPr>
            <w:rStyle w:val="Hyperlink"/>
            <w:color w:val="000000" w:themeColor="text1"/>
            <w:sz w:val="20"/>
            <w:u w:val="none"/>
          </w:rPr>
          <w:t>C</w:t>
        </w:r>
        <w:r w:rsidRPr="007B1EE1">
          <w:rPr>
            <w:rStyle w:val="Hyperlink"/>
            <w:color w:val="000000" w:themeColor="text1"/>
            <w:sz w:val="16"/>
            <w:u w:val="none"/>
          </w:rPr>
          <w:t>OMM</w:t>
        </w:r>
        <w:r w:rsidRPr="007B1EE1">
          <w:rPr>
            <w:rStyle w:val="Hyperlink"/>
            <w:color w:val="000000" w:themeColor="text1"/>
            <w:sz w:val="20"/>
            <w:u w:val="none"/>
          </w:rPr>
          <w:t>’</w:t>
        </w:r>
        <w:r w:rsidRPr="007B1EE1">
          <w:rPr>
            <w:rStyle w:val="Hyperlink"/>
            <w:color w:val="000000" w:themeColor="text1"/>
            <w:sz w:val="16"/>
            <w:u w:val="none"/>
          </w:rPr>
          <w:t>N</w:t>
        </w:r>
      </w:hyperlink>
      <w:r w:rsidRPr="007B1EE1">
        <w:rPr>
          <w:color w:val="000000" w:themeColor="text1"/>
          <w:spacing w:val="-4"/>
          <w:sz w:val="16"/>
        </w:rPr>
        <w:t xml:space="preserve"> </w:t>
      </w:r>
      <w:r w:rsidRPr="007B1EE1">
        <w:rPr>
          <w:color w:val="000000" w:themeColor="text1"/>
          <w:sz w:val="20"/>
        </w:rPr>
        <w:t>(</w:t>
      </w:r>
      <w:r>
        <w:rPr>
          <w:sz w:val="20"/>
        </w:rPr>
        <w:t>Oct.</w:t>
      </w:r>
      <w:r>
        <w:rPr>
          <w:spacing w:val="-4"/>
          <w:sz w:val="20"/>
        </w:rPr>
        <w:t xml:space="preserve"> </w:t>
      </w:r>
      <w:r>
        <w:rPr>
          <w:sz w:val="20"/>
        </w:rPr>
        <w:t>24,</w:t>
      </w:r>
      <w:r>
        <w:rPr>
          <w:spacing w:val="-4"/>
          <w:sz w:val="20"/>
        </w:rPr>
        <w:t xml:space="preserve"> </w:t>
      </w:r>
      <w:r>
        <w:rPr>
          <w:spacing w:val="-2"/>
          <w:sz w:val="20"/>
        </w:rPr>
        <w:t>2023)</w:t>
      </w:r>
    </w:p>
    <w:p w14:paraId="25B43070" w14:textId="76DC678C" w:rsidR="00412F1F" w:rsidRDefault="00412F1F" w:rsidP="00412F1F">
      <w:pPr>
        <w:ind w:left="960" w:right="1290" w:hanging="1"/>
        <w:rPr>
          <w:sz w:val="16"/>
        </w:rPr>
      </w:pPr>
      <w:r>
        <w:rPr>
          <w:sz w:val="20"/>
        </w:rPr>
        <w:t>A</w:t>
      </w:r>
      <w:r>
        <w:rPr>
          <w:sz w:val="16"/>
        </w:rPr>
        <w:t xml:space="preserve">S </w:t>
      </w:r>
      <w:r>
        <w:rPr>
          <w:sz w:val="20"/>
        </w:rPr>
        <w:t>R</w:t>
      </w:r>
      <w:r>
        <w:rPr>
          <w:sz w:val="16"/>
        </w:rPr>
        <w:t xml:space="preserve">EQUIRED </w:t>
      </w:r>
      <w:r>
        <w:rPr>
          <w:sz w:val="20"/>
        </w:rPr>
        <w:t>U</w:t>
      </w:r>
      <w:r>
        <w:rPr>
          <w:sz w:val="16"/>
        </w:rPr>
        <w:t xml:space="preserve">NDER </w:t>
      </w:r>
      <w:r>
        <w:rPr>
          <w:sz w:val="20"/>
        </w:rPr>
        <w:t>M</w:t>
      </w:r>
      <w:r>
        <w:rPr>
          <w:sz w:val="16"/>
        </w:rPr>
        <w:t>ASS</w:t>
      </w:r>
      <w:r>
        <w:rPr>
          <w:sz w:val="20"/>
        </w:rPr>
        <w:t>.</w:t>
      </w:r>
      <w:r>
        <w:rPr>
          <w:spacing w:val="-5"/>
          <w:sz w:val="20"/>
        </w:rPr>
        <w:t xml:space="preserve"> </w:t>
      </w:r>
      <w:r>
        <w:rPr>
          <w:sz w:val="20"/>
        </w:rPr>
        <w:t>G</w:t>
      </w:r>
      <w:r>
        <w:rPr>
          <w:sz w:val="16"/>
        </w:rPr>
        <w:t>EN</w:t>
      </w:r>
      <w:r>
        <w:rPr>
          <w:sz w:val="20"/>
        </w:rPr>
        <w:t>.</w:t>
      </w:r>
      <w:r>
        <w:rPr>
          <w:spacing w:val="-2"/>
          <w:sz w:val="20"/>
        </w:rPr>
        <w:t xml:space="preserve"> </w:t>
      </w:r>
      <w:r>
        <w:rPr>
          <w:sz w:val="20"/>
        </w:rPr>
        <w:t>L</w:t>
      </w:r>
      <w:r>
        <w:rPr>
          <w:sz w:val="16"/>
        </w:rPr>
        <w:t xml:space="preserve">AWS </w:t>
      </w:r>
      <w:proofErr w:type="spellStart"/>
      <w:r>
        <w:rPr>
          <w:sz w:val="20"/>
        </w:rPr>
        <w:t>ch.</w:t>
      </w:r>
      <w:proofErr w:type="spellEnd"/>
      <w:r>
        <w:rPr>
          <w:sz w:val="20"/>
        </w:rPr>
        <w:t xml:space="preserve"> 6D § 13 (2012) [hereinafter DFCI MCN], </w:t>
      </w:r>
      <w:r>
        <w:rPr>
          <w:i/>
          <w:sz w:val="20"/>
        </w:rPr>
        <w:t xml:space="preserve">available at </w:t>
      </w:r>
      <w:hyperlink r:id="rId7">
        <w:r>
          <w:rPr>
            <w:color w:val="486794"/>
            <w:sz w:val="20"/>
            <w:u w:val="single" w:color="486794"/>
          </w:rPr>
          <w:t>https://masshpc.gov/sites/default/files/20231024%20DFCI-BIDMC-HMFP%20MCN.pdf</w:t>
        </w:r>
        <w:r>
          <w:rPr>
            <w:sz w:val="20"/>
          </w:rPr>
          <w:t>;</w:t>
        </w:r>
      </w:hyperlink>
      <w:r>
        <w:rPr>
          <w:sz w:val="20"/>
        </w:rPr>
        <w:t xml:space="preserve"> </w:t>
      </w:r>
      <w:hyperlink r:id="rId8" w:history="1">
        <w:r w:rsidRPr="00BA68BA">
          <w:rPr>
            <w:rStyle w:val="Hyperlink"/>
            <w:color w:val="000000" w:themeColor="text1"/>
            <w:sz w:val="20"/>
            <w:u w:val="none"/>
          </w:rPr>
          <w:t>B</w:t>
        </w:r>
        <w:r w:rsidRPr="00BA68BA">
          <w:rPr>
            <w:rStyle w:val="Hyperlink"/>
            <w:color w:val="000000" w:themeColor="text1"/>
            <w:sz w:val="16"/>
            <w:u w:val="none"/>
          </w:rPr>
          <w:t xml:space="preserve">ETH </w:t>
        </w:r>
        <w:r w:rsidRPr="00BA68BA">
          <w:rPr>
            <w:rStyle w:val="Hyperlink"/>
            <w:color w:val="000000" w:themeColor="text1"/>
            <w:sz w:val="20"/>
            <w:u w:val="none"/>
          </w:rPr>
          <w:t>I</w:t>
        </w:r>
        <w:r w:rsidRPr="00BA68BA">
          <w:rPr>
            <w:rStyle w:val="Hyperlink"/>
            <w:color w:val="000000" w:themeColor="text1"/>
            <w:sz w:val="16"/>
            <w:u w:val="none"/>
          </w:rPr>
          <w:t>SRAEL</w:t>
        </w:r>
        <w:r w:rsidRPr="00BA68BA">
          <w:rPr>
            <w:rStyle w:val="Hyperlink"/>
            <w:color w:val="000000" w:themeColor="text1"/>
            <w:spacing w:val="40"/>
            <w:sz w:val="16"/>
            <w:u w:val="none"/>
          </w:rPr>
          <w:t xml:space="preserve"> </w:t>
        </w:r>
        <w:r w:rsidRPr="00BA68BA">
          <w:rPr>
            <w:rStyle w:val="Hyperlink"/>
            <w:color w:val="000000" w:themeColor="text1"/>
            <w:sz w:val="20"/>
            <w:u w:val="none"/>
          </w:rPr>
          <w:t>D</w:t>
        </w:r>
        <w:r w:rsidRPr="00BA68BA">
          <w:rPr>
            <w:rStyle w:val="Hyperlink"/>
            <w:color w:val="000000" w:themeColor="text1"/>
            <w:sz w:val="16"/>
            <w:u w:val="none"/>
          </w:rPr>
          <w:t>EACONESS</w:t>
        </w:r>
        <w:r w:rsidRPr="00BA68BA">
          <w:rPr>
            <w:rStyle w:val="Hyperlink"/>
            <w:color w:val="000000" w:themeColor="text1"/>
            <w:spacing w:val="-2"/>
            <w:sz w:val="16"/>
            <w:u w:val="none"/>
          </w:rPr>
          <w:t xml:space="preserve"> </w:t>
        </w:r>
        <w:r w:rsidRPr="00BA68BA">
          <w:rPr>
            <w:rStyle w:val="Hyperlink"/>
            <w:color w:val="000000" w:themeColor="text1"/>
            <w:sz w:val="20"/>
            <w:u w:val="none"/>
          </w:rPr>
          <w:t>M</w:t>
        </w:r>
        <w:r w:rsidRPr="00BA68BA">
          <w:rPr>
            <w:rStyle w:val="Hyperlink"/>
            <w:color w:val="000000" w:themeColor="text1"/>
            <w:sz w:val="16"/>
            <w:u w:val="none"/>
          </w:rPr>
          <w:t>EDICAL</w:t>
        </w:r>
        <w:r w:rsidRPr="00BA68BA">
          <w:rPr>
            <w:rStyle w:val="Hyperlink"/>
            <w:color w:val="000000" w:themeColor="text1"/>
            <w:spacing w:val="-4"/>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ENTER</w:t>
        </w:r>
        <w:r w:rsidRPr="00BA68BA">
          <w:rPr>
            <w:rStyle w:val="Hyperlink"/>
            <w:color w:val="000000" w:themeColor="text1"/>
            <w:sz w:val="20"/>
            <w:u w:val="none"/>
          </w:rPr>
          <w:t>,</w:t>
        </w:r>
        <w:r w:rsidRPr="00BA68BA">
          <w:rPr>
            <w:rStyle w:val="Hyperlink"/>
            <w:color w:val="000000" w:themeColor="text1"/>
            <w:spacing w:val="-11"/>
            <w:sz w:val="20"/>
            <w:u w:val="none"/>
          </w:rPr>
          <w:t xml:space="preserve"> </w:t>
        </w:r>
        <w:r w:rsidRPr="00BA68BA">
          <w:rPr>
            <w:rStyle w:val="Hyperlink"/>
            <w:color w:val="000000" w:themeColor="text1"/>
            <w:sz w:val="16"/>
            <w:u w:val="none"/>
          </w:rPr>
          <w:t>INC</w:t>
        </w:r>
        <w:r w:rsidRPr="00BA68BA">
          <w:rPr>
            <w:rStyle w:val="Hyperlink"/>
            <w:color w:val="000000" w:themeColor="text1"/>
            <w:sz w:val="20"/>
            <w:u w:val="none"/>
          </w:rPr>
          <w:t>.,</w:t>
        </w:r>
        <w:r w:rsidRPr="00BA68BA">
          <w:rPr>
            <w:rStyle w:val="Hyperlink"/>
            <w:color w:val="000000" w:themeColor="text1"/>
            <w:spacing w:val="-11"/>
            <w:sz w:val="20"/>
            <w:u w:val="none"/>
          </w:rPr>
          <w:t xml:space="preserve"> </w:t>
        </w:r>
        <w:r w:rsidRPr="00BA68BA">
          <w:rPr>
            <w:rStyle w:val="Hyperlink"/>
            <w:color w:val="000000" w:themeColor="text1"/>
            <w:sz w:val="20"/>
            <w:u w:val="none"/>
          </w:rPr>
          <w:t>N</w:t>
        </w:r>
        <w:r w:rsidRPr="00BA68BA">
          <w:rPr>
            <w:rStyle w:val="Hyperlink"/>
            <w:color w:val="000000" w:themeColor="text1"/>
            <w:sz w:val="16"/>
            <w:u w:val="none"/>
          </w:rPr>
          <w:t>OTICE</w:t>
        </w:r>
        <w:r w:rsidRPr="00BA68BA">
          <w:rPr>
            <w:rStyle w:val="Hyperlink"/>
            <w:color w:val="000000" w:themeColor="text1"/>
            <w:spacing w:val="-1"/>
            <w:sz w:val="16"/>
            <w:u w:val="none"/>
          </w:rPr>
          <w:t xml:space="preserve"> </w:t>
        </w:r>
        <w:r w:rsidRPr="00BA68BA">
          <w:rPr>
            <w:rStyle w:val="Hyperlink"/>
            <w:color w:val="000000" w:themeColor="text1"/>
            <w:sz w:val="16"/>
            <w:u w:val="none"/>
          </w:rPr>
          <w:t>OF</w:t>
        </w:r>
        <w:r w:rsidRPr="00BA68BA">
          <w:rPr>
            <w:rStyle w:val="Hyperlink"/>
            <w:color w:val="000000" w:themeColor="text1"/>
            <w:spacing w:val="-4"/>
            <w:sz w:val="16"/>
            <w:u w:val="none"/>
          </w:rPr>
          <w:t xml:space="preserve"> </w:t>
        </w:r>
        <w:r w:rsidRPr="00BA68BA">
          <w:rPr>
            <w:rStyle w:val="Hyperlink"/>
            <w:color w:val="000000" w:themeColor="text1"/>
            <w:sz w:val="20"/>
            <w:u w:val="none"/>
          </w:rPr>
          <w:t>M</w:t>
        </w:r>
        <w:r w:rsidRPr="00BA68BA">
          <w:rPr>
            <w:rStyle w:val="Hyperlink"/>
            <w:color w:val="000000" w:themeColor="text1"/>
            <w:sz w:val="16"/>
            <w:u w:val="none"/>
          </w:rPr>
          <w:t>ATERIAL</w:t>
        </w:r>
        <w:r w:rsidRPr="00BA68BA">
          <w:rPr>
            <w:rStyle w:val="Hyperlink"/>
            <w:color w:val="000000" w:themeColor="text1"/>
            <w:spacing w:val="-1"/>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HANGE</w:t>
        </w:r>
        <w:r w:rsidRPr="00BA68BA">
          <w:rPr>
            <w:rStyle w:val="Hyperlink"/>
            <w:color w:val="000000" w:themeColor="text1"/>
            <w:spacing w:val="-3"/>
            <w:sz w:val="16"/>
            <w:u w:val="none"/>
          </w:rPr>
          <w:t xml:space="preserve"> </w:t>
        </w:r>
        <w:r w:rsidRPr="00BA68BA">
          <w:rPr>
            <w:rStyle w:val="Hyperlink"/>
            <w:color w:val="000000" w:themeColor="text1"/>
            <w:sz w:val="16"/>
            <w:u w:val="none"/>
          </w:rPr>
          <w:t>TO</w:t>
        </w:r>
        <w:r w:rsidRPr="00BA68BA">
          <w:rPr>
            <w:rStyle w:val="Hyperlink"/>
            <w:color w:val="000000" w:themeColor="text1"/>
            <w:spacing w:val="-5"/>
            <w:sz w:val="16"/>
            <w:u w:val="none"/>
          </w:rPr>
          <w:t xml:space="preserve"> </w:t>
        </w:r>
        <w:r w:rsidRPr="00BA68BA">
          <w:rPr>
            <w:rStyle w:val="Hyperlink"/>
            <w:color w:val="000000" w:themeColor="text1"/>
            <w:sz w:val="16"/>
            <w:u w:val="none"/>
          </w:rPr>
          <w:t>THE</w:t>
        </w:r>
        <w:r w:rsidRPr="00BA68BA">
          <w:rPr>
            <w:rStyle w:val="Hyperlink"/>
            <w:color w:val="000000" w:themeColor="text1"/>
            <w:spacing w:val="-3"/>
            <w:sz w:val="16"/>
            <w:u w:val="none"/>
          </w:rPr>
          <w:t xml:space="preserve"> </w:t>
        </w:r>
        <w:r w:rsidRPr="00BA68BA">
          <w:rPr>
            <w:rStyle w:val="Hyperlink"/>
            <w:color w:val="000000" w:themeColor="text1"/>
            <w:sz w:val="20"/>
            <w:u w:val="none"/>
          </w:rPr>
          <w:t>H</w:t>
        </w:r>
        <w:r w:rsidRPr="00BA68BA">
          <w:rPr>
            <w:rStyle w:val="Hyperlink"/>
            <w:color w:val="000000" w:themeColor="text1"/>
            <w:sz w:val="16"/>
            <w:u w:val="none"/>
          </w:rPr>
          <w:t>EALTH</w:t>
        </w:r>
        <w:r w:rsidRPr="00BA68BA">
          <w:rPr>
            <w:rStyle w:val="Hyperlink"/>
            <w:color w:val="000000" w:themeColor="text1"/>
            <w:spacing w:val="-2"/>
            <w:sz w:val="16"/>
            <w:u w:val="none"/>
          </w:rPr>
          <w:t xml:space="preserve"> </w:t>
        </w:r>
        <w:r w:rsidRPr="00BA68BA">
          <w:rPr>
            <w:rStyle w:val="Hyperlink"/>
            <w:color w:val="000000" w:themeColor="text1"/>
            <w:sz w:val="20"/>
            <w:u w:val="none"/>
          </w:rPr>
          <w:t>P</w:t>
        </w:r>
        <w:r w:rsidRPr="00BA68BA">
          <w:rPr>
            <w:rStyle w:val="Hyperlink"/>
            <w:color w:val="000000" w:themeColor="text1"/>
            <w:sz w:val="16"/>
            <w:u w:val="none"/>
          </w:rPr>
          <w:t>OLICY</w:t>
        </w:r>
        <w:r w:rsidRPr="00BA68BA">
          <w:rPr>
            <w:rStyle w:val="Hyperlink"/>
            <w:color w:val="000000" w:themeColor="text1"/>
            <w:spacing w:val="-2"/>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OMM</w:t>
        </w:r>
        <w:r w:rsidRPr="00BA68BA">
          <w:rPr>
            <w:rStyle w:val="Hyperlink"/>
            <w:color w:val="000000" w:themeColor="text1"/>
            <w:sz w:val="20"/>
            <w:u w:val="none"/>
          </w:rPr>
          <w:t>’</w:t>
        </w:r>
        <w:r w:rsidRPr="00BA68BA">
          <w:rPr>
            <w:rStyle w:val="Hyperlink"/>
            <w:color w:val="000000" w:themeColor="text1"/>
            <w:sz w:val="16"/>
            <w:u w:val="none"/>
          </w:rPr>
          <w:t>N</w:t>
        </w:r>
      </w:hyperlink>
      <w:r w:rsidRPr="00BA68BA">
        <w:rPr>
          <w:color w:val="000000" w:themeColor="text1"/>
          <w:spacing w:val="-2"/>
          <w:sz w:val="16"/>
        </w:rPr>
        <w:t xml:space="preserve"> </w:t>
      </w:r>
      <w:r w:rsidRPr="00BA68BA">
        <w:rPr>
          <w:color w:val="000000" w:themeColor="text1"/>
          <w:sz w:val="20"/>
        </w:rPr>
        <w:t>(</w:t>
      </w:r>
      <w:r>
        <w:rPr>
          <w:sz w:val="20"/>
        </w:rPr>
        <w:t>Oct.</w:t>
      </w:r>
      <w:r>
        <w:rPr>
          <w:spacing w:val="-2"/>
          <w:sz w:val="20"/>
        </w:rPr>
        <w:t xml:space="preserve"> </w:t>
      </w:r>
      <w:r>
        <w:rPr>
          <w:sz w:val="20"/>
        </w:rPr>
        <w:t>24,</w:t>
      </w:r>
      <w:r>
        <w:rPr>
          <w:spacing w:val="-2"/>
          <w:sz w:val="20"/>
        </w:rPr>
        <w:t xml:space="preserve"> </w:t>
      </w:r>
      <w:r>
        <w:rPr>
          <w:sz w:val="20"/>
        </w:rPr>
        <w:t>2023),</w:t>
      </w:r>
      <w:r>
        <w:rPr>
          <w:spacing w:val="-11"/>
          <w:sz w:val="20"/>
        </w:rPr>
        <w:t xml:space="preserve"> </w:t>
      </w:r>
      <w:r>
        <w:rPr>
          <w:sz w:val="20"/>
        </w:rPr>
        <w:t>A</w:t>
      </w:r>
      <w:r>
        <w:rPr>
          <w:sz w:val="16"/>
        </w:rPr>
        <w:t>S</w:t>
      </w:r>
    </w:p>
    <w:p w14:paraId="0CB30797" w14:textId="169EE318" w:rsidR="00412F1F" w:rsidRDefault="00412F1F" w:rsidP="00412F1F">
      <w:pPr>
        <w:spacing w:before="1"/>
        <w:ind w:left="960" w:right="891"/>
        <w:rPr>
          <w:sz w:val="20"/>
        </w:rPr>
      </w:pPr>
      <w:r>
        <w:rPr>
          <w:sz w:val="20"/>
        </w:rPr>
        <w:t>R</w:t>
      </w:r>
      <w:r>
        <w:rPr>
          <w:sz w:val="16"/>
        </w:rPr>
        <w:t xml:space="preserve">EQUIRED </w:t>
      </w:r>
      <w:r>
        <w:rPr>
          <w:sz w:val="20"/>
        </w:rPr>
        <w:t>U</w:t>
      </w:r>
      <w:r>
        <w:rPr>
          <w:sz w:val="16"/>
        </w:rPr>
        <w:t xml:space="preserve">NDER </w:t>
      </w:r>
      <w:r>
        <w:rPr>
          <w:sz w:val="20"/>
        </w:rPr>
        <w:t>M</w:t>
      </w:r>
      <w:r>
        <w:rPr>
          <w:sz w:val="16"/>
        </w:rPr>
        <w:t>ASS</w:t>
      </w:r>
      <w:r>
        <w:rPr>
          <w:sz w:val="20"/>
        </w:rPr>
        <w:t>.</w:t>
      </w:r>
      <w:r>
        <w:rPr>
          <w:spacing w:val="-2"/>
          <w:sz w:val="20"/>
        </w:rPr>
        <w:t xml:space="preserve"> </w:t>
      </w:r>
      <w:r>
        <w:rPr>
          <w:sz w:val="20"/>
        </w:rPr>
        <w:t>G</w:t>
      </w:r>
      <w:r>
        <w:rPr>
          <w:sz w:val="16"/>
        </w:rPr>
        <w:t>EN</w:t>
      </w:r>
      <w:r>
        <w:rPr>
          <w:sz w:val="20"/>
        </w:rPr>
        <w:t>.</w:t>
      </w:r>
      <w:r>
        <w:rPr>
          <w:spacing w:val="-2"/>
          <w:sz w:val="20"/>
        </w:rPr>
        <w:t xml:space="preserve"> </w:t>
      </w:r>
      <w:r>
        <w:rPr>
          <w:sz w:val="20"/>
        </w:rPr>
        <w:t>L</w:t>
      </w:r>
      <w:r>
        <w:rPr>
          <w:sz w:val="16"/>
        </w:rPr>
        <w:t xml:space="preserve">AWS </w:t>
      </w:r>
      <w:proofErr w:type="spellStart"/>
      <w:r>
        <w:rPr>
          <w:sz w:val="20"/>
        </w:rPr>
        <w:t>ch.</w:t>
      </w:r>
      <w:proofErr w:type="spellEnd"/>
      <w:r>
        <w:rPr>
          <w:sz w:val="20"/>
        </w:rPr>
        <w:t xml:space="preserve"> 6D § 13 (2012) [hereinafter BIDMC MCN], </w:t>
      </w:r>
      <w:r>
        <w:rPr>
          <w:i/>
          <w:sz w:val="20"/>
        </w:rPr>
        <w:t xml:space="preserve">available at </w:t>
      </w:r>
      <w:hyperlink r:id="rId9">
        <w:r>
          <w:rPr>
            <w:color w:val="486794"/>
            <w:sz w:val="20"/>
            <w:u w:val="single" w:color="486794"/>
          </w:rPr>
          <w:t>https://masshpc.gov/sites/default/files/20231024%20BIDMC-HMFP-DFCI%20MCN.pdf</w:t>
        </w:r>
        <w:r>
          <w:rPr>
            <w:sz w:val="20"/>
          </w:rPr>
          <w:t>;</w:t>
        </w:r>
      </w:hyperlink>
      <w:r>
        <w:rPr>
          <w:sz w:val="20"/>
        </w:rPr>
        <w:t xml:space="preserve"> </w:t>
      </w:r>
      <w:hyperlink r:id="rId10" w:history="1">
        <w:r w:rsidRPr="00BA68BA">
          <w:rPr>
            <w:rStyle w:val="Hyperlink"/>
            <w:color w:val="000000" w:themeColor="text1"/>
            <w:sz w:val="20"/>
            <w:u w:val="none"/>
          </w:rPr>
          <w:t>H</w:t>
        </w:r>
        <w:r w:rsidRPr="00BA68BA">
          <w:rPr>
            <w:rStyle w:val="Hyperlink"/>
            <w:color w:val="000000" w:themeColor="text1"/>
            <w:sz w:val="16"/>
            <w:u w:val="none"/>
          </w:rPr>
          <w:t xml:space="preserve">ARVARD </w:t>
        </w:r>
        <w:r w:rsidRPr="00BA68BA">
          <w:rPr>
            <w:rStyle w:val="Hyperlink"/>
            <w:color w:val="000000" w:themeColor="text1"/>
            <w:sz w:val="20"/>
            <w:u w:val="none"/>
          </w:rPr>
          <w:t>M</w:t>
        </w:r>
        <w:r w:rsidRPr="00BA68BA">
          <w:rPr>
            <w:rStyle w:val="Hyperlink"/>
            <w:color w:val="000000" w:themeColor="text1"/>
            <w:sz w:val="16"/>
            <w:u w:val="none"/>
          </w:rPr>
          <w:t>EDICAL</w:t>
        </w:r>
        <w:r w:rsidRPr="00BA68BA">
          <w:rPr>
            <w:rStyle w:val="Hyperlink"/>
            <w:color w:val="000000" w:themeColor="text1"/>
            <w:spacing w:val="40"/>
            <w:sz w:val="16"/>
            <w:u w:val="none"/>
          </w:rPr>
          <w:t xml:space="preserve"> </w:t>
        </w:r>
        <w:r w:rsidRPr="00BA68BA">
          <w:rPr>
            <w:rStyle w:val="Hyperlink"/>
            <w:color w:val="000000" w:themeColor="text1"/>
            <w:sz w:val="20"/>
            <w:u w:val="none"/>
          </w:rPr>
          <w:t>F</w:t>
        </w:r>
        <w:r w:rsidRPr="00BA68BA">
          <w:rPr>
            <w:rStyle w:val="Hyperlink"/>
            <w:color w:val="000000" w:themeColor="text1"/>
            <w:sz w:val="16"/>
            <w:u w:val="none"/>
          </w:rPr>
          <w:t>ACULTY</w:t>
        </w:r>
        <w:r w:rsidRPr="00BA68BA">
          <w:rPr>
            <w:rStyle w:val="Hyperlink"/>
            <w:color w:val="000000" w:themeColor="text1"/>
            <w:spacing w:val="-2"/>
            <w:sz w:val="16"/>
            <w:u w:val="none"/>
          </w:rPr>
          <w:t xml:space="preserve"> </w:t>
        </w:r>
        <w:r w:rsidRPr="00BA68BA">
          <w:rPr>
            <w:rStyle w:val="Hyperlink"/>
            <w:color w:val="000000" w:themeColor="text1"/>
            <w:sz w:val="20"/>
            <w:u w:val="none"/>
          </w:rPr>
          <w:t>P</w:t>
        </w:r>
        <w:r w:rsidRPr="00BA68BA">
          <w:rPr>
            <w:rStyle w:val="Hyperlink"/>
            <w:color w:val="000000" w:themeColor="text1"/>
            <w:sz w:val="16"/>
            <w:u w:val="none"/>
          </w:rPr>
          <w:t>HYSICIANS</w:t>
        </w:r>
        <w:r w:rsidRPr="00BA68BA">
          <w:rPr>
            <w:rStyle w:val="Hyperlink"/>
            <w:color w:val="000000" w:themeColor="text1"/>
            <w:spacing w:val="-4"/>
            <w:sz w:val="16"/>
            <w:u w:val="none"/>
          </w:rPr>
          <w:t xml:space="preserve"> </w:t>
        </w:r>
        <w:r w:rsidRPr="00BA68BA">
          <w:rPr>
            <w:rStyle w:val="Hyperlink"/>
            <w:color w:val="000000" w:themeColor="text1"/>
            <w:sz w:val="16"/>
            <w:u w:val="none"/>
          </w:rPr>
          <w:t>AT</w:t>
        </w:r>
        <w:r w:rsidRPr="00BA68BA">
          <w:rPr>
            <w:rStyle w:val="Hyperlink"/>
            <w:color w:val="000000" w:themeColor="text1"/>
            <w:spacing w:val="-1"/>
            <w:sz w:val="16"/>
            <w:u w:val="none"/>
          </w:rPr>
          <w:t xml:space="preserve"> </w:t>
        </w:r>
        <w:r w:rsidRPr="00BA68BA">
          <w:rPr>
            <w:rStyle w:val="Hyperlink"/>
            <w:color w:val="000000" w:themeColor="text1"/>
            <w:sz w:val="20"/>
            <w:u w:val="none"/>
          </w:rPr>
          <w:t>B</w:t>
        </w:r>
        <w:r w:rsidRPr="00BA68BA">
          <w:rPr>
            <w:rStyle w:val="Hyperlink"/>
            <w:color w:val="000000" w:themeColor="text1"/>
            <w:sz w:val="16"/>
            <w:u w:val="none"/>
          </w:rPr>
          <w:t>ETH</w:t>
        </w:r>
        <w:r w:rsidRPr="00BA68BA">
          <w:rPr>
            <w:rStyle w:val="Hyperlink"/>
            <w:color w:val="000000" w:themeColor="text1"/>
            <w:spacing w:val="-2"/>
            <w:sz w:val="16"/>
            <w:u w:val="none"/>
          </w:rPr>
          <w:t xml:space="preserve"> </w:t>
        </w:r>
        <w:r w:rsidRPr="00BA68BA">
          <w:rPr>
            <w:rStyle w:val="Hyperlink"/>
            <w:color w:val="000000" w:themeColor="text1"/>
            <w:sz w:val="20"/>
            <w:u w:val="none"/>
          </w:rPr>
          <w:t>I</w:t>
        </w:r>
        <w:r w:rsidRPr="00BA68BA">
          <w:rPr>
            <w:rStyle w:val="Hyperlink"/>
            <w:color w:val="000000" w:themeColor="text1"/>
            <w:sz w:val="16"/>
            <w:u w:val="none"/>
          </w:rPr>
          <w:t>SRAEL</w:t>
        </w:r>
        <w:r w:rsidRPr="00BA68BA">
          <w:rPr>
            <w:rStyle w:val="Hyperlink"/>
            <w:color w:val="000000" w:themeColor="text1"/>
            <w:spacing w:val="-4"/>
            <w:sz w:val="16"/>
            <w:u w:val="none"/>
          </w:rPr>
          <w:t xml:space="preserve"> </w:t>
        </w:r>
        <w:r w:rsidRPr="00BA68BA">
          <w:rPr>
            <w:rStyle w:val="Hyperlink"/>
            <w:color w:val="000000" w:themeColor="text1"/>
            <w:sz w:val="20"/>
            <w:u w:val="none"/>
          </w:rPr>
          <w:t>D</w:t>
        </w:r>
        <w:r w:rsidRPr="00BA68BA">
          <w:rPr>
            <w:rStyle w:val="Hyperlink"/>
            <w:color w:val="000000" w:themeColor="text1"/>
            <w:sz w:val="16"/>
            <w:u w:val="none"/>
          </w:rPr>
          <w:t>EACONESS</w:t>
        </w:r>
        <w:r w:rsidRPr="00BA68BA">
          <w:rPr>
            <w:rStyle w:val="Hyperlink"/>
            <w:color w:val="000000" w:themeColor="text1"/>
            <w:spacing w:val="-4"/>
            <w:sz w:val="16"/>
            <w:u w:val="none"/>
          </w:rPr>
          <w:t xml:space="preserve"> </w:t>
        </w:r>
        <w:r w:rsidRPr="00BA68BA">
          <w:rPr>
            <w:rStyle w:val="Hyperlink"/>
            <w:color w:val="000000" w:themeColor="text1"/>
            <w:sz w:val="20"/>
            <w:u w:val="none"/>
          </w:rPr>
          <w:t>M</w:t>
        </w:r>
        <w:r w:rsidRPr="00BA68BA">
          <w:rPr>
            <w:rStyle w:val="Hyperlink"/>
            <w:color w:val="000000" w:themeColor="text1"/>
            <w:sz w:val="16"/>
            <w:u w:val="none"/>
          </w:rPr>
          <w:t>EDICAL</w:t>
        </w:r>
        <w:r w:rsidRPr="00BA68BA">
          <w:rPr>
            <w:rStyle w:val="Hyperlink"/>
            <w:color w:val="000000" w:themeColor="text1"/>
            <w:spacing w:val="-1"/>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ENTER</w:t>
        </w:r>
        <w:r w:rsidRPr="00BA68BA">
          <w:rPr>
            <w:rStyle w:val="Hyperlink"/>
            <w:color w:val="000000" w:themeColor="text1"/>
            <w:sz w:val="20"/>
            <w:u w:val="none"/>
          </w:rPr>
          <w:t>,</w:t>
        </w:r>
        <w:r w:rsidRPr="00BA68BA">
          <w:rPr>
            <w:rStyle w:val="Hyperlink"/>
            <w:color w:val="000000" w:themeColor="text1"/>
            <w:spacing w:val="-11"/>
            <w:sz w:val="20"/>
            <w:u w:val="none"/>
          </w:rPr>
          <w:t xml:space="preserve"> </w:t>
        </w:r>
        <w:r w:rsidRPr="00BA68BA">
          <w:rPr>
            <w:rStyle w:val="Hyperlink"/>
            <w:color w:val="000000" w:themeColor="text1"/>
            <w:sz w:val="16"/>
            <w:u w:val="none"/>
          </w:rPr>
          <w:t>INC</w:t>
        </w:r>
        <w:r w:rsidRPr="00BA68BA">
          <w:rPr>
            <w:rStyle w:val="Hyperlink"/>
            <w:color w:val="000000" w:themeColor="text1"/>
            <w:sz w:val="20"/>
            <w:u w:val="none"/>
          </w:rPr>
          <w:t>.,</w:t>
        </w:r>
        <w:r w:rsidRPr="00BA68BA">
          <w:rPr>
            <w:rStyle w:val="Hyperlink"/>
            <w:color w:val="000000" w:themeColor="text1"/>
            <w:spacing w:val="-11"/>
            <w:sz w:val="20"/>
            <w:u w:val="none"/>
          </w:rPr>
          <w:t xml:space="preserve"> </w:t>
        </w:r>
        <w:r w:rsidRPr="00BA68BA">
          <w:rPr>
            <w:rStyle w:val="Hyperlink"/>
            <w:color w:val="000000" w:themeColor="text1"/>
            <w:sz w:val="20"/>
            <w:u w:val="none"/>
          </w:rPr>
          <w:t>N</w:t>
        </w:r>
        <w:r w:rsidRPr="00BA68BA">
          <w:rPr>
            <w:rStyle w:val="Hyperlink"/>
            <w:color w:val="000000" w:themeColor="text1"/>
            <w:sz w:val="16"/>
            <w:u w:val="none"/>
          </w:rPr>
          <w:t>OTICE</w:t>
        </w:r>
        <w:r w:rsidRPr="00BA68BA">
          <w:rPr>
            <w:rStyle w:val="Hyperlink"/>
            <w:color w:val="000000" w:themeColor="text1"/>
            <w:spacing w:val="-3"/>
            <w:sz w:val="16"/>
            <w:u w:val="none"/>
          </w:rPr>
          <w:t xml:space="preserve"> </w:t>
        </w:r>
        <w:r w:rsidRPr="00BA68BA">
          <w:rPr>
            <w:rStyle w:val="Hyperlink"/>
            <w:color w:val="000000" w:themeColor="text1"/>
            <w:sz w:val="16"/>
            <w:u w:val="none"/>
          </w:rPr>
          <w:t>OF</w:t>
        </w:r>
        <w:r w:rsidRPr="00BA68BA">
          <w:rPr>
            <w:rStyle w:val="Hyperlink"/>
            <w:color w:val="000000" w:themeColor="text1"/>
            <w:spacing w:val="-2"/>
            <w:sz w:val="16"/>
            <w:u w:val="none"/>
          </w:rPr>
          <w:t xml:space="preserve"> </w:t>
        </w:r>
        <w:r w:rsidRPr="00BA68BA">
          <w:rPr>
            <w:rStyle w:val="Hyperlink"/>
            <w:color w:val="000000" w:themeColor="text1"/>
            <w:sz w:val="20"/>
            <w:u w:val="none"/>
          </w:rPr>
          <w:t>M</w:t>
        </w:r>
        <w:r w:rsidRPr="00BA68BA">
          <w:rPr>
            <w:rStyle w:val="Hyperlink"/>
            <w:color w:val="000000" w:themeColor="text1"/>
            <w:sz w:val="16"/>
            <w:u w:val="none"/>
          </w:rPr>
          <w:t>ATERIAL</w:t>
        </w:r>
        <w:r w:rsidRPr="00BA68BA">
          <w:rPr>
            <w:rStyle w:val="Hyperlink"/>
            <w:color w:val="000000" w:themeColor="text1"/>
            <w:spacing w:val="-1"/>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HANGE</w:t>
        </w:r>
        <w:r w:rsidRPr="00BA68BA">
          <w:rPr>
            <w:rStyle w:val="Hyperlink"/>
            <w:color w:val="000000" w:themeColor="text1"/>
            <w:spacing w:val="-1"/>
            <w:sz w:val="16"/>
            <w:u w:val="none"/>
          </w:rPr>
          <w:t xml:space="preserve"> </w:t>
        </w:r>
        <w:r w:rsidRPr="00BA68BA">
          <w:rPr>
            <w:rStyle w:val="Hyperlink"/>
            <w:color w:val="000000" w:themeColor="text1"/>
            <w:sz w:val="16"/>
            <w:u w:val="none"/>
          </w:rPr>
          <w:t>TO</w:t>
        </w:r>
        <w:r w:rsidRPr="00BA68BA">
          <w:rPr>
            <w:rStyle w:val="Hyperlink"/>
            <w:color w:val="000000" w:themeColor="text1"/>
            <w:spacing w:val="-5"/>
            <w:sz w:val="16"/>
            <w:u w:val="none"/>
          </w:rPr>
          <w:t xml:space="preserve"> </w:t>
        </w:r>
        <w:r w:rsidRPr="00BA68BA">
          <w:rPr>
            <w:rStyle w:val="Hyperlink"/>
            <w:color w:val="000000" w:themeColor="text1"/>
            <w:sz w:val="16"/>
            <w:u w:val="none"/>
          </w:rPr>
          <w:t>THE</w:t>
        </w:r>
        <w:r w:rsidRPr="00BA68BA">
          <w:rPr>
            <w:rStyle w:val="Hyperlink"/>
            <w:color w:val="000000" w:themeColor="text1"/>
            <w:spacing w:val="-1"/>
            <w:sz w:val="16"/>
            <w:u w:val="none"/>
          </w:rPr>
          <w:t xml:space="preserve"> </w:t>
        </w:r>
        <w:r w:rsidRPr="00BA68BA">
          <w:rPr>
            <w:rStyle w:val="Hyperlink"/>
            <w:color w:val="000000" w:themeColor="text1"/>
            <w:sz w:val="20"/>
            <w:u w:val="none"/>
          </w:rPr>
          <w:t>H</w:t>
        </w:r>
        <w:r w:rsidRPr="00BA68BA">
          <w:rPr>
            <w:rStyle w:val="Hyperlink"/>
            <w:color w:val="000000" w:themeColor="text1"/>
            <w:sz w:val="16"/>
            <w:u w:val="none"/>
          </w:rPr>
          <w:t>EALTH</w:t>
        </w:r>
        <w:r w:rsidRPr="00BA68BA">
          <w:rPr>
            <w:rStyle w:val="Hyperlink"/>
            <w:color w:val="000000" w:themeColor="text1"/>
            <w:spacing w:val="-2"/>
            <w:sz w:val="16"/>
            <w:u w:val="none"/>
          </w:rPr>
          <w:t xml:space="preserve"> </w:t>
        </w:r>
        <w:r w:rsidRPr="00BA68BA">
          <w:rPr>
            <w:rStyle w:val="Hyperlink"/>
            <w:color w:val="000000" w:themeColor="text1"/>
            <w:sz w:val="20"/>
            <w:u w:val="none"/>
          </w:rPr>
          <w:t>P</w:t>
        </w:r>
        <w:r w:rsidRPr="00BA68BA">
          <w:rPr>
            <w:rStyle w:val="Hyperlink"/>
            <w:color w:val="000000" w:themeColor="text1"/>
            <w:sz w:val="16"/>
            <w:u w:val="none"/>
          </w:rPr>
          <w:t>OLICY</w:t>
        </w:r>
        <w:r w:rsidRPr="00BA68BA">
          <w:rPr>
            <w:rStyle w:val="Hyperlink"/>
            <w:color w:val="000000" w:themeColor="text1"/>
            <w:spacing w:val="40"/>
            <w:sz w:val="16"/>
            <w:u w:val="none"/>
          </w:rPr>
          <w:t xml:space="preserve"> </w:t>
        </w:r>
        <w:r w:rsidRPr="00BA68BA">
          <w:rPr>
            <w:rStyle w:val="Hyperlink"/>
            <w:color w:val="000000" w:themeColor="text1"/>
            <w:sz w:val="20"/>
            <w:u w:val="none"/>
          </w:rPr>
          <w:t>C</w:t>
        </w:r>
        <w:r w:rsidRPr="00BA68BA">
          <w:rPr>
            <w:rStyle w:val="Hyperlink"/>
            <w:color w:val="000000" w:themeColor="text1"/>
            <w:sz w:val="16"/>
            <w:u w:val="none"/>
          </w:rPr>
          <w:t>OMM</w:t>
        </w:r>
        <w:r w:rsidRPr="00BA68BA">
          <w:rPr>
            <w:rStyle w:val="Hyperlink"/>
            <w:color w:val="000000" w:themeColor="text1"/>
            <w:sz w:val="20"/>
            <w:u w:val="none"/>
          </w:rPr>
          <w:t>’</w:t>
        </w:r>
        <w:r w:rsidRPr="00BA68BA">
          <w:rPr>
            <w:rStyle w:val="Hyperlink"/>
            <w:color w:val="000000" w:themeColor="text1"/>
            <w:sz w:val="16"/>
            <w:u w:val="none"/>
          </w:rPr>
          <w:t>N</w:t>
        </w:r>
      </w:hyperlink>
      <w:r w:rsidRPr="00BA68BA">
        <w:rPr>
          <w:color w:val="000000" w:themeColor="text1"/>
          <w:sz w:val="16"/>
        </w:rPr>
        <w:t xml:space="preserve"> </w:t>
      </w:r>
      <w:r w:rsidRPr="00BA68BA">
        <w:rPr>
          <w:color w:val="000000" w:themeColor="text1"/>
          <w:sz w:val="20"/>
        </w:rPr>
        <w:t>(Oct</w:t>
      </w:r>
      <w:r>
        <w:rPr>
          <w:sz w:val="20"/>
        </w:rPr>
        <w:t>. 24, 2023),</w:t>
      </w:r>
      <w:r>
        <w:rPr>
          <w:spacing w:val="-3"/>
          <w:sz w:val="20"/>
        </w:rPr>
        <w:t xml:space="preserve"> </w:t>
      </w:r>
      <w:r>
        <w:rPr>
          <w:sz w:val="20"/>
        </w:rPr>
        <w:t>A</w:t>
      </w:r>
      <w:r>
        <w:rPr>
          <w:sz w:val="16"/>
        </w:rPr>
        <w:t xml:space="preserve">S </w:t>
      </w:r>
      <w:r>
        <w:rPr>
          <w:sz w:val="20"/>
        </w:rPr>
        <w:t>R</w:t>
      </w:r>
      <w:r>
        <w:rPr>
          <w:sz w:val="16"/>
        </w:rPr>
        <w:t xml:space="preserve">EQUIRED </w:t>
      </w:r>
      <w:r>
        <w:rPr>
          <w:sz w:val="20"/>
        </w:rPr>
        <w:t>U</w:t>
      </w:r>
      <w:r>
        <w:rPr>
          <w:sz w:val="16"/>
        </w:rPr>
        <w:t xml:space="preserve">NDER </w:t>
      </w:r>
      <w:r>
        <w:rPr>
          <w:sz w:val="20"/>
        </w:rPr>
        <w:t>M</w:t>
      </w:r>
      <w:r>
        <w:rPr>
          <w:sz w:val="16"/>
        </w:rPr>
        <w:t>ASS</w:t>
      </w:r>
      <w:r>
        <w:rPr>
          <w:sz w:val="20"/>
        </w:rPr>
        <w:t>.</w:t>
      </w:r>
      <w:r>
        <w:rPr>
          <w:spacing w:val="-3"/>
          <w:sz w:val="20"/>
        </w:rPr>
        <w:t xml:space="preserve"> </w:t>
      </w:r>
      <w:r>
        <w:rPr>
          <w:sz w:val="20"/>
        </w:rPr>
        <w:t>G</w:t>
      </w:r>
      <w:r>
        <w:rPr>
          <w:sz w:val="16"/>
        </w:rPr>
        <w:t>EN</w:t>
      </w:r>
      <w:r>
        <w:rPr>
          <w:sz w:val="20"/>
        </w:rPr>
        <w:t>.</w:t>
      </w:r>
      <w:r>
        <w:rPr>
          <w:spacing w:val="-3"/>
          <w:sz w:val="20"/>
        </w:rPr>
        <w:t xml:space="preserve"> </w:t>
      </w:r>
      <w:r>
        <w:rPr>
          <w:sz w:val="20"/>
        </w:rPr>
        <w:t>L</w:t>
      </w:r>
      <w:r>
        <w:rPr>
          <w:sz w:val="16"/>
        </w:rPr>
        <w:t xml:space="preserve">AWS </w:t>
      </w:r>
      <w:proofErr w:type="spellStart"/>
      <w:r>
        <w:rPr>
          <w:sz w:val="20"/>
        </w:rPr>
        <w:t>ch.</w:t>
      </w:r>
      <w:proofErr w:type="spellEnd"/>
      <w:r>
        <w:rPr>
          <w:sz w:val="20"/>
        </w:rPr>
        <w:t xml:space="preserve"> 6D § 13 (2012) [hereinafter HMFP MCN],</w:t>
      </w:r>
    </w:p>
    <w:p w14:paraId="1EE83481" w14:textId="7675CDB8" w:rsidR="00412F1F" w:rsidRPr="009A7080" w:rsidRDefault="00412F1F" w:rsidP="009A7080">
      <w:pPr>
        <w:ind w:left="960" w:right="702" w:hanging="1"/>
        <w:rPr>
          <w:sz w:val="20"/>
        </w:rPr>
      </w:pPr>
      <w:r>
        <w:rPr>
          <w:i/>
          <w:sz w:val="20"/>
        </w:rPr>
        <w:t xml:space="preserve">available at </w:t>
      </w:r>
      <w:hyperlink r:id="rId11">
        <w:r>
          <w:rPr>
            <w:color w:val="486794"/>
            <w:sz w:val="20"/>
            <w:u w:val="single" w:color="486794"/>
          </w:rPr>
          <w:t>https://masshpc.gov/sites/default/files/20231024%20HMFP-DFCI-BIDMC%20MCN.pdf</w:t>
        </w:r>
        <w:r>
          <w:rPr>
            <w:sz w:val="20"/>
          </w:rPr>
          <w:t>.</w:t>
        </w:r>
      </w:hyperlink>
      <w:r>
        <w:rPr>
          <w:sz w:val="20"/>
        </w:rPr>
        <w:t xml:space="preserve"> Beth Israel</w:t>
      </w:r>
      <w:r>
        <w:rPr>
          <w:spacing w:val="-3"/>
          <w:sz w:val="20"/>
        </w:rPr>
        <w:t xml:space="preserve"> </w:t>
      </w:r>
      <w:r>
        <w:rPr>
          <w:sz w:val="20"/>
        </w:rPr>
        <w:t>Lahey</w:t>
      </w:r>
      <w:r>
        <w:rPr>
          <w:spacing w:val="-2"/>
          <w:sz w:val="20"/>
        </w:rPr>
        <w:t xml:space="preserve"> </w:t>
      </w:r>
      <w:r>
        <w:rPr>
          <w:sz w:val="20"/>
        </w:rPr>
        <w:t>Health,</w:t>
      </w:r>
      <w:r>
        <w:rPr>
          <w:spacing w:val="-2"/>
          <w:sz w:val="20"/>
        </w:rPr>
        <w:t xml:space="preserve"> </w:t>
      </w:r>
      <w:r>
        <w:rPr>
          <w:sz w:val="20"/>
        </w:rPr>
        <w:t>the</w:t>
      </w:r>
      <w:r>
        <w:rPr>
          <w:spacing w:val="-4"/>
          <w:sz w:val="20"/>
        </w:rPr>
        <w:t xml:space="preserve"> </w:t>
      </w:r>
      <w:r>
        <w:rPr>
          <w:sz w:val="20"/>
        </w:rPr>
        <w:t>corporate</w:t>
      </w:r>
      <w:r>
        <w:rPr>
          <w:spacing w:val="-4"/>
          <w:sz w:val="20"/>
        </w:rPr>
        <w:t xml:space="preserve"> </w:t>
      </w:r>
      <w:r>
        <w:rPr>
          <w:sz w:val="20"/>
        </w:rPr>
        <w:t>parent</w:t>
      </w:r>
      <w:r>
        <w:rPr>
          <w:spacing w:val="-2"/>
          <w:sz w:val="20"/>
        </w:rPr>
        <w:t xml:space="preserve"> </w:t>
      </w:r>
      <w:r>
        <w:rPr>
          <w:sz w:val="20"/>
        </w:rPr>
        <w:t>of</w:t>
      </w:r>
      <w:r>
        <w:rPr>
          <w:spacing w:val="-3"/>
          <w:sz w:val="20"/>
        </w:rPr>
        <w:t xml:space="preserve"> </w:t>
      </w:r>
      <w:r>
        <w:rPr>
          <w:sz w:val="20"/>
        </w:rPr>
        <w:t>BIDMC,</w:t>
      </w:r>
      <w:r>
        <w:rPr>
          <w:spacing w:val="-2"/>
          <w:sz w:val="20"/>
        </w:rPr>
        <w:t xml:space="preserve"> </w:t>
      </w:r>
      <w:r>
        <w:rPr>
          <w:sz w:val="20"/>
        </w:rPr>
        <w:t>is</w:t>
      </w:r>
      <w:r>
        <w:rPr>
          <w:spacing w:val="-2"/>
          <w:sz w:val="20"/>
        </w:rPr>
        <w:t xml:space="preserve"> </w:t>
      </w:r>
      <w:r>
        <w:rPr>
          <w:sz w:val="20"/>
        </w:rPr>
        <w:t>also</w:t>
      </w:r>
      <w:r>
        <w:rPr>
          <w:spacing w:val="-3"/>
          <w:sz w:val="20"/>
        </w:rPr>
        <w:t xml:space="preserve"> </w:t>
      </w:r>
      <w:r>
        <w:rPr>
          <w:sz w:val="20"/>
        </w:rPr>
        <w:t>a</w:t>
      </w:r>
      <w:r>
        <w:rPr>
          <w:spacing w:val="-3"/>
          <w:sz w:val="20"/>
        </w:rPr>
        <w:t xml:space="preserve"> </w:t>
      </w:r>
      <w:r>
        <w:rPr>
          <w:sz w:val="20"/>
        </w:rPr>
        <w:t>signatory</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collaboration</w:t>
      </w:r>
      <w:r>
        <w:rPr>
          <w:spacing w:val="-3"/>
          <w:sz w:val="20"/>
        </w:rPr>
        <w:t xml:space="preserve"> </w:t>
      </w:r>
      <w:r>
        <w:rPr>
          <w:sz w:val="20"/>
        </w:rPr>
        <w:t>agreement</w:t>
      </w:r>
      <w:r>
        <w:rPr>
          <w:spacing w:val="-2"/>
          <w:sz w:val="20"/>
        </w:rPr>
        <w:t xml:space="preserve"> </w:t>
      </w:r>
      <w:r>
        <w:rPr>
          <w:sz w:val="20"/>
        </w:rPr>
        <w:t>among the parties.</w:t>
      </w:r>
    </w:p>
  </w:footnote>
  <w:footnote w:id="4">
    <w:p w14:paraId="7542EEC3" w14:textId="49105AED" w:rsidR="009A7080" w:rsidRDefault="009A7080" w:rsidP="00B04CEB">
      <w:pPr>
        <w:pStyle w:val="FootnoteText"/>
        <w:ind w:left="990"/>
      </w:pPr>
      <w:r>
        <w:rPr>
          <w:rStyle w:val="FootnoteReference"/>
        </w:rPr>
        <w:footnoteRef/>
      </w:r>
      <w:r>
        <w:t xml:space="preserve"> DFCI</w:t>
      </w:r>
      <w:r>
        <w:rPr>
          <w:spacing w:val="-3"/>
        </w:rPr>
        <w:t xml:space="preserve"> </w:t>
      </w:r>
      <w:r>
        <w:t>MCN,</w:t>
      </w:r>
      <w:r>
        <w:rPr>
          <w:spacing w:val="-3"/>
        </w:rPr>
        <w:t xml:space="preserve"> </w:t>
      </w:r>
      <w:r>
        <w:rPr>
          <w:i/>
        </w:rPr>
        <w:t>supra</w:t>
      </w:r>
      <w:r>
        <w:rPr>
          <w:i/>
          <w:spacing w:val="-5"/>
        </w:rPr>
        <w:t xml:space="preserve"> </w:t>
      </w:r>
      <w:r>
        <w:t>note</w:t>
      </w:r>
      <w:r>
        <w:rPr>
          <w:spacing w:val="-4"/>
        </w:rPr>
        <w:t xml:space="preserve"> </w:t>
      </w:r>
      <w:hyperlink w:anchor="_bookmark6" w:history="1">
        <w:r>
          <w:rPr>
            <w:spacing w:val="-5"/>
          </w:rPr>
          <w:t>3.</w:t>
        </w:r>
      </w:hyperlink>
    </w:p>
  </w:footnote>
  <w:footnote w:id="5">
    <w:p w14:paraId="07A92BC5" w14:textId="14182FD9" w:rsidR="009A7080" w:rsidRPr="009A7080" w:rsidRDefault="009A7080" w:rsidP="00B04CEB">
      <w:pPr>
        <w:pStyle w:val="FootnoteText"/>
        <w:ind w:left="990"/>
        <w:rPr>
          <w:spacing w:val="-5"/>
        </w:rPr>
      </w:pPr>
      <w:r>
        <w:rPr>
          <w:rStyle w:val="FootnoteReference"/>
        </w:rPr>
        <w:footnoteRef/>
      </w:r>
      <w:r>
        <w:t xml:space="preserve"> </w:t>
      </w:r>
      <w:r>
        <w:rPr>
          <w:i/>
          <w:spacing w:val="-5"/>
        </w:rPr>
        <w:t>Id</w:t>
      </w:r>
      <w:r>
        <w:rPr>
          <w:spacing w:val="-5"/>
        </w:rPr>
        <w:t>.</w:t>
      </w:r>
    </w:p>
  </w:footnote>
  <w:footnote w:id="6">
    <w:p w14:paraId="26008904" w14:textId="7CDB5960" w:rsidR="009A7080" w:rsidRDefault="009A7080" w:rsidP="00B04CEB">
      <w:pPr>
        <w:pStyle w:val="FootnoteText"/>
        <w:ind w:left="990"/>
      </w:pPr>
      <w:r>
        <w:rPr>
          <w:rStyle w:val="FootnoteReference"/>
        </w:rPr>
        <w:footnoteRef/>
      </w:r>
      <w:r>
        <w:t xml:space="preserve"> </w:t>
      </w:r>
      <w:r>
        <w:rPr>
          <w:i/>
          <w:spacing w:val="-5"/>
        </w:rPr>
        <w:t>Id</w:t>
      </w:r>
      <w:r>
        <w:rPr>
          <w:spacing w:val="-5"/>
        </w:rPr>
        <w:t>.</w:t>
      </w:r>
    </w:p>
  </w:footnote>
  <w:footnote w:id="7">
    <w:p w14:paraId="6A952B73" w14:textId="2739EB13" w:rsidR="009A7080" w:rsidRDefault="009A7080" w:rsidP="00257828">
      <w:pPr>
        <w:pStyle w:val="FootnoteText"/>
        <w:ind w:left="990"/>
      </w:pPr>
      <w:r>
        <w:rPr>
          <w:rStyle w:val="FootnoteReference"/>
        </w:rPr>
        <w:footnoteRef/>
      </w:r>
      <w:r>
        <w:t xml:space="preserve"> </w:t>
      </w:r>
      <w:r>
        <w:rPr>
          <w:i/>
          <w:spacing w:val="-5"/>
        </w:rPr>
        <w:t>Id</w:t>
      </w:r>
      <w:r>
        <w:rPr>
          <w:spacing w:val="-5"/>
        </w:rPr>
        <w:t>.</w:t>
      </w:r>
    </w:p>
  </w:footnote>
  <w:footnote w:id="8">
    <w:p w14:paraId="295C865D" w14:textId="7BB4DF3F" w:rsidR="00B04CEB" w:rsidRPr="00E85735" w:rsidRDefault="00B04CEB" w:rsidP="00257828">
      <w:pPr>
        <w:ind w:left="960" w:right="799"/>
        <w:rPr>
          <w:sz w:val="20"/>
        </w:rPr>
      </w:pPr>
      <w:r>
        <w:rPr>
          <w:rStyle w:val="FootnoteReference"/>
        </w:rPr>
        <w:footnoteRef/>
      </w:r>
      <w:r>
        <w:t xml:space="preserve"> </w:t>
      </w:r>
      <w:r>
        <w:rPr>
          <w:sz w:val="20"/>
        </w:rPr>
        <w:t>D</w:t>
      </w:r>
      <w:r>
        <w:rPr>
          <w:sz w:val="16"/>
        </w:rPr>
        <w:t>ANA</w:t>
      </w:r>
      <w:r>
        <w:rPr>
          <w:sz w:val="20"/>
        </w:rPr>
        <w:t>-F</w:t>
      </w:r>
      <w:r>
        <w:rPr>
          <w:sz w:val="16"/>
        </w:rPr>
        <w:t>ARBER</w:t>
      </w:r>
      <w:r>
        <w:rPr>
          <w:spacing w:val="-2"/>
          <w:sz w:val="16"/>
        </w:rPr>
        <w:t xml:space="preserve"> </w:t>
      </w:r>
      <w:r>
        <w:rPr>
          <w:sz w:val="20"/>
        </w:rPr>
        <w:t>C</w:t>
      </w:r>
      <w:r>
        <w:rPr>
          <w:sz w:val="16"/>
        </w:rPr>
        <w:t>ANCER</w:t>
      </w:r>
      <w:r>
        <w:rPr>
          <w:spacing w:val="-4"/>
          <w:sz w:val="16"/>
        </w:rPr>
        <w:t xml:space="preserve"> </w:t>
      </w:r>
      <w:r>
        <w:rPr>
          <w:sz w:val="20"/>
        </w:rPr>
        <w:t>I</w:t>
      </w:r>
      <w:r>
        <w:rPr>
          <w:sz w:val="16"/>
        </w:rPr>
        <w:t>NSTITUTE</w:t>
      </w:r>
      <w:r>
        <w:rPr>
          <w:sz w:val="20"/>
        </w:rPr>
        <w:t>,</w:t>
      </w:r>
      <w:r>
        <w:rPr>
          <w:spacing w:val="-11"/>
          <w:sz w:val="20"/>
        </w:rPr>
        <w:t xml:space="preserve"> </w:t>
      </w:r>
      <w:r>
        <w:rPr>
          <w:sz w:val="20"/>
        </w:rPr>
        <w:t>I</w:t>
      </w:r>
      <w:r>
        <w:rPr>
          <w:sz w:val="16"/>
        </w:rPr>
        <w:t>NC</w:t>
      </w:r>
      <w:r>
        <w:rPr>
          <w:sz w:val="20"/>
        </w:rPr>
        <w:t>.,</w:t>
      </w:r>
      <w:r>
        <w:rPr>
          <w:spacing w:val="-11"/>
          <w:sz w:val="20"/>
        </w:rPr>
        <w:t xml:space="preserve"> </w:t>
      </w:r>
      <w:hyperlink r:id="rId12" w:history="1">
        <w:r w:rsidRPr="00257828">
          <w:rPr>
            <w:rStyle w:val="Hyperlink"/>
            <w:color w:val="000000" w:themeColor="text1"/>
            <w:sz w:val="20"/>
            <w:u w:val="none"/>
          </w:rPr>
          <w:t>A</w:t>
        </w:r>
        <w:r w:rsidRPr="00257828">
          <w:rPr>
            <w:rStyle w:val="Hyperlink"/>
            <w:color w:val="000000" w:themeColor="text1"/>
            <w:sz w:val="16"/>
            <w:u w:val="none"/>
          </w:rPr>
          <w:t>PPLICATION</w:t>
        </w:r>
        <w:r w:rsidRPr="00257828">
          <w:rPr>
            <w:rStyle w:val="Hyperlink"/>
            <w:color w:val="000000" w:themeColor="text1"/>
            <w:spacing w:val="-4"/>
            <w:sz w:val="16"/>
            <w:u w:val="none"/>
          </w:rPr>
          <w:t xml:space="preserve"> </w:t>
        </w:r>
        <w:r w:rsidRPr="00257828">
          <w:rPr>
            <w:rStyle w:val="Hyperlink"/>
            <w:color w:val="000000" w:themeColor="text1"/>
            <w:sz w:val="16"/>
            <w:u w:val="none"/>
          </w:rPr>
          <w:t>FOR</w:t>
        </w:r>
        <w:r w:rsidRPr="00257828">
          <w:rPr>
            <w:rStyle w:val="Hyperlink"/>
            <w:color w:val="000000" w:themeColor="text1"/>
            <w:spacing w:val="-2"/>
            <w:sz w:val="16"/>
            <w:u w:val="none"/>
          </w:rPr>
          <w:t xml:space="preserve"> </w:t>
        </w:r>
        <w:r w:rsidRPr="00257828">
          <w:rPr>
            <w:rStyle w:val="Hyperlink"/>
            <w:color w:val="000000" w:themeColor="text1"/>
            <w:sz w:val="20"/>
            <w:u w:val="none"/>
          </w:rPr>
          <w:t>D</w:t>
        </w:r>
        <w:r w:rsidRPr="00257828">
          <w:rPr>
            <w:rStyle w:val="Hyperlink"/>
            <w:color w:val="000000" w:themeColor="text1"/>
            <w:sz w:val="16"/>
            <w:u w:val="none"/>
          </w:rPr>
          <w:t>ETERMINATION</w:t>
        </w:r>
        <w:r w:rsidRPr="00257828">
          <w:rPr>
            <w:rStyle w:val="Hyperlink"/>
            <w:color w:val="000000" w:themeColor="text1"/>
            <w:spacing w:val="-2"/>
            <w:sz w:val="16"/>
            <w:u w:val="none"/>
          </w:rPr>
          <w:t xml:space="preserve"> </w:t>
        </w:r>
        <w:r w:rsidRPr="00257828">
          <w:rPr>
            <w:rStyle w:val="Hyperlink"/>
            <w:color w:val="000000" w:themeColor="text1"/>
            <w:sz w:val="16"/>
            <w:u w:val="none"/>
          </w:rPr>
          <w:t>OF</w:t>
        </w:r>
        <w:r w:rsidRPr="00257828">
          <w:rPr>
            <w:rStyle w:val="Hyperlink"/>
            <w:color w:val="000000" w:themeColor="text1"/>
            <w:spacing w:val="-4"/>
            <w:sz w:val="16"/>
            <w:u w:val="none"/>
          </w:rPr>
          <w:t xml:space="preserve"> </w:t>
        </w:r>
        <w:r w:rsidRPr="00257828">
          <w:rPr>
            <w:rStyle w:val="Hyperlink"/>
            <w:color w:val="000000" w:themeColor="text1"/>
            <w:sz w:val="20"/>
            <w:u w:val="none"/>
          </w:rPr>
          <w:t>N</w:t>
        </w:r>
        <w:r w:rsidRPr="00257828">
          <w:rPr>
            <w:rStyle w:val="Hyperlink"/>
            <w:color w:val="000000" w:themeColor="text1"/>
            <w:sz w:val="16"/>
            <w:u w:val="none"/>
          </w:rPr>
          <w:t>EED</w:t>
        </w:r>
        <w:r w:rsidRPr="00257828">
          <w:rPr>
            <w:rStyle w:val="Hyperlink"/>
            <w:color w:val="000000" w:themeColor="text1"/>
            <w:spacing w:val="-5"/>
            <w:sz w:val="16"/>
            <w:u w:val="none"/>
          </w:rPr>
          <w:t xml:space="preserve"> </w:t>
        </w:r>
        <w:r w:rsidRPr="00257828">
          <w:rPr>
            <w:rStyle w:val="Hyperlink"/>
            <w:color w:val="000000" w:themeColor="text1"/>
            <w:sz w:val="16"/>
            <w:u w:val="none"/>
          </w:rPr>
          <w:t>FOR</w:t>
        </w:r>
        <w:r w:rsidRPr="00257828">
          <w:rPr>
            <w:rStyle w:val="Hyperlink"/>
            <w:color w:val="000000" w:themeColor="text1"/>
            <w:spacing w:val="-2"/>
            <w:sz w:val="16"/>
            <w:u w:val="none"/>
          </w:rPr>
          <w:t xml:space="preserve"> </w:t>
        </w:r>
        <w:r w:rsidRPr="00257828">
          <w:rPr>
            <w:rStyle w:val="Hyperlink"/>
            <w:color w:val="000000" w:themeColor="text1"/>
            <w:sz w:val="20"/>
            <w:u w:val="none"/>
          </w:rPr>
          <w:t>S</w:t>
        </w:r>
        <w:r w:rsidRPr="00257828">
          <w:rPr>
            <w:rStyle w:val="Hyperlink"/>
            <w:color w:val="000000" w:themeColor="text1"/>
            <w:sz w:val="16"/>
            <w:u w:val="none"/>
          </w:rPr>
          <w:t>UBSTANTIAL</w:t>
        </w:r>
        <w:r w:rsidRPr="00257828">
          <w:rPr>
            <w:rStyle w:val="Hyperlink"/>
            <w:color w:val="000000" w:themeColor="text1"/>
            <w:spacing w:val="-1"/>
            <w:sz w:val="16"/>
            <w:u w:val="none"/>
          </w:rPr>
          <w:t xml:space="preserve"> </w:t>
        </w:r>
        <w:r w:rsidRPr="00257828">
          <w:rPr>
            <w:rStyle w:val="Hyperlink"/>
            <w:color w:val="000000" w:themeColor="text1"/>
            <w:sz w:val="20"/>
            <w:u w:val="none"/>
          </w:rPr>
          <w:t>C</w:t>
        </w:r>
        <w:r w:rsidRPr="00257828">
          <w:rPr>
            <w:rStyle w:val="Hyperlink"/>
            <w:color w:val="000000" w:themeColor="text1"/>
            <w:sz w:val="16"/>
            <w:u w:val="none"/>
          </w:rPr>
          <w:t>APITAL</w:t>
        </w:r>
        <w:r w:rsidRPr="00257828">
          <w:rPr>
            <w:rStyle w:val="Hyperlink"/>
            <w:color w:val="000000" w:themeColor="text1"/>
            <w:spacing w:val="-4"/>
            <w:sz w:val="16"/>
            <w:u w:val="none"/>
          </w:rPr>
          <w:t xml:space="preserve"> </w:t>
        </w:r>
        <w:r w:rsidRPr="00257828">
          <w:rPr>
            <w:rStyle w:val="Hyperlink"/>
            <w:color w:val="000000" w:themeColor="text1"/>
            <w:sz w:val="20"/>
            <w:u w:val="none"/>
          </w:rPr>
          <w:t>E</w:t>
        </w:r>
        <w:r w:rsidRPr="00257828">
          <w:rPr>
            <w:rStyle w:val="Hyperlink"/>
            <w:color w:val="000000" w:themeColor="text1"/>
            <w:sz w:val="16"/>
            <w:u w:val="none"/>
          </w:rPr>
          <w:t>XPENDITURE</w:t>
        </w:r>
        <w:r w:rsidRPr="00257828">
          <w:rPr>
            <w:rStyle w:val="Hyperlink"/>
            <w:color w:val="000000" w:themeColor="text1"/>
            <w:spacing w:val="40"/>
            <w:sz w:val="16"/>
            <w:u w:val="none"/>
          </w:rPr>
          <w:t xml:space="preserve"> </w:t>
        </w:r>
        <w:r w:rsidRPr="00257828">
          <w:rPr>
            <w:rStyle w:val="Hyperlink"/>
            <w:color w:val="000000" w:themeColor="text1"/>
            <w:sz w:val="16"/>
            <w:u w:val="none"/>
          </w:rPr>
          <w:t xml:space="preserve">AND </w:t>
        </w:r>
        <w:r w:rsidRPr="00257828">
          <w:rPr>
            <w:rStyle w:val="Hyperlink"/>
            <w:color w:val="000000" w:themeColor="text1"/>
            <w:sz w:val="20"/>
            <w:u w:val="none"/>
          </w:rPr>
          <w:t>S</w:t>
        </w:r>
        <w:r w:rsidRPr="00257828">
          <w:rPr>
            <w:rStyle w:val="Hyperlink"/>
            <w:color w:val="000000" w:themeColor="text1"/>
            <w:sz w:val="16"/>
            <w:u w:val="none"/>
          </w:rPr>
          <w:t>UBSTANTIAL</w:t>
        </w:r>
        <w:r w:rsidRPr="00257828">
          <w:rPr>
            <w:rStyle w:val="Hyperlink"/>
            <w:color w:val="000000" w:themeColor="text1"/>
            <w:spacing w:val="-1"/>
            <w:sz w:val="16"/>
            <w:u w:val="none"/>
          </w:rPr>
          <w:t xml:space="preserve"> </w:t>
        </w:r>
        <w:r w:rsidRPr="00257828">
          <w:rPr>
            <w:rStyle w:val="Hyperlink"/>
            <w:color w:val="000000" w:themeColor="text1"/>
            <w:sz w:val="20"/>
            <w:u w:val="none"/>
          </w:rPr>
          <w:t>C</w:t>
        </w:r>
        <w:r w:rsidRPr="00257828">
          <w:rPr>
            <w:rStyle w:val="Hyperlink"/>
            <w:color w:val="000000" w:themeColor="text1"/>
            <w:sz w:val="16"/>
            <w:u w:val="none"/>
          </w:rPr>
          <w:t xml:space="preserve">HANGE IN </w:t>
        </w:r>
        <w:r w:rsidRPr="00257828">
          <w:rPr>
            <w:rStyle w:val="Hyperlink"/>
            <w:color w:val="000000" w:themeColor="text1"/>
            <w:sz w:val="20"/>
            <w:u w:val="none"/>
          </w:rPr>
          <w:t>S</w:t>
        </w:r>
        <w:r w:rsidRPr="00257828">
          <w:rPr>
            <w:rStyle w:val="Hyperlink"/>
            <w:color w:val="000000" w:themeColor="text1"/>
            <w:sz w:val="16"/>
            <w:u w:val="none"/>
          </w:rPr>
          <w:t>ERVICE</w:t>
        </w:r>
        <w:r w:rsidRPr="00257828">
          <w:rPr>
            <w:rStyle w:val="Hyperlink"/>
            <w:color w:val="000000" w:themeColor="text1"/>
            <w:sz w:val="20"/>
            <w:u w:val="none"/>
          </w:rPr>
          <w:t>, D</w:t>
        </w:r>
        <w:r w:rsidRPr="00257828">
          <w:rPr>
            <w:rStyle w:val="Hyperlink"/>
            <w:color w:val="000000" w:themeColor="text1"/>
            <w:sz w:val="16"/>
            <w:u w:val="none"/>
          </w:rPr>
          <w:t>O</w:t>
        </w:r>
        <w:r w:rsidRPr="00257828">
          <w:rPr>
            <w:rStyle w:val="Hyperlink"/>
            <w:color w:val="000000" w:themeColor="text1"/>
            <w:sz w:val="20"/>
            <w:u w:val="none"/>
          </w:rPr>
          <w:t>N</w:t>
        </w:r>
        <w:r w:rsidRPr="00257828">
          <w:rPr>
            <w:rStyle w:val="Hyperlink"/>
            <w:color w:val="000000" w:themeColor="text1"/>
            <w:spacing w:val="-7"/>
            <w:sz w:val="20"/>
            <w:u w:val="none"/>
          </w:rPr>
          <w:t xml:space="preserve"> </w:t>
        </w:r>
        <w:r w:rsidRPr="00257828">
          <w:rPr>
            <w:rStyle w:val="Hyperlink"/>
            <w:color w:val="000000" w:themeColor="text1"/>
            <w:sz w:val="20"/>
            <w:u w:val="none"/>
          </w:rPr>
          <w:t>A</w:t>
        </w:r>
        <w:r w:rsidRPr="00257828">
          <w:rPr>
            <w:rStyle w:val="Hyperlink"/>
            <w:color w:val="000000" w:themeColor="text1"/>
            <w:sz w:val="16"/>
            <w:u w:val="none"/>
          </w:rPr>
          <w:t xml:space="preserve">PPLICATION </w:t>
        </w:r>
        <w:r w:rsidRPr="00257828">
          <w:rPr>
            <w:rStyle w:val="Hyperlink"/>
            <w:color w:val="000000" w:themeColor="text1"/>
            <w:sz w:val="20"/>
            <w:u w:val="none"/>
          </w:rPr>
          <w:t>#:</w:t>
        </w:r>
        <w:r w:rsidRPr="00257828">
          <w:rPr>
            <w:rStyle w:val="Hyperlink"/>
            <w:color w:val="000000" w:themeColor="text1"/>
            <w:spacing w:val="-11"/>
            <w:sz w:val="20"/>
            <w:u w:val="none"/>
          </w:rPr>
          <w:t xml:space="preserve"> </w:t>
        </w:r>
        <w:r w:rsidRPr="00257828">
          <w:rPr>
            <w:rStyle w:val="Hyperlink"/>
            <w:color w:val="000000" w:themeColor="text1"/>
            <w:sz w:val="20"/>
            <w:u w:val="none"/>
          </w:rPr>
          <w:t>DFCI-23040915-HE</w:t>
        </w:r>
      </w:hyperlink>
      <w:r w:rsidRPr="00257828">
        <w:rPr>
          <w:color w:val="000000" w:themeColor="text1"/>
          <w:sz w:val="20"/>
        </w:rPr>
        <w:t xml:space="preserve"> at 23 </w:t>
      </w:r>
      <w:r>
        <w:rPr>
          <w:sz w:val="20"/>
        </w:rPr>
        <w:t>(Oct. 24, 2023) [hereinafter</w:t>
      </w:r>
      <w:r w:rsidR="00E85735">
        <w:t xml:space="preserve"> </w:t>
      </w:r>
      <w:r w:rsidR="00E85735">
        <w:rPr>
          <w:sz w:val="20"/>
        </w:rPr>
        <w:t>DFCI D</w:t>
      </w:r>
      <w:r w:rsidR="00E85735">
        <w:rPr>
          <w:sz w:val="16"/>
        </w:rPr>
        <w:t>O</w:t>
      </w:r>
      <w:r w:rsidR="00E85735">
        <w:rPr>
          <w:sz w:val="20"/>
        </w:rPr>
        <w:t>N N</w:t>
      </w:r>
      <w:r w:rsidR="00E85735">
        <w:rPr>
          <w:sz w:val="16"/>
        </w:rPr>
        <w:t>ARRATIVE</w:t>
      </w:r>
      <w:r w:rsidR="00E85735">
        <w:rPr>
          <w:sz w:val="20"/>
        </w:rPr>
        <w:t xml:space="preserve">], </w:t>
      </w:r>
      <w:r w:rsidR="00E85735">
        <w:rPr>
          <w:i/>
          <w:sz w:val="20"/>
        </w:rPr>
        <w:t xml:space="preserve">available at </w:t>
      </w:r>
      <w:hyperlink r:id="rId13">
        <w:r w:rsidR="00E85735">
          <w:rPr>
            <w:color w:val="486794"/>
            <w:sz w:val="20"/>
            <w:u w:val="single" w:color="486794"/>
          </w:rPr>
          <w:t>https://www.mass.gov/doc/project-description-narrative-pdf-dana-farber-</w:t>
        </w:r>
      </w:hyperlink>
      <w:r w:rsidR="00E85735">
        <w:rPr>
          <w:color w:val="486794"/>
          <w:sz w:val="20"/>
        </w:rPr>
        <w:t xml:space="preserve"> </w:t>
      </w:r>
      <w:hyperlink r:id="rId14">
        <w:r w:rsidR="00E85735">
          <w:rPr>
            <w:color w:val="486794"/>
            <w:sz w:val="20"/>
            <w:u w:val="single" w:color="486794"/>
          </w:rPr>
          <w:t>cancer-institute-inc-expenditure/download</w:t>
        </w:r>
        <w:r w:rsidR="00E85735">
          <w:rPr>
            <w:sz w:val="20"/>
          </w:rPr>
          <w:t>.</w:t>
        </w:r>
      </w:hyperlink>
      <w:r w:rsidR="00E85735">
        <w:rPr>
          <w:sz w:val="20"/>
        </w:rPr>
        <w:t xml:space="preserve"> </w:t>
      </w:r>
      <w:r w:rsidR="00E85735">
        <w:rPr>
          <w:i/>
          <w:sz w:val="20"/>
        </w:rPr>
        <w:t xml:space="preserve">See also </w:t>
      </w:r>
      <w:hyperlink r:id="rId15" w:history="1">
        <w:r w:rsidR="00E85735" w:rsidRPr="00257828">
          <w:rPr>
            <w:rStyle w:val="Hyperlink"/>
            <w:color w:val="000000" w:themeColor="text1"/>
            <w:sz w:val="20"/>
            <w:u w:val="none"/>
          </w:rPr>
          <w:t>M</w:t>
        </w:r>
        <w:r w:rsidR="00E85735" w:rsidRPr="00257828">
          <w:rPr>
            <w:rStyle w:val="Hyperlink"/>
            <w:color w:val="000000" w:themeColor="text1"/>
            <w:sz w:val="16"/>
            <w:u w:val="none"/>
          </w:rPr>
          <w:t>ASS</w:t>
        </w:r>
        <w:r w:rsidR="00E85735" w:rsidRPr="00257828">
          <w:rPr>
            <w:rStyle w:val="Hyperlink"/>
            <w:color w:val="000000" w:themeColor="text1"/>
            <w:sz w:val="20"/>
            <w:u w:val="none"/>
          </w:rPr>
          <w:t>.</w:t>
        </w:r>
        <w:r w:rsidR="00E85735" w:rsidRPr="00257828">
          <w:rPr>
            <w:rStyle w:val="Hyperlink"/>
            <w:color w:val="000000" w:themeColor="text1"/>
            <w:spacing w:val="-3"/>
            <w:sz w:val="20"/>
            <w:u w:val="none"/>
          </w:rPr>
          <w:t xml:space="preserve"> </w:t>
        </w:r>
        <w:r w:rsidR="00E85735" w:rsidRPr="00257828">
          <w:rPr>
            <w:rStyle w:val="Hyperlink"/>
            <w:color w:val="000000" w:themeColor="text1"/>
            <w:sz w:val="20"/>
            <w:u w:val="none"/>
          </w:rPr>
          <w:t>D</w:t>
        </w:r>
        <w:r w:rsidR="00E85735" w:rsidRPr="00257828">
          <w:rPr>
            <w:rStyle w:val="Hyperlink"/>
            <w:color w:val="000000" w:themeColor="text1"/>
            <w:sz w:val="16"/>
            <w:u w:val="none"/>
          </w:rPr>
          <w:t>EPT</w:t>
        </w:r>
        <w:r w:rsidR="00E85735" w:rsidRPr="00257828">
          <w:rPr>
            <w:rStyle w:val="Hyperlink"/>
            <w:color w:val="000000" w:themeColor="text1"/>
            <w:sz w:val="20"/>
            <w:u w:val="none"/>
          </w:rPr>
          <w:t>.</w:t>
        </w:r>
        <w:r w:rsidR="00E85735" w:rsidRPr="00257828">
          <w:rPr>
            <w:rStyle w:val="Hyperlink"/>
            <w:color w:val="000000" w:themeColor="text1"/>
            <w:spacing w:val="-3"/>
            <w:sz w:val="20"/>
            <w:u w:val="none"/>
          </w:rPr>
          <w:t xml:space="preserve"> </w:t>
        </w:r>
        <w:r w:rsidR="00E85735" w:rsidRPr="00257828">
          <w:rPr>
            <w:rStyle w:val="Hyperlink"/>
            <w:color w:val="000000" w:themeColor="text1"/>
            <w:sz w:val="20"/>
            <w:u w:val="none"/>
          </w:rPr>
          <w:t>P</w:t>
        </w:r>
        <w:r w:rsidR="00E85735" w:rsidRPr="00257828">
          <w:rPr>
            <w:rStyle w:val="Hyperlink"/>
            <w:color w:val="000000" w:themeColor="text1"/>
            <w:sz w:val="16"/>
            <w:u w:val="none"/>
          </w:rPr>
          <w:t xml:space="preserve">UBLIC </w:t>
        </w:r>
        <w:r w:rsidR="00E85735" w:rsidRPr="00257828">
          <w:rPr>
            <w:rStyle w:val="Hyperlink"/>
            <w:color w:val="000000" w:themeColor="text1"/>
            <w:sz w:val="20"/>
            <w:u w:val="none"/>
          </w:rPr>
          <w:t>H</w:t>
        </w:r>
        <w:r w:rsidR="00E85735" w:rsidRPr="00257828">
          <w:rPr>
            <w:rStyle w:val="Hyperlink"/>
            <w:color w:val="000000" w:themeColor="text1"/>
            <w:sz w:val="16"/>
            <w:u w:val="none"/>
          </w:rPr>
          <w:t>EALTH</w:t>
        </w:r>
        <w:r w:rsidR="00E85735" w:rsidRPr="00257828">
          <w:rPr>
            <w:rStyle w:val="Hyperlink"/>
            <w:color w:val="000000" w:themeColor="text1"/>
            <w:sz w:val="20"/>
            <w:u w:val="none"/>
          </w:rPr>
          <w:t xml:space="preserve">, </w:t>
        </w:r>
        <w:r w:rsidR="00E85735" w:rsidRPr="00257828">
          <w:rPr>
            <w:rStyle w:val="Hyperlink"/>
            <w:i/>
            <w:color w:val="000000" w:themeColor="text1"/>
            <w:sz w:val="20"/>
            <w:u w:val="none"/>
          </w:rPr>
          <w:t>Dana-Farber Cancer Institute, Inc.</w:t>
        </w:r>
        <w:r w:rsidR="00E85735" w:rsidRPr="00257828">
          <w:rPr>
            <w:rStyle w:val="Hyperlink"/>
            <w:i/>
            <w:color w:val="000000" w:themeColor="text1"/>
            <w:spacing w:val="-7"/>
            <w:sz w:val="20"/>
            <w:u w:val="none"/>
          </w:rPr>
          <w:t xml:space="preserve"> </w:t>
        </w:r>
        <w:r w:rsidR="00E85735" w:rsidRPr="00257828">
          <w:rPr>
            <w:rStyle w:val="Hyperlink"/>
            <w:i/>
            <w:color w:val="000000" w:themeColor="text1"/>
            <w:sz w:val="20"/>
            <w:u w:val="none"/>
          </w:rPr>
          <w:t>–</w:t>
        </w:r>
        <w:r w:rsidR="00E85735" w:rsidRPr="00257828">
          <w:rPr>
            <w:rStyle w:val="Hyperlink"/>
            <w:i/>
            <w:color w:val="000000" w:themeColor="text1"/>
            <w:spacing w:val="-7"/>
            <w:sz w:val="20"/>
            <w:u w:val="none"/>
          </w:rPr>
          <w:t xml:space="preserve"> </w:t>
        </w:r>
        <w:r w:rsidR="00E85735" w:rsidRPr="00257828">
          <w:rPr>
            <w:rStyle w:val="Hyperlink"/>
            <w:i/>
            <w:color w:val="000000" w:themeColor="text1"/>
            <w:sz w:val="20"/>
            <w:u w:val="none"/>
          </w:rPr>
          <w:t>Hospital/Clinic</w:t>
        </w:r>
        <w:r w:rsidR="00E85735" w:rsidRPr="00257828">
          <w:rPr>
            <w:rStyle w:val="Hyperlink"/>
            <w:i/>
            <w:color w:val="000000" w:themeColor="text1"/>
            <w:spacing w:val="-7"/>
            <w:sz w:val="20"/>
            <w:u w:val="none"/>
          </w:rPr>
          <w:t xml:space="preserve"> </w:t>
        </w:r>
        <w:r w:rsidR="00E85735" w:rsidRPr="00257828">
          <w:rPr>
            <w:rStyle w:val="Hyperlink"/>
            <w:i/>
            <w:color w:val="000000" w:themeColor="text1"/>
            <w:sz w:val="20"/>
            <w:u w:val="none"/>
          </w:rPr>
          <w:t>Substantial</w:t>
        </w:r>
        <w:r w:rsidR="00E85735" w:rsidRPr="00257828">
          <w:rPr>
            <w:rStyle w:val="Hyperlink"/>
            <w:i/>
            <w:color w:val="000000" w:themeColor="text1"/>
            <w:spacing w:val="-7"/>
            <w:sz w:val="20"/>
            <w:u w:val="none"/>
          </w:rPr>
          <w:t xml:space="preserve"> </w:t>
        </w:r>
        <w:r w:rsidR="00E85735" w:rsidRPr="00257828">
          <w:rPr>
            <w:rStyle w:val="Hyperlink"/>
            <w:i/>
            <w:color w:val="000000" w:themeColor="text1"/>
            <w:sz w:val="20"/>
            <w:u w:val="none"/>
          </w:rPr>
          <w:t>Capital</w:t>
        </w:r>
        <w:r w:rsidR="00E85735" w:rsidRPr="00257828">
          <w:rPr>
            <w:rStyle w:val="Hyperlink"/>
            <w:i/>
            <w:color w:val="000000" w:themeColor="text1"/>
            <w:spacing w:val="-7"/>
            <w:sz w:val="20"/>
            <w:u w:val="none"/>
          </w:rPr>
          <w:t xml:space="preserve"> </w:t>
        </w:r>
        <w:r w:rsidR="00E85735" w:rsidRPr="00257828">
          <w:rPr>
            <w:rStyle w:val="Hyperlink"/>
            <w:i/>
            <w:color w:val="000000" w:themeColor="text1"/>
            <w:sz w:val="20"/>
            <w:u w:val="none"/>
          </w:rPr>
          <w:t>Expenditure</w:t>
        </w:r>
      </w:hyperlink>
      <w:r w:rsidR="00E85735" w:rsidRPr="00257828">
        <w:rPr>
          <w:color w:val="000000" w:themeColor="text1"/>
          <w:sz w:val="20"/>
        </w:rPr>
        <w:t>,</w:t>
      </w:r>
      <w:r w:rsidR="00E85735" w:rsidRPr="00257828">
        <w:rPr>
          <w:color w:val="000000" w:themeColor="text1"/>
          <w:spacing w:val="-7"/>
          <w:sz w:val="20"/>
        </w:rPr>
        <w:t xml:space="preserve"> </w:t>
      </w:r>
      <w:hyperlink r:id="rId16">
        <w:r w:rsidR="00E85735">
          <w:rPr>
            <w:color w:val="486794"/>
            <w:sz w:val="20"/>
            <w:u w:val="single" w:color="486794"/>
          </w:rPr>
          <w:t>https://www.mass.gov/info-details/dana-farber-cancer-</w:t>
        </w:r>
      </w:hyperlink>
      <w:r w:rsidR="00E85735">
        <w:rPr>
          <w:color w:val="486794"/>
          <w:sz w:val="20"/>
        </w:rPr>
        <w:t xml:space="preserve"> </w:t>
      </w:r>
      <w:bookmarkStart w:id="14" w:name="_bookmark16"/>
      <w:bookmarkEnd w:id="14"/>
      <w:r w:rsidR="00E85735">
        <w:fldChar w:fldCharType="begin"/>
      </w:r>
      <w:r w:rsidR="00E85735">
        <w:instrText>HYPERLINK "https://www.mass.gov/info-details/dana-farber-cancer-institute-inc-hospitalclinic-substantial-capital-expenditure" \h</w:instrText>
      </w:r>
      <w:r w:rsidR="00E85735">
        <w:fldChar w:fldCharType="separate"/>
      </w:r>
      <w:r w:rsidR="00E85735">
        <w:rPr>
          <w:color w:val="486794"/>
          <w:sz w:val="20"/>
          <w:u w:val="single" w:color="486794"/>
        </w:rPr>
        <w:t>institute-</w:t>
      </w:r>
      <w:proofErr w:type="spellStart"/>
      <w:r w:rsidR="00E85735">
        <w:rPr>
          <w:color w:val="486794"/>
          <w:sz w:val="20"/>
          <w:u w:val="single" w:color="486794"/>
        </w:rPr>
        <w:t>inc</w:t>
      </w:r>
      <w:proofErr w:type="spellEnd"/>
      <w:r w:rsidR="00E85735">
        <w:rPr>
          <w:color w:val="486794"/>
          <w:sz w:val="20"/>
          <w:u w:val="single" w:color="486794"/>
        </w:rPr>
        <w:t>-</w:t>
      </w:r>
      <w:proofErr w:type="spellStart"/>
      <w:r w:rsidR="00E85735">
        <w:rPr>
          <w:color w:val="486794"/>
          <w:sz w:val="20"/>
          <w:u w:val="single" w:color="486794"/>
        </w:rPr>
        <w:t>hospitalclinic</w:t>
      </w:r>
      <w:proofErr w:type="spellEnd"/>
      <w:r w:rsidR="00E85735">
        <w:rPr>
          <w:color w:val="486794"/>
          <w:sz w:val="20"/>
          <w:u w:val="single" w:color="486794"/>
        </w:rPr>
        <w:t>-substantial-capital-expenditure</w:t>
      </w:r>
      <w:r w:rsidR="00E85735">
        <w:fldChar w:fldCharType="end"/>
      </w:r>
      <w:r w:rsidR="00E85735">
        <w:rPr>
          <w:color w:val="486794"/>
          <w:sz w:val="20"/>
        </w:rPr>
        <w:t xml:space="preserve"> </w:t>
      </w:r>
      <w:r w:rsidR="00E85735">
        <w:rPr>
          <w:sz w:val="20"/>
        </w:rPr>
        <w:t>(last visited February 27, 2025).</w:t>
      </w:r>
    </w:p>
  </w:footnote>
  <w:footnote w:id="9">
    <w:p w14:paraId="6F53BC87" w14:textId="4606C846" w:rsidR="008F2958" w:rsidRDefault="008F2958" w:rsidP="008F2958">
      <w:pPr>
        <w:pStyle w:val="FootnoteText"/>
        <w:ind w:left="720"/>
      </w:pPr>
      <w:r>
        <w:rPr>
          <w:rStyle w:val="FootnoteReference"/>
        </w:rPr>
        <w:footnoteRef/>
      </w:r>
      <w:r>
        <w:t xml:space="preserve"> </w:t>
      </w:r>
      <w:r>
        <w:rPr>
          <w:i/>
        </w:rPr>
        <w:t>Id</w:t>
      </w:r>
      <w:r>
        <w:t>. at</w:t>
      </w:r>
      <w:r>
        <w:rPr>
          <w:spacing w:val="-2"/>
        </w:rPr>
        <w:t xml:space="preserve"> </w:t>
      </w:r>
      <w:r>
        <w:rPr>
          <w:spacing w:val="-5"/>
        </w:rPr>
        <w:t>29.</w:t>
      </w:r>
    </w:p>
  </w:footnote>
  <w:footnote w:id="10">
    <w:p w14:paraId="5BB53035" w14:textId="1AB55C89" w:rsidR="00E451DF" w:rsidRDefault="00E451DF" w:rsidP="00E451DF">
      <w:pPr>
        <w:pStyle w:val="FootnoteText"/>
        <w:ind w:left="720"/>
      </w:pPr>
      <w:r>
        <w:rPr>
          <w:rStyle w:val="FootnoteReference"/>
        </w:rPr>
        <w:footnoteRef/>
      </w:r>
      <w:r>
        <w:t xml:space="preserve"> </w:t>
      </w:r>
      <w:r>
        <w:rPr>
          <w:i/>
          <w:spacing w:val="-5"/>
        </w:rPr>
        <w:t>Id</w:t>
      </w:r>
      <w:r>
        <w:rPr>
          <w:spacing w:val="-5"/>
        </w:rPr>
        <w:t>.</w:t>
      </w:r>
    </w:p>
  </w:footnote>
  <w:footnote w:id="11">
    <w:p w14:paraId="45B8ACA9" w14:textId="5DFA2F31" w:rsidR="00E451DF" w:rsidRDefault="00E451DF" w:rsidP="00E451DF">
      <w:pPr>
        <w:pStyle w:val="FootnoteText"/>
        <w:ind w:left="720"/>
      </w:pPr>
      <w:r>
        <w:rPr>
          <w:rStyle w:val="FootnoteReference"/>
        </w:rPr>
        <w:footnoteRef/>
      </w:r>
      <w:r>
        <w:t xml:space="preserve"> </w:t>
      </w:r>
      <w:r>
        <w:rPr>
          <w:i/>
        </w:rPr>
        <w:t>Id</w:t>
      </w:r>
      <w:r>
        <w:t>. at</w:t>
      </w:r>
      <w:r>
        <w:rPr>
          <w:spacing w:val="-3"/>
        </w:rPr>
        <w:t xml:space="preserve"> </w:t>
      </w:r>
      <w:r>
        <w:rPr>
          <w:spacing w:val="-5"/>
        </w:rPr>
        <w:t>30.</w:t>
      </w:r>
    </w:p>
  </w:footnote>
  <w:footnote w:id="12">
    <w:p w14:paraId="0A407ABD" w14:textId="6E261A5B" w:rsidR="00395C6B" w:rsidRDefault="00395C6B" w:rsidP="00395C6B">
      <w:pPr>
        <w:spacing w:line="226" w:lineRule="exact"/>
        <w:ind w:left="720"/>
        <w:rPr>
          <w:sz w:val="20"/>
        </w:rPr>
      </w:pPr>
      <w:r>
        <w:rPr>
          <w:rStyle w:val="FootnoteReference"/>
        </w:rPr>
        <w:footnoteRef/>
      </w:r>
      <w:r>
        <w:t xml:space="preserve"> </w:t>
      </w:r>
      <w:r>
        <w:rPr>
          <w:i/>
          <w:sz w:val="20"/>
        </w:rPr>
        <w:t>See</w:t>
      </w:r>
      <w:r>
        <w:rPr>
          <w:i/>
          <w:spacing w:val="-3"/>
          <w:sz w:val="20"/>
        </w:rPr>
        <w:t xml:space="preserve"> </w:t>
      </w:r>
      <w:hyperlink r:id="rId17" w:history="1">
        <w:r w:rsidRPr="004F337F">
          <w:rPr>
            <w:rStyle w:val="Hyperlink"/>
            <w:color w:val="000000" w:themeColor="text1"/>
            <w:sz w:val="20"/>
            <w:u w:val="none"/>
          </w:rPr>
          <w:t>M</w:t>
        </w:r>
        <w:r w:rsidRPr="004F337F">
          <w:rPr>
            <w:rStyle w:val="Hyperlink"/>
            <w:color w:val="000000" w:themeColor="text1"/>
            <w:sz w:val="16"/>
            <w:u w:val="none"/>
          </w:rPr>
          <w:t>ASS</w:t>
        </w:r>
        <w:r w:rsidRPr="004F337F">
          <w:rPr>
            <w:rStyle w:val="Hyperlink"/>
            <w:color w:val="000000" w:themeColor="text1"/>
            <w:sz w:val="20"/>
            <w:u w:val="none"/>
          </w:rPr>
          <w:t>.</w:t>
        </w:r>
        <w:r w:rsidRPr="004F337F">
          <w:rPr>
            <w:rStyle w:val="Hyperlink"/>
            <w:color w:val="000000" w:themeColor="text1"/>
            <w:spacing w:val="-12"/>
            <w:sz w:val="20"/>
            <w:u w:val="none"/>
          </w:rPr>
          <w:t xml:space="preserve"> </w:t>
        </w:r>
        <w:r w:rsidRPr="004F337F">
          <w:rPr>
            <w:rStyle w:val="Hyperlink"/>
            <w:color w:val="000000" w:themeColor="text1"/>
            <w:sz w:val="20"/>
            <w:u w:val="none"/>
          </w:rPr>
          <w:t>H</w:t>
        </w:r>
        <w:r w:rsidRPr="004F337F">
          <w:rPr>
            <w:rStyle w:val="Hyperlink"/>
            <w:color w:val="000000" w:themeColor="text1"/>
            <w:sz w:val="16"/>
            <w:u w:val="none"/>
          </w:rPr>
          <w:t>EALTH</w:t>
        </w:r>
        <w:r w:rsidRPr="004F337F">
          <w:rPr>
            <w:rStyle w:val="Hyperlink"/>
            <w:color w:val="000000" w:themeColor="text1"/>
            <w:spacing w:val="-4"/>
            <w:sz w:val="16"/>
            <w:u w:val="none"/>
          </w:rPr>
          <w:t xml:space="preserve"> </w:t>
        </w:r>
        <w:r w:rsidRPr="004F337F">
          <w:rPr>
            <w:rStyle w:val="Hyperlink"/>
            <w:color w:val="000000" w:themeColor="text1"/>
            <w:sz w:val="20"/>
            <w:u w:val="none"/>
          </w:rPr>
          <w:t>P</w:t>
        </w:r>
        <w:r w:rsidRPr="004F337F">
          <w:rPr>
            <w:rStyle w:val="Hyperlink"/>
            <w:color w:val="000000" w:themeColor="text1"/>
            <w:sz w:val="16"/>
            <w:u w:val="none"/>
          </w:rPr>
          <w:t>OLICY</w:t>
        </w:r>
        <w:r w:rsidRPr="004F337F">
          <w:rPr>
            <w:rStyle w:val="Hyperlink"/>
            <w:color w:val="000000" w:themeColor="text1"/>
            <w:spacing w:val="-6"/>
            <w:sz w:val="16"/>
            <w:u w:val="none"/>
          </w:rPr>
          <w:t xml:space="preserve"> </w:t>
        </w:r>
        <w:r w:rsidRPr="004F337F">
          <w:rPr>
            <w:rStyle w:val="Hyperlink"/>
            <w:color w:val="000000" w:themeColor="text1"/>
            <w:sz w:val="20"/>
            <w:u w:val="none"/>
          </w:rPr>
          <w:t>C</w:t>
        </w:r>
        <w:r w:rsidRPr="004F337F">
          <w:rPr>
            <w:rStyle w:val="Hyperlink"/>
            <w:color w:val="000000" w:themeColor="text1"/>
            <w:sz w:val="16"/>
            <w:u w:val="none"/>
          </w:rPr>
          <w:t>OMM</w:t>
        </w:r>
        <w:r w:rsidRPr="004F337F">
          <w:rPr>
            <w:rStyle w:val="Hyperlink"/>
            <w:color w:val="000000" w:themeColor="text1"/>
            <w:sz w:val="20"/>
            <w:u w:val="none"/>
          </w:rPr>
          <w:t>’</w:t>
        </w:r>
        <w:r w:rsidRPr="004F337F">
          <w:rPr>
            <w:rStyle w:val="Hyperlink"/>
            <w:color w:val="000000" w:themeColor="text1"/>
            <w:sz w:val="16"/>
            <w:u w:val="none"/>
          </w:rPr>
          <w:t>N</w:t>
        </w:r>
        <w:r w:rsidRPr="004F337F">
          <w:rPr>
            <w:rStyle w:val="Hyperlink"/>
            <w:color w:val="000000" w:themeColor="text1"/>
            <w:sz w:val="20"/>
            <w:u w:val="none"/>
          </w:rPr>
          <w:t>,</w:t>
        </w:r>
        <w:r w:rsidRPr="004F337F">
          <w:rPr>
            <w:rStyle w:val="Hyperlink"/>
            <w:color w:val="000000" w:themeColor="text1"/>
            <w:spacing w:val="-13"/>
            <w:sz w:val="20"/>
            <w:u w:val="none"/>
          </w:rPr>
          <w:t xml:space="preserve"> </w:t>
        </w:r>
        <w:r w:rsidRPr="004F337F">
          <w:rPr>
            <w:rStyle w:val="Hyperlink"/>
            <w:color w:val="000000" w:themeColor="text1"/>
            <w:sz w:val="20"/>
            <w:u w:val="none"/>
          </w:rPr>
          <w:t>M</w:t>
        </w:r>
        <w:r w:rsidRPr="004F337F">
          <w:rPr>
            <w:rStyle w:val="Hyperlink"/>
            <w:color w:val="000000" w:themeColor="text1"/>
            <w:sz w:val="16"/>
            <w:u w:val="none"/>
          </w:rPr>
          <w:t>INUTES</w:t>
        </w:r>
        <w:r w:rsidRPr="004F337F">
          <w:rPr>
            <w:rStyle w:val="Hyperlink"/>
            <w:color w:val="000000" w:themeColor="text1"/>
            <w:spacing w:val="-4"/>
            <w:sz w:val="16"/>
            <w:u w:val="none"/>
          </w:rPr>
          <w:t xml:space="preserve"> </w:t>
        </w:r>
        <w:r w:rsidRPr="004F337F">
          <w:rPr>
            <w:rStyle w:val="Hyperlink"/>
            <w:color w:val="000000" w:themeColor="text1"/>
            <w:sz w:val="16"/>
            <w:u w:val="none"/>
          </w:rPr>
          <w:t>OF</w:t>
        </w:r>
        <w:r w:rsidRPr="004F337F">
          <w:rPr>
            <w:rStyle w:val="Hyperlink"/>
            <w:color w:val="000000" w:themeColor="text1"/>
            <w:spacing w:val="-5"/>
            <w:sz w:val="16"/>
            <w:u w:val="none"/>
          </w:rPr>
          <w:t xml:space="preserve"> </w:t>
        </w:r>
        <w:r w:rsidRPr="004F337F">
          <w:rPr>
            <w:rStyle w:val="Hyperlink"/>
            <w:color w:val="000000" w:themeColor="text1"/>
            <w:sz w:val="16"/>
            <w:u w:val="none"/>
          </w:rPr>
          <w:t>THE</w:t>
        </w:r>
        <w:r w:rsidRPr="004F337F">
          <w:rPr>
            <w:rStyle w:val="Hyperlink"/>
            <w:color w:val="000000" w:themeColor="text1"/>
            <w:spacing w:val="-3"/>
            <w:sz w:val="16"/>
            <w:u w:val="none"/>
          </w:rPr>
          <w:t xml:space="preserve"> </w:t>
        </w:r>
        <w:r w:rsidRPr="004F337F">
          <w:rPr>
            <w:rStyle w:val="Hyperlink"/>
            <w:color w:val="000000" w:themeColor="text1"/>
            <w:sz w:val="20"/>
            <w:u w:val="none"/>
          </w:rPr>
          <w:t>H</w:t>
        </w:r>
        <w:r w:rsidRPr="004F337F">
          <w:rPr>
            <w:rStyle w:val="Hyperlink"/>
            <w:color w:val="000000" w:themeColor="text1"/>
            <w:sz w:val="16"/>
            <w:u w:val="none"/>
          </w:rPr>
          <w:t>EALTH</w:t>
        </w:r>
        <w:r w:rsidRPr="004F337F">
          <w:rPr>
            <w:rStyle w:val="Hyperlink"/>
            <w:color w:val="000000" w:themeColor="text1"/>
            <w:spacing w:val="-6"/>
            <w:sz w:val="16"/>
            <w:u w:val="none"/>
          </w:rPr>
          <w:t xml:space="preserve"> </w:t>
        </w:r>
        <w:r w:rsidRPr="004F337F">
          <w:rPr>
            <w:rStyle w:val="Hyperlink"/>
            <w:color w:val="000000" w:themeColor="text1"/>
            <w:sz w:val="20"/>
            <w:u w:val="none"/>
          </w:rPr>
          <w:t>P</w:t>
        </w:r>
        <w:r w:rsidRPr="004F337F">
          <w:rPr>
            <w:rStyle w:val="Hyperlink"/>
            <w:color w:val="000000" w:themeColor="text1"/>
            <w:sz w:val="16"/>
            <w:u w:val="none"/>
          </w:rPr>
          <w:t>OLICY</w:t>
        </w:r>
        <w:r w:rsidRPr="004F337F">
          <w:rPr>
            <w:rStyle w:val="Hyperlink"/>
            <w:color w:val="000000" w:themeColor="text1"/>
            <w:spacing w:val="-4"/>
            <w:sz w:val="16"/>
            <w:u w:val="none"/>
          </w:rPr>
          <w:t xml:space="preserve"> </w:t>
        </w:r>
        <w:r w:rsidRPr="004F337F">
          <w:rPr>
            <w:rStyle w:val="Hyperlink"/>
            <w:color w:val="000000" w:themeColor="text1"/>
            <w:sz w:val="20"/>
            <w:u w:val="none"/>
          </w:rPr>
          <w:t>C</w:t>
        </w:r>
        <w:r w:rsidRPr="004F337F">
          <w:rPr>
            <w:rStyle w:val="Hyperlink"/>
            <w:color w:val="000000" w:themeColor="text1"/>
            <w:sz w:val="16"/>
            <w:u w:val="none"/>
          </w:rPr>
          <w:t>OMM</w:t>
        </w:r>
        <w:r w:rsidRPr="004F337F">
          <w:rPr>
            <w:rStyle w:val="Hyperlink"/>
            <w:color w:val="000000" w:themeColor="text1"/>
            <w:sz w:val="20"/>
            <w:u w:val="none"/>
          </w:rPr>
          <w:t>’</w:t>
        </w:r>
        <w:r w:rsidRPr="004F337F">
          <w:rPr>
            <w:rStyle w:val="Hyperlink"/>
            <w:color w:val="000000" w:themeColor="text1"/>
            <w:sz w:val="16"/>
            <w:u w:val="none"/>
          </w:rPr>
          <w:t>N</w:t>
        </w:r>
      </w:hyperlink>
      <w:r w:rsidRPr="004F337F">
        <w:rPr>
          <w:color w:val="000000" w:themeColor="text1"/>
          <w:spacing w:val="2"/>
          <w:sz w:val="16"/>
        </w:rPr>
        <w:t xml:space="preserve"> </w:t>
      </w:r>
      <w:r w:rsidRPr="004F337F">
        <w:rPr>
          <w:color w:val="000000" w:themeColor="text1"/>
          <w:sz w:val="20"/>
        </w:rPr>
        <w:t>(Jan.</w:t>
      </w:r>
      <w:r w:rsidRPr="004F337F">
        <w:rPr>
          <w:color w:val="000000" w:themeColor="text1"/>
          <w:spacing w:val="-4"/>
          <w:sz w:val="20"/>
        </w:rPr>
        <w:t xml:space="preserve"> </w:t>
      </w:r>
      <w:r w:rsidRPr="004F337F">
        <w:rPr>
          <w:color w:val="000000" w:themeColor="text1"/>
          <w:sz w:val="20"/>
        </w:rPr>
        <w:t>25</w:t>
      </w:r>
      <w:r>
        <w:rPr>
          <w:sz w:val="20"/>
        </w:rPr>
        <w:t>,</w:t>
      </w:r>
      <w:r>
        <w:rPr>
          <w:spacing w:val="-4"/>
          <w:sz w:val="20"/>
        </w:rPr>
        <w:t xml:space="preserve"> </w:t>
      </w:r>
      <w:r>
        <w:rPr>
          <w:sz w:val="20"/>
        </w:rPr>
        <w:t>2024)</w:t>
      </w:r>
      <w:r>
        <w:rPr>
          <w:spacing w:val="-6"/>
          <w:sz w:val="20"/>
        </w:rPr>
        <w:t xml:space="preserve"> </w:t>
      </w:r>
      <w:r>
        <w:rPr>
          <w:sz w:val="20"/>
        </w:rPr>
        <w:t>(voting</w:t>
      </w:r>
      <w:r>
        <w:rPr>
          <w:spacing w:val="-5"/>
          <w:sz w:val="20"/>
        </w:rPr>
        <w:t xml:space="preserve"> </w:t>
      </w:r>
      <w:r>
        <w:rPr>
          <w:sz w:val="20"/>
        </w:rPr>
        <w:t>to</w:t>
      </w:r>
      <w:r>
        <w:rPr>
          <w:spacing w:val="-5"/>
          <w:sz w:val="20"/>
        </w:rPr>
        <w:t xml:space="preserve"> </w:t>
      </w:r>
      <w:r>
        <w:rPr>
          <w:sz w:val="20"/>
        </w:rPr>
        <w:t>initiate</w:t>
      </w:r>
      <w:r>
        <w:rPr>
          <w:spacing w:val="-6"/>
          <w:sz w:val="20"/>
        </w:rPr>
        <w:t xml:space="preserve"> </w:t>
      </w:r>
      <w:r>
        <w:rPr>
          <w:spacing w:val="-5"/>
          <w:sz w:val="20"/>
        </w:rPr>
        <w:t>the</w:t>
      </w:r>
    </w:p>
    <w:p w14:paraId="06BA0E71" w14:textId="3D681520" w:rsidR="00395C6B" w:rsidRPr="007A7AE9" w:rsidRDefault="00395C6B" w:rsidP="007A7AE9">
      <w:pPr>
        <w:spacing w:before="1"/>
        <w:ind w:left="720" w:right="727"/>
        <w:rPr>
          <w:sz w:val="20"/>
        </w:rPr>
      </w:pPr>
      <w:r>
        <w:rPr>
          <w:sz w:val="20"/>
        </w:rPr>
        <w:t xml:space="preserve">cost and market impact review of the DFCI-BIDMC-HMFP transaction), </w:t>
      </w:r>
      <w:r>
        <w:rPr>
          <w:i/>
          <w:sz w:val="20"/>
        </w:rPr>
        <w:t xml:space="preserve">available at </w:t>
      </w:r>
      <w:hyperlink r:id="rId18">
        <w:r>
          <w:rPr>
            <w:color w:val="486794"/>
            <w:spacing w:val="-2"/>
            <w:sz w:val="20"/>
            <w:u w:val="single" w:color="486794"/>
          </w:rPr>
          <w:t>https://masshpc.gov/sites/default/files/2024-</w:t>
        </w:r>
      </w:hyperlink>
      <w:r>
        <w:rPr>
          <w:color w:val="486794"/>
          <w:spacing w:val="-2"/>
          <w:sz w:val="20"/>
        </w:rPr>
        <w:t xml:space="preserve"> </w:t>
      </w:r>
      <w:hyperlink r:id="rId19">
        <w:r>
          <w:rPr>
            <w:color w:val="486794"/>
            <w:sz w:val="20"/>
            <w:u w:val="single" w:color="486794"/>
          </w:rPr>
          <w:t>07/Minutes%20from%20the%20January%2025%202024%20Board%20Meeting.pdf</w:t>
        </w:r>
      </w:hyperlink>
      <w:r>
        <w:rPr>
          <w:color w:val="486794"/>
          <w:spacing w:val="-9"/>
          <w:sz w:val="20"/>
        </w:rPr>
        <w:t xml:space="preserve"> </w:t>
      </w:r>
      <w:r>
        <w:rPr>
          <w:sz w:val="20"/>
        </w:rPr>
        <w:t>(last</w:t>
      </w:r>
      <w:r>
        <w:rPr>
          <w:spacing w:val="-10"/>
          <w:sz w:val="20"/>
        </w:rPr>
        <w:t xml:space="preserve"> </w:t>
      </w:r>
      <w:r>
        <w:rPr>
          <w:sz w:val="20"/>
        </w:rPr>
        <w:t>visited</w:t>
      </w:r>
      <w:r>
        <w:rPr>
          <w:spacing w:val="-10"/>
          <w:sz w:val="20"/>
        </w:rPr>
        <w:t xml:space="preserve"> </w:t>
      </w:r>
      <w:r>
        <w:rPr>
          <w:sz w:val="20"/>
        </w:rPr>
        <w:t>February</w:t>
      </w:r>
      <w:r>
        <w:rPr>
          <w:spacing w:val="-12"/>
          <w:sz w:val="20"/>
        </w:rPr>
        <w:t xml:space="preserve"> </w:t>
      </w:r>
      <w:r>
        <w:rPr>
          <w:sz w:val="20"/>
        </w:rPr>
        <w:t xml:space="preserve">27, </w:t>
      </w:r>
      <w:r>
        <w:rPr>
          <w:spacing w:val="-2"/>
          <w:sz w:val="20"/>
        </w:rPr>
        <w:t>2025).</w:t>
      </w:r>
    </w:p>
  </w:footnote>
  <w:footnote w:id="13">
    <w:p w14:paraId="4EFE8232" w14:textId="34E21BFA" w:rsidR="007A7AE9" w:rsidRDefault="007A7AE9" w:rsidP="007A7AE9">
      <w:pPr>
        <w:pStyle w:val="FootnoteText"/>
        <w:ind w:left="720" w:right="1030"/>
      </w:pPr>
      <w:r>
        <w:rPr>
          <w:rStyle w:val="FootnoteReference"/>
        </w:rPr>
        <w:footnoteRef/>
      </w:r>
      <w:r>
        <w:t xml:space="preserve"> </w:t>
      </w:r>
      <w:hyperlink r:id="rId20" w:history="1">
        <w:r w:rsidRPr="004F337F">
          <w:rPr>
            <w:rStyle w:val="Hyperlink"/>
            <w:color w:val="000000" w:themeColor="text1"/>
            <w:u w:val="none"/>
          </w:rPr>
          <w:t>DFCI</w:t>
        </w:r>
        <w:r w:rsidRPr="004F337F">
          <w:rPr>
            <w:rStyle w:val="Hyperlink"/>
            <w:color w:val="000000" w:themeColor="text1"/>
            <w:spacing w:val="-12"/>
            <w:u w:val="none"/>
          </w:rPr>
          <w:t xml:space="preserve"> </w:t>
        </w:r>
        <w:r w:rsidRPr="004F337F">
          <w:rPr>
            <w:rStyle w:val="Hyperlink"/>
            <w:color w:val="000000" w:themeColor="text1"/>
            <w:u w:val="none"/>
          </w:rPr>
          <w:t>D</w:t>
        </w:r>
        <w:r w:rsidRPr="004F337F">
          <w:rPr>
            <w:rStyle w:val="Hyperlink"/>
            <w:color w:val="000000" w:themeColor="text1"/>
            <w:sz w:val="16"/>
            <w:u w:val="none"/>
          </w:rPr>
          <w:t>O</w:t>
        </w:r>
        <w:r w:rsidRPr="004F337F">
          <w:rPr>
            <w:rStyle w:val="Hyperlink"/>
            <w:color w:val="000000" w:themeColor="text1"/>
            <w:u w:val="none"/>
          </w:rPr>
          <w:t>N</w:t>
        </w:r>
        <w:r w:rsidRPr="004F337F">
          <w:rPr>
            <w:rStyle w:val="Hyperlink"/>
            <w:color w:val="000000" w:themeColor="text1"/>
            <w:spacing w:val="-12"/>
            <w:u w:val="none"/>
          </w:rPr>
          <w:t xml:space="preserve"> </w:t>
        </w:r>
        <w:r w:rsidRPr="004F337F">
          <w:rPr>
            <w:rStyle w:val="Hyperlink"/>
            <w:color w:val="000000" w:themeColor="text1"/>
            <w:u w:val="none"/>
          </w:rPr>
          <w:t>N</w:t>
        </w:r>
        <w:r w:rsidRPr="004F337F">
          <w:rPr>
            <w:rStyle w:val="Hyperlink"/>
            <w:color w:val="000000" w:themeColor="text1"/>
            <w:sz w:val="16"/>
            <w:u w:val="none"/>
          </w:rPr>
          <w:t>ARRATIVE</w:t>
        </w:r>
        <w:r w:rsidRPr="004F337F">
          <w:rPr>
            <w:rStyle w:val="Hyperlink"/>
            <w:color w:val="000000" w:themeColor="text1"/>
            <w:u w:val="none"/>
          </w:rPr>
          <w:t>,</w:t>
        </w:r>
      </w:hyperlink>
      <w:r w:rsidRPr="004F337F">
        <w:rPr>
          <w:color w:val="000000" w:themeColor="text1"/>
          <w:spacing w:val="-2"/>
        </w:rPr>
        <w:t xml:space="preserve"> </w:t>
      </w:r>
      <w:r w:rsidRPr="004F337F">
        <w:rPr>
          <w:i/>
          <w:color w:val="000000" w:themeColor="text1"/>
        </w:rPr>
        <w:t>supra</w:t>
      </w:r>
      <w:r w:rsidRPr="004F337F">
        <w:rPr>
          <w:i/>
          <w:color w:val="000000" w:themeColor="text1"/>
          <w:spacing w:val="-4"/>
        </w:rPr>
        <w:t xml:space="preserve"> </w:t>
      </w:r>
      <w:r>
        <w:t>note</w:t>
      </w:r>
      <w:r>
        <w:rPr>
          <w:spacing w:val="-3"/>
        </w:rPr>
        <w:t xml:space="preserve"> </w:t>
      </w:r>
      <w:hyperlink w:anchor="_bookmark7" w:history="1">
        <w:r>
          <w:t>8.</w:t>
        </w:r>
      </w:hyperlink>
      <w:r>
        <w:rPr>
          <w:spacing w:val="-2"/>
        </w:rPr>
        <w:t xml:space="preserve"> </w:t>
      </w:r>
      <w:r>
        <w:rPr>
          <w:i/>
        </w:rPr>
        <w:t>See</w:t>
      </w:r>
      <w:r>
        <w:rPr>
          <w:i/>
          <w:spacing w:val="-3"/>
        </w:rPr>
        <w:t xml:space="preserve"> </w:t>
      </w:r>
      <w:r>
        <w:rPr>
          <w:i/>
        </w:rPr>
        <w:t>also</w:t>
      </w:r>
      <w:r>
        <w:rPr>
          <w:i/>
          <w:spacing w:val="-1"/>
        </w:rPr>
        <w:t xml:space="preserve"> </w:t>
      </w:r>
      <w:r>
        <w:t>M</w:t>
      </w:r>
      <w:r>
        <w:rPr>
          <w:sz w:val="16"/>
        </w:rPr>
        <w:t>ASS</w:t>
      </w:r>
      <w:r>
        <w:t>.</w:t>
      </w:r>
      <w:r>
        <w:rPr>
          <w:spacing w:val="-12"/>
        </w:rPr>
        <w:t xml:space="preserve"> </w:t>
      </w:r>
      <w:r>
        <w:t>D</w:t>
      </w:r>
      <w:r>
        <w:rPr>
          <w:sz w:val="16"/>
        </w:rPr>
        <w:t>EPT</w:t>
      </w:r>
      <w:r>
        <w:t>.</w:t>
      </w:r>
      <w:r>
        <w:rPr>
          <w:spacing w:val="-13"/>
        </w:rPr>
        <w:t xml:space="preserve"> </w:t>
      </w:r>
      <w:r>
        <w:t>P</w:t>
      </w:r>
      <w:r>
        <w:rPr>
          <w:sz w:val="16"/>
        </w:rPr>
        <w:t>UBLIC</w:t>
      </w:r>
      <w:r>
        <w:rPr>
          <w:spacing w:val="-4"/>
          <w:sz w:val="16"/>
        </w:rPr>
        <w:t xml:space="preserve"> </w:t>
      </w:r>
      <w:r>
        <w:t>H</w:t>
      </w:r>
      <w:r>
        <w:rPr>
          <w:sz w:val="16"/>
        </w:rPr>
        <w:t>EALTH</w:t>
      </w:r>
      <w:r>
        <w:t>,</w:t>
      </w:r>
      <w:r>
        <w:rPr>
          <w:spacing w:val="-2"/>
        </w:rPr>
        <w:t xml:space="preserve"> </w:t>
      </w:r>
      <w:r>
        <w:rPr>
          <w:i/>
        </w:rPr>
        <w:t>Dana-Farber</w:t>
      </w:r>
      <w:r>
        <w:rPr>
          <w:i/>
          <w:spacing w:val="-3"/>
        </w:rPr>
        <w:t xml:space="preserve"> </w:t>
      </w:r>
      <w:r>
        <w:rPr>
          <w:i/>
        </w:rPr>
        <w:t>Cancer</w:t>
      </w:r>
      <w:r>
        <w:rPr>
          <w:i/>
          <w:spacing w:val="-3"/>
        </w:rPr>
        <w:t xml:space="preserve"> </w:t>
      </w:r>
      <w:r>
        <w:rPr>
          <w:i/>
        </w:rPr>
        <w:t>Institute,</w:t>
      </w:r>
      <w:r>
        <w:rPr>
          <w:i/>
          <w:spacing w:val="-2"/>
        </w:rPr>
        <w:t xml:space="preserve"> </w:t>
      </w:r>
      <w:r>
        <w:rPr>
          <w:i/>
        </w:rPr>
        <w:t>Inc.</w:t>
      </w:r>
      <w:r>
        <w:rPr>
          <w:i/>
          <w:spacing w:val="-2"/>
        </w:rPr>
        <w:t xml:space="preserve"> </w:t>
      </w:r>
      <w:r>
        <w:rPr>
          <w:i/>
        </w:rPr>
        <w:t>– Hospital/Clinic Substantial Capital Expenditure</w:t>
      </w:r>
      <w:r>
        <w:t xml:space="preserve">, </w:t>
      </w:r>
      <w:hyperlink r:id="rId21">
        <w:r>
          <w:rPr>
            <w:color w:val="486794"/>
            <w:u w:val="single" w:color="486794"/>
          </w:rPr>
          <w:t>https://www.mass.gov/info-details/dana-farber-cancer-</w:t>
        </w:r>
      </w:hyperlink>
      <w:r>
        <w:rPr>
          <w:color w:val="486794"/>
        </w:rPr>
        <w:t xml:space="preserve"> </w:t>
      </w:r>
      <w:hyperlink r:id="rId22">
        <w:r>
          <w:rPr>
            <w:color w:val="486794"/>
            <w:u w:val="single" w:color="486794"/>
          </w:rPr>
          <w:t>institute-</w:t>
        </w:r>
        <w:proofErr w:type="spellStart"/>
        <w:r>
          <w:rPr>
            <w:color w:val="486794"/>
            <w:u w:val="single" w:color="486794"/>
          </w:rPr>
          <w:t>inc</w:t>
        </w:r>
        <w:proofErr w:type="spellEnd"/>
        <w:r>
          <w:rPr>
            <w:color w:val="486794"/>
            <w:u w:val="single" w:color="486794"/>
          </w:rPr>
          <w:t>-</w:t>
        </w:r>
        <w:proofErr w:type="spellStart"/>
        <w:r>
          <w:rPr>
            <w:color w:val="486794"/>
            <w:u w:val="single" w:color="486794"/>
          </w:rPr>
          <w:t>hospitalclinic</w:t>
        </w:r>
        <w:proofErr w:type="spellEnd"/>
        <w:r>
          <w:rPr>
            <w:color w:val="486794"/>
            <w:u w:val="single" w:color="486794"/>
          </w:rPr>
          <w:t>-substantial-capital-expenditure</w:t>
        </w:r>
      </w:hyperlink>
      <w:r>
        <w:rPr>
          <w:color w:val="486794"/>
        </w:rPr>
        <w:t xml:space="preserve"> </w:t>
      </w:r>
      <w:r>
        <w:t>(last visited February 27, 2025).</w:t>
      </w:r>
    </w:p>
  </w:footnote>
  <w:footnote w:id="14">
    <w:p w14:paraId="55774712" w14:textId="78A6CC49" w:rsidR="00260786" w:rsidRDefault="00260786" w:rsidP="00260786">
      <w:pPr>
        <w:pStyle w:val="FootnoteText"/>
        <w:ind w:left="720" w:right="940"/>
      </w:pPr>
      <w:r>
        <w:rPr>
          <w:rStyle w:val="FootnoteReference"/>
        </w:rPr>
        <w:footnoteRef/>
      </w:r>
      <w:r>
        <w:t xml:space="preserve"> </w:t>
      </w:r>
      <w:hyperlink r:id="rId23" w:history="1">
        <w:r w:rsidRPr="004F337F">
          <w:rPr>
            <w:rStyle w:val="Hyperlink"/>
            <w:color w:val="000000" w:themeColor="text1"/>
            <w:u w:val="none"/>
          </w:rPr>
          <w:t>Independent Cost Analysis for</w:t>
        </w:r>
        <w:r w:rsidRPr="004F337F">
          <w:rPr>
            <w:rStyle w:val="Hyperlink"/>
            <w:color w:val="000000" w:themeColor="text1"/>
            <w:spacing w:val="-1"/>
            <w:u w:val="none"/>
          </w:rPr>
          <w:t xml:space="preserve"> </w:t>
        </w:r>
        <w:r w:rsidRPr="004F337F">
          <w:rPr>
            <w:rStyle w:val="Hyperlink"/>
            <w:color w:val="000000" w:themeColor="text1"/>
            <w:u w:val="none"/>
          </w:rPr>
          <w:t>Dana-Farber</w:t>
        </w:r>
        <w:r w:rsidRPr="004F337F">
          <w:rPr>
            <w:rStyle w:val="Hyperlink"/>
            <w:color w:val="000000" w:themeColor="text1"/>
            <w:spacing w:val="-1"/>
            <w:u w:val="none"/>
          </w:rPr>
          <w:t xml:space="preserve"> </w:t>
        </w:r>
        <w:r w:rsidRPr="004F337F">
          <w:rPr>
            <w:rStyle w:val="Hyperlink"/>
            <w:color w:val="000000" w:themeColor="text1"/>
            <w:u w:val="none"/>
          </w:rPr>
          <w:t>Cancer</w:t>
        </w:r>
        <w:r w:rsidRPr="004F337F">
          <w:rPr>
            <w:rStyle w:val="Hyperlink"/>
            <w:color w:val="000000" w:themeColor="text1"/>
            <w:spacing w:val="-1"/>
            <w:u w:val="none"/>
          </w:rPr>
          <w:t xml:space="preserve"> </w:t>
        </w:r>
        <w:r w:rsidRPr="004F337F">
          <w:rPr>
            <w:rStyle w:val="Hyperlink"/>
            <w:color w:val="000000" w:themeColor="text1"/>
            <w:u w:val="none"/>
          </w:rPr>
          <w:t>Institute</w:t>
        </w:r>
        <w:r w:rsidRPr="004F337F">
          <w:rPr>
            <w:rStyle w:val="Hyperlink"/>
            <w:color w:val="000000" w:themeColor="text1"/>
            <w:spacing w:val="-1"/>
            <w:u w:val="none"/>
          </w:rPr>
          <w:t xml:space="preserve"> </w:t>
        </w:r>
        <w:r w:rsidRPr="004F337F">
          <w:rPr>
            <w:rStyle w:val="Hyperlink"/>
            <w:color w:val="000000" w:themeColor="text1"/>
            <w:u w:val="none"/>
          </w:rPr>
          <w:t>Determination of Need DoN Application #: DFCI- 23040915-HE</w:t>
        </w:r>
      </w:hyperlink>
      <w:r w:rsidRPr="004F337F">
        <w:rPr>
          <w:color w:val="000000" w:themeColor="text1"/>
          <w:spacing w:val="-4"/>
        </w:rPr>
        <w:t xml:space="preserve"> </w:t>
      </w:r>
      <w:r w:rsidRPr="004F337F">
        <w:rPr>
          <w:color w:val="000000" w:themeColor="text1"/>
        </w:rPr>
        <w:t>(Jan</w:t>
      </w:r>
      <w:r>
        <w:t>.</w:t>
      </w:r>
      <w:r>
        <w:rPr>
          <w:spacing w:val="-4"/>
        </w:rPr>
        <w:t xml:space="preserve"> </w:t>
      </w:r>
      <w:r>
        <w:t>10,</w:t>
      </w:r>
      <w:r>
        <w:rPr>
          <w:spacing w:val="-4"/>
        </w:rPr>
        <w:t xml:space="preserve"> </w:t>
      </w:r>
      <w:r>
        <w:t>2025)</w:t>
      </w:r>
      <w:r>
        <w:rPr>
          <w:spacing w:val="-6"/>
        </w:rPr>
        <w:t xml:space="preserve"> </w:t>
      </w:r>
      <w:r>
        <w:t>[hereinafter</w:t>
      </w:r>
      <w:r>
        <w:rPr>
          <w:spacing w:val="-6"/>
        </w:rPr>
        <w:t xml:space="preserve"> </w:t>
      </w:r>
      <w:r>
        <w:t>DFCI</w:t>
      </w:r>
      <w:r>
        <w:rPr>
          <w:spacing w:val="-4"/>
        </w:rPr>
        <w:t xml:space="preserve"> </w:t>
      </w:r>
      <w:r>
        <w:t>ICA],</w:t>
      </w:r>
      <w:r>
        <w:rPr>
          <w:spacing w:val="-4"/>
        </w:rPr>
        <w:t xml:space="preserve"> </w:t>
      </w:r>
      <w:r>
        <w:rPr>
          <w:i/>
        </w:rPr>
        <w:t>available</w:t>
      </w:r>
      <w:r>
        <w:rPr>
          <w:i/>
          <w:spacing w:val="-3"/>
        </w:rPr>
        <w:t xml:space="preserve"> </w:t>
      </w:r>
      <w:r>
        <w:rPr>
          <w:i/>
        </w:rPr>
        <w:t>at</w:t>
      </w:r>
      <w:r>
        <w:rPr>
          <w:i/>
          <w:spacing w:val="-7"/>
        </w:rPr>
        <w:t xml:space="preserve"> </w:t>
      </w:r>
      <w:hyperlink r:id="rId24">
        <w:r>
          <w:rPr>
            <w:color w:val="486794"/>
            <w:u w:val="single" w:color="486794"/>
          </w:rPr>
          <w:t>https://www.mass.gov/doc/commonwealth-</w:t>
        </w:r>
      </w:hyperlink>
      <w:r>
        <w:rPr>
          <w:color w:val="486794"/>
        </w:rPr>
        <w:t xml:space="preserve"> </w:t>
      </w:r>
      <w:hyperlink r:id="rId25">
        <w:r>
          <w:rPr>
            <w:color w:val="486794"/>
            <w:u w:val="single" w:color="486794"/>
          </w:rPr>
          <w:t>of-massachusetts-health-policy-commission-pdf-0/download</w:t>
        </w:r>
        <w:r>
          <w:t>;</w:t>
        </w:r>
      </w:hyperlink>
      <w:r>
        <w:t xml:space="preserve"> </w:t>
      </w:r>
      <w:hyperlink r:id="rId26" w:history="1">
        <w:r w:rsidRPr="008422AC">
          <w:rPr>
            <w:rStyle w:val="Hyperlink"/>
            <w:color w:val="000000" w:themeColor="text1"/>
            <w:u w:val="none"/>
          </w:rPr>
          <w:t>Independent Cost Analysis for Dana-Farber Cancer Institute Determination of Need DoN Application #: DFCI-23040915-HE Appendix</w:t>
        </w:r>
      </w:hyperlink>
      <w:r w:rsidRPr="008422AC">
        <w:rPr>
          <w:color w:val="000000" w:themeColor="text1"/>
        </w:rPr>
        <w:t xml:space="preserve"> (Jan</w:t>
      </w:r>
      <w:r>
        <w:t xml:space="preserve">. 10, 2025) [hereinafter DFCI ICA Appendix], </w:t>
      </w:r>
      <w:r>
        <w:rPr>
          <w:i/>
        </w:rPr>
        <w:t xml:space="preserve">available at </w:t>
      </w:r>
      <w:hyperlink r:id="rId27">
        <w:r>
          <w:rPr>
            <w:color w:val="486794"/>
            <w:u w:val="single" w:color="486794"/>
          </w:rPr>
          <w:t>https://www.mass.gov/doc/independent-cost-analysis-report-</w:t>
        </w:r>
      </w:hyperlink>
      <w:r>
        <w:rPr>
          <w:color w:val="486794"/>
        </w:rPr>
        <w:t xml:space="preserve"> </w:t>
      </w:r>
      <w:hyperlink r:id="rId28">
        <w:r>
          <w:rPr>
            <w:color w:val="486794"/>
            <w:spacing w:val="-2"/>
            <w:u w:val="single" w:color="486794"/>
          </w:rPr>
          <w:t>appendix-pdf-dana-farber-cancer-institute-inc-expenditure/download</w:t>
        </w:r>
        <w:r>
          <w:rPr>
            <w:spacing w:val="-2"/>
          </w:rPr>
          <w:t>.</w:t>
        </w:r>
      </w:hyperlink>
    </w:p>
  </w:footnote>
  <w:footnote w:id="15">
    <w:p w14:paraId="7ADE3B5C" w14:textId="1FF9ACF6" w:rsidR="008461FD" w:rsidRDefault="008461FD" w:rsidP="008461FD">
      <w:pPr>
        <w:ind w:left="720" w:right="702"/>
        <w:rPr>
          <w:i/>
          <w:sz w:val="20"/>
        </w:rPr>
      </w:pPr>
      <w:r>
        <w:rPr>
          <w:rStyle w:val="FootnoteReference"/>
        </w:rPr>
        <w:footnoteRef/>
      </w:r>
      <w:r>
        <w:t xml:space="preserve"> </w:t>
      </w:r>
      <w:hyperlink r:id="rId29" w:history="1">
        <w:r w:rsidRPr="008422AC">
          <w:rPr>
            <w:rStyle w:val="Hyperlink"/>
            <w:color w:val="000000" w:themeColor="text1"/>
            <w:sz w:val="20"/>
            <w:u w:val="none"/>
          </w:rPr>
          <w:t>M</w:t>
        </w:r>
        <w:r w:rsidRPr="008422AC">
          <w:rPr>
            <w:rStyle w:val="Hyperlink"/>
            <w:color w:val="000000" w:themeColor="text1"/>
            <w:sz w:val="16"/>
            <w:u w:val="none"/>
          </w:rPr>
          <w:t>ASS</w:t>
        </w:r>
        <w:r w:rsidRPr="008422AC">
          <w:rPr>
            <w:rStyle w:val="Hyperlink"/>
            <w:color w:val="000000" w:themeColor="text1"/>
            <w:sz w:val="20"/>
            <w:u w:val="none"/>
          </w:rPr>
          <w:t>.</w:t>
        </w:r>
        <w:r w:rsidRPr="008422AC">
          <w:rPr>
            <w:rStyle w:val="Hyperlink"/>
            <w:color w:val="000000" w:themeColor="text1"/>
            <w:spacing w:val="-11"/>
            <w:sz w:val="20"/>
            <w:u w:val="none"/>
          </w:rPr>
          <w:t xml:space="preserve"> </w:t>
        </w:r>
        <w:r w:rsidRPr="008422AC">
          <w:rPr>
            <w:rStyle w:val="Hyperlink"/>
            <w:color w:val="000000" w:themeColor="text1"/>
            <w:sz w:val="20"/>
            <w:u w:val="none"/>
          </w:rPr>
          <w:t>D</w:t>
        </w:r>
        <w:r w:rsidRPr="008422AC">
          <w:rPr>
            <w:rStyle w:val="Hyperlink"/>
            <w:color w:val="000000" w:themeColor="text1"/>
            <w:sz w:val="16"/>
            <w:u w:val="none"/>
          </w:rPr>
          <w:t>EPT</w:t>
        </w:r>
        <w:r w:rsidRPr="008422AC">
          <w:rPr>
            <w:rStyle w:val="Hyperlink"/>
            <w:color w:val="000000" w:themeColor="text1"/>
            <w:sz w:val="20"/>
            <w:u w:val="none"/>
          </w:rPr>
          <w:t>.</w:t>
        </w:r>
        <w:r w:rsidRPr="008422AC">
          <w:rPr>
            <w:rStyle w:val="Hyperlink"/>
            <w:color w:val="000000" w:themeColor="text1"/>
            <w:spacing w:val="-11"/>
            <w:sz w:val="20"/>
            <w:u w:val="none"/>
          </w:rPr>
          <w:t xml:space="preserve"> </w:t>
        </w:r>
        <w:r w:rsidRPr="008422AC">
          <w:rPr>
            <w:rStyle w:val="Hyperlink"/>
            <w:color w:val="000000" w:themeColor="text1"/>
            <w:sz w:val="20"/>
            <w:u w:val="none"/>
          </w:rPr>
          <w:t>P</w:t>
        </w:r>
        <w:r w:rsidRPr="008422AC">
          <w:rPr>
            <w:rStyle w:val="Hyperlink"/>
            <w:color w:val="000000" w:themeColor="text1"/>
            <w:sz w:val="16"/>
            <w:u w:val="none"/>
          </w:rPr>
          <w:t>UBLIC</w:t>
        </w:r>
        <w:r w:rsidRPr="008422AC">
          <w:rPr>
            <w:rStyle w:val="Hyperlink"/>
            <w:color w:val="000000" w:themeColor="text1"/>
            <w:spacing w:val="-1"/>
            <w:sz w:val="16"/>
            <w:u w:val="none"/>
          </w:rPr>
          <w:t xml:space="preserve"> </w:t>
        </w:r>
        <w:r w:rsidRPr="008422AC">
          <w:rPr>
            <w:rStyle w:val="Hyperlink"/>
            <w:color w:val="000000" w:themeColor="text1"/>
            <w:sz w:val="20"/>
            <w:u w:val="none"/>
          </w:rPr>
          <w:t>H</w:t>
        </w:r>
        <w:r w:rsidRPr="008422AC">
          <w:rPr>
            <w:rStyle w:val="Hyperlink"/>
            <w:color w:val="000000" w:themeColor="text1"/>
            <w:sz w:val="16"/>
            <w:u w:val="none"/>
          </w:rPr>
          <w:t>EALTH</w:t>
        </w:r>
        <w:r w:rsidRPr="008422AC">
          <w:rPr>
            <w:rStyle w:val="Hyperlink"/>
            <w:color w:val="000000" w:themeColor="text1"/>
            <w:sz w:val="20"/>
            <w:u w:val="none"/>
          </w:rPr>
          <w:t>,</w:t>
        </w:r>
        <w:r w:rsidRPr="008422AC">
          <w:rPr>
            <w:rStyle w:val="Hyperlink"/>
            <w:color w:val="000000" w:themeColor="text1"/>
            <w:spacing w:val="-1"/>
            <w:sz w:val="20"/>
            <w:u w:val="none"/>
          </w:rPr>
          <w:t xml:space="preserve"> </w:t>
        </w:r>
        <w:r w:rsidRPr="008422AC">
          <w:rPr>
            <w:rStyle w:val="Hyperlink"/>
            <w:color w:val="000000" w:themeColor="text1"/>
            <w:sz w:val="20"/>
            <w:u w:val="none"/>
          </w:rPr>
          <w:t>S</w:t>
        </w:r>
        <w:r w:rsidRPr="008422AC">
          <w:rPr>
            <w:rStyle w:val="Hyperlink"/>
            <w:color w:val="000000" w:themeColor="text1"/>
            <w:sz w:val="16"/>
            <w:u w:val="none"/>
          </w:rPr>
          <w:t>TAFF</w:t>
        </w:r>
        <w:r w:rsidRPr="008422AC">
          <w:rPr>
            <w:rStyle w:val="Hyperlink"/>
            <w:color w:val="000000" w:themeColor="text1"/>
            <w:spacing w:val="-2"/>
            <w:sz w:val="16"/>
            <w:u w:val="none"/>
          </w:rPr>
          <w:t xml:space="preserve"> </w:t>
        </w:r>
        <w:r w:rsidRPr="008422AC">
          <w:rPr>
            <w:rStyle w:val="Hyperlink"/>
            <w:color w:val="000000" w:themeColor="text1"/>
            <w:sz w:val="20"/>
            <w:u w:val="none"/>
          </w:rPr>
          <w:t>R</w:t>
        </w:r>
        <w:r w:rsidRPr="008422AC">
          <w:rPr>
            <w:rStyle w:val="Hyperlink"/>
            <w:color w:val="000000" w:themeColor="text1"/>
            <w:sz w:val="16"/>
            <w:u w:val="none"/>
          </w:rPr>
          <w:t>EPORT</w:t>
        </w:r>
        <w:r w:rsidRPr="008422AC">
          <w:rPr>
            <w:rStyle w:val="Hyperlink"/>
            <w:color w:val="000000" w:themeColor="text1"/>
            <w:spacing w:val="-3"/>
            <w:sz w:val="16"/>
            <w:u w:val="none"/>
          </w:rPr>
          <w:t xml:space="preserve"> </w:t>
        </w:r>
        <w:r w:rsidRPr="008422AC">
          <w:rPr>
            <w:rStyle w:val="Hyperlink"/>
            <w:color w:val="000000" w:themeColor="text1"/>
            <w:sz w:val="16"/>
            <w:u w:val="none"/>
          </w:rPr>
          <w:t>TO</w:t>
        </w:r>
        <w:r w:rsidRPr="008422AC">
          <w:rPr>
            <w:rStyle w:val="Hyperlink"/>
            <w:color w:val="000000" w:themeColor="text1"/>
            <w:spacing w:val="-5"/>
            <w:sz w:val="16"/>
            <w:u w:val="none"/>
          </w:rPr>
          <w:t xml:space="preserve"> </w:t>
        </w:r>
        <w:r w:rsidRPr="008422AC">
          <w:rPr>
            <w:rStyle w:val="Hyperlink"/>
            <w:color w:val="000000" w:themeColor="text1"/>
            <w:sz w:val="16"/>
            <w:u w:val="none"/>
          </w:rPr>
          <w:t>THE</w:t>
        </w:r>
        <w:r w:rsidRPr="008422AC">
          <w:rPr>
            <w:rStyle w:val="Hyperlink"/>
            <w:color w:val="000000" w:themeColor="text1"/>
            <w:spacing w:val="-3"/>
            <w:sz w:val="16"/>
            <w:u w:val="none"/>
          </w:rPr>
          <w:t xml:space="preserve"> </w:t>
        </w:r>
        <w:r w:rsidRPr="008422AC">
          <w:rPr>
            <w:rStyle w:val="Hyperlink"/>
            <w:color w:val="000000" w:themeColor="text1"/>
            <w:sz w:val="20"/>
            <w:u w:val="none"/>
          </w:rPr>
          <w:t>P</w:t>
        </w:r>
        <w:r w:rsidRPr="008422AC">
          <w:rPr>
            <w:rStyle w:val="Hyperlink"/>
            <w:color w:val="000000" w:themeColor="text1"/>
            <w:sz w:val="16"/>
            <w:u w:val="none"/>
          </w:rPr>
          <w:t>UBLIC</w:t>
        </w:r>
        <w:r w:rsidRPr="008422AC">
          <w:rPr>
            <w:rStyle w:val="Hyperlink"/>
            <w:color w:val="000000" w:themeColor="text1"/>
            <w:spacing w:val="-4"/>
            <w:sz w:val="16"/>
            <w:u w:val="none"/>
          </w:rPr>
          <w:t xml:space="preserve"> </w:t>
        </w:r>
        <w:r w:rsidRPr="008422AC">
          <w:rPr>
            <w:rStyle w:val="Hyperlink"/>
            <w:color w:val="000000" w:themeColor="text1"/>
            <w:sz w:val="20"/>
            <w:u w:val="none"/>
          </w:rPr>
          <w:t>H</w:t>
        </w:r>
        <w:r w:rsidRPr="008422AC">
          <w:rPr>
            <w:rStyle w:val="Hyperlink"/>
            <w:color w:val="000000" w:themeColor="text1"/>
            <w:sz w:val="16"/>
            <w:u w:val="none"/>
          </w:rPr>
          <w:t>EALTH</w:t>
        </w:r>
        <w:r w:rsidRPr="008422AC">
          <w:rPr>
            <w:rStyle w:val="Hyperlink"/>
            <w:color w:val="000000" w:themeColor="text1"/>
            <w:spacing w:val="-2"/>
            <w:sz w:val="16"/>
            <w:u w:val="none"/>
          </w:rPr>
          <w:t xml:space="preserve"> </w:t>
        </w:r>
        <w:r w:rsidRPr="008422AC">
          <w:rPr>
            <w:rStyle w:val="Hyperlink"/>
            <w:color w:val="000000" w:themeColor="text1"/>
            <w:sz w:val="20"/>
            <w:u w:val="none"/>
          </w:rPr>
          <w:t>C</w:t>
        </w:r>
        <w:r w:rsidRPr="008422AC">
          <w:rPr>
            <w:rStyle w:val="Hyperlink"/>
            <w:color w:val="000000" w:themeColor="text1"/>
            <w:sz w:val="16"/>
            <w:u w:val="none"/>
          </w:rPr>
          <w:t>OUNCIL</w:t>
        </w:r>
        <w:r w:rsidRPr="008422AC">
          <w:rPr>
            <w:rStyle w:val="Hyperlink"/>
            <w:color w:val="000000" w:themeColor="text1"/>
            <w:spacing w:val="-1"/>
            <w:sz w:val="16"/>
            <w:u w:val="none"/>
          </w:rPr>
          <w:t xml:space="preserve"> </w:t>
        </w:r>
        <w:r w:rsidRPr="008422AC">
          <w:rPr>
            <w:rStyle w:val="Hyperlink"/>
            <w:color w:val="000000" w:themeColor="text1"/>
            <w:sz w:val="16"/>
            <w:u w:val="none"/>
          </w:rPr>
          <w:t>FOR</w:t>
        </w:r>
        <w:r w:rsidRPr="008422AC">
          <w:rPr>
            <w:rStyle w:val="Hyperlink"/>
            <w:color w:val="000000" w:themeColor="text1"/>
            <w:spacing w:val="-4"/>
            <w:sz w:val="16"/>
            <w:u w:val="none"/>
          </w:rPr>
          <w:t xml:space="preserve"> </w:t>
        </w:r>
        <w:r w:rsidRPr="008422AC">
          <w:rPr>
            <w:rStyle w:val="Hyperlink"/>
            <w:color w:val="000000" w:themeColor="text1"/>
            <w:sz w:val="16"/>
            <w:u w:val="none"/>
          </w:rPr>
          <w:t>THE</w:t>
        </w:r>
        <w:r w:rsidRPr="008422AC">
          <w:rPr>
            <w:rStyle w:val="Hyperlink"/>
            <w:color w:val="000000" w:themeColor="text1"/>
            <w:spacing w:val="-3"/>
            <w:sz w:val="16"/>
            <w:u w:val="none"/>
          </w:rPr>
          <w:t xml:space="preserve"> </w:t>
        </w:r>
        <w:r w:rsidRPr="008422AC">
          <w:rPr>
            <w:rStyle w:val="Hyperlink"/>
            <w:color w:val="000000" w:themeColor="text1"/>
            <w:sz w:val="20"/>
            <w:u w:val="none"/>
          </w:rPr>
          <w:t>D</w:t>
        </w:r>
        <w:r w:rsidRPr="008422AC">
          <w:rPr>
            <w:rStyle w:val="Hyperlink"/>
            <w:color w:val="000000" w:themeColor="text1"/>
            <w:sz w:val="16"/>
            <w:u w:val="none"/>
          </w:rPr>
          <w:t>ETERMINATION</w:t>
        </w:r>
        <w:r w:rsidRPr="008422AC">
          <w:rPr>
            <w:rStyle w:val="Hyperlink"/>
            <w:color w:val="000000" w:themeColor="text1"/>
            <w:spacing w:val="-2"/>
            <w:sz w:val="16"/>
            <w:u w:val="none"/>
          </w:rPr>
          <w:t xml:space="preserve"> </w:t>
        </w:r>
        <w:r w:rsidRPr="008422AC">
          <w:rPr>
            <w:rStyle w:val="Hyperlink"/>
            <w:color w:val="000000" w:themeColor="text1"/>
            <w:sz w:val="16"/>
            <w:u w:val="none"/>
          </w:rPr>
          <w:t>OF</w:t>
        </w:r>
        <w:r w:rsidRPr="008422AC">
          <w:rPr>
            <w:rStyle w:val="Hyperlink"/>
            <w:color w:val="000000" w:themeColor="text1"/>
            <w:spacing w:val="-2"/>
            <w:sz w:val="16"/>
            <w:u w:val="none"/>
          </w:rPr>
          <w:t xml:space="preserve"> </w:t>
        </w:r>
        <w:r w:rsidRPr="008422AC">
          <w:rPr>
            <w:rStyle w:val="Hyperlink"/>
            <w:color w:val="000000" w:themeColor="text1"/>
            <w:sz w:val="20"/>
            <w:u w:val="none"/>
          </w:rPr>
          <w:t>N</w:t>
        </w:r>
        <w:r w:rsidRPr="008422AC">
          <w:rPr>
            <w:rStyle w:val="Hyperlink"/>
            <w:color w:val="000000" w:themeColor="text1"/>
            <w:sz w:val="16"/>
            <w:u w:val="none"/>
          </w:rPr>
          <w:t>EED</w:t>
        </w:r>
        <w:r w:rsidRPr="008422AC">
          <w:rPr>
            <w:rStyle w:val="Hyperlink"/>
            <w:color w:val="000000" w:themeColor="text1"/>
            <w:spacing w:val="-2"/>
            <w:sz w:val="16"/>
            <w:u w:val="none"/>
          </w:rPr>
          <w:t xml:space="preserve"> </w:t>
        </w:r>
        <w:r w:rsidRPr="008422AC">
          <w:rPr>
            <w:rStyle w:val="Hyperlink"/>
            <w:color w:val="000000" w:themeColor="text1"/>
            <w:sz w:val="16"/>
            <w:u w:val="none"/>
          </w:rPr>
          <w:t>FOR</w:t>
        </w:r>
        <w:r w:rsidRPr="008422AC">
          <w:rPr>
            <w:rStyle w:val="Hyperlink"/>
            <w:color w:val="000000" w:themeColor="text1"/>
            <w:spacing w:val="-4"/>
            <w:sz w:val="16"/>
            <w:u w:val="none"/>
          </w:rPr>
          <w:t xml:space="preserve"> </w:t>
        </w:r>
        <w:r w:rsidRPr="008422AC">
          <w:rPr>
            <w:rStyle w:val="Hyperlink"/>
            <w:color w:val="000000" w:themeColor="text1"/>
            <w:sz w:val="20"/>
            <w:u w:val="none"/>
          </w:rPr>
          <w:t>D</w:t>
        </w:r>
        <w:r w:rsidRPr="008422AC">
          <w:rPr>
            <w:rStyle w:val="Hyperlink"/>
            <w:color w:val="000000" w:themeColor="text1"/>
            <w:sz w:val="16"/>
            <w:u w:val="none"/>
          </w:rPr>
          <w:t>O</w:t>
        </w:r>
        <w:r w:rsidRPr="008422AC">
          <w:rPr>
            <w:rStyle w:val="Hyperlink"/>
            <w:color w:val="000000" w:themeColor="text1"/>
            <w:sz w:val="20"/>
            <w:u w:val="none"/>
          </w:rPr>
          <w:t>N A</w:t>
        </w:r>
        <w:r w:rsidRPr="008422AC">
          <w:rPr>
            <w:rStyle w:val="Hyperlink"/>
            <w:color w:val="000000" w:themeColor="text1"/>
            <w:sz w:val="16"/>
            <w:u w:val="none"/>
          </w:rPr>
          <w:t xml:space="preserve">PPLICATION </w:t>
        </w:r>
        <w:r w:rsidRPr="008422AC">
          <w:rPr>
            <w:rStyle w:val="Hyperlink"/>
            <w:color w:val="000000" w:themeColor="text1"/>
            <w:sz w:val="20"/>
            <w:u w:val="none"/>
          </w:rPr>
          <w:t>#: DFCI-23040915-HE</w:t>
        </w:r>
      </w:hyperlink>
      <w:r w:rsidRPr="008422AC">
        <w:rPr>
          <w:color w:val="000000" w:themeColor="text1"/>
          <w:sz w:val="20"/>
        </w:rPr>
        <w:t xml:space="preserve"> (Feb</w:t>
      </w:r>
      <w:r>
        <w:rPr>
          <w:sz w:val="20"/>
        </w:rPr>
        <w:t>. 18, 2025) [hereinafter DFCI S</w:t>
      </w:r>
      <w:r>
        <w:rPr>
          <w:sz w:val="16"/>
        </w:rPr>
        <w:t xml:space="preserve">TAFF </w:t>
      </w:r>
      <w:r>
        <w:rPr>
          <w:sz w:val="20"/>
        </w:rPr>
        <w:t>R</w:t>
      </w:r>
      <w:r>
        <w:rPr>
          <w:sz w:val="16"/>
        </w:rPr>
        <w:t>EPORT</w:t>
      </w:r>
      <w:r>
        <w:rPr>
          <w:sz w:val="20"/>
        </w:rPr>
        <w:t xml:space="preserve">], </w:t>
      </w:r>
      <w:r>
        <w:rPr>
          <w:i/>
          <w:sz w:val="20"/>
        </w:rPr>
        <w:t>available at</w:t>
      </w:r>
    </w:p>
    <w:p w14:paraId="73605D34" w14:textId="1C155EE2" w:rsidR="008461FD" w:rsidRPr="008461FD" w:rsidRDefault="008461FD" w:rsidP="008461FD">
      <w:pPr>
        <w:ind w:left="720" w:right="1030"/>
        <w:rPr>
          <w:sz w:val="20"/>
        </w:rPr>
      </w:pPr>
      <w:hyperlink r:id="rId30">
        <w:r>
          <w:rPr>
            <w:color w:val="486794"/>
            <w:spacing w:val="-2"/>
            <w:sz w:val="20"/>
            <w:u w:val="single" w:color="486794"/>
          </w:rPr>
          <w:t>https://www.mass.gov/doc/staff-report-pdf/download</w:t>
        </w:r>
        <w:r>
          <w:rPr>
            <w:spacing w:val="-2"/>
            <w:sz w:val="20"/>
          </w:rPr>
          <w:t>.</w:t>
        </w:r>
      </w:hyperlink>
    </w:p>
  </w:footnote>
  <w:footnote w:id="16">
    <w:p w14:paraId="69CFE4E6" w14:textId="4708B3C0" w:rsidR="008461FD" w:rsidRDefault="008461FD" w:rsidP="008461FD">
      <w:pPr>
        <w:pStyle w:val="FootnoteText"/>
        <w:ind w:left="720" w:right="1030"/>
      </w:pPr>
      <w:r>
        <w:rPr>
          <w:rStyle w:val="FootnoteReference"/>
        </w:rPr>
        <w:footnoteRef/>
      </w:r>
      <w:r>
        <w:t xml:space="preserve"> DPH</w:t>
      </w:r>
      <w:r>
        <w:rPr>
          <w:spacing w:val="-4"/>
        </w:rPr>
        <w:t xml:space="preserve"> </w:t>
      </w:r>
      <w:r>
        <w:t>may</w:t>
      </w:r>
      <w:r>
        <w:rPr>
          <w:spacing w:val="-2"/>
        </w:rPr>
        <w:t xml:space="preserve"> </w:t>
      </w:r>
      <w:r>
        <w:t>rescind</w:t>
      </w:r>
      <w:r>
        <w:rPr>
          <w:spacing w:val="-2"/>
        </w:rPr>
        <w:t xml:space="preserve"> </w:t>
      </w:r>
      <w:r>
        <w:t>or</w:t>
      </w:r>
      <w:r>
        <w:rPr>
          <w:spacing w:val="-4"/>
        </w:rPr>
        <w:t xml:space="preserve"> </w:t>
      </w:r>
      <w:r>
        <w:t>amend an</w:t>
      </w:r>
      <w:r>
        <w:rPr>
          <w:spacing w:val="-3"/>
        </w:rPr>
        <w:t xml:space="preserve"> </w:t>
      </w:r>
      <w:r>
        <w:t>approved</w:t>
      </w:r>
      <w:r>
        <w:rPr>
          <w:spacing w:val="-2"/>
        </w:rPr>
        <w:t xml:space="preserve"> </w:t>
      </w:r>
      <w:r>
        <w:t>Notice</w:t>
      </w:r>
      <w:r>
        <w:rPr>
          <w:spacing w:val="-4"/>
        </w:rPr>
        <w:t xml:space="preserve"> </w:t>
      </w:r>
      <w:r>
        <w:t>of</w:t>
      </w:r>
      <w:r>
        <w:rPr>
          <w:spacing w:val="-3"/>
        </w:rPr>
        <w:t xml:space="preserve"> </w:t>
      </w:r>
      <w:proofErr w:type="spellStart"/>
      <w:r>
        <w:t>DoN</w:t>
      </w:r>
      <w:proofErr w:type="spellEnd"/>
      <w:r>
        <w:rPr>
          <w:spacing w:val="-2"/>
        </w:rPr>
        <w:t xml:space="preserve"> </w:t>
      </w:r>
      <w:r>
        <w:t>if</w:t>
      </w:r>
      <w:r>
        <w:rPr>
          <w:spacing w:val="-3"/>
        </w:rPr>
        <w:t xml:space="preserve"> </w:t>
      </w:r>
      <w:r>
        <w:t>the</w:t>
      </w:r>
      <w:r>
        <w:rPr>
          <w:spacing w:val="-4"/>
        </w:rPr>
        <w:t xml:space="preserve"> </w:t>
      </w:r>
      <w:r>
        <w:t>Commissioner</w:t>
      </w:r>
      <w:r>
        <w:rPr>
          <w:spacing w:val="-4"/>
        </w:rPr>
        <w:t xml:space="preserve"> </w:t>
      </w:r>
      <w:r>
        <w:t>determines</w:t>
      </w:r>
      <w:r>
        <w:rPr>
          <w:spacing w:val="-2"/>
        </w:rPr>
        <w:t xml:space="preserve"> </w:t>
      </w:r>
      <w:r>
        <w:t>that</w:t>
      </w:r>
      <w:r>
        <w:rPr>
          <w:spacing w:val="-2"/>
        </w:rPr>
        <w:t xml:space="preserve"> </w:t>
      </w:r>
      <w:r>
        <w:t>the</w:t>
      </w:r>
      <w:r>
        <w:rPr>
          <w:spacing w:val="-4"/>
        </w:rPr>
        <w:t xml:space="preserve"> </w:t>
      </w:r>
      <w:r>
        <w:t xml:space="preserve">parties would fail to meet one or more of the specified </w:t>
      </w:r>
      <w:proofErr w:type="spellStart"/>
      <w:r>
        <w:t>DoN</w:t>
      </w:r>
      <w:proofErr w:type="spellEnd"/>
      <w:r>
        <w:t xml:space="preserve"> Factors. </w:t>
      </w:r>
      <w:r>
        <w:rPr>
          <w:i/>
        </w:rPr>
        <w:t xml:space="preserve">See </w:t>
      </w:r>
      <w:hyperlink r:id="rId31" w:history="1">
        <w:r w:rsidRPr="008422AC">
          <w:rPr>
            <w:rStyle w:val="Hyperlink"/>
            <w:color w:val="000000" w:themeColor="text1"/>
            <w:u w:val="none"/>
          </w:rPr>
          <w:t>105 CMR 100,</w:t>
        </w:r>
      </w:hyperlink>
      <w:r w:rsidRPr="008422AC">
        <w:rPr>
          <w:color w:val="000000" w:themeColor="text1"/>
        </w:rPr>
        <w:t xml:space="preserve"> </w:t>
      </w:r>
      <w:hyperlink r:id="rId32">
        <w:r>
          <w:rPr>
            <w:color w:val="486794"/>
            <w:u w:val="single" w:color="486794"/>
          </w:rPr>
          <w:t>https://www.mass.gov/files/documents/2017/10/11/105cmr100.pdf</w:t>
        </w:r>
      </w:hyperlink>
      <w:r>
        <w:rPr>
          <w:color w:val="486794"/>
          <w:u w:val="single" w:color="486794"/>
        </w:rPr>
        <w:t xml:space="preserve"> </w:t>
      </w:r>
      <w:r>
        <w:t>(last visited February 27, 2025).</w:t>
      </w:r>
    </w:p>
  </w:footnote>
  <w:footnote w:id="17">
    <w:p w14:paraId="3AC5E6F5" w14:textId="5C645037" w:rsidR="00BC108A" w:rsidRDefault="00BC108A" w:rsidP="009F7A4D">
      <w:pPr>
        <w:pStyle w:val="FootnoteText"/>
        <w:ind w:left="720" w:right="940"/>
      </w:pPr>
      <w:r>
        <w:rPr>
          <w:rStyle w:val="FootnoteReference"/>
        </w:rPr>
        <w:footnoteRef/>
      </w:r>
      <w:r>
        <w:t xml:space="preserve"> </w:t>
      </w:r>
      <w:r>
        <w:rPr>
          <w:i/>
        </w:rPr>
        <w:t>See</w:t>
      </w:r>
      <w:r>
        <w:rPr>
          <w:i/>
          <w:spacing w:val="-2"/>
        </w:rPr>
        <w:t xml:space="preserve"> </w:t>
      </w:r>
      <w:r>
        <w:t>M</w:t>
      </w:r>
      <w:r>
        <w:rPr>
          <w:sz w:val="16"/>
        </w:rPr>
        <w:t>ASS</w:t>
      </w:r>
      <w:r>
        <w:t>.</w:t>
      </w:r>
      <w:r>
        <w:rPr>
          <w:spacing w:val="-12"/>
        </w:rPr>
        <w:t xml:space="preserve"> </w:t>
      </w:r>
      <w:r>
        <w:t>G</w:t>
      </w:r>
      <w:r>
        <w:rPr>
          <w:sz w:val="16"/>
        </w:rPr>
        <w:t>EN</w:t>
      </w:r>
      <w:r>
        <w:t>.</w:t>
      </w:r>
      <w:r>
        <w:rPr>
          <w:spacing w:val="-13"/>
        </w:rPr>
        <w:t xml:space="preserve"> </w:t>
      </w:r>
      <w:r>
        <w:t>L</w:t>
      </w:r>
      <w:r>
        <w:rPr>
          <w:sz w:val="16"/>
        </w:rPr>
        <w:t>AWS</w:t>
      </w:r>
      <w:r>
        <w:rPr>
          <w:spacing w:val="6"/>
          <w:sz w:val="16"/>
        </w:rPr>
        <w:t xml:space="preserve"> </w:t>
      </w:r>
      <w:proofErr w:type="spellStart"/>
      <w:r>
        <w:t>ch.</w:t>
      </w:r>
      <w:proofErr w:type="spellEnd"/>
      <w:r>
        <w:rPr>
          <w:spacing w:val="-3"/>
        </w:rPr>
        <w:t xml:space="preserve"> </w:t>
      </w:r>
      <w:r>
        <w:t>6D,</w:t>
      </w:r>
      <w:r>
        <w:rPr>
          <w:spacing w:val="-5"/>
        </w:rPr>
        <w:t xml:space="preserve"> </w:t>
      </w:r>
      <w:r>
        <w:t>§</w:t>
      </w:r>
      <w:r>
        <w:rPr>
          <w:spacing w:val="-3"/>
        </w:rPr>
        <w:t xml:space="preserve"> </w:t>
      </w:r>
      <w:r>
        <w:t>13(d)</w:t>
      </w:r>
      <w:r>
        <w:rPr>
          <w:spacing w:val="-5"/>
        </w:rPr>
        <w:t xml:space="preserve"> </w:t>
      </w:r>
      <w:r>
        <w:t>and</w:t>
      </w:r>
      <w:r>
        <w:rPr>
          <w:spacing w:val="-3"/>
        </w:rPr>
        <w:t xml:space="preserve"> </w:t>
      </w:r>
      <w:r>
        <w:t>958</w:t>
      </w:r>
      <w:r>
        <w:rPr>
          <w:spacing w:val="-3"/>
        </w:rPr>
        <w:t xml:space="preserve"> </w:t>
      </w:r>
      <w:r>
        <w:t>CMR</w:t>
      </w:r>
      <w:r>
        <w:rPr>
          <w:spacing w:val="-4"/>
        </w:rPr>
        <w:t xml:space="preserve"> </w:t>
      </w:r>
      <w:r>
        <w:rPr>
          <w:spacing w:val="-2"/>
        </w:rPr>
        <w:t>7.06.</w:t>
      </w:r>
    </w:p>
  </w:footnote>
  <w:footnote w:id="18">
    <w:p w14:paraId="1C373365" w14:textId="2F6D3040" w:rsidR="008B679E" w:rsidRDefault="008B679E" w:rsidP="00CF6066">
      <w:pPr>
        <w:pStyle w:val="FootnoteText"/>
        <w:ind w:left="720" w:right="940"/>
      </w:pPr>
      <w:r>
        <w:rPr>
          <w:rStyle w:val="FootnoteReference"/>
        </w:rPr>
        <w:footnoteRef/>
      </w:r>
      <w:r>
        <w:t xml:space="preserve"> </w:t>
      </w:r>
      <w:r>
        <w:rPr>
          <w:i/>
          <w:spacing w:val="-5"/>
        </w:rPr>
        <w:t>Id</w:t>
      </w:r>
      <w:r>
        <w:rPr>
          <w:spacing w:val="-5"/>
        </w:rPr>
        <w:t>.</w:t>
      </w:r>
    </w:p>
  </w:footnote>
  <w:footnote w:id="19">
    <w:p w14:paraId="6CE3A565" w14:textId="77777777" w:rsidR="00CF6066" w:rsidRDefault="009F7A4D" w:rsidP="00CF6066">
      <w:pPr>
        <w:ind w:left="720" w:right="702"/>
        <w:rPr>
          <w:sz w:val="20"/>
        </w:rPr>
      </w:pPr>
      <w:r>
        <w:rPr>
          <w:rStyle w:val="FootnoteReference"/>
        </w:rPr>
        <w:footnoteRef/>
      </w:r>
      <w:r>
        <w:t xml:space="preserve"> </w:t>
      </w:r>
      <w:r>
        <w:rPr>
          <w:sz w:val="20"/>
        </w:rPr>
        <w:t>The parties provided information to the HPC over the course of more than twelve months, including responses</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z w:val="20"/>
        </w:rPr>
        <w:t>HPC’s</w:t>
      </w:r>
      <w:r>
        <w:rPr>
          <w:spacing w:val="-3"/>
          <w:sz w:val="20"/>
        </w:rPr>
        <w:t xml:space="preserve"> </w:t>
      </w:r>
      <w:r>
        <w:rPr>
          <w:sz w:val="20"/>
        </w:rPr>
        <w:t>initial</w:t>
      </w:r>
      <w:r>
        <w:rPr>
          <w:spacing w:val="-4"/>
          <w:sz w:val="20"/>
        </w:rPr>
        <w:t xml:space="preserve"> </w:t>
      </w:r>
      <w:r>
        <w:rPr>
          <w:sz w:val="20"/>
        </w:rPr>
        <w:t>information</w:t>
      </w:r>
      <w:r>
        <w:rPr>
          <w:spacing w:val="-4"/>
          <w:sz w:val="20"/>
        </w:rPr>
        <w:t xml:space="preserve"> </w:t>
      </w:r>
      <w:r>
        <w:rPr>
          <w:sz w:val="20"/>
        </w:rPr>
        <w:t>requests,</w:t>
      </w:r>
      <w:r>
        <w:rPr>
          <w:spacing w:val="-3"/>
          <w:sz w:val="20"/>
        </w:rPr>
        <w:t xml:space="preserve"> </w:t>
      </w:r>
      <w:r>
        <w:rPr>
          <w:sz w:val="20"/>
        </w:rPr>
        <w:t>to</w:t>
      </w:r>
      <w:r>
        <w:rPr>
          <w:spacing w:val="-4"/>
          <w:sz w:val="20"/>
        </w:rPr>
        <w:t xml:space="preserve"> </w:t>
      </w:r>
      <w:r>
        <w:rPr>
          <w:sz w:val="20"/>
        </w:rPr>
        <w:t>clarifying</w:t>
      </w:r>
      <w:r>
        <w:rPr>
          <w:spacing w:val="-1"/>
          <w:sz w:val="20"/>
        </w:rPr>
        <w:t xml:space="preserve"> </w:t>
      </w:r>
      <w:r>
        <w:rPr>
          <w:sz w:val="20"/>
        </w:rPr>
        <w:t>questions</w:t>
      </w:r>
      <w:r>
        <w:rPr>
          <w:spacing w:val="-3"/>
          <w:sz w:val="20"/>
        </w:rPr>
        <w:t xml:space="preserve"> </w:t>
      </w:r>
      <w:r>
        <w:rPr>
          <w:sz w:val="20"/>
        </w:rPr>
        <w:t>about</w:t>
      </w:r>
      <w:r>
        <w:rPr>
          <w:spacing w:val="-3"/>
          <w:sz w:val="20"/>
        </w:rPr>
        <w:t xml:space="preserve"> </w:t>
      </w:r>
      <w:r>
        <w:rPr>
          <w:sz w:val="20"/>
        </w:rPr>
        <w:t>initial</w:t>
      </w:r>
      <w:r>
        <w:rPr>
          <w:spacing w:val="-2"/>
          <w:sz w:val="20"/>
        </w:rPr>
        <w:t xml:space="preserve"> </w:t>
      </w:r>
      <w:r>
        <w:rPr>
          <w:sz w:val="20"/>
        </w:rPr>
        <w:t>submissions,</w:t>
      </w:r>
      <w:r>
        <w:rPr>
          <w:spacing w:val="-3"/>
          <w:sz w:val="20"/>
        </w:rPr>
        <w:t xml:space="preserve"> </w:t>
      </w:r>
      <w:r>
        <w:rPr>
          <w:sz w:val="20"/>
        </w:rPr>
        <w:t>and</w:t>
      </w:r>
      <w:r>
        <w:rPr>
          <w:spacing w:val="-3"/>
          <w:sz w:val="20"/>
        </w:rPr>
        <w:t xml:space="preserve"> </w:t>
      </w:r>
      <w:r>
        <w:rPr>
          <w:sz w:val="20"/>
        </w:rPr>
        <w:t>under</w:t>
      </w:r>
      <w:r w:rsidR="00CF6066">
        <w:t xml:space="preserve"> </w:t>
      </w:r>
      <w:r w:rsidR="00CF6066">
        <w:rPr>
          <w:sz w:val="20"/>
        </w:rPr>
        <w:t>their</w:t>
      </w:r>
      <w:r w:rsidR="00CF6066">
        <w:rPr>
          <w:spacing w:val="-5"/>
          <w:sz w:val="20"/>
        </w:rPr>
        <w:t xml:space="preserve"> </w:t>
      </w:r>
      <w:r w:rsidR="00CF6066">
        <w:rPr>
          <w:sz w:val="20"/>
        </w:rPr>
        <w:t>continuing</w:t>
      </w:r>
      <w:r w:rsidR="00CF6066">
        <w:rPr>
          <w:spacing w:val="-4"/>
          <w:sz w:val="20"/>
        </w:rPr>
        <w:t xml:space="preserve"> </w:t>
      </w:r>
      <w:r w:rsidR="00CF6066">
        <w:rPr>
          <w:sz w:val="20"/>
        </w:rPr>
        <w:t>obligation</w:t>
      </w:r>
      <w:r w:rsidR="00CF6066">
        <w:rPr>
          <w:spacing w:val="-4"/>
          <w:sz w:val="20"/>
        </w:rPr>
        <w:t xml:space="preserve"> </w:t>
      </w:r>
      <w:r w:rsidR="00CF6066">
        <w:rPr>
          <w:sz w:val="20"/>
        </w:rPr>
        <w:t>to</w:t>
      </w:r>
      <w:r w:rsidR="00CF6066">
        <w:rPr>
          <w:spacing w:val="-2"/>
          <w:sz w:val="20"/>
        </w:rPr>
        <w:t xml:space="preserve"> </w:t>
      </w:r>
      <w:r w:rsidR="00CF6066">
        <w:rPr>
          <w:sz w:val="20"/>
        </w:rPr>
        <w:t>produce</w:t>
      </w:r>
      <w:r w:rsidR="00CF6066">
        <w:rPr>
          <w:spacing w:val="-5"/>
          <w:sz w:val="20"/>
        </w:rPr>
        <w:t xml:space="preserve"> </w:t>
      </w:r>
      <w:r w:rsidR="00CF6066">
        <w:rPr>
          <w:sz w:val="20"/>
        </w:rPr>
        <w:t>information</w:t>
      </w:r>
      <w:r w:rsidR="00CF6066">
        <w:rPr>
          <w:spacing w:val="-2"/>
          <w:sz w:val="20"/>
        </w:rPr>
        <w:t xml:space="preserve"> </w:t>
      </w:r>
      <w:r w:rsidR="00CF6066">
        <w:rPr>
          <w:sz w:val="20"/>
        </w:rPr>
        <w:t>relevant</w:t>
      </w:r>
      <w:r w:rsidR="00CF6066">
        <w:rPr>
          <w:spacing w:val="-3"/>
          <w:sz w:val="20"/>
        </w:rPr>
        <w:t xml:space="preserve"> </w:t>
      </w:r>
      <w:r w:rsidR="00CF6066">
        <w:rPr>
          <w:sz w:val="20"/>
        </w:rPr>
        <w:t>to</w:t>
      </w:r>
      <w:r w:rsidR="00CF6066">
        <w:rPr>
          <w:spacing w:val="-4"/>
          <w:sz w:val="20"/>
        </w:rPr>
        <w:t xml:space="preserve"> </w:t>
      </w:r>
      <w:r w:rsidR="00CF6066">
        <w:rPr>
          <w:sz w:val="20"/>
        </w:rPr>
        <w:t>the</w:t>
      </w:r>
      <w:r w:rsidR="00CF6066">
        <w:rPr>
          <w:spacing w:val="-5"/>
          <w:sz w:val="20"/>
        </w:rPr>
        <w:t xml:space="preserve"> </w:t>
      </w:r>
      <w:r w:rsidR="00CF6066">
        <w:rPr>
          <w:sz w:val="20"/>
        </w:rPr>
        <w:t>HPC’s</w:t>
      </w:r>
      <w:r w:rsidR="00CF6066">
        <w:rPr>
          <w:spacing w:val="-3"/>
          <w:sz w:val="20"/>
        </w:rPr>
        <w:t xml:space="preserve"> </w:t>
      </w:r>
      <w:r w:rsidR="00CF6066">
        <w:rPr>
          <w:sz w:val="20"/>
        </w:rPr>
        <w:t>information</w:t>
      </w:r>
      <w:r w:rsidR="00CF6066">
        <w:rPr>
          <w:spacing w:val="-4"/>
          <w:sz w:val="20"/>
        </w:rPr>
        <w:t xml:space="preserve"> </w:t>
      </w:r>
      <w:r w:rsidR="00CF6066">
        <w:rPr>
          <w:sz w:val="20"/>
        </w:rPr>
        <w:t>requests</w:t>
      </w:r>
      <w:r w:rsidR="00CF6066">
        <w:rPr>
          <w:spacing w:val="-3"/>
          <w:sz w:val="20"/>
        </w:rPr>
        <w:t xml:space="preserve"> </w:t>
      </w:r>
      <w:r w:rsidR="00CF6066">
        <w:rPr>
          <w:sz w:val="20"/>
        </w:rPr>
        <w:t>whenever</w:t>
      </w:r>
      <w:r w:rsidR="00CF6066">
        <w:rPr>
          <w:spacing w:val="-5"/>
          <w:sz w:val="20"/>
        </w:rPr>
        <w:t xml:space="preserve"> </w:t>
      </w:r>
      <w:r w:rsidR="00CF6066">
        <w:rPr>
          <w:sz w:val="20"/>
        </w:rPr>
        <w:t xml:space="preserve">it becomes available </w:t>
      </w:r>
      <w:proofErr w:type="gramStart"/>
      <w:r w:rsidR="00CF6066">
        <w:rPr>
          <w:sz w:val="20"/>
        </w:rPr>
        <w:t>during the course of</w:t>
      </w:r>
      <w:proofErr w:type="gramEnd"/>
      <w:r w:rsidR="00CF6066">
        <w:rPr>
          <w:sz w:val="20"/>
        </w:rPr>
        <w:t xml:space="preserve"> the HPC’s review.</w:t>
      </w:r>
    </w:p>
    <w:p w14:paraId="4E968EA9" w14:textId="744D0AE7" w:rsidR="009F7A4D" w:rsidRDefault="009F7A4D" w:rsidP="009F7A4D">
      <w:pPr>
        <w:pStyle w:val="FootnoteText"/>
        <w:ind w:left="720" w:right="940"/>
      </w:pPr>
    </w:p>
  </w:footnote>
  <w:footnote w:id="20">
    <w:p w14:paraId="65BC1510" w14:textId="28ED61C9" w:rsidR="00CC1F3A" w:rsidRDefault="00CC1F3A" w:rsidP="00CC1F3A">
      <w:pPr>
        <w:pStyle w:val="FootnoteText"/>
        <w:ind w:left="720" w:right="850"/>
      </w:pPr>
      <w:r>
        <w:rPr>
          <w:rStyle w:val="FootnoteReference"/>
        </w:rPr>
        <w:footnoteRef/>
      </w:r>
      <w:r>
        <w:t xml:space="preserve"> </w:t>
      </w:r>
      <w:hyperlink r:id="rId33" w:history="1">
        <w:r w:rsidRPr="00DC6636">
          <w:rPr>
            <w:rStyle w:val="Hyperlink"/>
            <w:color w:val="000000" w:themeColor="text1"/>
            <w:u w:val="none"/>
          </w:rPr>
          <w:t>M</w:t>
        </w:r>
        <w:r w:rsidRPr="00DC6636">
          <w:rPr>
            <w:rStyle w:val="Hyperlink"/>
            <w:color w:val="000000" w:themeColor="text1"/>
            <w:sz w:val="16"/>
            <w:u w:val="none"/>
          </w:rPr>
          <w:t>ASS</w:t>
        </w:r>
        <w:r w:rsidRPr="00DC6636">
          <w:rPr>
            <w:rStyle w:val="Hyperlink"/>
            <w:color w:val="000000" w:themeColor="text1"/>
            <w:u w:val="none"/>
          </w:rPr>
          <w:t>.</w:t>
        </w:r>
        <w:r w:rsidRPr="00DC6636">
          <w:rPr>
            <w:rStyle w:val="Hyperlink"/>
            <w:color w:val="000000" w:themeColor="text1"/>
            <w:spacing w:val="-11"/>
            <w:u w:val="none"/>
          </w:rPr>
          <w:t xml:space="preserve"> </w:t>
        </w:r>
        <w:r w:rsidRPr="00DC6636">
          <w:rPr>
            <w:rStyle w:val="Hyperlink"/>
            <w:color w:val="000000" w:themeColor="text1"/>
            <w:u w:val="none"/>
          </w:rPr>
          <w:t>G</w:t>
        </w:r>
        <w:r w:rsidRPr="00DC6636">
          <w:rPr>
            <w:rStyle w:val="Hyperlink"/>
            <w:color w:val="000000" w:themeColor="text1"/>
            <w:sz w:val="16"/>
            <w:u w:val="none"/>
          </w:rPr>
          <w:t>EN</w:t>
        </w:r>
        <w:r w:rsidRPr="00DC6636">
          <w:rPr>
            <w:rStyle w:val="Hyperlink"/>
            <w:color w:val="000000" w:themeColor="text1"/>
            <w:u w:val="none"/>
          </w:rPr>
          <w:t>.</w:t>
        </w:r>
        <w:r w:rsidRPr="00DC6636">
          <w:rPr>
            <w:rStyle w:val="Hyperlink"/>
            <w:color w:val="000000" w:themeColor="text1"/>
            <w:spacing w:val="-13"/>
            <w:u w:val="none"/>
          </w:rPr>
          <w:t xml:space="preserve"> </w:t>
        </w:r>
        <w:r w:rsidRPr="00DC6636">
          <w:rPr>
            <w:rStyle w:val="Hyperlink"/>
            <w:color w:val="000000" w:themeColor="text1"/>
            <w:u w:val="none"/>
          </w:rPr>
          <w:t>L</w:t>
        </w:r>
        <w:r w:rsidRPr="00DC6636">
          <w:rPr>
            <w:rStyle w:val="Hyperlink"/>
            <w:color w:val="000000" w:themeColor="text1"/>
            <w:sz w:val="16"/>
            <w:u w:val="none"/>
          </w:rPr>
          <w:t>AWS</w:t>
        </w:r>
        <w:r w:rsidRPr="00DC6636">
          <w:rPr>
            <w:rStyle w:val="Hyperlink"/>
            <w:color w:val="000000" w:themeColor="text1"/>
            <w:spacing w:val="-1"/>
            <w:sz w:val="16"/>
            <w:u w:val="none"/>
          </w:rPr>
          <w:t xml:space="preserve"> </w:t>
        </w:r>
        <w:r w:rsidRPr="00DC6636">
          <w:rPr>
            <w:rStyle w:val="Hyperlink"/>
            <w:color w:val="000000" w:themeColor="text1"/>
            <w:u w:val="none"/>
          </w:rPr>
          <w:t>ch.</w:t>
        </w:r>
        <w:r w:rsidRPr="00DC6636">
          <w:rPr>
            <w:rStyle w:val="Hyperlink"/>
            <w:color w:val="000000" w:themeColor="text1"/>
            <w:spacing w:val="-4"/>
            <w:u w:val="none"/>
          </w:rPr>
          <w:t xml:space="preserve"> </w:t>
        </w:r>
        <w:r w:rsidRPr="00DC6636">
          <w:rPr>
            <w:rStyle w:val="Hyperlink"/>
            <w:color w:val="000000" w:themeColor="text1"/>
            <w:u w:val="none"/>
          </w:rPr>
          <w:t>6D,</w:t>
        </w:r>
        <w:r w:rsidRPr="00DC6636">
          <w:rPr>
            <w:rStyle w:val="Hyperlink"/>
            <w:color w:val="000000" w:themeColor="text1"/>
            <w:spacing w:val="-1"/>
            <w:u w:val="none"/>
          </w:rPr>
          <w:t xml:space="preserve"> </w:t>
        </w:r>
        <w:r w:rsidRPr="00DC6636">
          <w:rPr>
            <w:rStyle w:val="Hyperlink"/>
            <w:color w:val="000000" w:themeColor="text1"/>
            <w:u w:val="none"/>
          </w:rPr>
          <w:t>§</w:t>
        </w:r>
        <w:r w:rsidRPr="00DC6636">
          <w:rPr>
            <w:rStyle w:val="Hyperlink"/>
            <w:color w:val="000000" w:themeColor="text1"/>
            <w:spacing w:val="-4"/>
            <w:u w:val="none"/>
          </w:rPr>
          <w:t xml:space="preserve"> </w:t>
        </w:r>
        <w:r w:rsidRPr="00DC6636">
          <w:rPr>
            <w:rStyle w:val="Hyperlink"/>
            <w:color w:val="000000" w:themeColor="text1"/>
            <w:u w:val="none"/>
          </w:rPr>
          <w:t>11</w:t>
        </w:r>
        <w:r w:rsidRPr="00DC6636">
          <w:rPr>
            <w:rStyle w:val="Hyperlink"/>
            <w:color w:val="000000" w:themeColor="text1"/>
            <w:spacing w:val="-1"/>
            <w:u w:val="none"/>
          </w:rPr>
          <w:t xml:space="preserve"> </w:t>
        </w:r>
        <w:r w:rsidRPr="00DC6636">
          <w:rPr>
            <w:rStyle w:val="Hyperlink"/>
            <w:color w:val="000000" w:themeColor="text1"/>
            <w:u w:val="none"/>
          </w:rPr>
          <w:t>and</w:t>
        </w:r>
        <w:r w:rsidRPr="00DC6636">
          <w:rPr>
            <w:rStyle w:val="Hyperlink"/>
            <w:color w:val="000000" w:themeColor="text1"/>
            <w:spacing w:val="-1"/>
            <w:u w:val="none"/>
          </w:rPr>
          <w:t xml:space="preserve"> </w:t>
        </w:r>
        <w:r w:rsidRPr="00DC6636">
          <w:rPr>
            <w:rStyle w:val="Hyperlink"/>
            <w:color w:val="000000" w:themeColor="text1"/>
            <w:u w:val="none"/>
          </w:rPr>
          <w:t>ch.</w:t>
        </w:r>
        <w:r w:rsidRPr="00DC6636">
          <w:rPr>
            <w:rStyle w:val="Hyperlink"/>
            <w:color w:val="000000" w:themeColor="text1"/>
            <w:spacing w:val="-1"/>
            <w:u w:val="none"/>
          </w:rPr>
          <w:t xml:space="preserve"> </w:t>
        </w:r>
        <w:r w:rsidRPr="00DC6636">
          <w:rPr>
            <w:rStyle w:val="Hyperlink"/>
            <w:color w:val="000000" w:themeColor="text1"/>
            <w:u w:val="none"/>
          </w:rPr>
          <w:t>12C,</w:t>
        </w:r>
        <w:r w:rsidRPr="00DC6636">
          <w:rPr>
            <w:rStyle w:val="Hyperlink"/>
            <w:color w:val="000000" w:themeColor="text1"/>
            <w:spacing w:val="-1"/>
            <w:u w:val="none"/>
          </w:rPr>
          <w:t xml:space="preserve"> </w:t>
        </w:r>
        <w:r w:rsidRPr="00DC6636">
          <w:rPr>
            <w:rStyle w:val="Hyperlink"/>
            <w:color w:val="000000" w:themeColor="text1"/>
            <w:u w:val="none"/>
          </w:rPr>
          <w:t>§</w:t>
        </w:r>
        <w:r w:rsidRPr="00DC6636">
          <w:rPr>
            <w:rStyle w:val="Hyperlink"/>
            <w:color w:val="000000" w:themeColor="text1"/>
            <w:spacing w:val="-4"/>
            <w:u w:val="none"/>
          </w:rPr>
          <w:t xml:space="preserve"> </w:t>
        </w:r>
        <w:r w:rsidRPr="00DC6636">
          <w:rPr>
            <w:rStyle w:val="Hyperlink"/>
            <w:color w:val="000000" w:themeColor="text1"/>
            <w:u w:val="none"/>
          </w:rPr>
          <w:t>9</w:t>
        </w:r>
      </w:hyperlink>
      <w:r w:rsidRPr="00DC6636">
        <w:rPr>
          <w:color w:val="000000" w:themeColor="text1"/>
          <w:spacing w:val="-1"/>
        </w:rPr>
        <w:t xml:space="preserve"> </w:t>
      </w:r>
      <w:r w:rsidRPr="00DC6636">
        <w:rPr>
          <w:color w:val="000000" w:themeColor="text1"/>
        </w:rPr>
        <w:t xml:space="preserve">(requiring </w:t>
      </w:r>
      <w:r>
        <w:t>provider</w:t>
      </w:r>
      <w:r>
        <w:rPr>
          <w:spacing w:val="-1"/>
        </w:rPr>
        <w:t xml:space="preserve"> </w:t>
      </w:r>
      <w:r>
        <w:t>organizations</w:t>
      </w:r>
      <w:r>
        <w:rPr>
          <w:spacing w:val="-1"/>
        </w:rPr>
        <w:t xml:space="preserve"> </w:t>
      </w:r>
      <w:r>
        <w:t>to</w:t>
      </w:r>
      <w:r>
        <w:rPr>
          <w:spacing w:val="-2"/>
        </w:rPr>
        <w:t xml:space="preserve"> </w:t>
      </w:r>
      <w:r>
        <w:t>register</w:t>
      </w:r>
      <w:r>
        <w:rPr>
          <w:spacing w:val="-3"/>
        </w:rPr>
        <w:t xml:space="preserve"> </w:t>
      </w:r>
      <w:r>
        <w:t>annually</w:t>
      </w:r>
      <w:r>
        <w:rPr>
          <w:spacing w:val="-3"/>
        </w:rPr>
        <w:t xml:space="preserve"> </w:t>
      </w:r>
      <w:r>
        <w:t>with</w:t>
      </w:r>
      <w:r>
        <w:rPr>
          <w:spacing w:val="-2"/>
        </w:rPr>
        <w:t xml:space="preserve"> </w:t>
      </w:r>
      <w:r>
        <w:t xml:space="preserve">the HPC and CHIA and provide information on organizational structure and affiliations, and other requested information); </w:t>
      </w:r>
      <w:r>
        <w:rPr>
          <w:i/>
        </w:rPr>
        <w:t xml:space="preserve">see also </w:t>
      </w:r>
      <w:r>
        <w:t>958 CMR §§ 6.00 (2014) and 957 CMR</w:t>
      </w:r>
      <w:r>
        <w:rPr>
          <w:spacing w:val="-4"/>
        </w:rPr>
        <w:t xml:space="preserve"> </w:t>
      </w:r>
      <w:r>
        <w:t xml:space="preserve">§§ 11.00 (2017); </w:t>
      </w:r>
      <w:r>
        <w:rPr>
          <w:i/>
        </w:rPr>
        <w:t>Registration of Provider Organizations</w:t>
      </w:r>
      <w:r>
        <w:t>, M</w:t>
      </w:r>
      <w:r>
        <w:rPr>
          <w:sz w:val="16"/>
        </w:rPr>
        <w:t>ASS</w:t>
      </w:r>
      <w:r>
        <w:t>. H</w:t>
      </w:r>
      <w:r>
        <w:rPr>
          <w:sz w:val="16"/>
        </w:rPr>
        <w:t xml:space="preserve">EALTH </w:t>
      </w:r>
      <w:r>
        <w:t>P</w:t>
      </w:r>
      <w:r>
        <w:rPr>
          <w:sz w:val="16"/>
        </w:rPr>
        <w:t xml:space="preserve">OLICY </w:t>
      </w:r>
      <w:r>
        <w:t>C</w:t>
      </w:r>
      <w:r>
        <w:rPr>
          <w:sz w:val="16"/>
        </w:rPr>
        <w:t>OMM</w:t>
      </w:r>
      <w:r>
        <w:t>’</w:t>
      </w:r>
      <w:r>
        <w:rPr>
          <w:sz w:val="16"/>
        </w:rPr>
        <w:t>N</w:t>
      </w:r>
      <w:r>
        <w:t xml:space="preserve">, </w:t>
      </w:r>
      <w:hyperlink r:id="rId34">
        <w:r>
          <w:rPr>
            <w:color w:val="486794"/>
            <w:u w:val="single" w:color="486794"/>
          </w:rPr>
          <w:t>https://masshpc.gov/moat/rpo</w:t>
        </w:r>
      </w:hyperlink>
      <w:r>
        <w:rPr>
          <w:color w:val="486794"/>
        </w:rPr>
        <w:t xml:space="preserve"> </w:t>
      </w:r>
      <w:r>
        <w:t>(last visited February 27, 2025).</w:t>
      </w:r>
    </w:p>
  </w:footnote>
  <w:footnote w:id="21">
    <w:p w14:paraId="0EBB23FC" w14:textId="786C346E" w:rsidR="00CC1F3A" w:rsidRDefault="00CC1F3A" w:rsidP="00391CBD">
      <w:pPr>
        <w:pStyle w:val="FootnoteText"/>
        <w:ind w:left="720" w:right="850"/>
      </w:pPr>
      <w:r>
        <w:rPr>
          <w:rStyle w:val="FootnoteReference"/>
        </w:rPr>
        <w:footnoteRef/>
      </w:r>
      <w:r>
        <w:t xml:space="preserve"> These data include relative price (RP) data and total medical expense (TME) data. </w:t>
      </w:r>
      <w:r>
        <w:rPr>
          <w:i/>
        </w:rPr>
        <w:t xml:space="preserve">See </w:t>
      </w:r>
      <w:hyperlink r:id="rId35" w:history="1">
        <w:r w:rsidRPr="00F90728">
          <w:rPr>
            <w:rStyle w:val="Hyperlink"/>
            <w:i/>
            <w:color w:val="000000" w:themeColor="text1"/>
            <w:u w:val="none"/>
          </w:rPr>
          <w:t>Relative Price and Provider</w:t>
        </w:r>
        <w:r w:rsidRPr="00F90728">
          <w:rPr>
            <w:rStyle w:val="Hyperlink"/>
            <w:i/>
            <w:color w:val="000000" w:themeColor="text1"/>
            <w:spacing w:val="-10"/>
            <w:u w:val="none"/>
          </w:rPr>
          <w:t xml:space="preserve"> </w:t>
        </w:r>
        <w:r w:rsidRPr="00F90728">
          <w:rPr>
            <w:rStyle w:val="Hyperlink"/>
            <w:i/>
            <w:color w:val="000000" w:themeColor="text1"/>
            <w:u w:val="none"/>
          </w:rPr>
          <w:t>Price</w:t>
        </w:r>
        <w:r w:rsidRPr="00F90728">
          <w:rPr>
            <w:rStyle w:val="Hyperlink"/>
            <w:i/>
            <w:color w:val="000000" w:themeColor="text1"/>
            <w:spacing w:val="-5"/>
            <w:u w:val="none"/>
          </w:rPr>
          <w:t xml:space="preserve"> </w:t>
        </w:r>
        <w:r w:rsidRPr="00F90728">
          <w:rPr>
            <w:rStyle w:val="Hyperlink"/>
            <w:i/>
            <w:color w:val="000000" w:themeColor="text1"/>
            <w:u w:val="none"/>
          </w:rPr>
          <w:t>Variation</w:t>
        </w:r>
      </w:hyperlink>
      <w:r w:rsidRPr="00F90728">
        <w:rPr>
          <w:color w:val="000000" w:themeColor="text1"/>
        </w:rPr>
        <w:t>,</w:t>
      </w:r>
      <w:r w:rsidRPr="00F90728">
        <w:rPr>
          <w:color w:val="000000" w:themeColor="text1"/>
          <w:spacing w:val="-4"/>
        </w:rPr>
        <w:t xml:space="preserve"> </w:t>
      </w:r>
      <w:r>
        <w:t>C</w:t>
      </w:r>
      <w:r>
        <w:rPr>
          <w:sz w:val="16"/>
        </w:rPr>
        <w:t>TR</w:t>
      </w:r>
      <w:r>
        <w:t>.</w:t>
      </w:r>
      <w:r>
        <w:rPr>
          <w:spacing w:val="-13"/>
        </w:rPr>
        <w:t xml:space="preserve"> </w:t>
      </w:r>
      <w:r>
        <w:rPr>
          <w:sz w:val="16"/>
        </w:rPr>
        <w:t>FOR</w:t>
      </w:r>
      <w:r>
        <w:rPr>
          <w:spacing w:val="-4"/>
          <w:sz w:val="16"/>
        </w:rPr>
        <w:t xml:space="preserve"> </w:t>
      </w:r>
      <w:r>
        <w:t>H</w:t>
      </w:r>
      <w:r>
        <w:rPr>
          <w:sz w:val="16"/>
        </w:rPr>
        <w:t>EALTH</w:t>
      </w:r>
      <w:r>
        <w:rPr>
          <w:spacing w:val="-6"/>
          <w:sz w:val="16"/>
        </w:rPr>
        <w:t xml:space="preserve"> </w:t>
      </w:r>
      <w:r>
        <w:t>I</w:t>
      </w:r>
      <w:r>
        <w:rPr>
          <w:sz w:val="16"/>
        </w:rPr>
        <w:t>NFO</w:t>
      </w:r>
      <w:r>
        <w:t>.</w:t>
      </w:r>
      <w:r>
        <w:rPr>
          <w:spacing w:val="-13"/>
        </w:rPr>
        <w:t xml:space="preserve"> </w:t>
      </w:r>
      <w:r>
        <w:t>&amp;</w:t>
      </w:r>
      <w:r>
        <w:rPr>
          <w:spacing w:val="-12"/>
        </w:rPr>
        <w:t xml:space="preserve"> </w:t>
      </w:r>
      <w:r>
        <w:t>A</w:t>
      </w:r>
      <w:r>
        <w:rPr>
          <w:sz w:val="16"/>
        </w:rPr>
        <w:t>NALYSIS</w:t>
      </w:r>
      <w:r>
        <w:t>,</w:t>
      </w:r>
      <w:r>
        <w:rPr>
          <w:spacing w:val="-4"/>
        </w:rPr>
        <w:t xml:space="preserve"> </w:t>
      </w:r>
      <w:hyperlink r:id="rId36">
        <w:r>
          <w:rPr>
            <w:color w:val="486794"/>
            <w:u w:val="single" w:color="486794"/>
          </w:rPr>
          <w:t>http://www.chiamass.gov/relative-price-and-provider-</w:t>
        </w:r>
      </w:hyperlink>
      <w:r>
        <w:rPr>
          <w:color w:val="486794"/>
        </w:rPr>
        <w:t xml:space="preserve"> </w:t>
      </w:r>
      <w:hyperlink r:id="rId37">
        <w:r>
          <w:rPr>
            <w:color w:val="486794"/>
            <w:u w:val="single" w:color="486794"/>
          </w:rPr>
          <w:t>price-variation/</w:t>
        </w:r>
      </w:hyperlink>
      <w:r>
        <w:rPr>
          <w:color w:val="486794"/>
          <w:spacing w:val="-8"/>
        </w:rPr>
        <w:t xml:space="preserve"> </w:t>
      </w:r>
      <w:r>
        <w:t xml:space="preserve">(last visited February 27, 2025); </w:t>
      </w:r>
      <w:hyperlink r:id="rId38" w:history="1">
        <w:r w:rsidRPr="00D714D4">
          <w:rPr>
            <w:rStyle w:val="Hyperlink"/>
            <w:i/>
            <w:color w:val="000000" w:themeColor="text1"/>
            <w:u w:val="none"/>
          </w:rPr>
          <w:t>Total Health Care Expenditures, Total Medical Expenses and Alternative Payment Methods</w:t>
        </w:r>
      </w:hyperlink>
      <w:r w:rsidRPr="00D714D4">
        <w:rPr>
          <w:color w:val="000000" w:themeColor="text1"/>
        </w:rPr>
        <w:t>, C</w:t>
      </w:r>
      <w:r w:rsidRPr="00D714D4">
        <w:rPr>
          <w:color w:val="000000" w:themeColor="text1"/>
          <w:sz w:val="16"/>
        </w:rPr>
        <w:t>TR</w:t>
      </w:r>
      <w:r>
        <w:t>.</w:t>
      </w:r>
      <w:r>
        <w:rPr>
          <w:spacing w:val="-8"/>
        </w:rPr>
        <w:t xml:space="preserve"> </w:t>
      </w:r>
      <w:r>
        <w:rPr>
          <w:sz w:val="16"/>
        </w:rPr>
        <w:t xml:space="preserve">FOR </w:t>
      </w:r>
      <w:r>
        <w:t>H</w:t>
      </w:r>
      <w:r>
        <w:rPr>
          <w:sz w:val="16"/>
        </w:rPr>
        <w:t xml:space="preserve">EALTH </w:t>
      </w:r>
      <w:r>
        <w:t>I</w:t>
      </w:r>
      <w:r>
        <w:rPr>
          <w:sz w:val="16"/>
        </w:rPr>
        <w:t>NFO</w:t>
      </w:r>
      <w:r>
        <w:t>.</w:t>
      </w:r>
      <w:r>
        <w:rPr>
          <w:spacing w:val="-8"/>
        </w:rPr>
        <w:t xml:space="preserve"> </w:t>
      </w:r>
      <w:r>
        <w:t>&amp;</w:t>
      </w:r>
      <w:r>
        <w:rPr>
          <w:spacing w:val="-9"/>
        </w:rPr>
        <w:t xml:space="preserve"> </w:t>
      </w:r>
      <w:r>
        <w:t>A</w:t>
      </w:r>
      <w:r>
        <w:rPr>
          <w:sz w:val="16"/>
        </w:rPr>
        <w:t>NALYSIS</w:t>
      </w:r>
      <w:r>
        <w:t xml:space="preserve">, </w:t>
      </w:r>
      <w:hyperlink r:id="rId39">
        <w:r>
          <w:rPr>
            <w:color w:val="486794"/>
            <w:u w:val="single" w:color="486794"/>
          </w:rPr>
          <w:t>https://www.chiamass.gov/thce-tme-apm</w:t>
        </w:r>
      </w:hyperlink>
      <w:r>
        <w:rPr>
          <w:color w:val="486794"/>
        </w:rPr>
        <w:t xml:space="preserve"> </w:t>
      </w:r>
      <w:r>
        <w:t>(last visited February 27, 2025). The most recent available year of data for relative price and TME data was calendar year 2022. In addition to the published data for these metrics, the HPC used the confidential raw data underlying these metrics provided by payers to CHIA.</w:t>
      </w:r>
    </w:p>
  </w:footnote>
  <w:footnote w:id="22">
    <w:p w14:paraId="7271778D" w14:textId="182F3F52" w:rsidR="00CC1F3A" w:rsidRDefault="00CC1F3A" w:rsidP="00391CBD">
      <w:pPr>
        <w:pStyle w:val="FootnoteText"/>
        <w:ind w:left="720" w:right="850"/>
      </w:pPr>
      <w:r>
        <w:rPr>
          <w:rStyle w:val="FootnoteReference"/>
        </w:rPr>
        <w:footnoteRef/>
      </w:r>
      <w:r>
        <w:t xml:space="preserve"> </w:t>
      </w:r>
      <w:r>
        <w:rPr>
          <w:i/>
        </w:rPr>
        <w:t>See</w:t>
      </w:r>
      <w:r>
        <w:rPr>
          <w:i/>
          <w:spacing w:val="-4"/>
        </w:rPr>
        <w:t xml:space="preserve"> </w:t>
      </w:r>
      <w:hyperlink r:id="rId40" w:history="1">
        <w:r w:rsidRPr="004779D5">
          <w:rPr>
            <w:rStyle w:val="Hyperlink"/>
            <w:i/>
            <w:color w:val="000000" w:themeColor="text1"/>
            <w:u w:val="none"/>
          </w:rPr>
          <w:t>Case</w:t>
        </w:r>
        <w:r w:rsidRPr="004779D5">
          <w:rPr>
            <w:rStyle w:val="Hyperlink"/>
            <w:i/>
            <w:color w:val="000000" w:themeColor="text1"/>
            <w:spacing w:val="-3"/>
            <w:u w:val="none"/>
          </w:rPr>
          <w:t xml:space="preserve"> </w:t>
        </w:r>
        <w:r w:rsidRPr="004779D5">
          <w:rPr>
            <w:rStyle w:val="Hyperlink"/>
            <w:i/>
            <w:color w:val="000000" w:themeColor="text1"/>
            <w:u w:val="none"/>
          </w:rPr>
          <w:t>Mix</w:t>
        </w:r>
        <w:r w:rsidRPr="004779D5">
          <w:rPr>
            <w:rStyle w:val="Hyperlink"/>
            <w:i/>
            <w:color w:val="000000" w:themeColor="text1"/>
            <w:spacing w:val="-4"/>
            <w:u w:val="none"/>
          </w:rPr>
          <w:t xml:space="preserve"> </w:t>
        </w:r>
        <w:r w:rsidRPr="004779D5">
          <w:rPr>
            <w:rStyle w:val="Hyperlink"/>
            <w:i/>
            <w:color w:val="000000" w:themeColor="text1"/>
            <w:u w:val="none"/>
          </w:rPr>
          <w:t>Data</w:t>
        </w:r>
        <w:r w:rsidRPr="004779D5">
          <w:rPr>
            <w:rStyle w:val="Hyperlink"/>
            <w:color w:val="000000" w:themeColor="text1"/>
            <w:u w:val="none"/>
          </w:rPr>
          <w:t>,</w:t>
        </w:r>
        <w:r w:rsidRPr="004779D5">
          <w:rPr>
            <w:rStyle w:val="Hyperlink"/>
            <w:color w:val="000000" w:themeColor="text1"/>
            <w:spacing w:val="-2"/>
            <w:u w:val="none"/>
          </w:rPr>
          <w:t xml:space="preserve"> </w:t>
        </w:r>
        <w:r w:rsidRPr="004779D5">
          <w:rPr>
            <w:rStyle w:val="Hyperlink"/>
            <w:color w:val="000000" w:themeColor="text1"/>
            <w:u w:val="none"/>
          </w:rPr>
          <w:t>C</w:t>
        </w:r>
        <w:r w:rsidRPr="004779D5">
          <w:rPr>
            <w:rStyle w:val="Hyperlink"/>
            <w:color w:val="000000" w:themeColor="text1"/>
            <w:sz w:val="16"/>
            <w:u w:val="none"/>
          </w:rPr>
          <w:t>TR</w:t>
        </w:r>
        <w:r w:rsidRPr="004779D5">
          <w:rPr>
            <w:rStyle w:val="Hyperlink"/>
            <w:color w:val="000000" w:themeColor="text1"/>
            <w:u w:val="none"/>
          </w:rPr>
          <w:t>.</w:t>
        </w:r>
        <w:r w:rsidRPr="004779D5">
          <w:rPr>
            <w:rStyle w:val="Hyperlink"/>
            <w:color w:val="000000" w:themeColor="text1"/>
            <w:spacing w:val="-12"/>
            <w:u w:val="none"/>
          </w:rPr>
          <w:t xml:space="preserve"> </w:t>
        </w:r>
        <w:r w:rsidRPr="004779D5">
          <w:rPr>
            <w:rStyle w:val="Hyperlink"/>
            <w:color w:val="000000" w:themeColor="text1"/>
            <w:sz w:val="16"/>
            <w:u w:val="none"/>
          </w:rPr>
          <w:t>FOR</w:t>
        </w:r>
        <w:r w:rsidRPr="004779D5">
          <w:rPr>
            <w:rStyle w:val="Hyperlink"/>
            <w:color w:val="000000" w:themeColor="text1"/>
            <w:spacing w:val="-5"/>
            <w:sz w:val="16"/>
            <w:u w:val="none"/>
          </w:rPr>
          <w:t xml:space="preserve"> </w:t>
        </w:r>
        <w:r w:rsidRPr="004779D5">
          <w:rPr>
            <w:rStyle w:val="Hyperlink"/>
            <w:color w:val="000000" w:themeColor="text1"/>
            <w:u w:val="none"/>
          </w:rPr>
          <w:t>H</w:t>
        </w:r>
        <w:r w:rsidRPr="004779D5">
          <w:rPr>
            <w:rStyle w:val="Hyperlink"/>
            <w:color w:val="000000" w:themeColor="text1"/>
            <w:sz w:val="16"/>
            <w:u w:val="none"/>
          </w:rPr>
          <w:t>EALTH</w:t>
        </w:r>
        <w:r w:rsidRPr="004779D5">
          <w:rPr>
            <w:rStyle w:val="Hyperlink"/>
            <w:color w:val="000000" w:themeColor="text1"/>
            <w:spacing w:val="-5"/>
            <w:sz w:val="16"/>
            <w:u w:val="none"/>
          </w:rPr>
          <w:t xml:space="preserve"> </w:t>
        </w:r>
        <w:r w:rsidRPr="004779D5">
          <w:rPr>
            <w:rStyle w:val="Hyperlink"/>
            <w:color w:val="000000" w:themeColor="text1"/>
            <w:u w:val="none"/>
          </w:rPr>
          <w:t>I</w:t>
        </w:r>
        <w:r w:rsidRPr="004779D5">
          <w:rPr>
            <w:rStyle w:val="Hyperlink"/>
            <w:color w:val="000000" w:themeColor="text1"/>
            <w:sz w:val="16"/>
            <w:u w:val="none"/>
          </w:rPr>
          <w:t>NFO</w:t>
        </w:r>
        <w:r w:rsidRPr="004779D5">
          <w:rPr>
            <w:rStyle w:val="Hyperlink"/>
            <w:color w:val="000000" w:themeColor="text1"/>
            <w:u w:val="none"/>
          </w:rPr>
          <w:t>.</w:t>
        </w:r>
        <w:r w:rsidRPr="004779D5">
          <w:rPr>
            <w:rStyle w:val="Hyperlink"/>
            <w:color w:val="000000" w:themeColor="text1"/>
            <w:spacing w:val="-13"/>
            <w:u w:val="none"/>
          </w:rPr>
          <w:t xml:space="preserve"> </w:t>
        </w:r>
        <w:r w:rsidRPr="004779D5">
          <w:rPr>
            <w:rStyle w:val="Hyperlink"/>
            <w:color w:val="000000" w:themeColor="text1"/>
            <w:u w:val="none"/>
          </w:rPr>
          <w:t>&amp;</w:t>
        </w:r>
        <w:r w:rsidRPr="004779D5">
          <w:rPr>
            <w:rStyle w:val="Hyperlink"/>
            <w:color w:val="000000" w:themeColor="text1"/>
            <w:spacing w:val="-12"/>
            <w:u w:val="none"/>
          </w:rPr>
          <w:t xml:space="preserve"> </w:t>
        </w:r>
        <w:r w:rsidRPr="004779D5">
          <w:rPr>
            <w:rStyle w:val="Hyperlink"/>
            <w:color w:val="000000" w:themeColor="text1"/>
            <w:u w:val="none"/>
          </w:rPr>
          <w:t>A</w:t>
        </w:r>
        <w:r w:rsidRPr="004779D5">
          <w:rPr>
            <w:rStyle w:val="Hyperlink"/>
            <w:color w:val="000000" w:themeColor="text1"/>
            <w:sz w:val="16"/>
            <w:u w:val="none"/>
          </w:rPr>
          <w:t>NALYSIS</w:t>
        </w:r>
      </w:hyperlink>
      <w:r>
        <w:t>,</w:t>
      </w:r>
      <w:r>
        <w:rPr>
          <w:spacing w:val="-2"/>
        </w:rPr>
        <w:t xml:space="preserve"> </w:t>
      </w:r>
      <w:hyperlink r:id="rId41">
        <w:r>
          <w:rPr>
            <w:color w:val="486794"/>
            <w:u w:val="single" w:color="486794"/>
          </w:rPr>
          <w:t>http://www.chiamass.gov/case-mix-data/</w:t>
        </w:r>
      </w:hyperlink>
      <w:r>
        <w:rPr>
          <w:color w:val="486794"/>
          <w:spacing w:val="-3"/>
        </w:rPr>
        <w:t xml:space="preserve"> </w:t>
      </w:r>
      <w:r>
        <w:t>(last</w:t>
      </w:r>
      <w:r>
        <w:rPr>
          <w:spacing w:val="-2"/>
        </w:rPr>
        <w:t xml:space="preserve"> </w:t>
      </w:r>
      <w:r>
        <w:t>visited February 27, 2025). Our analyses for this report primarily used CHIA hospital discharge data for 2023, with retrospective analyses using data from as early as 2016.</w:t>
      </w:r>
    </w:p>
  </w:footnote>
  <w:footnote w:id="23">
    <w:p w14:paraId="3ACC0C06" w14:textId="7E11DBCE" w:rsidR="00391CBD" w:rsidRDefault="00391CBD" w:rsidP="00391CBD">
      <w:pPr>
        <w:pStyle w:val="FootnoteText"/>
        <w:ind w:left="720" w:right="850"/>
      </w:pPr>
      <w:r>
        <w:rPr>
          <w:rStyle w:val="FootnoteReference"/>
        </w:rPr>
        <w:footnoteRef/>
      </w:r>
      <w:r>
        <w:t xml:space="preserve"> The APCD includes medical, pharmacy, and dental claims, as well as information about member eligibility, benefit</w:t>
      </w:r>
      <w:r>
        <w:rPr>
          <w:spacing w:val="-3"/>
        </w:rPr>
        <w:t xml:space="preserve"> </w:t>
      </w:r>
      <w:r>
        <w:t>design,</w:t>
      </w:r>
      <w:r>
        <w:rPr>
          <w:spacing w:val="-3"/>
        </w:rPr>
        <w:t xml:space="preserve"> </w:t>
      </w:r>
      <w:r>
        <w:t>and</w:t>
      </w:r>
      <w:r>
        <w:rPr>
          <w:spacing w:val="-3"/>
        </w:rPr>
        <w:t xml:space="preserve"> </w:t>
      </w:r>
      <w:r>
        <w:t>providers</w:t>
      </w:r>
      <w:r>
        <w:rPr>
          <w:spacing w:val="-3"/>
        </w:rPr>
        <w:t xml:space="preserve"> </w:t>
      </w:r>
      <w:r>
        <w:t>for</w:t>
      </w:r>
      <w:r>
        <w:rPr>
          <w:spacing w:val="-5"/>
        </w:rPr>
        <w:t xml:space="preserve"> </w:t>
      </w:r>
      <w:r>
        <w:t>all</w:t>
      </w:r>
      <w:r>
        <w:rPr>
          <w:spacing w:val="-4"/>
        </w:rPr>
        <w:t xml:space="preserve"> </w:t>
      </w:r>
      <w:r>
        <w:t>payers</w:t>
      </w:r>
      <w:r>
        <w:rPr>
          <w:spacing w:val="-3"/>
        </w:rPr>
        <w:t xml:space="preserve"> </w:t>
      </w:r>
      <w:r>
        <w:t>covering</w:t>
      </w:r>
      <w:r>
        <w:rPr>
          <w:spacing w:val="-4"/>
        </w:rPr>
        <w:t xml:space="preserve"> </w:t>
      </w:r>
      <w:r>
        <w:t>Massachusetts</w:t>
      </w:r>
      <w:r>
        <w:rPr>
          <w:spacing w:val="-3"/>
        </w:rPr>
        <w:t xml:space="preserve"> </w:t>
      </w:r>
      <w:r>
        <w:t>residents</w:t>
      </w:r>
      <w:r>
        <w:rPr>
          <w:i/>
        </w:rPr>
        <w:t>.</w:t>
      </w:r>
      <w:r>
        <w:rPr>
          <w:i/>
          <w:spacing w:val="-3"/>
        </w:rPr>
        <w:t xml:space="preserve"> </w:t>
      </w:r>
      <w:r>
        <w:rPr>
          <w:i/>
        </w:rPr>
        <w:t>See</w:t>
      </w:r>
      <w:r>
        <w:rPr>
          <w:i/>
          <w:spacing w:val="-5"/>
        </w:rPr>
        <w:t xml:space="preserve"> </w:t>
      </w:r>
      <w:hyperlink r:id="rId42" w:history="1">
        <w:r w:rsidRPr="00BE04FE">
          <w:rPr>
            <w:rStyle w:val="Hyperlink"/>
            <w:i/>
            <w:color w:val="000000" w:themeColor="text1"/>
            <w:u w:val="none"/>
          </w:rPr>
          <w:t>All-Payer</w:t>
        </w:r>
        <w:r w:rsidRPr="00BE04FE">
          <w:rPr>
            <w:rStyle w:val="Hyperlink"/>
            <w:i/>
            <w:color w:val="000000" w:themeColor="text1"/>
            <w:spacing w:val="-4"/>
            <w:u w:val="none"/>
          </w:rPr>
          <w:t xml:space="preserve"> </w:t>
        </w:r>
        <w:r w:rsidRPr="00BE04FE">
          <w:rPr>
            <w:rStyle w:val="Hyperlink"/>
            <w:i/>
            <w:color w:val="000000" w:themeColor="text1"/>
            <w:u w:val="none"/>
          </w:rPr>
          <w:t>Claims</w:t>
        </w:r>
        <w:r w:rsidRPr="00BE04FE">
          <w:rPr>
            <w:rStyle w:val="Hyperlink"/>
            <w:i/>
            <w:color w:val="000000" w:themeColor="text1"/>
            <w:spacing w:val="-5"/>
            <w:u w:val="none"/>
          </w:rPr>
          <w:t xml:space="preserve"> </w:t>
        </w:r>
        <w:r w:rsidRPr="00BE04FE">
          <w:rPr>
            <w:rStyle w:val="Hyperlink"/>
            <w:i/>
            <w:color w:val="000000" w:themeColor="text1"/>
            <w:u w:val="none"/>
          </w:rPr>
          <w:t>Database</w:t>
        </w:r>
        <w:r w:rsidRPr="00BE04FE">
          <w:rPr>
            <w:rStyle w:val="Hyperlink"/>
            <w:color w:val="000000" w:themeColor="text1"/>
            <w:u w:val="none"/>
          </w:rPr>
          <w:t>, C</w:t>
        </w:r>
        <w:r w:rsidRPr="00BE04FE">
          <w:rPr>
            <w:rStyle w:val="Hyperlink"/>
            <w:color w:val="000000" w:themeColor="text1"/>
            <w:sz w:val="16"/>
            <w:u w:val="none"/>
          </w:rPr>
          <w:t>TR</w:t>
        </w:r>
        <w:r w:rsidRPr="00BE04FE">
          <w:rPr>
            <w:rStyle w:val="Hyperlink"/>
            <w:color w:val="000000" w:themeColor="text1"/>
            <w:u w:val="none"/>
          </w:rPr>
          <w:t xml:space="preserve">. </w:t>
        </w:r>
        <w:r w:rsidRPr="00BE04FE">
          <w:rPr>
            <w:rStyle w:val="Hyperlink"/>
            <w:color w:val="000000" w:themeColor="text1"/>
            <w:sz w:val="16"/>
            <w:u w:val="none"/>
          </w:rPr>
          <w:t xml:space="preserve">FOR </w:t>
        </w:r>
        <w:r w:rsidRPr="00BE04FE">
          <w:rPr>
            <w:rStyle w:val="Hyperlink"/>
            <w:color w:val="000000" w:themeColor="text1"/>
            <w:u w:val="none"/>
          </w:rPr>
          <w:t>H</w:t>
        </w:r>
        <w:r w:rsidRPr="00BE04FE">
          <w:rPr>
            <w:rStyle w:val="Hyperlink"/>
            <w:color w:val="000000" w:themeColor="text1"/>
            <w:sz w:val="16"/>
            <w:u w:val="none"/>
          </w:rPr>
          <w:t xml:space="preserve">EALTH </w:t>
        </w:r>
        <w:r w:rsidRPr="00BE04FE">
          <w:rPr>
            <w:rStyle w:val="Hyperlink"/>
            <w:color w:val="000000" w:themeColor="text1"/>
            <w:u w:val="none"/>
          </w:rPr>
          <w:t>I</w:t>
        </w:r>
        <w:r w:rsidRPr="00BE04FE">
          <w:rPr>
            <w:rStyle w:val="Hyperlink"/>
            <w:color w:val="000000" w:themeColor="text1"/>
            <w:sz w:val="16"/>
            <w:u w:val="none"/>
          </w:rPr>
          <w:t>NFO</w:t>
        </w:r>
        <w:r w:rsidRPr="00BE04FE">
          <w:rPr>
            <w:rStyle w:val="Hyperlink"/>
            <w:color w:val="000000" w:themeColor="text1"/>
            <w:u w:val="none"/>
          </w:rPr>
          <w:t>. &amp;</w:t>
        </w:r>
        <w:r w:rsidRPr="00BE04FE">
          <w:rPr>
            <w:rStyle w:val="Hyperlink"/>
            <w:color w:val="000000" w:themeColor="text1"/>
            <w:spacing w:val="-1"/>
            <w:u w:val="none"/>
          </w:rPr>
          <w:t xml:space="preserve"> </w:t>
        </w:r>
        <w:r w:rsidRPr="00BE04FE">
          <w:rPr>
            <w:rStyle w:val="Hyperlink"/>
            <w:color w:val="000000" w:themeColor="text1"/>
            <w:u w:val="none"/>
          </w:rPr>
          <w:t>A</w:t>
        </w:r>
        <w:r w:rsidRPr="00BE04FE">
          <w:rPr>
            <w:rStyle w:val="Hyperlink"/>
            <w:color w:val="000000" w:themeColor="text1"/>
            <w:sz w:val="16"/>
            <w:u w:val="none"/>
          </w:rPr>
          <w:t>NALYSIS</w:t>
        </w:r>
      </w:hyperlink>
      <w:r w:rsidRPr="00BE04FE">
        <w:rPr>
          <w:color w:val="000000" w:themeColor="text1"/>
        </w:rPr>
        <w:t xml:space="preserve">, </w:t>
      </w:r>
      <w:hyperlink r:id="rId43">
        <w:r>
          <w:rPr>
            <w:color w:val="486794"/>
            <w:u w:val="single" w:color="486794"/>
          </w:rPr>
          <w:t>http://www.chiamass.gov/ma-apcd/</w:t>
        </w:r>
      </w:hyperlink>
      <w:r>
        <w:rPr>
          <w:color w:val="486794"/>
        </w:rPr>
        <w:t xml:space="preserve"> </w:t>
      </w:r>
      <w:r>
        <w:t>(last visited February 27, 2025).</w:t>
      </w:r>
    </w:p>
  </w:footnote>
  <w:footnote w:id="24">
    <w:p w14:paraId="5FB93ACF" w14:textId="34B6A6D7" w:rsidR="00391CBD" w:rsidRDefault="00391CBD" w:rsidP="00391CBD">
      <w:pPr>
        <w:pStyle w:val="FootnoteText"/>
        <w:ind w:left="720" w:right="850"/>
      </w:pPr>
      <w:r>
        <w:rPr>
          <w:rStyle w:val="FootnoteReference"/>
        </w:rPr>
        <w:footnoteRef/>
      </w:r>
      <w:r>
        <w:t xml:space="preserve"> M</w:t>
      </w:r>
      <w:r>
        <w:rPr>
          <w:sz w:val="16"/>
        </w:rPr>
        <w:t>ASS</w:t>
      </w:r>
      <w:r>
        <w:t>.</w:t>
      </w:r>
      <w:r>
        <w:rPr>
          <w:spacing w:val="-13"/>
        </w:rPr>
        <w:t xml:space="preserve"> </w:t>
      </w:r>
      <w:r>
        <w:t>G</w:t>
      </w:r>
      <w:r>
        <w:rPr>
          <w:sz w:val="16"/>
        </w:rPr>
        <w:t>EN</w:t>
      </w:r>
      <w:r>
        <w:t>.</w:t>
      </w:r>
      <w:r>
        <w:rPr>
          <w:spacing w:val="-12"/>
        </w:rPr>
        <w:t xml:space="preserve"> </w:t>
      </w:r>
      <w:r>
        <w:t>L</w:t>
      </w:r>
      <w:r>
        <w:rPr>
          <w:sz w:val="16"/>
        </w:rPr>
        <w:t>AWS</w:t>
      </w:r>
      <w:r>
        <w:rPr>
          <w:spacing w:val="6"/>
          <w:sz w:val="16"/>
        </w:rPr>
        <w:t xml:space="preserve"> </w:t>
      </w:r>
      <w:proofErr w:type="spellStart"/>
      <w:r>
        <w:t>ch.</w:t>
      </w:r>
      <w:proofErr w:type="spellEnd"/>
      <w:r>
        <w:rPr>
          <w:spacing w:val="-6"/>
        </w:rPr>
        <w:t xml:space="preserve"> </w:t>
      </w:r>
      <w:r>
        <w:t>6D,</w:t>
      </w:r>
      <w:r>
        <w:rPr>
          <w:spacing w:val="-3"/>
        </w:rPr>
        <w:t xml:space="preserve"> </w:t>
      </w:r>
      <w:r>
        <w:t>§</w:t>
      </w:r>
      <w:r>
        <w:rPr>
          <w:spacing w:val="-3"/>
        </w:rPr>
        <w:t xml:space="preserve"> </w:t>
      </w:r>
      <w:r>
        <w:t>13(c),</w:t>
      </w:r>
      <w:r>
        <w:rPr>
          <w:spacing w:val="-3"/>
        </w:rPr>
        <w:t xml:space="preserve"> </w:t>
      </w:r>
      <w:r>
        <w:rPr>
          <w:i/>
        </w:rPr>
        <w:t>amended</w:t>
      </w:r>
      <w:r>
        <w:rPr>
          <w:i/>
          <w:spacing w:val="-3"/>
        </w:rPr>
        <w:t xml:space="preserve"> </w:t>
      </w:r>
      <w:r>
        <w:rPr>
          <w:i/>
        </w:rPr>
        <w:t>by</w:t>
      </w:r>
      <w:r>
        <w:rPr>
          <w:i/>
          <w:spacing w:val="-5"/>
        </w:rPr>
        <w:t xml:space="preserve"> </w:t>
      </w:r>
      <w:r>
        <w:t>2013</w:t>
      </w:r>
      <w:r>
        <w:rPr>
          <w:spacing w:val="-3"/>
        </w:rPr>
        <w:t xml:space="preserve"> </w:t>
      </w:r>
      <w:r>
        <w:t>Mass.</w:t>
      </w:r>
      <w:r>
        <w:rPr>
          <w:spacing w:val="-4"/>
        </w:rPr>
        <w:t xml:space="preserve"> </w:t>
      </w:r>
      <w:r>
        <w:t>Acts</w:t>
      </w:r>
      <w:r>
        <w:rPr>
          <w:spacing w:val="-3"/>
        </w:rPr>
        <w:t xml:space="preserve"> </w:t>
      </w:r>
      <w:r>
        <w:t>38,</w:t>
      </w:r>
      <w:r>
        <w:rPr>
          <w:spacing w:val="-6"/>
        </w:rPr>
        <w:t xml:space="preserve"> </w:t>
      </w:r>
      <w:r>
        <w:t>§</w:t>
      </w:r>
      <w:r>
        <w:rPr>
          <w:spacing w:val="-3"/>
        </w:rPr>
        <w:t xml:space="preserve"> </w:t>
      </w:r>
      <w:r>
        <w:t>20;</w:t>
      </w:r>
      <w:r>
        <w:rPr>
          <w:spacing w:val="-6"/>
        </w:rPr>
        <w:t xml:space="preserve"> </w:t>
      </w:r>
      <w:r>
        <w:t>958</w:t>
      </w:r>
      <w:r>
        <w:rPr>
          <w:spacing w:val="-3"/>
        </w:rPr>
        <w:t xml:space="preserve"> </w:t>
      </w:r>
      <w:r>
        <w:t>C</w:t>
      </w:r>
      <w:r>
        <w:rPr>
          <w:sz w:val="16"/>
        </w:rPr>
        <w:t>ODE</w:t>
      </w:r>
      <w:r>
        <w:rPr>
          <w:spacing w:val="-2"/>
          <w:sz w:val="16"/>
        </w:rPr>
        <w:t xml:space="preserve"> </w:t>
      </w:r>
      <w:r>
        <w:t>M</w:t>
      </w:r>
      <w:r>
        <w:rPr>
          <w:sz w:val="16"/>
        </w:rPr>
        <w:t>ASS</w:t>
      </w:r>
      <w:r>
        <w:t>.</w:t>
      </w:r>
      <w:r>
        <w:rPr>
          <w:spacing w:val="-12"/>
        </w:rPr>
        <w:t xml:space="preserve"> </w:t>
      </w:r>
      <w:r>
        <w:t>R</w:t>
      </w:r>
      <w:r>
        <w:rPr>
          <w:sz w:val="16"/>
        </w:rPr>
        <w:t>EGS</w:t>
      </w:r>
      <w:r>
        <w:t>.</w:t>
      </w:r>
      <w:r>
        <w:rPr>
          <w:spacing w:val="-6"/>
        </w:rPr>
        <w:t xml:space="preserve"> </w:t>
      </w:r>
      <w:r>
        <w:rPr>
          <w:spacing w:val="-2"/>
        </w:rPr>
        <w:t>7.09.</w:t>
      </w:r>
    </w:p>
  </w:footnote>
  <w:footnote w:id="25">
    <w:p w14:paraId="5EE653B5" w14:textId="2AB41D09" w:rsidR="00184830" w:rsidRDefault="00184830" w:rsidP="00184830">
      <w:pPr>
        <w:pStyle w:val="FootnoteText"/>
        <w:ind w:left="900" w:right="1030"/>
      </w:pPr>
      <w:r>
        <w:rPr>
          <w:rStyle w:val="FootnoteReference"/>
        </w:rPr>
        <w:footnoteRef/>
      </w:r>
      <w:r>
        <w:t xml:space="preserve"> Some data sources use fiscal year rather than calendar year data, notably CHIA’s Hospital Discharge Database</w:t>
      </w:r>
      <w:r>
        <w:rPr>
          <w:spacing w:val="-5"/>
        </w:rPr>
        <w:t xml:space="preserve"> </w:t>
      </w:r>
      <w:r>
        <w:t>and</w:t>
      </w:r>
      <w:r>
        <w:rPr>
          <w:spacing w:val="-3"/>
        </w:rPr>
        <w:t xml:space="preserve"> </w:t>
      </w:r>
      <w:r>
        <w:t>Hospital</w:t>
      </w:r>
      <w:r>
        <w:rPr>
          <w:spacing w:val="-4"/>
        </w:rPr>
        <w:t xml:space="preserve"> </w:t>
      </w:r>
      <w:r>
        <w:t>Profiles.</w:t>
      </w:r>
      <w:r>
        <w:rPr>
          <w:spacing w:val="-3"/>
        </w:rPr>
        <w:t xml:space="preserve"> </w:t>
      </w:r>
      <w:r>
        <w:t>Therefore,</w:t>
      </w:r>
      <w:r>
        <w:rPr>
          <w:spacing w:val="-3"/>
        </w:rPr>
        <w:t xml:space="preserve"> </w:t>
      </w:r>
      <w:r>
        <w:t>hospital</w:t>
      </w:r>
      <w:r>
        <w:rPr>
          <w:spacing w:val="-4"/>
        </w:rPr>
        <w:t xml:space="preserve"> </w:t>
      </w:r>
      <w:r>
        <w:t>discharge</w:t>
      </w:r>
      <w:r>
        <w:rPr>
          <w:spacing w:val="-5"/>
        </w:rPr>
        <w:t xml:space="preserve"> </w:t>
      </w:r>
      <w:r>
        <w:t>and</w:t>
      </w:r>
      <w:r>
        <w:rPr>
          <w:spacing w:val="-3"/>
        </w:rPr>
        <w:t xml:space="preserve"> </w:t>
      </w:r>
      <w:r>
        <w:t>Hospital</w:t>
      </w:r>
      <w:r>
        <w:rPr>
          <w:spacing w:val="-4"/>
        </w:rPr>
        <w:t xml:space="preserve"> </w:t>
      </w:r>
      <w:r>
        <w:t>Profiles</w:t>
      </w:r>
      <w:r>
        <w:rPr>
          <w:spacing w:val="-3"/>
        </w:rPr>
        <w:t xml:space="preserve"> </w:t>
      </w:r>
      <w:r>
        <w:t>data</w:t>
      </w:r>
      <w:r>
        <w:rPr>
          <w:spacing w:val="-4"/>
        </w:rPr>
        <w:t xml:space="preserve"> </w:t>
      </w:r>
      <w:r>
        <w:t>presented</w:t>
      </w:r>
      <w:r>
        <w:rPr>
          <w:spacing w:val="-3"/>
        </w:rPr>
        <w:t xml:space="preserve"> </w:t>
      </w:r>
      <w:r>
        <w:t>here</w:t>
      </w:r>
      <w:r>
        <w:rPr>
          <w:spacing w:val="-5"/>
        </w:rPr>
        <w:t xml:space="preserve"> </w:t>
      </w:r>
      <w:r>
        <w:t>are fiscal year data.</w:t>
      </w:r>
    </w:p>
  </w:footnote>
  <w:footnote w:id="26">
    <w:p w14:paraId="63C7FC83" w14:textId="69B66BC5" w:rsidR="00F0743C" w:rsidRDefault="00F0743C" w:rsidP="00F0743C">
      <w:pPr>
        <w:ind w:left="960" w:right="702"/>
        <w:rPr>
          <w:i/>
          <w:sz w:val="20"/>
        </w:rPr>
      </w:pPr>
      <w:r>
        <w:rPr>
          <w:rStyle w:val="FootnoteReference"/>
        </w:rPr>
        <w:footnoteRef/>
      </w:r>
      <w:r>
        <w:t xml:space="preserve"> </w:t>
      </w:r>
      <w:r>
        <w:rPr>
          <w:i/>
          <w:sz w:val="20"/>
        </w:rPr>
        <w:t>See, e.g.</w:t>
      </w:r>
      <w:r>
        <w:rPr>
          <w:sz w:val="20"/>
        </w:rPr>
        <w:t xml:space="preserve">, </w:t>
      </w:r>
      <w:hyperlink r:id="rId44" w:history="1">
        <w:r w:rsidRPr="00685657">
          <w:rPr>
            <w:rStyle w:val="Hyperlink"/>
            <w:color w:val="000000" w:themeColor="text1"/>
            <w:sz w:val="20"/>
            <w:u w:val="none"/>
          </w:rPr>
          <w:t>O</w:t>
        </w:r>
        <w:r w:rsidRPr="00685657">
          <w:rPr>
            <w:rStyle w:val="Hyperlink"/>
            <w:color w:val="000000" w:themeColor="text1"/>
            <w:sz w:val="16"/>
            <w:u w:val="none"/>
          </w:rPr>
          <w:t xml:space="preserve">FFICE OF </w:t>
        </w:r>
        <w:r w:rsidRPr="00685657">
          <w:rPr>
            <w:rStyle w:val="Hyperlink"/>
            <w:color w:val="000000" w:themeColor="text1"/>
            <w:sz w:val="20"/>
            <w:u w:val="none"/>
          </w:rPr>
          <w:t>A</w:t>
        </w:r>
        <w:r w:rsidRPr="00685657">
          <w:rPr>
            <w:rStyle w:val="Hyperlink"/>
            <w:color w:val="000000" w:themeColor="text1"/>
            <w:sz w:val="16"/>
            <w:u w:val="none"/>
          </w:rPr>
          <w:t>TT</w:t>
        </w:r>
        <w:r w:rsidRPr="00685657">
          <w:rPr>
            <w:rStyle w:val="Hyperlink"/>
            <w:color w:val="000000" w:themeColor="text1"/>
            <w:sz w:val="20"/>
            <w:u w:val="none"/>
          </w:rPr>
          <w:t>’</w:t>
        </w:r>
        <w:r w:rsidRPr="00685657">
          <w:rPr>
            <w:rStyle w:val="Hyperlink"/>
            <w:color w:val="000000" w:themeColor="text1"/>
            <w:sz w:val="16"/>
            <w:u w:val="none"/>
          </w:rPr>
          <w:t xml:space="preserve">Y </w:t>
        </w:r>
        <w:r w:rsidRPr="00685657">
          <w:rPr>
            <w:rStyle w:val="Hyperlink"/>
            <w:color w:val="000000" w:themeColor="text1"/>
            <w:sz w:val="20"/>
            <w:u w:val="none"/>
          </w:rPr>
          <w:t>G</w:t>
        </w:r>
        <w:r w:rsidRPr="00685657">
          <w:rPr>
            <w:rStyle w:val="Hyperlink"/>
            <w:color w:val="000000" w:themeColor="text1"/>
            <w:sz w:val="16"/>
            <w:u w:val="none"/>
          </w:rPr>
          <w:t>EN</w:t>
        </w:r>
        <w:r w:rsidRPr="00685657">
          <w:rPr>
            <w:rStyle w:val="Hyperlink"/>
            <w:color w:val="000000" w:themeColor="text1"/>
            <w:sz w:val="20"/>
            <w:u w:val="none"/>
          </w:rPr>
          <w:t>.</w:t>
        </w:r>
        <w:r w:rsidRPr="00685657">
          <w:rPr>
            <w:rStyle w:val="Hyperlink"/>
            <w:color w:val="000000" w:themeColor="text1"/>
            <w:spacing w:val="-5"/>
            <w:sz w:val="20"/>
            <w:u w:val="none"/>
          </w:rPr>
          <w:t xml:space="preserve"> </w:t>
        </w:r>
        <w:r w:rsidRPr="00685657">
          <w:rPr>
            <w:rStyle w:val="Hyperlink"/>
            <w:color w:val="000000" w:themeColor="text1"/>
            <w:sz w:val="20"/>
            <w:u w:val="none"/>
          </w:rPr>
          <w:t>M</w:t>
        </w:r>
        <w:r w:rsidRPr="00685657">
          <w:rPr>
            <w:rStyle w:val="Hyperlink"/>
            <w:color w:val="000000" w:themeColor="text1"/>
            <w:sz w:val="16"/>
            <w:u w:val="none"/>
          </w:rPr>
          <w:t xml:space="preserve">ARTHA </w:t>
        </w:r>
        <w:r w:rsidRPr="00685657">
          <w:rPr>
            <w:rStyle w:val="Hyperlink"/>
            <w:color w:val="000000" w:themeColor="text1"/>
            <w:sz w:val="20"/>
            <w:u w:val="none"/>
          </w:rPr>
          <w:t>C</w:t>
        </w:r>
        <w:r w:rsidRPr="00685657">
          <w:rPr>
            <w:rStyle w:val="Hyperlink"/>
            <w:color w:val="000000" w:themeColor="text1"/>
            <w:sz w:val="16"/>
            <w:u w:val="none"/>
          </w:rPr>
          <w:t>OAKLEY</w:t>
        </w:r>
        <w:r w:rsidRPr="00685657">
          <w:rPr>
            <w:rStyle w:val="Hyperlink"/>
            <w:color w:val="000000" w:themeColor="text1"/>
            <w:sz w:val="20"/>
            <w:u w:val="none"/>
          </w:rPr>
          <w:t>,</w:t>
        </w:r>
        <w:r w:rsidRPr="00685657">
          <w:rPr>
            <w:rStyle w:val="Hyperlink"/>
            <w:color w:val="000000" w:themeColor="text1"/>
            <w:spacing w:val="-3"/>
            <w:sz w:val="20"/>
            <w:u w:val="none"/>
          </w:rPr>
          <w:t xml:space="preserve"> </w:t>
        </w:r>
        <w:r w:rsidRPr="00685657">
          <w:rPr>
            <w:rStyle w:val="Hyperlink"/>
            <w:color w:val="000000" w:themeColor="text1"/>
            <w:sz w:val="20"/>
            <w:u w:val="none"/>
          </w:rPr>
          <w:t>E</w:t>
        </w:r>
        <w:r w:rsidRPr="00685657">
          <w:rPr>
            <w:rStyle w:val="Hyperlink"/>
            <w:color w:val="000000" w:themeColor="text1"/>
            <w:sz w:val="16"/>
            <w:u w:val="none"/>
          </w:rPr>
          <w:t xml:space="preserve">XAMINATION OF </w:t>
        </w:r>
        <w:r w:rsidRPr="00685657">
          <w:rPr>
            <w:rStyle w:val="Hyperlink"/>
            <w:color w:val="000000" w:themeColor="text1"/>
            <w:sz w:val="20"/>
            <w:u w:val="none"/>
          </w:rPr>
          <w:t>H</w:t>
        </w:r>
        <w:r w:rsidRPr="00685657">
          <w:rPr>
            <w:rStyle w:val="Hyperlink"/>
            <w:color w:val="000000" w:themeColor="text1"/>
            <w:sz w:val="16"/>
            <w:u w:val="none"/>
          </w:rPr>
          <w:t xml:space="preserve">EALTH </w:t>
        </w:r>
        <w:r w:rsidRPr="00685657">
          <w:rPr>
            <w:rStyle w:val="Hyperlink"/>
            <w:color w:val="000000" w:themeColor="text1"/>
            <w:sz w:val="20"/>
            <w:u w:val="none"/>
          </w:rPr>
          <w:t>C</w:t>
        </w:r>
        <w:r w:rsidRPr="00685657">
          <w:rPr>
            <w:rStyle w:val="Hyperlink"/>
            <w:color w:val="000000" w:themeColor="text1"/>
            <w:sz w:val="16"/>
            <w:u w:val="none"/>
          </w:rPr>
          <w:t xml:space="preserve">ARE </w:t>
        </w:r>
        <w:r w:rsidRPr="00685657">
          <w:rPr>
            <w:rStyle w:val="Hyperlink"/>
            <w:color w:val="000000" w:themeColor="text1"/>
            <w:sz w:val="20"/>
            <w:u w:val="none"/>
          </w:rPr>
          <w:t>C</w:t>
        </w:r>
        <w:r w:rsidRPr="00685657">
          <w:rPr>
            <w:rStyle w:val="Hyperlink"/>
            <w:color w:val="000000" w:themeColor="text1"/>
            <w:sz w:val="16"/>
            <w:u w:val="none"/>
          </w:rPr>
          <w:t xml:space="preserve">OST </w:t>
        </w:r>
        <w:r w:rsidRPr="00685657">
          <w:rPr>
            <w:rStyle w:val="Hyperlink"/>
            <w:color w:val="000000" w:themeColor="text1"/>
            <w:sz w:val="20"/>
            <w:u w:val="none"/>
          </w:rPr>
          <w:t>T</w:t>
        </w:r>
        <w:r w:rsidRPr="00685657">
          <w:rPr>
            <w:rStyle w:val="Hyperlink"/>
            <w:color w:val="000000" w:themeColor="text1"/>
            <w:sz w:val="16"/>
            <w:u w:val="none"/>
          </w:rPr>
          <w:t xml:space="preserve">RENDS AND </w:t>
        </w:r>
        <w:r w:rsidRPr="00685657">
          <w:rPr>
            <w:rStyle w:val="Hyperlink"/>
            <w:color w:val="000000" w:themeColor="text1"/>
            <w:sz w:val="20"/>
            <w:u w:val="none"/>
          </w:rPr>
          <w:t>C</w:t>
        </w:r>
        <w:r w:rsidRPr="00685657">
          <w:rPr>
            <w:rStyle w:val="Hyperlink"/>
            <w:color w:val="000000" w:themeColor="text1"/>
            <w:sz w:val="16"/>
            <w:u w:val="none"/>
          </w:rPr>
          <w:t xml:space="preserve">OST </w:t>
        </w:r>
        <w:r w:rsidRPr="00685657">
          <w:rPr>
            <w:rStyle w:val="Hyperlink"/>
            <w:color w:val="000000" w:themeColor="text1"/>
            <w:sz w:val="20"/>
            <w:u w:val="none"/>
          </w:rPr>
          <w:t>D</w:t>
        </w:r>
        <w:r w:rsidRPr="00685657">
          <w:rPr>
            <w:rStyle w:val="Hyperlink"/>
            <w:color w:val="000000" w:themeColor="text1"/>
            <w:sz w:val="16"/>
            <w:u w:val="none"/>
          </w:rPr>
          <w:t>RIVERS</w:t>
        </w:r>
        <w:r w:rsidRPr="00685657">
          <w:rPr>
            <w:rStyle w:val="Hyperlink"/>
            <w:color w:val="000000" w:themeColor="text1"/>
            <w:spacing w:val="40"/>
            <w:sz w:val="16"/>
            <w:u w:val="none"/>
          </w:rPr>
          <w:t xml:space="preserve"> </w:t>
        </w:r>
        <w:r w:rsidRPr="00685657">
          <w:rPr>
            <w:rStyle w:val="Hyperlink"/>
            <w:color w:val="000000" w:themeColor="text1"/>
            <w:sz w:val="20"/>
            <w:u w:val="none"/>
          </w:rPr>
          <w:t>P</w:t>
        </w:r>
        <w:r w:rsidRPr="00685657">
          <w:rPr>
            <w:rStyle w:val="Hyperlink"/>
            <w:color w:val="000000" w:themeColor="text1"/>
            <w:sz w:val="16"/>
            <w:u w:val="none"/>
          </w:rPr>
          <w:t>URSUANT</w:t>
        </w:r>
        <w:r w:rsidRPr="00685657">
          <w:rPr>
            <w:rStyle w:val="Hyperlink"/>
            <w:color w:val="000000" w:themeColor="text1"/>
            <w:spacing w:val="-5"/>
            <w:sz w:val="16"/>
            <w:u w:val="none"/>
          </w:rPr>
          <w:t xml:space="preserve"> </w:t>
        </w:r>
        <w:r w:rsidRPr="00685657">
          <w:rPr>
            <w:rStyle w:val="Hyperlink"/>
            <w:color w:val="000000" w:themeColor="text1"/>
            <w:sz w:val="16"/>
            <w:u w:val="none"/>
          </w:rPr>
          <w:t>TO</w:t>
        </w:r>
        <w:r w:rsidRPr="00685657">
          <w:rPr>
            <w:rStyle w:val="Hyperlink"/>
            <w:color w:val="000000" w:themeColor="text1"/>
            <w:spacing w:val="-3"/>
            <w:sz w:val="16"/>
            <w:u w:val="none"/>
          </w:rPr>
          <w:t xml:space="preserve"> </w:t>
        </w:r>
        <w:r w:rsidRPr="00685657">
          <w:rPr>
            <w:rStyle w:val="Hyperlink"/>
            <w:color w:val="000000" w:themeColor="text1"/>
            <w:sz w:val="20"/>
            <w:u w:val="none"/>
          </w:rPr>
          <w:t>G.L.</w:t>
        </w:r>
        <w:r w:rsidRPr="00685657">
          <w:rPr>
            <w:rStyle w:val="Hyperlink"/>
            <w:color w:val="000000" w:themeColor="text1"/>
            <w:spacing w:val="-12"/>
            <w:sz w:val="20"/>
            <w:u w:val="none"/>
          </w:rPr>
          <w:t xml:space="preserve"> </w:t>
        </w:r>
        <w:r w:rsidRPr="00685657">
          <w:rPr>
            <w:rStyle w:val="Hyperlink"/>
            <w:color w:val="000000" w:themeColor="text1"/>
            <w:sz w:val="16"/>
            <w:u w:val="none"/>
          </w:rPr>
          <w:t>C</w:t>
        </w:r>
        <w:r w:rsidRPr="00685657">
          <w:rPr>
            <w:rStyle w:val="Hyperlink"/>
            <w:color w:val="000000" w:themeColor="text1"/>
            <w:sz w:val="20"/>
            <w:u w:val="none"/>
          </w:rPr>
          <w:t>.</w:t>
        </w:r>
        <w:r w:rsidRPr="00685657">
          <w:rPr>
            <w:rStyle w:val="Hyperlink"/>
            <w:color w:val="000000" w:themeColor="text1"/>
            <w:spacing w:val="-12"/>
            <w:sz w:val="20"/>
            <w:u w:val="none"/>
          </w:rPr>
          <w:t xml:space="preserve"> </w:t>
        </w:r>
        <w:r w:rsidRPr="00685657">
          <w:rPr>
            <w:rStyle w:val="Hyperlink"/>
            <w:color w:val="000000" w:themeColor="text1"/>
            <w:sz w:val="20"/>
            <w:u w:val="none"/>
          </w:rPr>
          <w:t>118G,</w:t>
        </w:r>
        <w:r w:rsidRPr="00685657">
          <w:rPr>
            <w:rStyle w:val="Hyperlink"/>
            <w:color w:val="000000" w:themeColor="text1"/>
            <w:spacing w:val="-12"/>
            <w:sz w:val="20"/>
            <w:u w:val="none"/>
          </w:rPr>
          <w:t xml:space="preserve"> </w:t>
        </w:r>
        <w:r w:rsidRPr="00685657">
          <w:rPr>
            <w:rStyle w:val="Hyperlink"/>
            <w:color w:val="000000" w:themeColor="text1"/>
            <w:sz w:val="20"/>
            <w:u w:val="none"/>
          </w:rPr>
          <w:t>§</w:t>
        </w:r>
        <w:r w:rsidRPr="00685657">
          <w:rPr>
            <w:rStyle w:val="Hyperlink"/>
            <w:color w:val="000000" w:themeColor="text1"/>
            <w:spacing w:val="-13"/>
            <w:sz w:val="20"/>
            <w:u w:val="none"/>
          </w:rPr>
          <w:t xml:space="preserve"> </w:t>
        </w:r>
        <w:r w:rsidRPr="00685657">
          <w:rPr>
            <w:rStyle w:val="Hyperlink"/>
            <w:color w:val="000000" w:themeColor="text1"/>
            <w:sz w:val="20"/>
            <w:u w:val="none"/>
          </w:rPr>
          <w:t>6</w:t>
        </w:r>
        <w:r w:rsidRPr="00685657">
          <w:rPr>
            <w:rStyle w:val="Hyperlink"/>
            <w:color w:val="000000" w:themeColor="text1"/>
            <w:spacing w:val="-12"/>
            <w:sz w:val="20"/>
            <w:u w:val="none"/>
          </w:rPr>
          <w:t xml:space="preserve"> </w:t>
        </w:r>
        <w:r w:rsidRPr="00685657">
          <w:rPr>
            <w:rStyle w:val="Hyperlink"/>
            <w:color w:val="000000" w:themeColor="text1"/>
            <w:sz w:val="20"/>
            <w:u w:val="none"/>
          </w:rPr>
          <w:t>½(b):</w:t>
        </w:r>
        <w:r w:rsidRPr="00685657">
          <w:rPr>
            <w:rStyle w:val="Hyperlink"/>
            <w:color w:val="000000" w:themeColor="text1"/>
            <w:spacing w:val="-12"/>
            <w:sz w:val="20"/>
            <w:u w:val="none"/>
          </w:rPr>
          <w:t xml:space="preserve"> </w:t>
        </w:r>
        <w:r w:rsidRPr="00685657">
          <w:rPr>
            <w:rStyle w:val="Hyperlink"/>
            <w:color w:val="000000" w:themeColor="text1"/>
            <w:sz w:val="20"/>
            <w:u w:val="none"/>
          </w:rPr>
          <w:t>R</w:t>
        </w:r>
        <w:r w:rsidRPr="00685657">
          <w:rPr>
            <w:rStyle w:val="Hyperlink"/>
            <w:color w:val="000000" w:themeColor="text1"/>
            <w:sz w:val="16"/>
            <w:u w:val="none"/>
          </w:rPr>
          <w:t>EPORT</w:t>
        </w:r>
        <w:r w:rsidRPr="00685657">
          <w:rPr>
            <w:rStyle w:val="Hyperlink"/>
            <w:color w:val="000000" w:themeColor="text1"/>
            <w:spacing w:val="-1"/>
            <w:sz w:val="16"/>
            <w:u w:val="none"/>
          </w:rPr>
          <w:t xml:space="preserve"> </w:t>
        </w:r>
        <w:r w:rsidRPr="00685657">
          <w:rPr>
            <w:rStyle w:val="Hyperlink"/>
            <w:color w:val="000000" w:themeColor="text1"/>
            <w:sz w:val="16"/>
            <w:u w:val="none"/>
          </w:rPr>
          <w:t>FOR</w:t>
        </w:r>
        <w:r w:rsidRPr="00685657">
          <w:rPr>
            <w:rStyle w:val="Hyperlink"/>
            <w:color w:val="000000" w:themeColor="text1"/>
            <w:spacing w:val="-5"/>
            <w:sz w:val="16"/>
            <w:u w:val="none"/>
          </w:rPr>
          <w:t xml:space="preserve"> </w:t>
        </w:r>
        <w:r w:rsidRPr="00685657">
          <w:rPr>
            <w:rStyle w:val="Hyperlink"/>
            <w:color w:val="000000" w:themeColor="text1"/>
            <w:sz w:val="20"/>
            <w:u w:val="none"/>
          </w:rPr>
          <w:t>A</w:t>
        </w:r>
        <w:r w:rsidRPr="00685657">
          <w:rPr>
            <w:rStyle w:val="Hyperlink"/>
            <w:color w:val="000000" w:themeColor="text1"/>
            <w:sz w:val="16"/>
            <w:u w:val="none"/>
          </w:rPr>
          <w:t>NNUAL</w:t>
        </w:r>
        <w:r w:rsidRPr="00685657">
          <w:rPr>
            <w:rStyle w:val="Hyperlink"/>
            <w:color w:val="000000" w:themeColor="text1"/>
            <w:spacing w:val="-2"/>
            <w:sz w:val="16"/>
            <w:u w:val="none"/>
          </w:rPr>
          <w:t xml:space="preserve"> </w:t>
        </w:r>
        <w:r w:rsidRPr="00685657">
          <w:rPr>
            <w:rStyle w:val="Hyperlink"/>
            <w:color w:val="000000" w:themeColor="text1"/>
            <w:sz w:val="20"/>
            <w:u w:val="none"/>
          </w:rPr>
          <w:t>P</w:t>
        </w:r>
        <w:r w:rsidRPr="00685657">
          <w:rPr>
            <w:rStyle w:val="Hyperlink"/>
            <w:color w:val="000000" w:themeColor="text1"/>
            <w:sz w:val="16"/>
            <w:u w:val="none"/>
          </w:rPr>
          <w:t>UBLIC</w:t>
        </w:r>
        <w:r w:rsidRPr="00685657">
          <w:rPr>
            <w:rStyle w:val="Hyperlink"/>
            <w:color w:val="000000" w:themeColor="text1"/>
            <w:spacing w:val="-2"/>
            <w:sz w:val="16"/>
            <w:u w:val="none"/>
          </w:rPr>
          <w:t xml:space="preserve"> </w:t>
        </w:r>
        <w:r w:rsidRPr="00685657">
          <w:rPr>
            <w:rStyle w:val="Hyperlink"/>
            <w:color w:val="000000" w:themeColor="text1"/>
            <w:sz w:val="20"/>
            <w:u w:val="none"/>
          </w:rPr>
          <w:t>H</w:t>
        </w:r>
        <w:r w:rsidRPr="00685657">
          <w:rPr>
            <w:rStyle w:val="Hyperlink"/>
            <w:color w:val="000000" w:themeColor="text1"/>
            <w:sz w:val="16"/>
            <w:u w:val="none"/>
          </w:rPr>
          <w:t xml:space="preserve">EARING </w:t>
        </w:r>
        <w:r w:rsidRPr="00685657">
          <w:rPr>
            <w:rStyle w:val="Hyperlink"/>
            <w:color w:val="000000" w:themeColor="text1"/>
            <w:sz w:val="20"/>
            <w:u w:val="none"/>
          </w:rPr>
          <w:t>at</w:t>
        </w:r>
        <w:r w:rsidRPr="00685657">
          <w:rPr>
            <w:rStyle w:val="Hyperlink"/>
            <w:color w:val="000000" w:themeColor="text1"/>
            <w:spacing w:val="-2"/>
            <w:sz w:val="20"/>
            <w:u w:val="none"/>
          </w:rPr>
          <w:t xml:space="preserve"> </w:t>
        </w:r>
        <w:r w:rsidRPr="00685657">
          <w:rPr>
            <w:rStyle w:val="Hyperlink"/>
            <w:color w:val="000000" w:themeColor="text1"/>
            <w:sz w:val="20"/>
            <w:u w:val="none"/>
          </w:rPr>
          <w:t>40-43</w:t>
        </w:r>
      </w:hyperlink>
      <w:r w:rsidRPr="00685657">
        <w:rPr>
          <w:color w:val="000000" w:themeColor="text1"/>
          <w:spacing w:val="-5"/>
          <w:sz w:val="20"/>
        </w:rPr>
        <w:t xml:space="preserve"> </w:t>
      </w:r>
      <w:r w:rsidRPr="00685657">
        <w:rPr>
          <w:color w:val="000000" w:themeColor="text1"/>
          <w:sz w:val="20"/>
        </w:rPr>
        <w:t>(Mar</w:t>
      </w:r>
      <w:r>
        <w:rPr>
          <w:sz w:val="20"/>
        </w:rPr>
        <w:t>.</w:t>
      </w:r>
      <w:r>
        <w:rPr>
          <w:spacing w:val="-2"/>
          <w:sz w:val="20"/>
        </w:rPr>
        <w:t xml:space="preserve"> </w:t>
      </w:r>
      <w:r>
        <w:rPr>
          <w:sz w:val="20"/>
        </w:rPr>
        <w:t>16,</w:t>
      </w:r>
      <w:r>
        <w:rPr>
          <w:spacing w:val="-2"/>
          <w:sz w:val="20"/>
        </w:rPr>
        <w:t xml:space="preserve"> </w:t>
      </w:r>
      <w:r>
        <w:rPr>
          <w:sz w:val="20"/>
        </w:rPr>
        <w:t>2010),</w:t>
      </w:r>
      <w:r>
        <w:rPr>
          <w:spacing w:val="-2"/>
          <w:sz w:val="20"/>
        </w:rPr>
        <w:t xml:space="preserve"> </w:t>
      </w:r>
      <w:r>
        <w:rPr>
          <w:i/>
          <w:sz w:val="20"/>
        </w:rPr>
        <w:t>available</w:t>
      </w:r>
      <w:r>
        <w:rPr>
          <w:i/>
          <w:spacing w:val="-3"/>
          <w:sz w:val="20"/>
        </w:rPr>
        <w:t xml:space="preserve"> </w:t>
      </w:r>
      <w:r>
        <w:rPr>
          <w:i/>
          <w:sz w:val="20"/>
        </w:rPr>
        <w:t>at</w:t>
      </w:r>
    </w:p>
    <w:p w14:paraId="0A2F2780" w14:textId="2EF1C680" w:rsidR="00F0743C" w:rsidRDefault="00F0743C" w:rsidP="00F0743C">
      <w:pPr>
        <w:ind w:left="960" w:right="991" w:hanging="1"/>
        <w:rPr>
          <w:sz w:val="20"/>
        </w:rPr>
      </w:pPr>
      <w:hyperlink r:id="rId45">
        <w:r>
          <w:rPr>
            <w:color w:val="486794"/>
            <w:spacing w:val="-2"/>
            <w:sz w:val="20"/>
            <w:u w:val="single" w:color="486794"/>
          </w:rPr>
          <w:t>https://www.mass.gov/doc/2010-examination-of-health-care-cost-trends-and-cost-drivers-with-</w:t>
        </w:r>
      </w:hyperlink>
      <w:r>
        <w:rPr>
          <w:color w:val="486794"/>
          <w:spacing w:val="-2"/>
          <w:sz w:val="20"/>
        </w:rPr>
        <w:t xml:space="preserve"> </w:t>
      </w:r>
      <w:hyperlink r:id="rId46">
        <w:r>
          <w:rPr>
            <w:color w:val="486794"/>
            <w:sz w:val="20"/>
            <w:u w:val="single" w:color="486794"/>
          </w:rPr>
          <w:t>appendix/download</w:t>
        </w:r>
      </w:hyperlink>
      <w:r>
        <w:rPr>
          <w:color w:val="486794"/>
          <w:spacing w:val="-5"/>
          <w:sz w:val="20"/>
        </w:rPr>
        <w:t xml:space="preserve"> </w:t>
      </w:r>
      <w:r>
        <w:rPr>
          <w:sz w:val="20"/>
        </w:rPr>
        <w:t>(last</w:t>
      </w:r>
      <w:r>
        <w:rPr>
          <w:spacing w:val="-3"/>
          <w:sz w:val="20"/>
        </w:rPr>
        <w:t xml:space="preserve"> </w:t>
      </w:r>
      <w:r>
        <w:rPr>
          <w:sz w:val="20"/>
        </w:rPr>
        <w:t>visited</w:t>
      </w:r>
      <w:r>
        <w:rPr>
          <w:spacing w:val="-3"/>
          <w:sz w:val="20"/>
        </w:rPr>
        <w:t xml:space="preserve"> </w:t>
      </w:r>
      <w:r>
        <w:rPr>
          <w:sz w:val="20"/>
        </w:rPr>
        <w:t>February</w:t>
      </w:r>
      <w:r>
        <w:rPr>
          <w:spacing w:val="-5"/>
          <w:sz w:val="20"/>
        </w:rPr>
        <w:t xml:space="preserve"> </w:t>
      </w:r>
      <w:r>
        <w:rPr>
          <w:sz w:val="20"/>
        </w:rPr>
        <w:t>27,</w:t>
      </w:r>
      <w:r>
        <w:rPr>
          <w:spacing w:val="-3"/>
          <w:sz w:val="20"/>
        </w:rPr>
        <w:t xml:space="preserve"> </w:t>
      </w:r>
      <w:r>
        <w:rPr>
          <w:sz w:val="20"/>
        </w:rPr>
        <w:t>2025);</w:t>
      </w:r>
      <w:r>
        <w:rPr>
          <w:spacing w:val="-3"/>
          <w:sz w:val="20"/>
        </w:rPr>
        <w:t xml:space="preserve"> </w:t>
      </w:r>
      <w:hyperlink r:id="rId47" w:history="1">
        <w:r w:rsidRPr="00685657">
          <w:rPr>
            <w:rStyle w:val="Hyperlink"/>
            <w:color w:val="000000" w:themeColor="text1"/>
            <w:sz w:val="20"/>
            <w:u w:val="none"/>
          </w:rPr>
          <w:t>M</w:t>
        </w:r>
        <w:r w:rsidRPr="00685657">
          <w:rPr>
            <w:rStyle w:val="Hyperlink"/>
            <w:color w:val="000000" w:themeColor="text1"/>
            <w:sz w:val="16"/>
            <w:u w:val="none"/>
          </w:rPr>
          <w:t>ASS</w:t>
        </w:r>
        <w:r w:rsidRPr="00685657">
          <w:rPr>
            <w:rStyle w:val="Hyperlink"/>
            <w:color w:val="000000" w:themeColor="text1"/>
            <w:sz w:val="20"/>
            <w:u w:val="none"/>
          </w:rPr>
          <w:t>.</w:t>
        </w:r>
        <w:r w:rsidRPr="00685657">
          <w:rPr>
            <w:rStyle w:val="Hyperlink"/>
            <w:color w:val="000000" w:themeColor="text1"/>
            <w:spacing w:val="-13"/>
            <w:sz w:val="20"/>
            <w:u w:val="none"/>
          </w:rPr>
          <w:t xml:space="preserve"> </w:t>
        </w:r>
        <w:r w:rsidRPr="00685657">
          <w:rPr>
            <w:rStyle w:val="Hyperlink"/>
            <w:color w:val="000000" w:themeColor="text1"/>
            <w:sz w:val="20"/>
            <w:u w:val="none"/>
          </w:rPr>
          <w:t>H</w:t>
        </w:r>
        <w:r w:rsidRPr="00685657">
          <w:rPr>
            <w:rStyle w:val="Hyperlink"/>
            <w:color w:val="000000" w:themeColor="text1"/>
            <w:sz w:val="16"/>
            <w:u w:val="none"/>
          </w:rPr>
          <w:t>EALTH</w:t>
        </w:r>
        <w:r w:rsidRPr="00685657">
          <w:rPr>
            <w:rStyle w:val="Hyperlink"/>
            <w:color w:val="000000" w:themeColor="text1"/>
            <w:spacing w:val="-3"/>
            <w:sz w:val="16"/>
            <w:u w:val="none"/>
          </w:rPr>
          <w:t xml:space="preserve"> </w:t>
        </w:r>
        <w:r w:rsidRPr="00685657">
          <w:rPr>
            <w:rStyle w:val="Hyperlink"/>
            <w:color w:val="000000" w:themeColor="text1"/>
            <w:sz w:val="20"/>
            <w:u w:val="none"/>
          </w:rPr>
          <w:t>P</w:t>
        </w:r>
        <w:r w:rsidRPr="00685657">
          <w:rPr>
            <w:rStyle w:val="Hyperlink"/>
            <w:color w:val="000000" w:themeColor="text1"/>
            <w:sz w:val="16"/>
            <w:u w:val="none"/>
          </w:rPr>
          <w:t>OLICY</w:t>
        </w:r>
        <w:r w:rsidRPr="00685657">
          <w:rPr>
            <w:rStyle w:val="Hyperlink"/>
            <w:color w:val="000000" w:themeColor="text1"/>
            <w:spacing w:val="-3"/>
            <w:sz w:val="16"/>
            <w:u w:val="none"/>
          </w:rPr>
          <w:t xml:space="preserve"> </w:t>
        </w:r>
        <w:r w:rsidRPr="00685657">
          <w:rPr>
            <w:rStyle w:val="Hyperlink"/>
            <w:color w:val="000000" w:themeColor="text1"/>
            <w:sz w:val="20"/>
            <w:u w:val="none"/>
          </w:rPr>
          <w:t>C</w:t>
        </w:r>
        <w:r w:rsidRPr="00685657">
          <w:rPr>
            <w:rStyle w:val="Hyperlink"/>
            <w:color w:val="000000" w:themeColor="text1"/>
            <w:sz w:val="16"/>
            <w:u w:val="none"/>
          </w:rPr>
          <w:t>OMM</w:t>
        </w:r>
        <w:r w:rsidRPr="00685657">
          <w:rPr>
            <w:rStyle w:val="Hyperlink"/>
            <w:color w:val="000000" w:themeColor="text1"/>
            <w:sz w:val="20"/>
            <w:u w:val="none"/>
          </w:rPr>
          <w:t>’</w:t>
        </w:r>
        <w:r w:rsidRPr="00685657">
          <w:rPr>
            <w:rStyle w:val="Hyperlink"/>
            <w:color w:val="000000" w:themeColor="text1"/>
            <w:sz w:val="16"/>
            <w:u w:val="none"/>
          </w:rPr>
          <w:t>N</w:t>
        </w:r>
        <w:r w:rsidRPr="00685657">
          <w:rPr>
            <w:rStyle w:val="Hyperlink"/>
            <w:color w:val="000000" w:themeColor="text1"/>
            <w:sz w:val="20"/>
            <w:u w:val="none"/>
          </w:rPr>
          <w:t>,</w:t>
        </w:r>
        <w:r w:rsidRPr="00685657">
          <w:rPr>
            <w:rStyle w:val="Hyperlink"/>
            <w:color w:val="000000" w:themeColor="text1"/>
            <w:spacing w:val="-13"/>
            <w:sz w:val="20"/>
            <w:u w:val="none"/>
          </w:rPr>
          <w:t xml:space="preserve"> </w:t>
        </w:r>
        <w:r w:rsidRPr="00685657">
          <w:rPr>
            <w:rStyle w:val="Hyperlink"/>
            <w:color w:val="000000" w:themeColor="text1"/>
            <w:sz w:val="20"/>
            <w:u w:val="none"/>
          </w:rPr>
          <w:t>2015</w:t>
        </w:r>
        <w:r w:rsidRPr="00685657">
          <w:rPr>
            <w:rStyle w:val="Hyperlink"/>
            <w:color w:val="000000" w:themeColor="text1"/>
            <w:spacing w:val="-12"/>
            <w:sz w:val="20"/>
            <w:u w:val="none"/>
          </w:rPr>
          <w:t xml:space="preserve"> </w:t>
        </w:r>
        <w:r w:rsidRPr="00685657">
          <w:rPr>
            <w:rStyle w:val="Hyperlink"/>
            <w:color w:val="000000" w:themeColor="text1"/>
            <w:sz w:val="20"/>
            <w:u w:val="none"/>
          </w:rPr>
          <w:t>C</w:t>
        </w:r>
        <w:r w:rsidRPr="00685657">
          <w:rPr>
            <w:rStyle w:val="Hyperlink"/>
            <w:color w:val="000000" w:themeColor="text1"/>
            <w:sz w:val="16"/>
            <w:u w:val="none"/>
          </w:rPr>
          <w:t>OST</w:t>
        </w:r>
        <w:r w:rsidRPr="00685657">
          <w:rPr>
            <w:rStyle w:val="Hyperlink"/>
            <w:color w:val="000000" w:themeColor="text1"/>
            <w:spacing w:val="-2"/>
            <w:sz w:val="16"/>
            <w:u w:val="none"/>
          </w:rPr>
          <w:t xml:space="preserve"> </w:t>
        </w:r>
        <w:r w:rsidRPr="00685657">
          <w:rPr>
            <w:rStyle w:val="Hyperlink"/>
            <w:color w:val="000000" w:themeColor="text1"/>
            <w:sz w:val="20"/>
            <w:u w:val="none"/>
          </w:rPr>
          <w:t>T</w:t>
        </w:r>
        <w:r w:rsidRPr="00685657">
          <w:rPr>
            <w:rStyle w:val="Hyperlink"/>
            <w:color w:val="000000" w:themeColor="text1"/>
            <w:sz w:val="16"/>
            <w:u w:val="none"/>
          </w:rPr>
          <w:t>RENDS</w:t>
        </w:r>
        <w:r w:rsidRPr="00685657">
          <w:rPr>
            <w:rStyle w:val="Hyperlink"/>
            <w:color w:val="000000" w:themeColor="text1"/>
            <w:spacing w:val="-3"/>
            <w:sz w:val="16"/>
            <w:u w:val="none"/>
          </w:rPr>
          <w:t xml:space="preserve"> </w:t>
        </w:r>
        <w:r w:rsidRPr="00685657">
          <w:rPr>
            <w:rStyle w:val="Hyperlink"/>
            <w:color w:val="000000" w:themeColor="text1"/>
            <w:sz w:val="20"/>
            <w:u w:val="none"/>
          </w:rPr>
          <w:t>R</w:t>
        </w:r>
        <w:r w:rsidRPr="00685657">
          <w:rPr>
            <w:rStyle w:val="Hyperlink"/>
            <w:color w:val="000000" w:themeColor="text1"/>
            <w:sz w:val="16"/>
            <w:u w:val="none"/>
          </w:rPr>
          <w:t>EPORT</w:t>
        </w:r>
        <w:r w:rsidRPr="00685657">
          <w:rPr>
            <w:rStyle w:val="Hyperlink"/>
            <w:color w:val="000000" w:themeColor="text1"/>
            <w:sz w:val="20"/>
            <w:u w:val="none"/>
          </w:rPr>
          <w:t>: P</w:t>
        </w:r>
        <w:r w:rsidRPr="00685657">
          <w:rPr>
            <w:rStyle w:val="Hyperlink"/>
            <w:color w:val="000000" w:themeColor="text1"/>
            <w:sz w:val="16"/>
            <w:u w:val="none"/>
          </w:rPr>
          <w:t xml:space="preserve">ROVIDER </w:t>
        </w:r>
        <w:r w:rsidRPr="00685657">
          <w:rPr>
            <w:rStyle w:val="Hyperlink"/>
            <w:color w:val="000000" w:themeColor="text1"/>
            <w:sz w:val="20"/>
            <w:u w:val="none"/>
          </w:rPr>
          <w:t>P</w:t>
        </w:r>
        <w:r w:rsidRPr="00685657">
          <w:rPr>
            <w:rStyle w:val="Hyperlink"/>
            <w:color w:val="000000" w:themeColor="text1"/>
            <w:sz w:val="16"/>
            <w:u w:val="none"/>
          </w:rPr>
          <w:t xml:space="preserve">RICE </w:t>
        </w:r>
        <w:r w:rsidRPr="00685657">
          <w:rPr>
            <w:rStyle w:val="Hyperlink"/>
            <w:color w:val="000000" w:themeColor="text1"/>
            <w:sz w:val="20"/>
            <w:u w:val="none"/>
          </w:rPr>
          <w:t>V</w:t>
        </w:r>
        <w:r w:rsidRPr="00685657">
          <w:rPr>
            <w:rStyle w:val="Hyperlink"/>
            <w:color w:val="000000" w:themeColor="text1"/>
            <w:sz w:val="16"/>
            <w:u w:val="none"/>
          </w:rPr>
          <w:t>ARIATION</w:t>
        </w:r>
      </w:hyperlink>
      <w:r w:rsidRPr="00685657">
        <w:rPr>
          <w:color w:val="000000" w:themeColor="text1"/>
          <w:sz w:val="16"/>
        </w:rPr>
        <w:t xml:space="preserve"> </w:t>
      </w:r>
      <w:r w:rsidRPr="00685657">
        <w:rPr>
          <w:color w:val="000000" w:themeColor="text1"/>
          <w:sz w:val="20"/>
        </w:rPr>
        <w:t>(Jan. 2016</w:t>
      </w:r>
      <w:r>
        <w:rPr>
          <w:sz w:val="20"/>
        </w:rPr>
        <w:t xml:space="preserve">), </w:t>
      </w:r>
      <w:r>
        <w:rPr>
          <w:i/>
          <w:sz w:val="20"/>
        </w:rPr>
        <w:t xml:space="preserve">available at </w:t>
      </w:r>
      <w:r>
        <w:rPr>
          <w:color w:val="486794"/>
          <w:sz w:val="20"/>
          <w:u w:val="single" w:color="486794"/>
        </w:rPr>
        <w:t>https://dev-hpc-</w:t>
      </w:r>
      <w:hyperlink r:id="rId48">
        <w:r>
          <w:rPr>
            <w:color w:val="486794"/>
            <w:sz w:val="20"/>
            <w:u w:val="single" w:color="486794"/>
          </w:rPr>
          <w:t>training.pantheonsite.io/sites/default/files/2023-04/2015-ctr-ppv.pdf</w:t>
        </w:r>
      </w:hyperlink>
      <w:r>
        <w:rPr>
          <w:color w:val="486794"/>
          <w:sz w:val="20"/>
        </w:rPr>
        <w:t xml:space="preserve"> </w:t>
      </w:r>
      <w:r>
        <w:rPr>
          <w:sz w:val="20"/>
        </w:rPr>
        <w:t>(last visited February 27, 2025).</w:t>
      </w:r>
    </w:p>
    <w:p w14:paraId="417EEC0B" w14:textId="4E0B2148" w:rsidR="00F0743C" w:rsidRDefault="00F0743C">
      <w:pPr>
        <w:pStyle w:val="FootnoteText"/>
      </w:pPr>
    </w:p>
  </w:footnote>
  <w:footnote w:id="27">
    <w:p w14:paraId="4365A8FF" w14:textId="62D30B86" w:rsidR="002F6244" w:rsidRDefault="002F6244" w:rsidP="002F6244">
      <w:pPr>
        <w:pStyle w:val="FootnoteText"/>
        <w:ind w:left="1260" w:right="1030"/>
      </w:pPr>
      <w:r>
        <w:rPr>
          <w:rStyle w:val="FootnoteReference"/>
        </w:rPr>
        <w:footnoteRef/>
      </w:r>
      <w:r>
        <w:t xml:space="preserve"> DFCI</w:t>
      </w:r>
      <w:r>
        <w:rPr>
          <w:spacing w:val="-8"/>
        </w:rPr>
        <w:t xml:space="preserve"> </w:t>
      </w:r>
      <w:r>
        <w:t>D</w:t>
      </w:r>
      <w:r>
        <w:rPr>
          <w:sz w:val="16"/>
        </w:rPr>
        <w:t>O</w:t>
      </w:r>
      <w:r>
        <w:t>N</w:t>
      </w:r>
      <w:r>
        <w:rPr>
          <w:spacing w:val="-8"/>
        </w:rPr>
        <w:t xml:space="preserve"> </w:t>
      </w:r>
      <w:r>
        <w:t>N</w:t>
      </w:r>
      <w:r>
        <w:rPr>
          <w:sz w:val="16"/>
        </w:rPr>
        <w:t>ARRATIVE</w:t>
      </w:r>
      <w:r>
        <w:t xml:space="preserve">, </w:t>
      </w:r>
      <w:r>
        <w:rPr>
          <w:i/>
        </w:rPr>
        <w:t xml:space="preserve">supra </w:t>
      </w:r>
      <w:r>
        <w:t xml:space="preserve">note </w:t>
      </w:r>
      <w:hyperlink w:anchor="_bookmark7" w:history="1">
        <w:r>
          <w:t>8,</w:t>
        </w:r>
      </w:hyperlink>
      <w:r>
        <w:t xml:space="preserve"> at 19. The HPC independently confirmed these ICD codes as a reasonable</w:t>
      </w:r>
      <w:r>
        <w:rPr>
          <w:spacing w:val="-4"/>
        </w:rPr>
        <w:t xml:space="preserve"> </w:t>
      </w:r>
      <w:r>
        <w:t>scope</w:t>
      </w:r>
      <w:r>
        <w:rPr>
          <w:spacing w:val="-4"/>
        </w:rPr>
        <w:t xml:space="preserve"> </w:t>
      </w:r>
      <w:r>
        <w:t>of</w:t>
      </w:r>
      <w:r>
        <w:rPr>
          <w:spacing w:val="-3"/>
        </w:rPr>
        <w:t xml:space="preserve"> </w:t>
      </w:r>
      <w:r>
        <w:t>definition</w:t>
      </w:r>
      <w:r>
        <w:rPr>
          <w:spacing w:val="-3"/>
        </w:rPr>
        <w:t xml:space="preserve"> </w:t>
      </w:r>
      <w:r>
        <w:t>for</w:t>
      </w:r>
      <w:r>
        <w:rPr>
          <w:spacing w:val="-4"/>
        </w:rPr>
        <w:t xml:space="preserve"> </w:t>
      </w:r>
      <w:r>
        <w:t>oncology-related</w:t>
      </w:r>
      <w:r>
        <w:rPr>
          <w:spacing w:val="-2"/>
        </w:rPr>
        <w:t xml:space="preserve"> </w:t>
      </w:r>
      <w:r>
        <w:t>diagnoses</w:t>
      </w:r>
      <w:r>
        <w:rPr>
          <w:spacing w:val="-2"/>
        </w:rPr>
        <w:t xml:space="preserve"> </w:t>
      </w:r>
      <w:r>
        <w:t>with</w:t>
      </w:r>
      <w:r>
        <w:rPr>
          <w:spacing w:val="-3"/>
        </w:rPr>
        <w:t xml:space="preserve"> </w:t>
      </w:r>
      <w:r>
        <w:t>the</w:t>
      </w:r>
      <w:r>
        <w:rPr>
          <w:spacing w:val="-4"/>
        </w:rPr>
        <w:t xml:space="preserve"> </w:t>
      </w:r>
      <w:r>
        <w:t>assistance</w:t>
      </w:r>
      <w:r>
        <w:rPr>
          <w:spacing w:val="-4"/>
        </w:rPr>
        <w:t xml:space="preserve"> </w:t>
      </w:r>
      <w:r>
        <w:t>of</w:t>
      </w:r>
      <w:r>
        <w:rPr>
          <w:spacing w:val="-3"/>
        </w:rPr>
        <w:t xml:space="preserve"> </w:t>
      </w:r>
      <w:r>
        <w:t>clinical</w:t>
      </w:r>
      <w:r>
        <w:rPr>
          <w:spacing w:val="-3"/>
        </w:rPr>
        <w:t xml:space="preserve"> </w:t>
      </w:r>
      <w:r>
        <w:t>experts.</w:t>
      </w:r>
    </w:p>
  </w:footnote>
  <w:footnote w:id="28">
    <w:p w14:paraId="47A674F0" w14:textId="6D87F207" w:rsidR="00054E82" w:rsidRPr="00A567C4" w:rsidRDefault="00054E82" w:rsidP="00054E82">
      <w:pPr>
        <w:ind w:left="1248" w:right="891" w:hanging="1"/>
        <w:rPr>
          <w:rStyle w:val="Hyperlink"/>
          <w:color w:val="000000" w:themeColor="text1"/>
          <w:sz w:val="16"/>
          <w:u w:val="none"/>
        </w:rPr>
      </w:pPr>
      <w:r>
        <w:rPr>
          <w:rStyle w:val="FootnoteReference"/>
        </w:rPr>
        <w:footnoteRef/>
      </w:r>
      <w:r>
        <w:t xml:space="preserve"> </w:t>
      </w:r>
      <w:r>
        <w:rPr>
          <w:i/>
          <w:sz w:val="20"/>
        </w:rPr>
        <w:t xml:space="preserve">See </w:t>
      </w:r>
      <w:r>
        <w:rPr>
          <w:sz w:val="20"/>
        </w:rPr>
        <w:t>DFCI</w:t>
      </w:r>
      <w:r>
        <w:rPr>
          <w:spacing w:val="-4"/>
          <w:sz w:val="20"/>
        </w:rPr>
        <w:t xml:space="preserve"> </w:t>
      </w:r>
      <w:r>
        <w:rPr>
          <w:sz w:val="20"/>
        </w:rPr>
        <w:t>D</w:t>
      </w:r>
      <w:r>
        <w:rPr>
          <w:sz w:val="16"/>
        </w:rPr>
        <w:t>O</w:t>
      </w:r>
      <w:r>
        <w:rPr>
          <w:sz w:val="20"/>
        </w:rPr>
        <w:t>N</w:t>
      </w:r>
      <w:r>
        <w:rPr>
          <w:spacing w:val="-4"/>
          <w:sz w:val="20"/>
        </w:rPr>
        <w:t xml:space="preserve"> </w:t>
      </w:r>
      <w:r>
        <w:rPr>
          <w:sz w:val="20"/>
        </w:rPr>
        <w:t>N</w:t>
      </w:r>
      <w:r>
        <w:rPr>
          <w:sz w:val="16"/>
        </w:rPr>
        <w:t>ARRATIVE</w:t>
      </w:r>
      <w:r>
        <w:rPr>
          <w:sz w:val="20"/>
        </w:rPr>
        <w:t xml:space="preserve">, </w:t>
      </w:r>
      <w:r>
        <w:rPr>
          <w:i/>
          <w:sz w:val="20"/>
        </w:rPr>
        <w:t xml:space="preserve">supra </w:t>
      </w:r>
      <w:r>
        <w:rPr>
          <w:sz w:val="20"/>
        </w:rPr>
        <w:t xml:space="preserve">note </w:t>
      </w:r>
      <w:hyperlink w:anchor="_bookmark7" w:history="1">
        <w:r>
          <w:rPr>
            <w:sz w:val="20"/>
          </w:rPr>
          <w:t>8,</w:t>
        </w:r>
      </w:hyperlink>
      <w:r>
        <w:rPr>
          <w:sz w:val="20"/>
        </w:rPr>
        <w:t xml:space="preserve"> at 18-20. The HPC was not able to directly replicate DFCI’s inpatient</w:t>
      </w:r>
      <w:r>
        <w:rPr>
          <w:spacing w:val="-2"/>
          <w:sz w:val="20"/>
        </w:rPr>
        <w:t xml:space="preserve"> </w:t>
      </w:r>
      <w:r>
        <w:rPr>
          <w:sz w:val="20"/>
        </w:rPr>
        <w:t>oncology</w:t>
      </w:r>
      <w:r>
        <w:rPr>
          <w:spacing w:val="-4"/>
          <w:sz w:val="20"/>
        </w:rPr>
        <w:t xml:space="preserve"> </w:t>
      </w:r>
      <w:r>
        <w:rPr>
          <w:sz w:val="20"/>
        </w:rPr>
        <w:t>methodology</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z w:val="20"/>
        </w:rPr>
        <w:t>data</w:t>
      </w:r>
      <w:r>
        <w:rPr>
          <w:spacing w:val="-3"/>
          <w:sz w:val="20"/>
        </w:rPr>
        <w:t xml:space="preserve"> </w:t>
      </w:r>
      <w:r>
        <w:rPr>
          <w:sz w:val="20"/>
        </w:rPr>
        <w:t>limitations,</w:t>
      </w:r>
      <w:r>
        <w:rPr>
          <w:spacing w:val="-2"/>
          <w:sz w:val="20"/>
        </w:rPr>
        <w:t xml:space="preserve"> </w:t>
      </w:r>
      <w:r>
        <w:rPr>
          <w:sz w:val="20"/>
        </w:rPr>
        <w:t>but</w:t>
      </w:r>
      <w:r>
        <w:rPr>
          <w:spacing w:val="-2"/>
          <w:sz w:val="20"/>
        </w:rPr>
        <w:t xml:space="preserve"> </w:t>
      </w:r>
      <w:r>
        <w:rPr>
          <w:sz w:val="20"/>
        </w:rPr>
        <w:t>comparison</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HPC’s</w:t>
      </w:r>
      <w:r>
        <w:rPr>
          <w:spacing w:val="-2"/>
          <w:sz w:val="20"/>
        </w:rPr>
        <w:t xml:space="preserve"> </w:t>
      </w:r>
      <w:r>
        <w:rPr>
          <w:sz w:val="20"/>
        </w:rPr>
        <w:t>results</w:t>
      </w:r>
      <w:r>
        <w:rPr>
          <w:spacing w:val="-2"/>
          <w:sz w:val="20"/>
        </w:rPr>
        <w:t xml:space="preserve"> </w:t>
      </w:r>
      <w:r>
        <w:rPr>
          <w:sz w:val="20"/>
        </w:rPr>
        <w:t>to</w:t>
      </w:r>
      <w:r>
        <w:rPr>
          <w:spacing w:val="-3"/>
          <w:sz w:val="20"/>
        </w:rPr>
        <w:t xml:space="preserve"> </w:t>
      </w:r>
      <w:r>
        <w:rPr>
          <w:sz w:val="20"/>
        </w:rPr>
        <w:t xml:space="preserve">detailed data provided confidentially by DFCI indicates that the methodologies produce substantially similar results. </w:t>
      </w:r>
      <w:r>
        <w:rPr>
          <w:i/>
          <w:sz w:val="20"/>
        </w:rPr>
        <w:t xml:space="preserve">See also </w:t>
      </w:r>
      <w:r w:rsidR="00A567C4" w:rsidRPr="00A567C4">
        <w:rPr>
          <w:color w:val="000000" w:themeColor="text1"/>
          <w:sz w:val="20"/>
        </w:rPr>
        <w:fldChar w:fldCharType="begin"/>
      </w:r>
      <w:r w:rsidR="00A567C4" w:rsidRPr="00A567C4">
        <w:rPr>
          <w:color w:val="000000" w:themeColor="text1"/>
          <w:sz w:val="20"/>
        </w:rPr>
        <w:instrText>HYPERLINK "https://www.gao.gov/assets/gao-15-199.pdf"</w:instrText>
      </w:r>
      <w:r w:rsidR="00A567C4" w:rsidRPr="00A567C4">
        <w:rPr>
          <w:color w:val="000000" w:themeColor="text1"/>
          <w:sz w:val="20"/>
        </w:rPr>
      </w:r>
      <w:r w:rsidR="00A567C4" w:rsidRPr="00A567C4">
        <w:rPr>
          <w:color w:val="000000" w:themeColor="text1"/>
          <w:sz w:val="20"/>
        </w:rPr>
        <w:fldChar w:fldCharType="separate"/>
      </w:r>
      <w:r w:rsidRPr="00A567C4">
        <w:rPr>
          <w:rStyle w:val="Hyperlink"/>
          <w:color w:val="000000" w:themeColor="text1"/>
          <w:sz w:val="20"/>
          <w:u w:val="none"/>
        </w:rPr>
        <w:t>U.S.</w:t>
      </w:r>
      <w:r w:rsidRPr="00A567C4">
        <w:rPr>
          <w:rStyle w:val="Hyperlink"/>
          <w:color w:val="000000" w:themeColor="text1"/>
          <w:spacing w:val="-7"/>
          <w:sz w:val="20"/>
          <w:u w:val="none"/>
        </w:rPr>
        <w:t xml:space="preserve"> </w:t>
      </w:r>
      <w:r w:rsidRPr="00A567C4">
        <w:rPr>
          <w:rStyle w:val="Hyperlink"/>
          <w:color w:val="000000" w:themeColor="text1"/>
          <w:sz w:val="20"/>
          <w:u w:val="none"/>
        </w:rPr>
        <w:t>G</w:t>
      </w:r>
      <w:r w:rsidRPr="00A567C4">
        <w:rPr>
          <w:rStyle w:val="Hyperlink"/>
          <w:color w:val="000000" w:themeColor="text1"/>
          <w:sz w:val="16"/>
          <w:u w:val="none"/>
        </w:rPr>
        <w:t>OV</w:t>
      </w:r>
      <w:r w:rsidRPr="00A567C4">
        <w:rPr>
          <w:rStyle w:val="Hyperlink"/>
          <w:color w:val="000000" w:themeColor="text1"/>
          <w:sz w:val="20"/>
          <w:u w:val="none"/>
        </w:rPr>
        <w:t>’</w:t>
      </w:r>
      <w:r w:rsidRPr="00A567C4">
        <w:rPr>
          <w:rStyle w:val="Hyperlink"/>
          <w:color w:val="000000" w:themeColor="text1"/>
          <w:sz w:val="16"/>
          <w:u w:val="none"/>
        </w:rPr>
        <w:t xml:space="preserve">T </w:t>
      </w:r>
      <w:r w:rsidRPr="00A567C4">
        <w:rPr>
          <w:rStyle w:val="Hyperlink"/>
          <w:color w:val="000000" w:themeColor="text1"/>
          <w:sz w:val="20"/>
          <w:u w:val="none"/>
        </w:rPr>
        <w:t>A</w:t>
      </w:r>
      <w:r w:rsidRPr="00A567C4">
        <w:rPr>
          <w:rStyle w:val="Hyperlink"/>
          <w:color w:val="000000" w:themeColor="text1"/>
          <w:sz w:val="16"/>
          <w:u w:val="none"/>
        </w:rPr>
        <w:t xml:space="preserve">CCOUNTABILITY </w:t>
      </w:r>
      <w:r w:rsidRPr="00A567C4">
        <w:rPr>
          <w:rStyle w:val="Hyperlink"/>
          <w:color w:val="000000" w:themeColor="text1"/>
          <w:sz w:val="20"/>
          <w:u w:val="none"/>
        </w:rPr>
        <w:t>O</w:t>
      </w:r>
      <w:r w:rsidRPr="00A567C4">
        <w:rPr>
          <w:rStyle w:val="Hyperlink"/>
          <w:color w:val="000000" w:themeColor="text1"/>
          <w:sz w:val="16"/>
          <w:u w:val="none"/>
        </w:rPr>
        <w:t>FFICE</w:t>
      </w:r>
      <w:r w:rsidRPr="00A567C4">
        <w:rPr>
          <w:rStyle w:val="Hyperlink"/>
          <w:color w:val="000000" w:themeColor="text1"/>
          <w:sz w:val="20"/>
          <w:u w:val="none"/>
        </w:rPr>
        <w:t>, P</w:t>
      </w:r>
      <w:r w:rsidRPr="00A567C4">
        <w:rPr>
          <w:rStyle w:val="Hyperlink"/>
          <w:color w:val="000000" w:themeColor="text1"/>
          <w:sz w:val="16"/>
          <w:u w:val="none"/>
        </w:rPr>
        <w:t>AYMENT</w:t>
      </w:r>
      <w:r w:rsidRPr="00A567C4">
        <w:rPr>
          <w:rStyle w:val="Hyperlink"/>
          <w:color w:val="000000" w:themeColor="text1"/>
          <w:spacing w:val="-2"/>
          <w:sz w:val="16"/>
          <w:u w:val="none"/>
        </w:rPr>
        <w:t xml:space="preserve"> </w:t>
      </w:r>
      <w:r w:rsidRPr="00A567C4">
        <w:rPr>
          <w:rStyle w:val="Hyperlink"/>
          <w:color w:val="000000" w:themeColor="text1"/>
          <w:sz w:val="20"/>
          <w:u w:val="none"/>
        </w:rPr>
        <w:t>M</w:t>
      </w:r>
      <w:r w:rsidRPr="00A567C4">
        <w:rPr>
          <w:rStyle w:val="Hyperlink"/>
          <w:color w:val="000000" w:themeColor="text1"/>
          <w:sz w:val="16"/>
          <w:u w:val="none"/>
        </w:rPr>
        <w:t xml:space="preserve">ETHODS FOR </w:t>
      </w:r>
      <w:r w:rsidRPr="00A567C4">
        <w:rPr>
          <w:rStyle w:val="Hyperlink"/>
          <w:color w:val="000000" w:themeColor="text1"/>
          <w:sz w:val="20"/>
          <w:u w:val="none"/>
        </w:rPr>
        <w:t>C</w:t>
      </w:r>
      <w:r w:rsidRPr="00A567C4">
        <w:rPr>
          <w:rStyle w:val="Hyperlink"/>
          <w:color w:val="000000" w:themeColor="text1"/>
          <w:sz w:val="16"/>
          <w:u w:val="none"/>
        </w:rPr>
        <w:t xml:space="preserve">ERTAIN </w:t>
      </w:r>
      <w:r w:rsidRPr="00A567C4">
        <w:rPr>
          <w:rStyle w:val="Hyperlink"/>
          <w:color w:val="000000" w:themeColor="text1"/>
          <w:sz w:val="20"/>
          <w:u w:val="none"/>
        </w:rPr>
        <w:t>C</w:t>
      </w:r>
      <w:r w:rsidRPr="00A567C4">
        <w:rPr>
          <w:rStyle w:val="Hyperlink"/>
          <w:color w:val="000000" w:themeColor="text1"/>
          <w:sz w:val="16"/>
          <w:u w:val="none"/>
        </w:rPr>
        <w:t xml:space="preserve">ANCER </w:t>
      </w:r>
      <w:r w:rsidRPr="00A567C4">
        <w:rPr>
          <w:rStyle w:val="Hyperlink"/>
          <w:color w:val="000000" w:themeColor="text1"/>
          <w:sz w:val="20"/>
          <w:u w:val="none"/>
        </w:rPr>
        <w:t>H</w:t>
      </w:r>
      <w:r w:rsidRPr="00A567C4">
        <w:rPr>
          <w:rStyle w:val="Hyperlink"/>
          <w:color w:val="000000" w:themeColor="text1"/>
          <w:sz w:val="16"/>
          <w:u w:val="none"/>
        </w:rPr>
        <w:t xml:space="preserve">OSPITALS </w:t>
      </w:r>
      <w:r w:rsidRPr="00A567C4">
        <w:rPr>
          <w:rStyle w:val="Hyperlink"/>
          <w:color w:val="000000" w:themeColor="text1"/>
          <w:sz w:val="20"/>
          <w:u w:val="none"/>
        </w:rPr>
        <w:t>S</w:t>
      </w:r>
      <w:r w:rsidRPr="00A567C4">
        <w:rPr>
          <w:rStyle w:val="Hyperlink"/>
          <w:color w:val="000000" w:themeColor="text1"/>
          <w:sz w:val="16"/>
          <w:u w:val="none"/>
        </w:rPr>
        <w:t>HOULD</w:t>
      </w:r>
    </w:p>
    <w:p w14:paraId="7CCBC70A" w14:textId="4ECFA8DE" w:rsidR="00054E82" w:rsidRPr="00054E82" w:rsidRDefault="00054E82" w:rsidP="00054E82">
      <w:pPr>
        <w:spacing w:before="1"/>
        <w:ind w:left="1247" w:right="943"/>
        <w:rPr>
          <w:sz w:val="20"/>
        </w:rPr>
      </w:pPr>
      <w:r w:rsidRPr="00A567C4">
        <w:rPr>
          <w:rStyle w:val="Hyperlink"/>
          <w:color w:val="000000" w:themeColor="text1"/>
          <w:sz w:val="20"/>
          <w:u w:val="none"/>
        </w:rPr>
        <w:t>B</w:t>
      </w:r>
      <w:r w:rsidRPr="00A567C4">
        <w:rPr>
          <w:rStyle w:val="Hyperlink"/>
          <w:color w:val="000000" w:themeColor="text1"/>
          <w:sz w:val="16"/>
          <w:u w:val="none"/>
        </w:rPr>
        <w:t>E</w:t>
      </w:r>
      <w:r w:rsidRPr="00A567C4">
        <w:rPr>
          <w:rStyle w:val="Hyperlink"/>
          <w:color w:val="000000" w:themeColor="text1"/>
          <w:spacing w:val="-2"/>
          <w:sz w:val="16"/>
          <w:u w:val="none"/>
        </w:rPr>
        <w:t xml:space="preserve"> </w:t>
      </w:r>
      <w:r w:rsidRPr="00A567C4">
        <w:rPr>
          <w:rStyle w:val="Hyperlink"/>
          <w:color w:val="000000" w:themeColor="text1"/>
          <w:sz w:val="20"/>
          <w:u w:val="none"/>
        </w:rPr>
        <w:t>R</w:t>
      </w:r>
      <w:r w:rsidRPr="00A567C4">
        <w:rPr>
          <w:rStyle w:val="Hyperlink"/>
          <w:color w:val="000000" w:themeColor="text1"/>
          <w:sz w:val="16"/>
          <w:u w:val="none"/>
        </w:rPr>
        <w:t>EVISED</w:t>
      </w:r>
      <w:r w:rsidRPr="00A567C4">
        <w:rPr>
          <w:rStyle w:val="Hyperlink"/>
          <w:color w:val="000000" w:themeColor="text1"/>
          <w:spacing w:val="-6"/>
          <w:sz w:val="16"/>
          <w:u w:val="none"/>
        </w:rPr>
        <w:t xml:space="preserve"> </w:t>
      </w:r>
      <w:r w:rsidRPr="00A567C4">
        <w:rPr>
          <w:rStyle w:val="Hyperlink"/>
          <w:color w:val="000000" w:themeColor="text1"/>
          <w:sz w:val="16"/>
          <w:u w:val="none"/>
        </w:rPr>
        <w:t>TO</w:t>
      </w:r>
      <w:r w:rsidRPr="00A567C4">
        <w:rPr>
          <w:rStyle w:val="Hyperlink"/>
          <w:color w:val="000000" w:themeColor="text1"/>
          <w:spacing w:val="-3"/>
          <w:sz w:val="16"/>
          <w:u w:val="none"/>
        </w:rPr>
        <w:t xml:space="preserve"> </w:t>
      </w:r>
      <w:r w:rsidRPr="00A567C4">
        <w:rPr>
          <w:rStyle w:val="Hyperlink"/>
          <w:color w:val="000000" w:themeColor="text1"/>
          <w:sz w:val="20"/>
          <w:u w:val="none"/>
        </w:rPr>
        <w:t>P</w:t>
      </w:r>
      <w:r w:rsidRPr="00A567C4">
        <w:rPr>
          <w:rStyle w:val="Hyperlink"/>
          <w:color w:val="000000" w:themeColor="text1"/>
          <w:sz w:val="16"/>
          <w:u w:val="none"/>
        </w:rPr>
        <w:t>ROMOTE</w:t>
      </w:r>
      <w:r w:rsidRPr="00A567C4">
        <w:rPr>
          <w:rStyle w:val="Hyperlink"/>
          <w:color w:val="000000" w:themeColor="text1"/>
          <w:spacing w:val="-2"/>
          <w:sz w:val="16"/>
          <w:u w:val="none"/>
        </w:rPr>
        <w:t xml:space="preserve"> </w:t>
      </w:r>
      <w:r w:rsidRPr="00A567C4">
        <w:rPr>
          <w:rStyle w:val="Hyperlink"/>
          <w:color w:val="000000" w:themeColor="text1"/>
          <w:sz w:val="20"/>
          <w:u w:val="none"/>
        </w:rPr>
        <w:t>E</w:t>
      </w:r>
      <w:r w:rsidRPr="00A567C4">
        <w:rPr>
          <w:rStyle w:val="Hyperlink"/>
          <w:color w:val="000000" w:themeColor="text1"/>
          <w:sz w:val="16"/>
          <w:u w:val="none"/>
        </w:rPr>
        <w:t xml:space="preserve">FFICIENCY </w:t>
      </w:r>
      <w:r w:rsidRPr="00A567C4">
        <w:rPr>
          <w:rStyle w:val="Hyperlink"/>
          <w:color w:val="000000" w:themeColor="text1"/>
          <w:sz w:val="20"/>
          <w:u w:val="none"/>
        </w:rPr>
        <w:t>at</w:t>
      </w:r>
      <w:r w:rsidRPr="00A567C4">
        <w:rPr>
          <w:rStyle w:val="Hyperlink"/>
          <w:color w:val="000000" w:themeColor="text1"/>
          <w:spacing w:val="-2"/>
          <w:sz w:val="20"/>
          <w:u w:val="none"/>
        </w:rPr>
        <w:t xml:space="preserve"> </w:t>
      </w:r>
      <w:r w:rsidRPr="00A567C4">
        <w:rPr>
          <w:rStyle w:val="Hyperlink"/>
          <w:color w:val="000000" w:themeColor="text1"/>
          <w:sz w:val="20"/>
          <w:u w:val="none"/>
        </w:rPr>
        <w:t>8-9</w:t>
      </w:r>
      <w:r w:rsidR="00A567C4" w:rsidRPr="00A567C4">
        <w:rPr>
          <w:color w:val="000000" w:themeColor="text1"/>
          <w:sz w:val="20"/>
        </w:rPr>
        <w:fldChar w:fldCharType="end"/>
      </w:r>
      <w:r w:rsidRPr="00A567C4">
        <w:rPr>
          <w:color w:val="000000" w:themeColor="text1"/>
          <w:spacing w:val="-2"/>
          <w:sz w:val="20"/>
        </w:rPr>
        <w:t xml:space="preserve"> </w:t>
      </w:r>
      <w:r w:rsidRPr="00A567C4">
        <w:rPr>
          <w:color w:val="000000" w:themeColor="text1"/>
          <w:sz w:val="20"/>
        </w:rPr>
        <w:t>(Feb.</w:t>
      </w:r>
      <w:r w:rsidRPr="00A567C4">
        <w:rPr>
          <w:color w:val="000000" w:themeColor="text1"/>
          <w:spacing w:val="-2"/>
          <w:sz w:val="20"/>
        </w:rPr>
        <w:t xml:space="preserve"> </w:t>
      </w:r>
      <w:r w:rsidRPr="00A567C4">
        <w:rPr>
          <w:color w:val="000000" w:themeColor="text1"/>
          <w:sz w:val="20"/>
        </w:rPr>
        <w:t>2015</w:t>
      </w:r>
      <w:r>
        <w:rPr>
          <w:sz w:val="20"/>
        </w:rPr>
        <w:t>),</w:t>
      </w:r>
      <w:r>
        <w:rPr>
          <w:spacing w:val="-2"/>
          <w:sz w:val="20"/>
        </w:rPr>
        <w:t xml:space="preserve"> </w:t>
      </w:r>
      <w:r>
        <w:rPr>
          <w:sz w:val="20"/>
        </w:rPr>
        <w:t>[hereinafter</w:t>
      </w:r>
      <w:r>
        <w:rPr>
          <w:spacing w:val="-4"/>
          <w:sz w:val="20"/>
        </w:rPr>
        <w:t xml:space="preserve"> </w:t>
      </w:r>
      <w:r>
        <w:rPr>
          <w:sz w:val="20"/>
        </w:rPr>
        <w:t>GAO</w:t>
      </w:r>
      <w:r>
        <w:rPr>
          <w:spacing w:val="-4"/>
          <w:sz w:val="20"/>
        </w:rPr>
        <w:t xml:space="preserve"> </w:t>
      </w:r>
      <w:r>
        <w:rPr>
          <w:sz w:val="20"/>
        </w:rPr>
        <w:t>Cancer</w:t>
      </w:r>
      <w:r>
        <w:rPr>
          <w:spacing w:val="-4"/>
          <w:sz w:val="20"/>
        </w:rPr>
        <w:t xml:space="preserve"> </w:t>
      </w:r>
      <w:r>
        <w:rPr>
          <w:sz w:val="20"/>
        </w:rPr>
        <w:t>Hospitals</w:t>
      </w:r>
      <w:r>
        <w:rPr>
          <w:spacing w:val="-2"/>
          <w:sz w:val="20"/>
        </w:rPr>
        <w:t xml:space="preserve"> </w:t>
      </w:r>
      <w:r>
        <w:rPr>
          <w:sz w:val="20"/>
        </w:rPr>
        <w:t>Report]</w:t>
      </w:r>
      <w:r>
        <w:rPr>
          <w:spacing w:val="-4"/>
          <w:sz w:val="20"/>
        </w:rPr>
        <w:t xml:space="preserve"> </w:t>
      </w:r>
      <w:r>
        <w:rPr>
          <w:i/>
          <w:sz w:val="20"/>
        </w:rPr>
        <w:t xml:space="preserve">available at </w:t>
      </w:r>
      <w:hyperlink r:id="rId49">
        <w:r>
          <w:rPr>
            <w:color w:val="486794"/>
            <w:sz w:val="20"/>
            <w:u w:val="single" w:color="486794"/>
          </w:rPr>
          <w:t>https://www.gao.gov/assets/gao-15-199.pdf</w:t>
        </w:r>
      </w:hyperlink>
      <w:r>
        <w:rPr>
          <w:color w:val="486794"/>
          <w:sz w:val="20"/>
        </w:rPr>
        <w:t xml:space="preserve"> </w:t>
      </w:r>
      <w:r>
        <w:rPr>
          <w:sz w:val="20"/>
        </w:rPr>
        <w:t>(showing that 49% of admissions at specialty cancer hospitals nationwide do not have cancer as the principal diagnosis for admission).</w:t>
      </w:r>
    </w:p>
  </w:footnote>
  <w:footnote w:id="29">
    <w:p w14:paraId="00903BCD" w14:textId="4C566F1D" w:rsidR="00054E82" w:rsidRDefault="00054E82" w:rsidP="00594602">
      <w:pPr>
        <w:pStyle w:val="FootnoteText"/>
        <w:ind w:left="1247" w:right="943"/>
      </w:pPr>
      <w:r>
        <w:rPr>
          <w:rStyle w:val="FootnoteReference"/>
        </w:rPr>
        <w:footnoteRef/>
      </w:r>
      <w:r>
        <w:t xml:space="preserve"> CMS classifies MS-DRGs as medical or surgical based on whether the DRG includes the use of an operating</w:t>
      </w:r>
      <w:r>
        <w:rPr>
          <w:spacing w:val="-4"/>
        </w:rPr>
        <w:t xml:space="preserve"> </w:t>
      </w:r>
      <w:r>
        <w:t>room.</w:t>
      </w:r>
      <w:r>
        <w:rPr>
          <w:spacing w:val="-3"/>
        </w:rPr>
        <w:t xml:space="preserve"> </w:t>
      </w:r>
      <w:r>
        <w:rPr>
          <w:i/>
        </w:rPr>
        <w:t>See</w:t>
      </w:r>
      <w:r>
        <w:rPr>
          <w:i/>
          <w:spacing w:val="-5"/>
        </w:rPr>
        <w:t xml:space="preserve"> </w:t>
      </w:r>
      <w:hyperlink r:id="rId50" w:history="1">
        <w:r w:rsidRPr="0032662E">
          <w:rPr>
            <w:rStyle w:val="Hyperlink"/>
            <w:color w:val="000000" w:themeColor="text1"/>
            <w:u w:val="none"/>
          </w:rPr>
          <w:t>Ctr.</w:t>
        </w:r>
        <w:r w:rsidRPr="0032662E">
          <w:rPr>
            <w:rStyle w:val="Hyperlink"/>
            <w:color w:val="000000" w:themeColor="text1"/>
            <w:spacing w:val="-3"/>
            <w:u w:val="none"/>
          </w:rPr>
          <w:t xml:space="preserve"> </w:t>
        </w:r>
        <w:r w:rsidRPr="0032662E">
          <w:rPr>
            <w:rStyle w:val="Hyperlink"/>
            <w:color w:val="000000" w:themeColor="text1"/>
            <w:u w:val="none"/>
          </w:rPr>
          <w:t>for</w:t>
        </w:r>
        <w:r w:rsidRPr="0032662E">
          <w:rPr>
            <w:rStyle w:val="Hyperlink"/>
            <w:color w:val="000000" w:themeColor="text1"/>
            <w:spacing w:val="-3"/>
            <w:u w:val="none"/>
          </w:rPr>
          <w:t xml:space="preserve"> </w:t>
        </w:r>
        <w:r w:rsidRPr="0032662E">
          <w:rPr>
            <w:rStyle w:val="Hyperlink"/>
            <w:color w:val="000000" w:themeColor="text1"/>
            <w:u w:val="none"/>
          </w:rPr>
          <w:t>Medicare</w:t>
        </w:r>
        <w:r w:rsidRPr="0032662E">
          <w:rPr>
            <w:rStyle w:val="Hyperlink"/>
            <w:color w:val="000000" w:themeColor="text1"/>
            <w:spacing w:val="-5"/>
            <w:u w:val="none"/>
          </w:rPr>
          <w:t xml:space="preserve"> </w:t>
        </w:r>
        <w:r w:rsidRPr="0032662E">
          <w:rPr>
            <w:rStyle w:val="Hyperlink"/>
            <w:color w:val="000000" w:themeColor="text1"/>
            <w:u w:val="none"/>
          </w:rPr>
          <w:t>and</w:t>
        </w:r>
        <w:r w:rsidRPr="0032662E">
          <w:rPr>
            <w:rStyle w:val="Hyperlink"/>
            <w:color w:val="000000" w:themeColor="text1"/>
            <w:spacing w:val="-3"/>
            <w:u w:val="none"/>
          </w:rPr>
          <w:t xml:space="preserve"> </w:t>
        </w:r>
        <w:r w:rsidRPr="0032662E">
          <w:rPr>
            <w:rStyle w:val="Hyperlink"/>
            <w:color w:val="000000" w:themeColor="text1"/>
            <w:u w:val="none"/>
          </w:rPr>
          <w:t>Medicaid</w:t>
        </w:r>
        <w:r w:rsidRPr="0032662E">
          <w:rPr>
            <w:rStyle w:val="Hyperlink"/>
            <w:color w:val="000000" w:themeColor="text1"/>
            <w:spacing w:val="-1"/>
            <w:u w:val="none"/>
          </w:rPr>
          <w:t xml:space="preserve"> </w:t>
        </w:r>
        <w:r w:rsidRPr="0032662E">
          <w:rPr>
            <w:rStyle w:val="Hyperlink"/>
            <w:color w:val="000000" w:themeColor="text1"/>
            <w:u w:val="none"/>
          </w:rPr>
          <w:t>Servs.,</w:t>
        </w:r>
        <w:r w:rsidRPr="0032662E">
          <w:rPr>
            <w:rStyle w:val="Hyperlink"/>
            <w:color w:val="000000" w:themeColor="text1"/>
            <w:spacing w:val="-3"/>
            <w:u w:val="none"/>
          </w:rPr>
          <w:t xml:space="preserve"> </w:t>
        </w:r>
        <w:r w:rsidRPr="0032662E">
          <w:rPr>
            <w:rStyle w:val="Hyperlink"/>
            <w:color w:val="000000" w:themeColor="text1"/>
            <w:u w:val="none"/>
          </w:rPr>
          <w:t>Design</w:t>
        </w:r>
        <w:r w:rsidRPr="0032662E">
          <w:rPr>
            <w:rStyle w:val="Hyperlink"/>
            <w:color w:val="000000" w:themeColor="text1"/>
            <w:spacing w:val="-4"/>
            <w:u w:val="none"/>
          </w:rPr>
          <w:t xml:space="preserve"> </w:t>
        </w:r>
        <w:r w:rsidRPr="0032662E">
          <w:rPr>
            <w:rStyle w:val="Hyperlink"/>
            <w:color w:val="000000" w:themeColor="text1"/>
            <w:u w:val="none"/>
          </w:rPr>
          <w:t>and</w:t>
        </w:r>
        <w:r w:rsidRPr="0032662E">
          <w:rPr>
            <w:rStyle w:val="Hyperlink"/>
            <w:color w:val="000000" w:themeColor="text1"/>
            <w:spacing w:val="-3"/>
            <w:u w:val="none"/>
          </w:rPr>
          <w:t xml:space="preserve"> </w:t>
        </w:r>
        <w:r w:rsidRPr="0032662E">
          <w:rPr>
            <w:rStyle w:val="Hyperlink"/>
            <w:color w:val="000000" w:themeColor="text1"/>
            <w:u w:val="none"/>
          </w:rPr>
          <w:t>Development</w:t>
        </w:r>
        <w:r w:rsidRPr="0032662E">
          <w:rPr>
            <w:rStyle w:val="Hyperlink"/>
            <w:color w:val="000000" w:themeColor="text1"/>
            <w:spacing w:val="-3"/>
            <w:u w:val="none"/>
          </w:rPr>
          <w:t xml:space="preserve"> </w:t>
        </w:r>
        <w:r w:rsidRPr="0032662E">
          <w:rPr>
            <w:rStyle w:val="Hyperlink"/>
            <w:color w:val="000000" w:themeColor="text1"/>
            <w:u w:val="none"/>
          </w:rPr>
          <w:t>of</w:t>
        </w:r>
        <w:r w:rsidRPr="0032662E">
          <w:rPr>
            <w:rStyle w:val="Hyperlink"/>
            <w:color w:val="000000" w:themeColor="text1"/>
            <w:spacing w:val="-4"/>
            <w:u w:val="none"/>
          </w:rPr>
          <w:t xml:space="preserve"> </w:t>
        </w:r>
        <w:r w:rsidRPr="0032662E">
          <w:rPr>
            <w:rStyle w:val="Hyperlink"/>
            <w:color w:val="000000" w:themeColor="text1"/>
            <w:u w:val="none"/>
          </w:rPr>
          <w:t>the</w:t>
        </w:r>
        <w:r w:rsidRPr="0032662E">
          <w:rPr>
            <w:rStyle w:val="Hyperlink"/>
            <w:color w:val="000000" w:themeColor="text1"/>
            <w:spacing w:val="-5"/>
            <w:u w:val="none"/>
          </w:rPr>
          <w:t xml:space="preserve"> </w:t>
        </w:r>
        <w:r w:rsidRPr="0032662E">
          <w:rPr>
            <w:rStyle w:val="Hyperlink"/>
            <w:color w:val="000000" w:themeColor="text1"/>
            <w:u w:val="none"/>
          </w:rPr>
          <w:t>Diagnosis Related Group at 5-8</w:t>
        </w:r>
      </w:hyperlink>
      <w:r w:rsidRPr="0032662E">
        <w:rPr>
          <w:color w:val="000000" w:themeColor="text1"/>
        </w:rPr>
        <w:t xml:space="preserve"> (</w:t>
      </w:r>
      <w:r>
        <w:t xml:space="preserve">Aug. 2020) </w:t>
      </w:r>
      <w:hyperlink r:id="rId51">
        <w:r>
          <w:rPr>
            <w:color w:val="486794"/>
            <w:u w:val="single" w:color="486794"/>
          </w:rPr>
          <w:t>https://www.cms.gov/icd10m/version372-fullcode-</w:t>
        </w:r>
      </w:hyperlink>
      <w:r>
        <w:rPr>
          <w:color w:val="486794"/>
        </w:rPr>
        <w:t xml:space="preserve"> </w:t>
      </w:r>
      <w:hyperlink r:id="rId52">
        <w:r>
          <w:rPr>
            <w:color w:val="486794"/>
            <w:spacing w:val="-2"/>
            <w:u w:val="single" w:color="486794"/>
          </w:rPr>
          <w:t>cms/fullcode_cms/Design_and_development_of_the_Diagnosis_Related_Group_(DRGs).pdf</w:t>
        </w:r>
        <w:r>
          <w:rPr>
            <w:spacing w:val="-2"/>
          </w:rPr>
          <w:t>.</w:t>
        </w:r>
      </w:hyperlink>
    </w:p>
  </w:footnote>
  <w:footnote w:id="30">
    <w:p w14:paraId="149681C3" w14:textId="3CC577E7" w:rsidR="00594602" w:rsidRDefault="00594602" w:rsidP="00E878B6">
      <w:pPr>
        <w:pStyle w:val="FootnoteText"/>
        <w:ind w:left="1247" w:right="943"/>
      </w:pPr>
      <w:r>
        <w:rPr>
          <w:rStyle w:val="FootnoteReference"/>
        </w:rPr>
        <w:footnoteRef/>
      </w:r>
      <w:r>
        <w:t xml:space="preserve"> DFCI’s </w:t>
      </w:r>
      <w:proofErr w:type="spellStart"/>
      <w:r>
        <w:t>DoN</w:t>
      </w:r>
      <w:proofErr w:type="spellEnd"/>
      <w:r>
        <w:t xml:space="preserve"> application states that “[t]here are instances under the Applicant’s current operations where patients receive surgeries at BWH and have their inpatient stays managed by the Applicant’s medical</w:t>
      </w:r>
      <w:r>
        <w:rPr>
          <w:spacing w:val="-3"/>
        </w:rPr>
        <w:t xml:space="preserve"> </w:t>
      </w:r>
      <w:r>
        <w:t>oncologist</w:t>
      </w:r>
      <w:r>
        <w:rPr>
          <w:spacing w:val="-2"/>
        </w:rPr>
        <w:t xml:space="preserve"> </w:t>
      </w:r>
      <w:r>
        <w:t>with</w:t>
      </w:r>
      <w:r>
        <w:rPr>
          <w:spacing w:val="-3"/>
        </w:rPr>
        <w:t xml:space="preserve"> </w:t>
      </w:r>
      <w:r>
        <w:t>surgical</w:t>
      </w:r>
      <w:r>
        <w:rPr>
          <w:spacing w:val="-3"/>
        </w:rPr>
        <w:t xml:space="preserve"> </w:t>
      </w:r>
      <w:r>
        <w:t>consultation</w:t>
      </w:r>
      <w:r>
        <w:rPr>
          <w:spacing w:val="-3"/>
        </w:rPr>
        <w:t xml:space="preserve"> </w:t>
      </w:r>
      <w:r>
        <w:t>provided</w:t>
      </w:r>
      <w:r>
        <w:rPr>
          <w:spacing w:val="-2"/>
        </w:rPr>
        <w:t xml:space="preserve"> </w:t>
      </w:r>
      <w:r>
        <w:t>by</w:t>
      </w:r>
      <w:r>
        <w:rPr>
          <w:spacing w:val="-2"/>
        </w:rPr>
        <w:t xml:space="preserve"> </w:t>
      </w:r>
      <w:r>
        <w:t>BWH</w:t>
      </w:r>
      <w:r>
        <w:rPr>
          <w:spacing w:val="-4"/>
        </w:rPr>
        <w:t xml:space="preserve"> </w:t>
      </w:r>
      <w:r>
        <w:t>surgeons”</w:t>
      </w:r>
      <w:r>
        <w:rPr>
          <w:spacing w:val="-4"/>
        </w:rPr>
        <w:t xml:space="preserve"> </w:t>
      </w:r>
      <w:r>
        <w:t>but</w:t>
      </w:r>
      <w:r>
        <w:rPr>
          <w:spacing w:val="-2"/>
        </w:rPr>
        <w:t xml:space="preserve"> </w:t>
      </w:r>
      <w:r>
        <w:t>that</w:t>
      </w:r>
      <w:r>
        <w:rPr>
          <w:spacing w:val="-2"/>
        </w:rPr>
        <w:t xml:space="preserve"> </w:t>
      </w:r>
      <w:r>
        <w:t>DFCI</w:t>
      </w:r>
      <w:r>
        <w:rPr>
          <w:spacing w:val="-2"/>
        </w:rPr>
        <w:t xml:space="preserve"> </w:t>
      </w:r>
      <w:r>
        <w:t>chose</w:t>
      </w:r>
      <w:r>
        <w:rPr>
          <w:spacing w:val="-4"/>
        </w:rPr>
        <w:t xml:space="preserve"> </w:t>
      </w:r>
      <w:r>
        <w:t>to</w:t>
      </w:r>
      <w:r>
        <w:rPr>
          <w:spacing w:val="-3"/>
        </w:rPr>
        <w:t xml:space="preserve"> </w:t>
      </w:r>
      <w:r>
        <w:t>remove those patients from its bed need calculations due to confidentiality agreements with BWH. DFCI</w:t>
      </w:r>
      <w:r>
        <w:rPr>
          <w:spacing w:val="-2"/>
        </w:rPr>
        <w:t xml:space="preserve"> </w:t>
      </w:r>
      <w:r>
        <w:t>D</w:t>
      </w:r>
      <w:r>
        <w:rPr>
          <w:sz w:val="16"/>
        </w:rPr>
        <w:t>O</w:t>
      </w:r>
      <w:r>
        <w:t>N N</w:t>
      </w:r>
      <w:r>
        <w:rPr>
          <w:sz w:val="16"/>
        </w:rPr>
        <w:t>ARRATIVE</w:t>
      </w:r>
      <w:r>
        <w:t xml:space="preserve">, </w:t>
      </w:r>
      <w:r>
        <w:rPr>
          <w:i/>
        </w:rPr>
        <w:t xml:space="preserve">supra </w:t>
      </w:r>
      <w:r>
        <w:t xml:space="preserve">note </w:t>
      </w:r>
      <w:hyperlink w:anchor="_bookmark7" w:history="1">
        <w:r>
          <w:t>8,</w:t>
        </w:r>
      </w:hyperlink>
      <w:r>
        <w:t xml:space="preserve"> at 72.</w:t>
      </w:r>
    </w:p>
  </w:footnote>
  <w:footnote w:id="31">
    <w:p w14:paraId="07BF3563" w14:textId="03879177" w:rsidR="00906438" w:rsidRDefault="00906438" w:rsidP="00E878B6">
      <w:pPr>
        <w:pStyle w:val="FootnoteText"/>
        <w:ind w:left="1247" w:right="943"/>
      </w:pPr>
      <w:r>
        <w:rPr>
          <w:rStyle w:val="FootnoteReference"/>
        </w:rPr>
        <w:footnoteRef/>
      </w:r>
      <w:r>
        <w:t xml:space="preserve"> </w:t>
      </w:r>
      <w:r>
        <w:rPr>
          <w:i/>
        </w:rPr>
        <w:t>See</w:t>
      </w:r>
      <w:r>
        <w:rPr>
          <w:i/>
          <w:spacing w:val="-5"/>
        </w:rPr>
        <w:t xml:space="preserve"> </w:t>
      </w:r>
      <w:r>
        <w:t>DFCI</w:t>
      </w:r>
      <w:r>
        <w:rPr>
          <w:spacing w:val="-3"/>
        </w:rPr>
        <w:t xml:space="preserve"> </w:t>
      </w:r>
      <w:r>
        <w:t>ICA,</w:t>
      </w:r>
      <w:r>
        <w:rPr>
          <w:spacing w:val="-3"/>
        </w:rPr>
        <w:t xml:space="preserve"> </w:t>
      </w:r>
      <w:r>
        <w:rPr>
          <w:i/>
        </w:rPr>
        <w:t>supra</w:t>
      </w:r>
      <w:r>
        <w:rPr>
          <w:i/>
          <w:spacing w:val="-5"/>
        </w:rPr>
        <w:t xml:space="preserve"> </w:t>
      </w:r>
      <w:r>
        <w:t>note</w:t>
      </w:r>
      <w:r>
        <w:rPr>
          <w:spacing w:val="-4"/>
        </w:rPr>
        <w:t xml:space="preserve"> </w:t>
      </w:r>
      <w:hyperlink w:anchor="_bookmark14" w:history="1">
        <w:r>
          <w:t>14,</w:t>
        </w:r>
      </w:hyperlink>
      <w:r>
        <w:rPr>
          <w:spacing w:val="-3"/>
        </w:rPr>
        <w:t xml:space="preserve"> </w:t>
      </w:r>
      <w:r>
        <w:t>at</w:t>
      </w:r>
      <w:r>
        <w:rPr>
          <w:spacing w:val="-3"/>
        </w:rPr>
        <w:t xml:space="preserve"> </w:t>
      </w:r>
      <w:r>
        <w:t>Section</w:t>
      </w:r>
      <w:r>
        <w:rPr>
          <w:spacing w:val="-4"/>
        </w:rPr>
        <w:t xml:space="preserve"> </w:t>
      </w:r>
      <w:r>
        <w:rPr>
          <w:spacing w:val="-5"/>
        </w:rPr>
        <w:t>VI.</w:t>
      </w:r>
    </w:p>
  </w:footnote>
  <w:footnote w:id="32">
    <w:p w14:paraId="79CA489C" w14:textId="24656F64" w:rsidR="00C029B5" w:rsidRDefault="00C029B5" w:rsidP="00E878B6">
      <w:pPr>
        <w:pStyle w:val="FootnoteText"/>
        <w:ind w:left="1247" w:right="943"/>
      </w:pPr>
      <w:r>
        <w:rPr>
          <w:rStyle w:val="FootnoteReference"/>
        </w:rPr>
        <w:footnoteRef/>
      </w:r>
      <w:r>
        <w:t xml:space="preserve"> The</w:t>
      </w:r>
      <w:r>
        <w:rPr>
          <w:spacing w:val="-3"/>
        </w:rPr>
        <w:t xml:space="preserve"> </w:t>
      </w:r>
      <w:r>
        <w:t>ICA’s</w:t>
      </w:r>
      <w:r>
        <w:rPr>
          <w:spacing w:val="-1"/>
        </w:rPr>
        <w:t xml:space="preserve"> </w:t>
      </w:r>
      <w:r>
        <w:t>count</w:t>
      </w:r>
      <w:r>
        <w:rPr>
          <w:spacing w:val="-1"/>
        </w:rPr>
        <w:t xml:space="preserve"> </w:t>
      </w:r>
      <w:r>
        <w:t>of</w:t>
      </w:r>
      <w:r>
        <w:rPr>
          <w:spacing w:val="-2"/>
        </w:rPr>
        <w:t xml:space="preserve"> </w:t>
      </w:r>
      <w:r>
        <w:t>2022</w:t>
      </w:r>
      <w:r>
        <w:rPr>
          <w:spacing w:val="-1"/>
        </w:rPr>
        <w:t xml:space="preserve"> </w:t>
      </w:r>
      <w:r>
        <w:t>oncology</w:t>
      </w:r>
      <w:r>
        <w:rPr>
          <w:spacing w:val="-3"/>
        </w:rPr>
        <w:t xml:space="preserve"> </w:t>
      </w:r>
      <w:r>
        <w:t>discharges</w:t>
      </w:r>
      <w:r>
        <w:rPr>
          <w:spacing w:val="-1"/>
        </w:rPr>
        <w:t xml:space="preserve"> </w:t>
      </w:r>
      <w:r>
        <w:t>for</w:t>
      </w:r>
      <w:r>
        <w:rPr>
          <w:spacing w:val="-3"/>
        </w:rPr>
        <w:t xml:space="preserve"> </w:t>
      </w:r>
      <w:r>
        <w:t>Massachusetts</w:t>
      </w:r>
      <w:r>
        <w:rPr>
          <w:spacing w:val="-1"/>
        </w:rPr>
        <w:t xml:space="preserve"> </w:t>
      </w:r>
      <w:r>
        <w:t>residents</w:t>
      </w:r>
      <w:r>
        <w:rPr>
          <w:spacing w:val="-1"/>
        </w:rPr>
        <w:t xml:space="preserve"> </w:t>
      </w:r>
      <w:r>
        <w:t>in</w:t>
      </w:r>
      <w:r>
        <w:rPr>
          <w:spacing w:val="-2"/>
        </w:rPr>
        <w:t xml:space="preserve"> </w:t>
      </w:r>
      <w:r>
        <w:t>Table</w:t>
      </w:r>
      <w:r>
        <w:rPr>
          <w:spacing w:val="-3"/>
        </w:rPr>
        <w:t xml:space="preserve"> </w:t>
      </w:r>
      <w:r>
        <w:t>4,</w:t>
      </w:r>
      <w:r>
        <w:rPr>
          <w:spacing w:val="-4"/>
        </w:rPr>
        <w:t xml:space="preserve"> </w:t>
      </w:r>
      <w:r>
        <w:t>for</w:t>
      </w:r>
      <w:r>
        <w:rPr>
          <w:spacing w:val="-3"/>
        </w:rPr>
        <w:t xml:space="preserve"> </w:t>
      </w:r>
      <w:r>
        <w:t>example,</w:t>
      </w:r>
      <w:r>
        <w:rPr>
          <w:spacing w:val="-1"/>
        </w:rPr>
        <w:t xml:space="preserve"> </w:t>
      </w:r>
      <w:r>
        <w:t>is 27% higher than the HPC’s count of oncology discharges using the methodology described above. This difference</w:t>
      </w:r>
      <w:r>
        <w:rPr>
          <w:spacing w:val="-4"/>
        </w:rPr>
        <w:t xml:space="preserve"> </w:t>
      </w:r>
      <w:r>
        <w:t>in</w:t>
      </w:r>
      <w:r>
        <w:rPr>
          <w:spacing w:val="-3"/>
        </w:rPr>
        <w:t xml:space="preserve"> </w:t>
      </w:r>
      <w:r>
        <w:t>scope</w:t>
      </w:r>
      <w:r>
        <w:rPr>
          <w:spacing w:val="-4"/>
        </w:rPr>
        <w:t xml:space="preserve"> </w:t>
      </w:r>
      <w:r>
        <w:t>leads</w:t>
      </w:r>
      <w:r>
        <w:rPr>
          <w:spacing w:val="-2"/>
        </w:rPr>
        <w:t xml:space="preserve"> </w:t>
      </w:r>
      <w:r>
        <w:t>to</w:t>
      </w:r>
      <w:r>
        <w:rPr>
          <w:spacing w:val="-3"/>
        </w:rPr>
        <w:t xml:space="preserve"> </w:t>
      </w:r>
      <w:r>
        <w:t>substantially</w:t>
      </w:r>
      <w:r>
        <w:rPr>
          <w:spacing w:val="-4"/>
        </w:rPr>
        <w:t xml:space="preserve"> </w:t>
      </w:r>
      <w:r>
        <w:t>higher</w:t>
      </w:r>
      <w:r>
        <w:rPr>
          <w:spacing w:val="-4"/>
        </w:rPr>
        <w:t xml:space="preserve"> </w:t>
      </w:r>
      <w:r>
        <w:t>projections</w:t>
      </w:r>
      <w:r>
        <w:rPr>
          <w:spacing w:val="-2"/>
        </w:rPr>
        <w:t xml:space="preserve"> </w:t>
      </w:r>
      <w:r>
        <w:t>of</w:t>
      </w:r>
      <w:r>
        <w:rPr>
          <w:spacing w:val="-3"/>
        </w:rPr>
        <w:t xml:space="preserve"> </w:t>
      </w:r>
      <w:r>
        <w:t>future</w:t>
      </w:r>
      <w:r>
        <w:rPr>
          <w:spacing w:val="-4"/>
        </w:rPr>
        <w:t xml:space="preserve"> </w:t>
      </w:r>
      <w:r>
        <w:t>inpatient</w:t>
      </w:r>
      <w:r>
        <w:rPr>
          <w:spacing w:val="-2"/>
        </w:rPr>
        <w:t xml:space="preserve"> </w:t>
      </w:r>
      <w:r>
        <w:t>oncology</w:t>
      </w:r>
      <w:r>
        <w:rPr>
          <w:spacing w:val="-4"/>
        </w:rPr>
        <w:t xml:space="preserve"> </w:t>
      </w:r>
      <w:r>
        <w:t>utilization</w:t>
      </w:r>
      <w:r>
        <w:rPr>
          <w:spacing w:val="-3"/>
        </w:rPr>
        <w:t xml:space="preserve"> </w:t>
      </w:r>
      <w:r>
        <w:t>than</w:t>
      </w:r>
      <w:r w:rsidRPr="00C029B5">
        <w:t xml:space="preserve"> </w:t>
      </w:r>
      <w:r>
        <w:t xml:space="preserve">HPC assessments, as discussed in Section III.C.1 of this report, and a finding that there would be enough Massachusetts inpatient volume at BIDMC and BWH to fully fill DFCI’s proposed inpatient capacity without the new hospital drawing patients from any other hospital. See DFCI ICA, </w:t>
      </w:r>
      <w:r>
        <w:rPr>
          <w:i/>
        </w:rPr>
        <w:t xml:space="preserve">supra </w:t>
      </w:r>
      <w:r>
        <w:t xml:space="preserve">note </w:t>
      </w:r>
      <w:hyperlink w:anchor="_bookmark14" w:history="1">
        <w:r>
          <w:rPr>
            <w:spacing w:val="-4"/>
          </w:rPr>
          <w:t>14.</w:t>
        </w:r>
      </w:hyperlink>
    </w:p>
  </w:footnote>
  <w:footnote w:id="33">
    <w:p w14:paraId="70226711" w14:textId="07C39DC1" w:rsidR="00CE0633" w:rsidRDefault="00CE0633" w:rsidP="00272BD1">
      <w:pPr>
        <w:pStyle w:val="FootnoteText"/>
        <w:ind w:left="900" w:right="1030"/>
      </w:pPr>
      <w:r>
        <w:rPr>
          <w:rStyle w:val="FootnoteReference"/>
        </w:rPr>
        <w:footnoteRef/>
      </w:r>
      <w:r>
        <w:t xml:space="preserve"> </w:t>
      </w:r>
      <w:r w:rsidR="00E5563A">
        <w:t>DFCI</w:t>
      </w:r>
      <w:r w:rsidR="00E5563A">
        <w:rPr>
          <w:spacing w:val="-2"/>
        </w:rPr>
        <w:t xml:space="preserve"> </w:t>
      </w:r>
      <w:r w:rsidR="00E5563A">
        <w:t>MCN,</w:t>
      </w:r>
      <w:r w:rsidR="00E5563A">
        <w:rPr>
          <w:spacing w:val="-2"/>
        </w:rPr>
        <w:t xml:space="preserve"> </w:t>
      </w:r>
      <w:r w:rsidR="00E5563A">
        <w:rPr>
          <w:i/>
        </w:rPr>
        <w:t>supra</w:t>
      </w:r>
      <w:r w:rsidR="00E5563A">
        <w:rPr>
          <w:i/>
          <w:spacing w:val="-4"/>
        </w:rPr>
        <w:t xml:space="preserve"> </w:t>
      </w:r>
      <w:r w:rsidR="00E5563A">
        <w:t>note</w:t>
      </w:r>
      <w:r w:rsidR="00E5563A">
        <w:rPr>
          <w:spacing w:val="-3"/>
        </w:rPr>
        <w:t xml:space="preserve"> </w:t>
      </w:r>
      <w:hyperlink w:anchor="_bookmark6" w:history="1">
        <w:r w:rsidR="00E5563A">
          <w:t>3;</w:t>
        </w:r>
      </w:hyperlink>
      <w:r w:rsidR="00E5563A">
        <w:rPr>
          <w:spacing w:val="-2"/>
        </w:rPr>
        <w:t xml:space="preserve"> </w:t>
      </w:r>
      <w:r w:rsidR="00E5563A">
        <w:t>BIDMC</w:t>
      </w:r>
      <w:r w:rsidR="00E5563A">
        <w:rPr>
          <w:spacing w:val="-3"/>
        </w:rPr>
        <w:t xml:space="preserve"> </w:t>
      </w:r>
      <w:r w:rsidR="00E5563A">
        <w:t>MCN,</w:t>
      </w:r>
      <w:r w:rsidR="00E5563A">
        <w:rPr>
          <w:spacing w:val="-2"/>
        </w:rPr>
        <w:t xml:space="preserve"> </w:t>
      </w:r>
      <w:r w:rsidR="00E5563A">
        <w:rPr>
          <w:i/>
        </w:rPr>
        <w:t>supra</w:t>
      </w:r>
      <w:r w:rsidR="00E5563A">
        <w:rPr>
          <w:i/>
          <w:spacing w:val="-4"/>
        </w:rPr>
        <w:t xml:space="preserve"> </w:t>
      </w:r>
      <w:r w:rsidR="00E5563A">
        <w:t>note</w:t>
      </w:r>
      <w:r w:rsidR="00E5563A">
        <w:rPr>
          <w:spacing w:val="-3"/>
        </w:rPr>
        <w:t xml:space="preserve"> </w:t>
      </w:r>
      <w:hyperlink w:anchor="_bookmark6" w:history="1">
        <w:r w:rsidR="00E5563A">
          <w:t>3;</w:t>
        </w:r>
      </w:hyperlink>
      <w:r w:rsidR="00E5563A">
        <w:rPr>
          <w:spacing w:val="-2"/>
        </w:rPr>
        <w:t xml:space="preserve"> </w:t>
      </w:r>
      <w:r w:rsidR="00E5563A">
        <w:t>HMFP</w:t>
      </w:r>
      <w:r w:rsidR="00E5563A">
        <w:rPr>
          <w:spacing w:val="-4"/>
        </w:rPr>
        <w:t xml:space="preserve"> </w:t>
      </w:r>
      <w:r w:rsidR="00E5563A">
        <w:t>MCN,</w:t>
      </w:r>
      <w:r w:rsidR="00E5563A">
        <w:rPr>
          <w:spacing w:val="-2"/>
        </w:rPr>
        <w:t xml:space="preserve"> </w:t>
      </w:r>
      <w:r w:rsidR="00E5563A">
        <w:rPr>
          <w:i/>
        </w:rPr>
        <w:t>supra</w:t>
      </w:r>
      <w:r w:rsidR="00E5563A">
        <w:rPr>
          <w:i/>
          <w:spacing w:val="-4"/>
        </w:rPr>
        <w:t xml:space="preserve"> </w:t>
      </w:r>
      <w:r w:rsidR="00E5563A">
        <w:t>note</w:t>
      </w:r>
      <w:r w:rsidR="00E5563A">
        <w:rPr>
          <w:spacing w:val="-3"/>
        </w:rPr>
        <w:t xml:space="preserve"> </w:t>
      </w:r>
      <w:hyperlink w:anchor="_bookmark6" w:history="1">
        <w:r w:rsidR="00E5563A">
          <w:t>3.</w:t>
        </w:r>
      </w:hyperlink>
      <w:r w:rsidR="00E5563A">
        <w:rPr>
          <w:spacing w:val="-2"/>
        </w:rPr>
        <w:t xml:space="preserve"> </w:t>
      </w:r>
      <w:r w:rsidR="00E5563A">
        <w:t>Beth</w:t>
      </w:r>
      <w:r w:rsidR="00E5563A">
        <w:rPr>
          <w:spacing w:val="-3"/>
        </w:rPr>
        <w:t xml:space="preserve"> </w:t>
      </w:r>
      <w:r w:rsidR="00E5563A">
        <w:t>Israel</w:t>
      </w:r>
      <w:r w:rsidR="00E5563A">
        <w:rPr>
          <w:spacing w:val="-3"/>
        </w:rPr>
        <w:t xml:space="preserve"> </w:t>
      </w:r>
      <w:r w:rsidR="00E5563A">
        <w:t>Lahey</w:t>
      </w:r>
      <w:r w:rsidR="00E5563A">
        <w:rPr>
          <w:spacing w:val="-2"/>
        </w:rPr>
        <w:t xml:space="preserve"> </w:t>
      </w:r>
      <w:r w:rsidR="00E5563A">
        <w:t>Health, the corporate parent of BIDMC, is also a signatory to the collaboration agreement among the parties.</w:t>
      </w:r>
    </w:p>
  </w:footnote>
  <w:footnote w:id="34">
    <w:p w14:paraId="40063643" w14:textId="275675C3" w:rsidR="002266E0" w:rsidRDefault="002266E0" w:rsidP="00272BD1">
      <w:pPr>
        <w:pStyle w:val="FootnoteText"/>
        <w:ind w:left="900" w:right="1030"/>
      </w:pPr>
      <w:r>
        <w:rPr>
          <w:rStyle w:val="FootnoteReference"/>
        </w:rPr>
        <w:footnoteRef/>
      </w:r>
      <w:r>
        <w:t xml:space="preserve"> </w:t>
      </w:r>
      <w:r>
        <w:rPr>
          <w:i/>
        </w:rPr>
        <w:t>See</w:t>
      </w:r>
      <w:r>
        <w:rPr>
          <w:i/>
          <w:spacing w:val="-4"/>
        </w:rPr>
        <w:t xml:space="preserve"> </w:t>
      </w:r>
      <w:r>
        <w:t>DFCI</w:t>
      </w:r>
      <w:r>
        <w:rPr>
          <w:spacing w:val="-12"/>
        </w:rPr>
        <w:t xml:space="preserve"> </w:t>
      </w:r>
      <w:r>
        <w:t>D</w:t>
      </w:r>
      <w:r>
        <w:rPr>
          <w:sz w:val="16"/>
        </w:rPr>
        <w:t>O</w:t>
      </w:r>
      <w:r>
        <w:t>N</w:t>
      </w:r>
      <w:r>
        <w:rPr>
          <w:spacing w:val="-12"/>
        </w:rPr>
        <w:t xml:space="preserve"> </w:t>
      </w:r>
      <w:r>
        <w:t>N</w:t>
      </w:r>
      <w:r>
        <w:rPr>
          <w:sz w:val="16"/>
        </w:rPr>
        <w:t>ARRATIVE</w:t>
      </w:r>
      <w:r>
        <w:t>,</w:t>
      </w:r>
      <w:r>
        <w:rPr>
          <w:spacing w:val="-2"/>
        </w:rPr>
        <w:t xml:space="preserve"> </w:t>
      </w:r>
      <w:r>
        <w:rPr>
          <w:i/>
        </w:rPr>
        <w:t>supra</w:t>
      </w:r>
      <w:r>
        <w:rPr>
          <w:i/>
          <w:spacing w:val="-4"/>
        </w:rPr>
        <w:t xml:space="preserve"> </w:t>
      </w:r>
      <w:r>
        <w:t>note</w:t>
      </w:r>
      <w:r>
        <w:rPr>
          <w:spacing w:val="-3"/>
        </w:rPr>
        <w:t xml:space="preserve"> </w:t>
      </w:r>
      <w:hyperlink w:anchor="_bookmark7" w:history="1">
        <w:r>
          <w:t>8.</w:t>
        </w:r>
      </w:hyperlink>
      <w:r>
        <w:rPr>
          <w:spacing w:val="-2"/>
        </w:rPr>
        <w:t xml:space="preserve"> </w:t>
      </w:r>
      <w:r>
        <w:rPr>
          <w:i/>
        </w:rPr>
        <w:t>See</w:t>
      </w:r>
      <w:r>
        <w:rPr>
          <w:i/>
          <w:spacing w:val="-3"/>
        </w:rPr>
        <w:t xml:space="preserve"> </w:t>
      </w:r>
      <w:r>
        <w:rPr>
          <w:i/>
        </w:rPr>
        <w:t>also</w:t>
      </w:r>
      <w:r>
        <w:rPr>
          <w:i/>
          <w:spacing w:val="-4"/>
        </w:rPr>
        <w:t xml:space="preserve"> </w:t>
      </w:r>
      <w:hyperlink r:id="rId53" w:history="1">
        <w:r w:rsidRPr="007B7843">
          <w:rPr>
            <w:rStyle w:val="Hyperlink"/>
            <w:color w:val="000000" w:themeColor="text1"/>
            <w:u w:val="none"/>
          </w:rPr>
          <w:t>M</w:t>
        </w:r>
        <w:r w:rsidRPr="007B7843">
          <w:rPr>
            <w:rStyle w:val="Hyperlink"/>
            <w:color w:val="000000" w:themeColor="text1"/>
            <w:sz w:val="16"/>
            <w:u w:val="none"/>
          </w:rPr>
          <w:t>ASS</w:t>
        </w:r>
        <w:r w:rsidRPr="007B7843">
          <w:rPr>
            <w:rStyle w:val="Hyperlink"/>
            <w:color w:val="000000" w:themeColor="text1"/>
            <w:u w:val="none"/>
          </w:rPr>
          <w:t>.</w:t>
        </w:r>
        <w:r w:rsidRPr="007B7843">
          <w:rPr>
            <w:rStyle w:val="Hyperlink"/>
            <w:color w:val="000000" w:themeColor="text1"/>
            <w:spacing w:val="-12"/>
            <w:u w:val="none"/>
          </w:rPr>
          <w:t xml:space="preserve"> </w:t>
        </w:r>
        <w:r w:rsidRPr="007B7843">
          <w:rPr>
            <w:rStyle w:val="Hyperlink"/>
            <w:color w:val="000000" w:themeColor="text1"/>
            <w:u w:val="none"/>
          </w:rPr>
          <w:t>D</w:t>
        </w:r>
        <w:r w:rsidRPr="007B7843">
          <w:rPr>
            <w:rStyle w:val="Hyperlink"/>
            <w:color w:val="000000" w:themeColor="text1"/>
            <w:sz w:val="16"/>
            <w:u w:val="none"/>
          </w:rPr>
          <w:t>EPT</w:t>
        </w:r>
        <w:r w:rsidRPr="007B7843">
          <w:rPr>
            <w:rStyle w:val="Hyperlink"/>
            <w:color w:val="000000" w:themeColor="text1"/>
            <w:u w:val="none"/>
          </w:rPr>
          <w:t>.</w:t>
        </w:r>
        <w:r w:rsidRPr="007B7843">
          <w:rPr>
            <w:rStyle w:val="Hyperlink"/>
            <w:color w:val="000000" w:themeColor="text1"/>
            <w:spacing w:val="-12"/>
            <w:u w:val="none"/>
          </w:rPr>
          <w:t xml:space="preserve"> </w:t>
        </w:r>
        <w:r w:rsidRPr="007B7843">
          <w:rPr>
            <w:rStyle w:val="Hyperlink"/>
            <w:color w:val="000000" w:themeColor="text1"/>
            <w:u w:val="none"/>
          </w:rPr>
          <w:t>P</w:t>
        </w:r>
        <w:r w:rsidRPr="007B7843">
          <w:rPr>
            <w:rStyle w:val="Hyperlink"/>
            <w:color w:val="000000" w:themeColor="text1"/>
            <w:sz w:val="16"/>
            <w:u w:val="none"/>
          </w:rPr>
          <w:t>UBLIC</w:t>
        </w:r>
        <w:r w:rsidRPr="007B7843">
          <w:rPr>
            <w:rStyle w:val="Hyperlink"/>
            <w:color w:val="000000" w:themeColor="text1"/>
            <w:spacing w:val="-2"/>
            <w:sz w:val="16"/>
            <w:u w:val="none"/>
          </w:rPr>
          <w:t xml:space="preserve"> </w:t>
        </w:r>
        <w:r w:rsidRPr="007B7843">
          <w:rPr>
            <w:rStyle w:val="Hyperlink"/>
            <w:color w:val="000000" w:themeColor="text1"/>
            <w:u w:val="none"/>
          </w:rPr>
          <w:t>H</w:t>
        </w:r>
        <w:r w:rsidRPr="007B7843">
          <w:rPr>
            <w:rStyle w:val="Hyperlink"/>
            <w:color w:val="000000" w:themeColor="text1"/>
            <w:sz w:val="16"/>
            <w:u w:val="none"/>
          </w:rPr>
          <w:t>EALTH</w:t>
        </w:r>
        <w:r w:rsidRPr="007B7843">
          <w:rPr>
            <w:rStyle w:val="Hyperlink"/>
            <w:color w:val="000000" w:themeColor="text1"/>
            <w:u w:val="none"/>
          </w:rPr>
          <w:t>,</w:t>
        </w:r>
        <w:r w:rsidRPr="007B7843">
          <w:rPr>
            <w:rStyle w:val="Hyperlink"/>
            <w:color w:val="000000" w:themeColor="text1"/>
            <w:spacing w:val="-2"/>
            <w:u w:val="none"/>
          </w:rPr>
          <w:t xml:space="preserve"> </w:t>
        </w:r>
        <w:r w:rsidRPr="007B7843">
          <w:rPr>
            <w:rStyle w:val="Hyperlink"/>
            <w:i/>
            <w:color w:val="000000" w:themeColor="text1"/>
            <w:u w:val="none"/>
          </w:rPr>
          <w:t>Dana-Farber</w:t>
        </w:r>
        <w:r w:rsidRPr="007B7843">
          <w:rPr>
            <w:rStyle w:val="Hyperlink"/>
            <w:i/>
            <w:color w:val="000000" w:themeColor="text1"/>
            <w:spacing w:val="-3"/>
            <w:u w:val="none"/>
          </w:rPr>
          <w:t xml:space="preserve"> </w:t>
        </w:r>
        <w:r w:rsidRPr="007B7843">
          <w:rPr>
            <w:rStyle w:val="Hyperlink"/>
            <w:i/>
            <w:color w:val="000000" w:themeColor="text1"/>
            <w:u w:val="none"/>
          </w:rPr>
          <w:t>Cancer</w:t>
        </w:r>
        <w:r w:rsidRPr="007B7843">
          <w:rPr>
            <w:rStyle w:val="Hyperlink"/>
            <w:i/>
            <w:color w:val="000000" w:themeColor="text1"/>
            <w:spacing w:val="-3"/>
            <w:u w:val="none"/>
          </w:rPr>
          <w:t xml:space="preserve"> </w:t>
        </w:r>
        <w:r w:rsidRPr="007B7843">
          <w:rPr>
            <w:rStyle w:val="Hyperlink"/>
            <w:i/>
            <w:color w:val="000000" w:themeColor="text1"/>
            <w:u w:val="none"/>
          </w:rPr>
          <w:t>Institute, Inc. – Hospital/Clinic Substantial Capital Expenditure</w:t>
        </w:r>
      </w:hyperlink>
      <w:r w:rsidRPr="007B7843">
        <w:rPr>
          <w:color w:val="000000" w:themeColor="text1"/>
        </w:rPr>
        <w:t xml:space="preserve">, </w:t>
      </w:r>
      <w:hyperlink r:id="rId54">
        <w:r>
          <w:rPr>
            <w:color w:val="486794"/>
            <w:u w:val="single" w:color="486794"/>
          </w:rPr>
          <w:t>https://www.mass.gov/info-details/dana-farber-</w:t>
        </w:r>
      </w:hyperlink>
      <w:r>
        <w:rPr>
          <w:color w:val="486794"/>
        </w:rPr>
        <w:t xml:space="preserve"> </w:t>
      </w:r>
      <w:hyperlink r:id="rId55">
        <w:r>
          <w:rPr>
            <w:color w:val="486794"/>
            <w:u w:val="single" w:color="486794"/>
          </w:rPr>
          <w:t>cancer-institute-inc-hospitalclinic-substantial-capital-expenditure</w:t>
        </w:r>
      </w:hyperlink>
      <w:r>
        <w:rPr>
          <w:color w:val="486794"/>
        </w:rPr>
        <w:t xml:space="preserve"> </w:t>
      </w:r>
      <w:r>
        <w:t>(last visited February 27, 2025).</w:t>
      </w:r>
    </w:p>
  </w:footnote>
  <w:footnote w:id="35">
    <w:p w14:paraId="2849FC5A" w14:textId="603EA3C8" w:rsidR="002266E0" w:rsidRDefault="002266E0" w:rsidP="00272BD1">
      <w:pPr>
        <w:pStyle w:val="FootnoteText"/>
        <w:ind w:left="900" w:right="1030"/>
      </w:pPr>
      <w:r>
        <w:rPr>
          <w:rStyle w:val="FootnoteReference"/>
        </w:rPr>
        <w:footnoteRef/>
      </w:r>
      <w:r>
        <w:t xml:space="preserve"> </w:t>
      </w:r>
      <w:r>
        <w:rPr>
          <w:i/>
        </w:rPr>
        <w:t xml:space="preserve">Id. </w:t>
      </w:r>
      <w:r>
        <w:t>at</w:t>
      </w:r>
      <w:r>
        <w:rPr>
          <w:spacing w:val="-3"/>
        </w:rPr>
        <w:t xml:space="preserve"> </w:t>
      </w:r>
      <w:r>
        <w:rPr>
          <w:spacing w:val="-5"/>
        </w:rPr>
        <w:t>2.</w:t>
      </w:r>
    </w:p>
  </w:footnote>
  <w:footnote w:id="36">
    <w:p w14:paraId="5A319701" w14:textId="37908357" w:rsidR="00BA55EA" w:rsidRDefault="002266E0" w:rsidP="00272BD1">
      <w:pPr>
        <w:ind w:left="900" w:right="1030"/>
        <w:rPr>
          <w:sz w:val="20"/>
        </w:rPr>
      </w:pPr>
      <w:r>
        <w:rPr>
          <w:rStyle w:val="FootnoteReference"/>
        </w:rPr>
        <w:footnoteRef/>
      </w:r>
      <w:r>
        <w:t xml:space="preserve"> </w:t>
      </w:r>
      <w:r w:rsidR="00BA55EA">
        <w:rPr>
          <w:sz w:val="20"/>
        </w:rPr>
        <w:t>DFCI’s</w:t>
      </w:r>
      <w:r w:rsidR="00BA55EA">
        <w:rPr>
          <w:spacing w:val="-2"/>
          <w:sz w:val="20"/>
        </w:rPr>
        <w:t xml:space="preserve"> </w:t>
      </w:r>
      <w:r w:rsidR="00BA55EA">
        <w:rPr>
          <w:sz w:val="20"/>
        </w:rPr>
        <w:t>hospital</w:t>
      </w:r>
      <w:r w:rsidR="00BA55EA">
        <w:rPr>
          <w:spacing w:val="-3"/>
          <w:sz w:val="20"/>
        </w:rPr>
        <w:t xml:space="preserve"> </w:t>
      </w:r>
      <w:r w:rsidR="00BA55EA">
        <w:rPr>
          <w:sz w:val="20"/>
        </w:rPr>
        <w:t>satellites</w:t>
      </w:r>
      <w:r w:rsidR="00BA55EA">
        <w:rPr>
          <w:spacing w:val="-2"/>
          <w:sz w:val="20"/>
        </w:rPr>
        <w:t xml:space="preserve"> </w:t>
      </w:r>
      <w:r w:rsidR="00BA55EA">
        <w:rPr>
          <w:sz w:val="20"/>
        </w:rPr>
        <w:t>are</w:t>
      </w:r>
      <w:r w:rsidR="00BA55EA">
        <w:rPr>
          <w:spacing w:val="-4"/>
          <w:sz w:val="20"/>
        </w:rPr>
        <w:t xml:space="preserve"> </w:t>
      </w:r>
      <w:r w:rsidR="00BA55EA">
        <w:rPr>
          <w:sz w:val="20"/>
        </w:rPr>
        <w:t>Dana-Farber</w:t>
      </w:r>
      <w:r w:rsidR="00BA55EA">
        <w:rPr>
          <w:spacing w:val="-4"/>
          <w:sz w:val="20"/>
        </w:rPr>
        <w:t xml:space="preserve"> </w:t>
      </w:r>
      <w:r w:rsidR="00BA55EA">
        <w:rPr>
          <w:sz w:val="20"/>
        </w:rPr>
        <w:t>Cancer</w:t>
      </w:r>
      <w:r w:rsidR="00BA55EA">
        <w:rPr>
          <w:spacing w:val="-4"/>
          <w:sz w:val="20"/>
        </w:rPr>
        <w:t xml:space="preserve"> </w:t>
      </w:r>
      <w:r w:rsidR="00BA55EA">
        <w:rPr>
          <w:sz w:val="20"/>
        </w:rPr>
        <w:t>Institute</w:t>
      </w:r>
      <w:r w:rsidR="00BA55EA">
        <w:rPr>
          <w:spacing w:val="-4"/>
          <w:sz w:val="20"/>
        </w:rPr>
        <w:t xml:space="preserve"> </w:t>
      </w:r>
      <w:r w:rsidR="00BA55EA">
        <w:rPr>
          <w:sz w:val="20"/>
        </w:rPr>
        <w:t>at</w:t>
      </w:r>
      <w:r w:rsidR="00BA55EA">
        <w:rPr>
          <w:spacing w:val="-2"/>
          <w:sz w:val="20"/>
        </w:rPr>
        <w:t xml:space="preserve"> </w:t>
      </w:r>
      <w:r w:rsidR="00BA55EA">
        <w:rPr>
          <w:sz w:val="20"/>
        </w:rPr>
        <w:t>St.</w:t>
      </w:r>
      <w:r w:rsidR="00BA55EA">
        <w:rPr>
          <w:spacing w:val="-2"/>
          <w:sz w:val="20"/>
        </w:rPr>
        <w:t xml:space="preserve"> </w:t>
      </w:r>
      <w:r w:rsidR="00BA55EA">
        <w:rPr>
          <w:sz w:val="20"/>
        </w:rPr>
        <w:t>Elizabeth's</w:t>
      </w:r>
      <w:r w:rsidR="00BA55EA">
        <w:rPr>
          <w:spacing w:val="-2"/>
          <w:sz w:val="20"/>
        </w:rPr>
        <w:t xml:space="preserve"> </w:t>
      </w:r>
      <w:r w:rsidR="00BA55EA">
        <w:rPr>
          <w:sz w:val="20"/>
        </w:rPr>
        <w:t>Medical</w:t>
      </w:r>
      <w:r w:rsidR="00BA55EA">
        <w:rPr>
          <w:spacing w:val="-3"/>
          <w:sz w:val="20"/>
        </w:rPr>
        <w:t xml:space="preserve"> </w:t>
      </w:r>
      <w:r w:rsidR="00BA55EA">
        <w:rPr>
          <w:sz w:val="20"/>
        </w:rPr>
        <w:t>Center</w:t>
      </w:r>
      <w:r w:rsidR="00BA55EA">
        <w:rPr>
          <w:spacing w:val="-4"/>
          <w:sz w:val="20"/>
        </w:rPr>
        <w:t xml:space="preserve"> </w:t>
      </w:r>
      <w:r w:rsidR="00BA55EA">
        <w:rPr>
          <w:sz w:val="20"/>
        </w:rPr>
        <w:t>in</w:t>
      </w:r>
      <w:r w:rsidR="00BA55EA">
        <w:rPr>
          <w:spacing w:val="-3"/>
          <w:sz w:val="20"/>
        </w:rPr>
        <w:t xml:space="preserve"> </w:t>
      </w:r>
      <w:r w:rsidR="00BA55EA">
        <w:rPr>
          <w:sz w:val="20"/>
        </w:rPr>
        <w:t xml:space="preserve">Brighton, Dana-Farber Brigham Cancer Center at Milford Regional Medical Center in Milford, Dana-Farber Brigham Cancer Center at South Shore Health in Weymouth, Dana-Farber Cancer Institute - Merrimack Valley in Methuen, Dana-Farber Brigham Cancer Center – Foxborough in Foxborough, and Dana-Farber/New Hampshire Oncology-Hematology in Londonderry, NH. </w:t>
      </w:r>
      <w:hyperlink r:id="rId56" w:history="1">
        <w:r w:rsidR="00BA55EA" w:rsidRPr="009F588A">
          <w:rPr>
            <w:rStyle w:val="Hyperlink"/>
            <w:color w:val="000000" w:themeColor="text1"/>
            <w:sz w:val="20"/>
            <w:u w:val="none"/>
          </w:rPr>
          <w:t>M</w:t>
        </w:r>
        <w:r w:rsidR="00BA55EA" w:rsidRPr="009F588A">
          <w:rPr>
            <w:rStyle w:val="Hyperlink"/>
            <w:color w:val="000000" w:themeColor="text1"/>
            <w:sz w:val="16"/>
            <w:u w:val="none"/>
          </w:rPr>
          <w:t xml:space="preserve">ASS </w:t>
        </w:r>
        <w:r w:rsidR="00BA55EA" w:rsidRPr="009F588A">
          <w:rPr>
            <w:rStyle w:val="Hyperlink"/>
            <w:color w:val="000000" w:themeColor="text1"/>
            <w:sz w:val="20"/>
            <w:u w:val="none"/>
          </w:rPr>
          <w:t>H</w:t>
        </w:r>
        <w:r w:rsidR="00BA55EA" w:rsidRPr="009F588A">
          <w:rPr>
            <w:rStyle w:val="Hyperlink"/>
            <w:color w:val="000000" w:themeColor="text1"/>
            <w:sz w:val="16"/>
            <w:u w:val="none"/>
          </w:rPr>
          <w:t xml:space="preserve">EALTH </w:t>
        </w:r>
        <w:r w:rsidR="00BA55EA" w:rsidRPr="009F588A">
          <w:rPr>
            <w:rStyle w:val="Hyperlink"/>
            <w:color w:val="000000" w:themeColor="text1"/>
            <w:sz w:val="20"/>
            <w:u w:val="none"/>
          </w:rPr>
          <w:t>P</w:t>
        </w:r>
        <w:r w:rsidR="00BA55EA" w:rsidRPr="009F588A">
          <w:rPr>
            <w:rStyle w:val="Hyperlink"/>
            <w:color w:val="000000" w:themeColor="text1"/>
            <w:sz w:val="16"/>
            <w:u w:val="none"/>
          </w:rPr>
          <w:t xml:space="preserve">OLICY </w:t>
        </w:r>
        <w:r w:rsidR="00BA55EA" w:rsidRPr="009F588A">
          <w:rPr>
            <w:rStyle w:val="Hyperlink"/>
            <w:color w:val="000000" w:themeColor="text1"/>
            <w:sz w:val="20"/>
            <w:u w:val="none"/>
          </w:rPr>
          <w:t>C</w:t>
        </w:r>
        <w:r w:rsidR="00BA55EA" w:rsidRPr="009F588A">
          <w:rPr>
            <w:rStyle w:val="Hyperlink"/>
            <w:color w:val="000000" w:themeColor="text1"/>
            <w:sz w:val="16"/>
            <w:u w:val="none"/>
          </w:rPr>
          <w:t>OMM</w:t>
        </w:r>
        <w:r w:rsidR="00BA55EA" w:rsidRPr="009F588A">
          <w:rPr>
            <w:rStyle w:val="Hyperlink"/>
            <w:color w:val="000000" w:themeColor="text1"/>
            <w:sz w:val="20"/>
            <w:u w:val="none"/>
          </w:rPr>
          <w:t>’</w:t>
        </w:r>
        <w:r w:rsidR="00BA55EA" w:rsidRPr="009F588A">
          <w:rPr>
            <w:rStyle w:val="Hyperlink"/>
            <w:color w:val="000000" w:themeColor="text1"/>
            <w:sz w:val="16"/>
            <w:u w:val="none"/>
          </w:rPr>
          <w:t>N</w:t>
        </w:r>
        <w:r w:rsidR="00BA55EA" w:rsidRPr="009F588A">
          <w:rPr>
            <w:rStyle w:val="Hyperlink"/>
            <w:color w:val="000000" w:themeColor="text1"/>
            <w:sz w:val="20"/>
            <w:u w:val="none"/>
          </w:rPr>
          <w:t>, M</w:t>
        </w:r>
        <w:r w:rsidR="00BA55EA" w:rsidRPr="009F588A">
          <w:rPr>
            <w:rStyle w:val="Hyperlink"/>
            <w:color w:val="000000" w:themeColor="text1"/>
            <w:sz w:val="16"/>
            <w:u w:val="none"/>
          </w:rPr>
          <w:t xml:space="preserve">ASS </w:t>
        </w:r>
        <w:r w:rsidR="00BA55EA" w:rsidRPr="009F588A">
          <w:rPr>
            <w:rStyle w:val="Hyperlink"/>
            <w:color w:val="000000" w:themeColor="text1"/>
            <w:sz w:val="20"/>
            <w:u w:val="none"/>
          </w:rPr>
          <w:t>R</w:t>
        </w:r>
        <w:r w:rsidR="00BA55EA" w:rsidRPr="009F588A">
          <w:rPr>
            <w:rStyle w:val="Hyperlink"/>
            <w:color w:val="000000" w:themeColor="text1"/>
            <w:sz w:val="16"/>
            <w:u w:val="none"/>
          </w:rPr>
          <w:t>EGISTRATION OF</w:t>
        </w:r>
        <w:r w:rsidR="00BA55EA" w:rsidRPr="009F588A">
          <w:rPr>
            <w:rStyle w:val="Hyperlink"/>
            <w:color w:val="000000" w:themeColor="text1"/>
            <w:spacing w:val="40"/>
            <w:sz w:val="16"/>
            <w:u w:val="none"/>
          </w:rPr>
          <w:t xml:space="preserve"> </w:t>
        </w:r>
        <w:r w:rsidR="00BA55EA" w:rsidRPr="009F588A">
          <w:rPr>
            <w:rStyle w:val="Hyperlink"/>
            <w:color w:val="000000" w:themeColor="text1"/>
            <w:sz w:val="20"/>
            <w:u w:val="none"/>
          </w:rPr>
          <w:t>P</w:t>
        </w:r>
        <w:r w:rsidR="00BA55EA" w:rsidRPr="009F588A">
          <w:rPr>
            <w:rStyle w:val="Hyperlink"/>
            <w:color w:val="000000" w:themeColor="text1"/>
            <w:sz w:val="16"/>
            <w:u w:val="none"/>
          </w:rPr>
          <w:t>ROVIDER</w:t>
        </w:r>
        <w:r w:rsidR="00BA55EA" w:rsidRPr="009F588A">
          <w:rPr>
            <w:rStyle w:val="Hyperlink"/>
            <w:color w:val="000000" w:themeColor="text1"/>
            <w:spacing w:val="-1"/>
            <w:sz w:val="16"/>
            <w:u w:val="none"/>
          </w:rPr>
          <w:t xml:space="preserve"> </w:t>
        </w:r>
        <w:r w:rsidR="00BA55EA" w:rsidRPr="009F588A">
          <w:rPr>
            <w:rStyle w:val="Hyperlink"/>
            <w:color w:val="000000" w:themeColor="text1"/>
            <w:sz w:val="20"/>
            <w:u w:val="none"/>
          </w:rPr>
          <w:t>O</w:t>
        </w:r>
        <w:r w:rsidR="00BA55EA" w:rsidRPr="009F588A">
          <w:rPr>
            <w:rStyle w:val="Hyperlink"/>
            <w:color w:val="000000" w:themeColor="text1"/>
            <w:sz w:val="16"/>
            <w:u w:val="none"/>
          </w:rPr>
          <w:t>RGANIZATIONS</w:t>
        </w:r>
        <w:r w:rsidR="00BA55EA" w:rsidRPr="009F588A">
          <w:rPr>
            <w:rStyle w:val="Hyperlink"/>
            <w:color w:val="000000" w:themeColor="text1"/>
            <w:spacing w:val="-1"/>
            <w:sz w:val="16"/>
            <w:u w:val="none"/>
          </w:rPr>
          <w:t xml:space="preserve"> </w:t>
        </w:r>
        <w:r w:rsidR="00BA55EA" w:rsidRPr="009F588A">
          <w:rPr>
            <w:rStyle w:val="Hyperlink"/>
            <w:color w:val="000000" w:themeColor="text1"/>
            <w:sz w:val="20"/>
            <w:u w:val="none"/>
          </w:rPr>
          <w:t>2023</w:t>
        </w:r>
        <w:r w:rsidR="00BA55EA" w:rsidRPr="009F588A">
          <w:rPr>
            <w:rStyle w:val="Hyperlink"/>
            <w:color w:val="000000" w:themeColor="text1"/>
            <w:spacing w:val="-12"/>
            <w:sz w:val="20"/>
            <w:u w:val="none"/>
          </w:rPr>
          <w:t xml:space="preserve"> </w:t>
        </w:r>
        <w:r w:rsidR="00BA55EA" w:rsidRPr="009F588A">
          <w:rPr>
            <w:rStyle w:val="Hyperlink"/>
            <w:color w:val="000000" w:themeColor="text1"/>
            <w:sz w:val="20"/>
            <w:u w:val="none"/>
          </w:rPr>
          <w:t>R</w:t>
        </w:r>
        <w:r w:rsidR="00BA55EA" w:rsidRPr="009F588A">
          <w:rPr>
            <w:rStyle w:val="Hyperlink"/>
            <w:color w:val="000000" w:themeColor="text1"/>
            <w:sz w:val="16"/>
            <w:u w:val="none"/>
          </w:rPr>
          <w:t>EGISTRATION</w:t>
        </w:r>
        <w:r w:rsidR="00BA55EA" w:rsidRPr="009F588A">
          <w:rPr>
            <w:rStyle w:val="Hyperlink"/>
            <w:color w:val="000000" w:themeColor="text1"/>
            <w:sz w:val="20"/>
            <w:u w:val="none"/>
          </w:rPr>
          <w:t>:</w:t>
        </w:r>
        <w:r w:rsidR="00BA55EA" w:rsidRPr="009F588A">
          <w:rPr>
            <w:rStyle w:val="Hyperlink"/>
            <w:color w:val="000000" w:themeColor="text1"/>
            <w:spacing w:val="-12"/>
            <w:sz w:val="20"/>
            <w:u w:val="none"/>
          </w:rPr>
          <w:t xml:space="preserve"> </w:t>
        </w:r>
        <w:r w:rsidR="00BA55EA" w:rsidRPr="009F588A">
          <w:rPr>
            <w:rStyle w:val="Hyperlink"/>
            <w:color w:val="000000" w:themeColor="text1"/>
            <w:sz w:val="20"/>
            <w:u w:val="none"/>
          </w:rPr>
          <w:t>D</w:t>
        </w:r>
        <w:r w:rsidR="00BA55EA" w:rsidRPr="009F588A">
          <w:rPr>
            <w:rStyle w:val="Hyperlink"/>
            <w:color w:val="000000" w:themeColor="text1"/>
            <w:sz w:val="16"/>
            <w:u w:val="none"/>
          </w:rPr>
          <w:t>ANA</w:t>
        </w:r>
        <w:r w:rsidR="00BA55EA" w:rsidRPr="009F588A">
          <w:rPr>
            <w:rStyle w:val="Hyperlink"/>
            <w:color w:val="000000" w:themeColor="text1"/>
            <w:sz w:val="20"/>
            <w:u w:val="none"/>
          </w:rPr>
          <w:t>-F</w:t>
        </w:r>
        <w:r w:rsidR="00BA55EA" w:rsidRPr="009F588A">
          <w:rPr>
            <w:rStyle w:val="Hyperlink"/>
            <w:color w:val="000000" w:themeColor="text1"/>
            <w:sz w:val="16"/>
            <w:u w:val="none"/>
          </w:rPr>
          <w:t>ARBER</w:t>
        </w:r>
        <w:r w:rsidR="00BA55EA" w:rsidRPr="009F588A">
          <w:rPr>
            <w:rStyle w:val="Hyperlink"/>
            <w:color w:val="000000" w:themeColor="text1"/>
            <w:spacing w:val="-1"/>
            <w:sz w:val="16"/>
            <w:u w:val="none"/>
          </w:rPr>
          <w:t xml:space="preserve"> </w:t>
        </w:r>
        <w:r w:rsidR="00BA55EA" w:rsidRPr="009F588A">
          <w:rPr>
            <w:rStyle w:val="Hyperlink"/>
            <w:color w:val="000000" w:themeColor="text1"/>
            <w:sz w:val="20"/>
            <w:u w:val="none"/>
          </w:rPr>
          <w:t>C</w:t>
        </w:r>
        <w:r w:rsidR="00BA55EA" w:rsidRPr="009F588A">
          <w:rPr>
            <w:rStyle w:val="Hyperlink"/>
            <w:color w:val="000000" w:themeColor="text1"/>
            <w:sz w:val="16"/>
            <w:u w:val="none"/>
          </w:rPr>
          <w:t>ANCER</w:t>
        </w:r>
        <w:r w:rsidR="00BA55EA" w:rsidRPr="009F588A">
          <w:rPr>
            <w:rStyle w:val="Hyperlink"/>
            <w:color w:val="000000" w:themeColor="text1"/>
            <w:spacing w:val="-3"/>
            <w:sz w:val="16"/>
            <w:u w:val="none"/>
          </w:rPr>
          <w:t xml:space="preserve"> </w:t>
        </w:r>
        <w:r w:rsidR="00BA55EA" w:rsidRPr="009F588A">
          <w:rPr>
            <w:rStyle w:val="Hyperlink"/>
            <w:color w:val="000000" w:themeColor="text1"/>
            <w:sz w:val="20"/>
            <w:u w:val="none"/>
          </w:rPr>
          <w:t>I</w:t>
        </w:r>
        <w:r w:rsidR="00BA55EA" w:rsidRPr="009F588A">
          <w:rPr>
            <w:rStyle w:val="Hyperlink"/>
            <w:color w:val="000000" w:themeColor="text1"/>
            <w:sz w:val="16"/>
            <w:u w:val="none"/>
          </w:rPr>
          <w:t>NSTITUTE</w:t>
        </w:r>
      </w:hyperlink>
      <w:r w:rsidR="00BA55EA" w:rsidRPr="009F588A">
        <w:rPr>
          <w:color w:val="000000" w:themeColor="text1"/>
          <w:spacing w:val="10"/>
          <w:sz w:val="16"/>
        </w:rPr>
        <w:t xml:space="preserve"> </w:t>
      </w:r>
      <w:r w:rsidR="00BA55EA" w:rsidRPr="009F588A">
        <w:rPr>
          <w:color w:val="000000" w:themeColor="text1"/>
          <w:sz w:val="20"/>
        </w:rPr>
        <w:t>(Jan</w:t>
      </w:r>
      <w:r w:rsidR="00BA55EA">
        <w:rPr>
          <w:sz w:val="20"/>
        </w:rPr>
        <w:t>. 2025)</w:t>
      </w:r>
      <w:r w:rsidR="00BA55EA">
        <w:rPr>
          <w:spacing w:val="-2"/>
          <w:sz w:val="20"/>
        </w:rPr>
        <w:t xml:space="preserve"> </w:t>
      </w:r>
      <w:r w:rsidR="00BA55EA">
        <w:rPr>
          <w:sz w:val="20"/>
        </w:rPr>
        <w:t>[hereinafter</w:t>
      </w:r>
      <w:r w:rsidR="00BA55EA">
        <w:rPr>
          <w:spacing w:val="-2"/>
          <w:sz w:val="20"/>
        </w:rPr>
        <w:t xml:space="preserve"> </w:t>
      </w:r>
      <w:r w:rsidR="00BA55EA">
        <w:rPr>
          <w:sz w:val="20"/>
        </w:rPr>
        <w:t>DFCI</w:t>
      </w:r>
      <w:r w:rsidR="00BA55EA">
        <w:rPr>
          <w:spacing w:val="-10"/>
          <w:sz w:val="20"/>
        </w:rPr>
        <w:t xml:space="preserve"> </w:t>
      </w:r>
      <w:r w:rsidR="00BA55EA">
        <w:rPr>
          <w:sz w:val="20"/>
        </w:rPr>
        <w:t>MA-</w:t>
      </w:r>
    </w:p>
    <w:p w14:paraId="48B15E61" w14:textId="5476C4F6" w:rsidR="002266E0" w:rsidRPr="00272BD1" w:rsidRDefault="00BA55EA" w:rsidP="00272BD1">
      <w:pPr>
        <w:ind w:left="900" w:right="1030"/>
        <w:rPr>
          <w:sz w:val="20"/>
        </w:rPr>
      </w:pPr>
      <w:r>
        <w:rPr>
          <w:sz w:val="20"/>
        </w:rPr>
        <w:t>RPO</w:t>
      </w:r>
      <w:r>
        <w:rPr>
          <w:spacing w:val="-13"/>
          <w:sz w:val="20"/>
        </w:rPr>
        <w:t xml:space="preserve"> </w:t>
      </w:r>
      <w:r>
        <w:rPr>
          <w:sz w:val="20"/>
        </w:rPr>
        <w:t>F</w:t>
      </w:r>
      <w:r>
        <w:rPr>
          <w:sz w:val="16"/>
        </w:rPr>
        <w:t>ILING</w:t>
      </w:r>
      <w:r>
        <w:rPr>
          <w:sz w:val="20"/>
        </w:rPr>
        <w:t>],</w:t>
      </w:r>
      <w:r>
        <w:rPr>
          <w:spacing w:val="-8"/>
          <w:sz w:val="20"/>
        </w:rPr>
        <w:t xml:space="preserve"> </w:t>
      </w:r>
      <w:r>
        <w:rPr>
          <w:i/>
          <w:sz w:val="20"/>
        </w:rPr>
        <w:t>available</w:t>
      </w:r>
      <w:r>
        <w:rPr>
          <w:i/>
          <w:spacing w:val="-6"/>
          <w:sz w:val="20"/>
        </w:rPr>
        <w:t xml:space="preserve"> </w:t>
      </w:r>
      <w:r>
        <w:rPr>
          <w:i/>
          <w:sz w:val="20"/>
        </w:rPr>
        <w:t>at</w:t>
      </w:r>
      <w:r>
        <w:rPr>
          <w:i/>
          <w:spacing w:val="-6"/>
          <w:sz w:val="20"/>
        </w:rPr>
        <w:t xml:space="preserve"> </w:t>
      </w:r>
      <w:hyperlink r:id="rId57">
        <w:r>
          <w:rPr>
            <w:color w:val="486794"/>
            <w:spacing w:val="-2"/>
            <w:sz w:val="20"/>
            <w:u w:val="single" w:color="486794"/>
          </w:rPr>
          <w:t>https://masshpc.gov/moat/rpo/data</w:t>
        </w:r>
        <w:r>
          <w:rPr>
            <w:spacing w:val="-2"/>
            <w:sz w:val="20"/>
          </w:rPr>
          <w:t>.</w:t>
        </w:r>
      </w:hyperlink>
    </w:p>
  </w:footnote>
  <w:footnote w:id="37">
    <w:p w14:paraId="4B7E470E" w14:textId="75C07500" w:rsidR="00272BD1" w:rsidRDefault="00272BD1" w:rsidP="00272BD1">
      <w:pPr>
        <w:pStyle w:val="FootnoteText"/>
        <w:ind w:left="900" w:right="1030"/>
      </w:pPr>
      <w:r>
        <w:rPr>
          <w:rStyle w:val="FootnoteReference"/>
        </w:rPr>
        <w:footnoteRef/>
      </w:r>
      <w:r>
        <w:t xml:space="preserve"> </w:t>
      </w:r>
      <w:r>
        <w:rPr>
          <w:i/>
          <w:spacing w:val="-5"/>
        </w:rPr>
        <w:t>Id</w:t>
      </w:r>
      <w:r>
        <w:rPr>
          <w:spacing w:val="-5"/>
        </w:rPr>
        <w:t>.</w:t>
      </w:r>
    </w:p>
  </w:footnote>
  <w:footnote w:id="38">
    <w:p w14:paraId="40FD6D68" w14:textId="387CB952" w:rsidR="000847F2" w:rsidRDefault="000847F2" w:rsidP="002C08E5">
      <w:pPr>
        <w:pStyle w:val="FootnoteText"/>
        <w:ind w:left="900" w:right="850"/>
      </w:pPr>
      <w:r>
        <w:rPr>
          <w:rStyle w:val="FootnoteReference"/>
        </w:rPr>
        <w:footnoteRef/>
      </w:r>
      <w:r>
        <w:t xml:space="preserve"> </w:t>
      </w:r>
      <w:hyperlink r:id="rId58" w:history="1">
        <w:r w:rsidRPr="00A17D3A">
          <w:rPr>
            <w:rStyle w:val="Hyperlink"/>
            <w:i/>
          </w:rPr>
          <w:t>About</w:t>
        </w:r>
        <w:r w:rsidRPr="00A17D3A">
          <w:rPr>
            <w:rStyle w:val="Hyperlink"/>
            <w:i/>
            <w:spacing w:val="-7"/>
          </w:rPr>
          <w:t xml:space="preserve"> </w:t>
        </w:r>
        <w:r w:rsidRPr="00A17D3A">
          <w:rPr>
            <w:rStyle w:val="Hyperlink"/>
            <w:i/>
          </w:rPr>
          <w:t>DF/HCC</w:t>
        </w:r>
        <w:r w:rsidRPr="00A17D3A">
          <w:rPr>
            <w:rStyle w:val="Hyperlink"/>
          </w:rPr>
          <w:t>,</w:t>
        </w:r>
        <w:r w:rsidRPr="00A17D3A">
          <w:rPr>
            <w:rStyle w:val="Hyperlink"/>
            <w:spacing w:val="-5"/>
          </w:rPr>
          <w:t xml:space="preserve"> </w:t>
        </w:r>
        <w:r w:rsidRPr="00A17D3A">
          <w:rPr>
            <w:rStyle w:val="Hyperlink"/>
          </w:rPr>
          <w:t>D</w:t>
        </w:r>
        <w:r w:rsidRPr="00A17D3A">
          <w:rPr>
            <w:rStyle w:val="Hyperlink"/>
            <w:sz w:val="16"/>
          </w:rPr>
          <w:t>ANA</w:t>
        </w:r>
        <w:r w:rsidRPr="00A17D3A">
          <w:rPr>
            <w:rStyle w:val="Hyperlink"/>
          </w:rPr>
          <w:t>-F</w:t>
        </w:r>
        <w:r w:rsidRPr="00A17D3A">
          <w:rPr>
            <w:rStyle w:val="Hyperlink"/>
            <w:sz w:val="16"/>
          </w:rPr>
          <w:t>ARBER</w:t>
        </w:r>
        <w:r w:rsidRPr="00A17D3A">
          <w:rPr>
            <w:rStyle w:val="Hyperlink"/>
          </w:rPr>
          <w:t>/H</w:t>
        </w:r>
        <w:r w:rsidRPr="00A17D3A">
          <w:rPr>
            <w:rStyle w:val="Hyperlink"/>
            <w:sz w:val="16"/>
          </w:rPr>
          <w:t>ARVARD</w:t>
        </w:r>
        <w:r w:rsidRPr="00A17D3A">
          <w:rPr>
            <w:rStyle w:val="Hyperlink"/>
            <w:spacing w:val="-6"/>
            <w:sz w:val="16"/>
          </w:rPr>
          <w:t xml:space="preserve"> </w:t>
        </w:r>
        <w:r w:rsidRPr="00A17D3A">
          <w:rPr>
            <w:rStyle w:val="Hyperlink"/>
          </w:rPr>
          <w:t>C</w:t>
        </w:r>
        <w:r w:rsidRPr="00A17D3A">
          <w:rPr>
            <w:rStyle w:val="Hyperlink"/>
            <w:sz w:val="16"/>
          </w:rPr>
          <w:t>ANCER</w:t>
        </w:r>
        <w:r w:rsidRPr="00A17D3A">
          <w:rPr>
            <w:rStyle w:val="Hyperlink"/>
            <w:spacing w:val="-5"/>
            <w:sz w:val="16"/>
          </w:rPr>
          <w:t xml:space="preserve"> </w:t>
        </w:r>
        <w:r w:rsidRPr="00A17D3A">
          <w:rPr>
            <w:rStyle w:val="Hyperlink"/>
          </w:rPr>
          <w:t>C</w:t>
        </w:r>
        <w:r w:rsidRPr="00A17D3A">
          <w:rPr>
            <w:rStyle w:val="Hyperlink"/>
            <w:sz w:val="16"/>
          </w:rPr>
          <w:t>ENTER</w:t>
        </w:r>
      </w:hyperlink>
      <w:r>
        <w:t>,</w:t>
      </w:r>
      <w:r>
        <w:rPr>
          <w:spacing w:val="-5"/>
        </w:rPr>
        <w:t xml:space="preserve"> </w:t>
      </w:r>
      <w:hyperlink r:id="rId59">
        <w:r>
          <w:rPr>
            <w:color w:val="486794"/>
            <w:u w:val="single" w:color="486794"/>
          </w:rPr>
          <w:t>https://www.dfhcc.harvard.edu/about-dfhcc</w:t>
        </w:r>
      </w:hyperlink>
      <w:r>
        <w:rPr>
          <w:color w:val="486794"/>
          <w:spacing w:val="-6"/>
        </w:rPr>
        <w:t xml:space="preserve"> </w:t>
      </w:r>
      <w:r>
        <w:t>(last visited February 27, 2025).</w:t>
      </w:r>
    </w:p>
  </w:footnote>
  <w:footnote w:id="39">
    <w:p w14:paraId="32C6FA5F" w14:textId="3DC432F4" w:rsidR="00AF2856" w:rsidRDefault="00AF2856" w:rsidP="002C08E5">
      <w:pPr>
        <w:pStyle w:val="FootnoteText"/>
        <w:ind w:left="900" w:right="850"/>
      </w:pPr>
      <w:r>
        <w:rPr>
          <w:rStyle w:val="FootnoteReference"/>
        </w:rPr>
        <w:footnoteRef/>
      </w:r>
      <w:r>
        <w:t xml:space="preserve"> </w:t>
      </w:r>
      <w:hyperlink r:id="rId60" w:history="1">
        <w:r w:rsidRPr="00327D7D">
          <w:rPr>
            <w:rStyle w:val="Hyperlink"/>
            <w:i/>
            <w:color w:val="000000" w:themeColor="text1"/>
            <w:u w:val="none"/>
          </w:rPr>
          <w:t>NCI-Designated Cancer Centers</w:t>
        </w:r>
      </w:hyperlink>
      <w:r w:rsidRPr="00327D7D">
        <w:rPr>
          <w:color w:val="000000" w:themeColor="text1"/>
        </w:rPr>
        <w:t>, N</w:t>
      </w:r>
      <w:r w:rsidRPr="00327D7D">
        <w:rPr>
          <w:color w:val="000000" w:themeColor="text1"/>
          <w:sz w:val="16"/>
        </w:rPr>
        <w:t xml:space="preserve">ATIONAL </w:t>
      </w:r>
      <w:r>
        <w:rPr>
          <w:sz w:val="16"/>
        </w:rPr>
        <w:t>CANCER INSTITUTE</w:t>
      </w:r>
      <w:r>
        <w:t xml:space="preserve">, </w:t>
      </w:r>
      <w:hyperlink r:id="rId61">
        <w:r>
          <w:rPr>
            <w:color w:val="486794"/>
            <w:u w:val="single" w:color="486794"/>
          </w:rPr>
          <w:t>https://www.cancer.gov/research/infrastructure/cancer-centers</w:t>
        </w:r>
      </w:hyperlink>
      <w:r>
        <w:rPr>
          <w:color w:val="486794"/>
        </w:rPr>
        <w:t xml:space="preserve"> </w:t>
      </w:r>
      <w:r>
        <w:t>(last visited February 27, 2025). “NCI recognizes centers around the country that meet rigorous standards for transdisciplinary, state-of-the-art research focused on developing new and better approaches to preventing, diagnosing, and treating cancer... 57 are Comprehensive Cancer Centers, also recognized for their leadership and resources, in addition</w:t>
      </w:r>
      <w:r>
        <w:rPr>
          <w:spacing w:val="-3"/>
        </w:rPr>
        <w:t xml:space="preserve"> </w:t>
      </w:r>
      <w:r>
        <w:t>to</w:t>
      </w:r>
      <w:r>
        <w:rPr>
          <w:spacing w:val="-3"/>
        </w:rPr>
        <w:t xml:space="preserve"> </w:t>
      </w:r>
      <w:r>
        <w:t>demonstrating</w:t>
      </w:r>
      <w:r>
        <w:rPr>
          <w:spacing w:val="-3"/>
        </w:rPr>
        <w:t xml:space="preserve"> </w:t>
      </w:r>
      <w:r>
        <w:t>an</w:t>
      </w:r>
      <w:r>
        <w:rPr>
          <w:spacing w:val="-3"/>
        </w:rPr>
        <w:t xml:space="preserve"> </w:t>
      </w:r>
      <w:r>
        <w:t>added</w:t>
      </w:r>
      <w:r>
        <w:rPr>
          <w:spacing w:val="-2"/>
        </w:rPr>
        <w:t xml:space="preserve"> </w:t>
      </w:r>
      <w:r>
        <w:t>depth</w:t>
      </w:r>
      <w:r>
        <w:rPr>
          <w:spacing w:val="-3"/>
        </w:rPr>
        <w:t xml:space="preserve"> </w:t>
      </w:r>
      <w:r>
        <w:t>and</w:t>
      </w:r>
      <w:r>
        <w:rPr>
          <w:spacing w:val="-2"/>
        </w:rPr>
        <w:t xml:space="preserve"> </w:t>
      </w:r>
      <w:r>
        <w:t>breadth</w:t>
      </w:r>
      <w:r>
        <w:rPr>
          <w:spacing w:val="-3"/>
        </w:rPr>
        <w:t xml:space="preserve"> </w:t>
      </w:r>
      <w:r>
        <w:t>of</w:t>
      </w:r>
      <w:r>
        <w:rPr>
          <w:spacing w:val="-3"/>
        </w:rPr>
        <w:t xml:space="preserve"> </w:t>
      </w:r>
      <w:r>
        <w:t>research,</w:t>
      </w:r>
      <w:r>
        <w:rPr>
          <w:spacing w:val="-2"/>
        </w:rPr>
        <w:t xml:space="preserve"> </w:t>
      </w:r>
      <w:r>
        <w:t>as</w:t>
      </w:r>
      <w:r>
        <w:rPr>
          <w:spacing w:val="-2"/>
        </w:rPr>
        <w:t xml:space="preserve"> </w:t>
      </w:r>
      <w:r>
        <w:t>well</w:t>
      </w:r>
      <w:r>
        <w:rPr>
          <w:spacing w:val="-3"/>
        </w:rPr>
        <w:t xml:space="preserve"> </w:t>
      </w:r>
      <w:r>
        <w:t>as</w:t>
      </w:r>
      <w:r>
        <w:rPr>
          <w:spacing w:val="-2"/>
        </w:rPr>
        <w:t xml:space="preserve"> </w:t>
      </w:r>
      <w:r>
        <w:t>substantial</w:t>
      </w:r>
      <w:r>
        <w:rPr>
          <w:spacing w:val="-3"/>
        </w:rPr>
        <w:t xml:space="preserve"> </w:t>
      </w:r>
      <w:r>
        <w:t>transdisciplinary research that bridges these scientific areas.”</w:t>
      </w:r>
    </w:p>
  </w:footnote>
  <w:footnote w:id="40">
    <w:p w14:paraId="7AA92FD3" w14:textId="2FD63F09" w:rsidR="002C08E5" w:rsidRDefault="00AF2856" w:rsidP="002C08E5">
      <w:pPr>
        <w:spacing w:before="2"/>
        <w:ind w:left="900" w:right="850"/>
        <w:rPr>
          <w:sz w:val="20"/>
        </w:rPr>
      </w:pPr>
      <w:r>
        <w:rPr>
          <w:rStyle w:val="FootnoteReference"/>
        </w:rPr>
        <w:footnoteRef/>
      </w:r>
      <w:r>
        <w:t xml:space="preserve"> </w:t>
      </w:r>
      <w:r w:rsidR="002C08E5">
        <w:rPr>
          <w:sz w:val="20"/>
        </w:rPr>
        <w:t xml:space="preserve">The Social Security Amendments of 1983 exempted classified cancer hospitals from the Medicare Inpatient Prospective Payment System (IPPS). These PPS-exempt cancer hospitals are paid by Medicare under a cost-based reimbursement model for inpatient care and are subject to a different set of hospital inpatient quality measure reporting requirements, reflecting their unique care models. </w:t>
      </w:r>
      <w:r w:rsidR="002C08E5">
        <w:rPr>
          <w:i/>
          <w:sz w:val="20"/>
        </w:rPr>
        <w:t xml:space="preserve">See </w:t>
      </w:r>
      <w:hyperlink r:id="rId62" w:history="1">
        <w:r w:rsidR="002C08E5" w:rsidRPr="006143D0">
          <w:rPr>
            <w:rStyle w:val="Hyperlink"/>
            <w:i/>
            <w:color w:val="000000" w:themeColor="text1"/>
            <w:sz w:val="20"/>
            <w:u w:val="none"/>
          </w:rPr>
          <w:t>PPS-Exempt Cancer Hospitals (PCH),</w:t>
        </w:r>
      </w:hyperlink>
      <w:r w:rsidR="002C08E5" w:rsidRPr="006143D0">
        <w:rPr>
          <w:i/>
          <w:color w:val="000000" w:themeColor="text1"/>
          <w:sz w:val="20"/>
        </w:rPr>
        <w:t xml:space="preserve"> </w:t>
      </w:r>
      <w:r w:rsidR="002C08E5" w:rsidRPr="006143D0">
        <w:rPr>
          <w:color w:val="000000" w:themeColor="text1"/>
          <w:sz w:val="20"/>
        </w:rPr>
        <w:t>C</w:t>
      </w:r>
      <w:r w:rsidR="002C08E5" w:rsidRPr="006143D0">
        <w:rPr>
          <w:color w:val="000000" w:themeColor="text1"/>
          <w:sz w:val="16"/>
        </w:rPr>
        <w:t>TRS</w:t>
      </w:r>
      <w:r w:rsidR="002C08E5" w:rsidRPr="006143D0">
        <w:rPr>
          <w:color w:val="000000" w:themeColor="text1"/>
          <w:sz w:val="20"/>
        </w:rPr>
        <w:t xml:space="preserve">. </w:t>
      </w:r>
      <w:r w:rsidR="002C08E5" w:rsidRPr="006143D0">
        <w:rPr>
          <w:color w:val="000000" w:themeColor="text1"/>
          <w:sz w:val="16"/>
        </w:rPr>
        <w:t xml:space="preserve">FOR </w:t>
      </w:r>
      <w:r w:rsidR="002C08E5">
        <w:rPr>
          <w:sz w:val="20"/>
        </w:rPr>
        <w:t>M</w:t>
      </w:r>
      <w:r w:rsidR="002C08E5">
        <w:rPr>
          <w:sz w:val="16"/>
        </w:rPr>
        <w:t xml:space="preserve">EDICARE </w:t>
      </w:r>
      <w:r w:rsidR="002C08E5">
        <w:rPr>
          <w:sz w:val="20"/>
        </w:rPr>
        <w:t>&amp; M</w:t>
      </w:r>
      <w:r w:rsidR="002C08E5">
        <w:rPr>
          <w:sz w:val="16"/>
        </w:rPr>
        <w:t xml:space="preserve">EDICAID </w:t>
      </w:r>
      <w:r w:rsidR="002C08E5">
        <w:rPr>
          <w:sz w:val="20"/>
        </w:rPr>
        <w:t>S</w:t>
      </w:r>
      <w:r w:rsidR="002C08E5">
        <w:rPr>
          <w:sz w:val="16"/>
        </w:rPr>
        <w:t>ERVS</w:t>
      </w:r>
      <w:r w:rsidR="002C08E5">
        <w:rPr>
          <w:sz w:val="20"/>
        </w:rPr>
        <w:t xml:space="preserve">., </w:t>
      </w:r>
      <w:hyperlink r:id="rId63">
        <w:r w:rsidR="002C08E5">
          <w:rPr>
            <w:color w:val="486794"/>
            <w:sz w:val="20"/>
            <w:u w:val="single" w:color="486794"/>
          </w:rPr>
          <w:t>https://data.cms.gov/provider-</w:t>
        </w:r>
      </w:hyperlink>
      <w:r w:rsidR="002C08E5">
        <w:rPr>
          <w:color w:val="486794"/>
          <w:sz w:val="20"/>
        </w:rPr>
        <w:t xml:space="preserve"> </w:t>
      </w:r>
      <w:hyperlink r:id="rId64">
        <w:r w:rsidR="002C08E5">
          <w:rPr>
            <w:color w:val="486794"/>
            <w:sz w:val="20"/>
            <w:u w:val="single" w:color="486794"/>
          </w:rPr>
          <w:t>data/topics/hospitals/</w:t>
        </w:r>
        <w:proofErr w:type="spellStart"/>
        <w:r w:rsidR="002C08E5">
          <w:rPr>
            <w:color w:val="486794"/>
            <w:sz w:val="20"/>
            <w:u w:val="single" w:color="486794"/>
          </w:rPr>
          <w:t>pps</w:t>
        </w:r>
        <w:proofErr w:type="spellEnd"/>
        <w:r w:rsidR="002C08E5">
          <w:rPr>
            <w:color w:val="486794"/>
            <w:sz w:val="20"/>
            <w:u w:val="single" w:color="486794"/>
          </w:rPr>
          <w:t>-exempt-cancer-hospitals</w:t>
        </w:r>
      </w:hyperlink>
      <w:r w:rsidR="002C08E5">
        <w:rPr>
          <w:color w:val="486794"/>
          <w:spacing w:val="-5"/>
          <w:sz w:val="20"/>
        </w:rPr>
        <w:t xml:space="preserve"> </w:t>
      </w:r>
      <w:r w:rsidR="002C08E5">
        <w:rPr>
          <w:sz w:val="20"/>
        </w:rPr>
        <w:t>(last</w:t>
      </w:r>
      <w:r w:rsidR="002C08E5">
        <w:rPr>
          <w:spacing w:val="-5"/>
          <w:sz w:val="20"/>
        </w:rPr>
        <w:t xml:space="preserve"> </w:t>
      </w:r>
      <w:r w:rsidR="002C08E5">
        <w:rPr>
          <w:sz w:val="20"/>
        </w:rPr>
        <w:t>visited</w:t>
      </w:r>
      <w:r w:rsidR="002C08E5">
        <w:rPr>
          <w:spacing w:val="-5"/>
          <w:sz w:val="20"/>
        </w:rPr>
        <w:t xml:space="preserve"> </w:t>
      </w:r>
      <w:r w:rsidR="002C08E5">
        <w:rPr>
          <w:sz w:val="20"/>
        </w:rPr>
        <w:t>February</w:t>
      </w:r>
      <w:r w:rsidR="002C08E5">
        <w:rPr>
          <w:spacing w:val="-7"/>
          <w:sz w:val="20"/>
        </w:rPr>
        <w:t xml:space="preserve"> </w:t>
      </w:r>
      <w:r w:rsidR="002C08E5">
        <w:rPr>
          <w:sz w:val="20"/>
        </w:rPr>
        <w:t>27,</w:t>
      </w:r>
      <w:r w:rsidR="002C08E5">
        <w:rPr>
          <w:spacing w:val="-5"/>
          <w:sz w:val="20"/>
        </w:rPr>
        <w:t xml:space="preserve"> </w:t>
      </w:r>
      <w:r w:rsidR="002C08E5">
        <w:rPr>
          <w:sz w:val="20"/>
        </w:rPr>
        <w:t>2025).</w:t>
      </w:r>
      <w:r w:rsidR="002C08E5">
        <w:rPr>
          <w:spacing w:val="-5"/>
          <w:sz w:val="20"/>
        </w:rPr>
        <w:t xml:space="preserve"> </w:t>
      </w:r>
      <w:r w:rsidR="002C08E5">
        <w:rPr>
          <w:i/>
          <w:sz w:val="20"/>
        </w:rPr>
        <w:t>See</w:t>
      </w:r>
      <w:r w:rsidR="002C08E5">
        <w:rPr>
          <w:i/>
          <w:spacing w:val="-4"/>
          <w:sz w:val="20"/>
        </w:rPr>
        <w:t xml:space="preserve"> </w:t>
      </w:r>
      <w:r w:rsidR="002C08E5">
        <w:rPr>
          <w:i/>
          <w:sz w:val="20"/>
        </w:rPr>
        <w:t>also</w:t>
      </w:r>
      <w:r w:rsidR="002C08E5">
        <w:rPr>
          <w:i/>
          <w:spacing w:val="-7"/>
          <w:sz w:val="20"/>
        </w:rPr>
        <w:t xml:space="preserve"> </w:t>
      </w:r>
      <w:hyperlink r:id="rId65" w:history="1">
        <w:r w:rsidR="002C08E5" w:rsidRPr="00CF5833">
          <w:rPr>
            <w:rStyle w:val="Hyperlink"/>
            <w:i/>
            <w:color w:val="000000" w:themeColor="text1"/>
            <w:sz w:val="20"/>
            <w:u w:val="none"/>
          </w:rPr>
          <w:t>PPS-Exempt Cancer Hospitals (PCHs),</w:t>
        </w:r>
      </w:hyperlink>
      <w:r w:rsidR="002C08E5" w:rsidRPr="00CF5833">
        <w:rPr>
          <w:i/>
          <w:color w:val="000000" w:themeColor="text1"/>
          <w:sz w:val="20"/>
        </w:rPr>
        <w:t xml:space="preserve"> </w:t>
      </w:r>
      <w:r w:rsidR="002C08E5" w:rsidRPr="00CF5833">
        <w:rPr>
          <w:color w:val="000000" w:themeColor="text1"/>
          <w:sz w:val="20"/>
        </w:rPr>
        <w:t>C</w:t>
      </w:r>
      <w:r w:rsidR="002C08E5" w:rsidRPr="00CF5833">
        <w:rPr>
          <w:color w:val="000000" w:themeColor="text1"/>
          <w:sz w:val="16"/>
        </w:rPr>
        <w:t>TRS</w:t>
      </w:r>
      <w:r w:rsidR="002C08E5">
        <w:rPr>
          <w:sz w:val="20"/>
        </w:rPr>
        <w:t xml:space="preserve">. </w:t>
      </w:r>
      <w:r w:rsidR="002C08E5">
        <w:rPr>
          <w:sz w:val="16"/>
        </w:rPr>
        <w:t xml:space="preserve">FOR </w:t>
      </w:r>
      <w:r w:rsidR="002C08E5">
        <w:rPr>
          <w:sz w:val="20"/>
        </w:rPr>
        <w:t>M</w:t>
      </w:r>
      <w:r w:rsidR="002C08E5">
        <w:rPr>
          <w:sz w:val="16"/>
        </w:rPr>
        <w:t xml:space="preserve">EDICARE </w:t>
      </w:r>
      <w:r w:rsidR="002C08E5">
        <w:rPr>
          <w:sz w:val="20"/>
        </w:rPr>
        <w:t>&amp; M</w:t>
      </w:r>
      <w:r w:rsidR="002C08E5">
        <w:rPr>
          <w:sz w:val="16"/>
        </w:rPr>
        <w:t xml:space="preserve">EDICAID </w:t>
      </w:r>
      <w:r w:rsidR="002C08E5">
        <w:rPr>
          <w:sz w:val="20"/>
        </w:rPr>
        <w:t>S</w:t>
      </w:r>
      <w:r w:rsidR="002C08E5">
        <w:rPr>
          <w:sz w:val="16"/>
        </w:rPr>
        <w:t>ERVS</w:t>
      </w:r>
      <w:r w:rsidR="002C08E5">
        <w:rPr>
          <w:sz w:val="20"/>
        </w:rPr>
        <w:t>.,</w:t>
      </w:r>
    </w:p>
    <w:p w14:paraId="479CA065" w14:textId="77777777" w:rsidR="002C08E5" w:rsidRDefault="002C08E5" w:rsidP="002C08E5">
      <w:pPr>
        <w:ind w:left="900" w:right="850"/>
        <w:rPr>
          <w:sz w:val="20"/>
        </w:rPr>
      </w:pPr>
      <w:hyperlink r:id="rId66">
        <w:r>
          <w:rPr>
            <w:color w:val="486794"/>
            <w:spacing w:val="-2"/>
            <w:sz w:val="20"/>
            <w:u w:val="single" w:color="486794"/>
          </w:rPr>
          <w:t>https://www.cms.gov/medicare/payment/prospective-payment-systems/acute-inpatient-pps/pps-exempt-</w:t>
        </w:r>
      </w:hyperlink>
      <w:r>
        <w:rPr>
          <w:color w:val="486794"/>
          <w:spacing w:val="-2"/>
          <w:sz w:val="20"/>
        </w:rPr>
        <w:t xml:space="preserve"> </w:t>
      </w:r>
      <w:hyperlink r:id="rId67">
        <w:r>
          <w:rPr>
            <w:color w:val="486794"/>
            <w:sz w:val="20"/>
            <w:u w:val="single" w:color="486794"/>
          </w:rPr>
          <w:t>cancer-hospitals-</w:t>
        </w:r>
        <w:proofErr w:type="spellStart"/>
        <w:r>
          <w:rPr>
            <w:color w:val="486794"/>
            <w:sz w:val="20"/>
            <w:u w:val="single" w:color="486794"/>
          </w:rPr>
          <w:t>pchs</w:t>
        </w:r>
        <w:proofErr w:type="spellEnd"/>
      </w:hyperlink>
      <w:r>
        <w:rPr>
          <w:color w:val="486794"/>
          <w:sz w:val="20"/>
        </w:rPr>
        <w:t xml:space="preserve"> </w:t>
      </w:r>
      <w:r>
        <w:rPr>
          <w:sz w:val="20"/>
        </w:rPr>
        <w:t>(last visited February 27, 2025).</w:t>
      </w:r>
    </w:p>
    <w:p w14:paraId="544C3627" w14:textId="5EC22E83" w:rsidR="00AF2856" w:rsidRDefault="00AF2856">
      <w:pPr>
        <w:pStyle w:val="FootnoteText"/>
      </w:pPr>
    </w:p>
  </w:footnote>
  <w:footnote w:id="41">
    <w:p w14:paraId="500CF071" w14:textId="4CC08560" w:rsidR="00CC75E2" w:rsidRPr="00FF4066" w:rsidRDefault="00CC75E2" w:rsidP="005E49F4">
      <w:pPr>
        <w:spacing w:before="92" w:line="226" w:lineRule="exact"/>
        <w:ind w:left="960" w:right="1030"/>
        <w:rPr>
          <w:rStyle w:val="Hyperlink"/>
          <w:color w:val="000000" w:themeColor="text1"/>
          <w:sz w:val="16"/>
          <w:u w:val="none"/>
        </w:rPr>
      </w:pPr>
      <w:r>
        <w:rPr>
          <w:rStyle w:val="FootnoteReference"/>
        </w:rPr>
        <w:footnoteRef/>
      </w:r>
      <w:r>
        <w:t xml:space="preserve"> </w:t>
      </w:r>
      <w:r w:rsidR="00FF4066" w:rsidRPr="00FF4066">
        <w:rPr>
          <w:color w:val="000000" w:themeColor="text1"/>
          <w:sz w:val="20"/>
        </w:rPr>
        <w:fldChar w:fldCharType="begin"/>
      </w:r>
      <w:r w:rsidR="00FF4066" w:rsidRPr="00FF4066">
        <w:rPr>
          <w:color w:val="000000" w:themeColor="text1"/>
          <w:sz w:val="20"/>
        </w:rPr>
        <w:instrText>HYPERLINK "https://www.chiamass.gov/assets/Uploads/mass-hospital-financials/2023-annual-report/Acute-Hospital-Financial-Performance-2023-Databook.xlsx."</w:instrText>
      </w:r>
      <w:r w:rsidR="00FF4066" w:rsidRPr="00FF4066">
        <w:rPr>
          <w:color w:val="000000" w:themeColor="text1"/>
          <w:sz w:val="20"/>
        </w:rPr>
      </w:r>
      <w:r w:rsidR="00FF4066" w:rsidRPr="00FF4066">
        <w:rPr>
          <w:color w:val="000000" w:themeColor="text1"/>
          <w:sz w:val="20"/>
        </w:rPr>
        <w:fldChar w:fldCharType="separate"/>
      </w:r>
      <w:r w:rsidRPr="00FF4066">
        <w:rPr>
          <w:rStyle w:val="Hyperlink"/>
          <w:color w:val="000000" w:themeColor="text1"/>
          <w:sz w:val="20"/>
          <w:u w:val="none"/>
        </w:rPr>
        <w:t>C</w:t>
      </w:r>
      <w:r w:rsidRPr="00FF4066">
        <w:rPr>
          <w:rStyle w:val="Hyperlink"/>
          <w:color w:val="000000" w:themeColor="text1"/>
          <w:sz w:val="16"/>
          <w:u w:val="none"/>
        </w:rPr>
        <w:t>TR</w:t>
      </w:r>
      <w:r w:rsidRPr="00FF4066">
        <w:rPr>
          <w:rStyle w:val="Hyperlink"/>
          <w:color w:val="000000" w:themeColor="text1"/>
          <w:sz w:val="20"/>
          <w:u w:val="none"/>
        </w:rPr>
        <w:t>.</w:t>
      </w:r>
      <w:r w:rsidRPr="00FF4066">
        <w:rPr>
          <w:rStyle w:val="Hyperlink"/>
          <w:color w:val="000000" w:themeColor="text1"/>
          <w:spacing w:val="-13"/>
          <w:sz w:val="20"/>
          <w:u w:val="none"/>
        </w:rPr>
        <w:t xml:space="preserve"> </w:t>
      </w:r>
      <w:r w:rsidRPr="00FF4066">
        <w:rPr>
          <w:rStyle w:val="Hyperlink"/>
          <w:color w:val="000000" w:themeColor="text1"/>
          <w:sz w:val="16"/>
          <w:u w:val="none"/>
        </w:rPr>
        <w:t>FOR</w:t>
      </w:r>
      <w:r w:rsidRPr="00FF4066">
        <w:rPr>
          <w:rStyle w:val="Hyperlink"/>
          <w:color w:val="000000" w:themeColor="text1"/>
          <w:spacing w:val="-6"/>
          <w:sz w:val="16"/>
          <w:u w:val="none"/>
        </w:rPr>
        <w:t xml:space="preserve"> </w:t>
      </w:r>
      <w:r w:rsidRPr="00FF4066">
        <w:rPr>
          <w:rStyle w:val="Hyperlink"/>
          <w:color w:val="000000" w:themeColor="text1"/>
          <w:sz w:val="20"/>
          <w:u w:val="none"/>
        </w:rPr>
        <w:t>H</w:t>
      </w:r>
      <w:r w:rsidRPr="00FF4066">
        <w:rPr>
          <w:rStyle w:val="Hyperlink"/>
          <w:color w:val="000000" w:themeColor="text1"/>
          <w:sz w:val="16"/>
          <w:u w:val="none"/>
        </w:rPr>
        <w:t>EALTH</w:t>
      </w:r>
      <w:r w:rsidRPr="00FF4066">
        <w:rPr>
          <w:rStyle w:val="Hyperlink"/>
          <w:color w:val="000000" w:themeColor="text1"/>
          <w:spacing w:val="-7"/>
          <w:sz w:val="16"/>
          <w:u w:val="none"/>
        </w:rPr>
        <w:t xml:space="preserve"> </w:t>
      </w:r>
      <w:r w:rsidRPr="00FF4066">
        <w:rPr>
          <w:rStyle w:val="Hyperlink"/>
          <w:color w:val="000000" w:themeColor="text1"/>
          <w:sz w:val="20"/>
          <w:u w:val="none"/>
        </w:rPr>
        <w:t>I</w:t>
      </w:r>
      <w:r w:rsidRPr="00FF4066">
        <w:rPr>
          <w:rStyle w:val="Hyperlink"/>
          <w:color w:val="000000" w:themeColor="text1"/>
          <w:sz w:val="16"/>
          <w:u w:val="none"/>
        </w:rPr>
        <w:t>NFO</w:t>
      </w:r>
      <w:r w:rsidRPr="00FF4066">
        <w:rPr>
          <w:rStyle w:val="Hyperlink"/>
          <w:color w:val="000000" w:themeColor="text1"/>
          <w:sz w:val="20"/>
          <w:u w:val="none"/>
        </w:rPr>
        <w:t>.</w:t>
      </w:r>
      <w:r w:rsidRPr="00FF4066">
        <w:rPr>
          <w:rStyle w:val="Hyperlink"/>
          <w:color w:val="000000" w:themeColor="text1"/>
          <w:spacing w:val="-12"/>
          <w:sz w:val="20"/>
          <w:u w:val="none"/>
        </w:rPr>
        <w:t xml:space="preserve"> </w:t>
      </w:r>
      <w:r w:rsidRPr="00FF4066">
        <w:rPr>
          <w:rStyle w:val="Hyperlink"/>
          <w:color w:val="000000" w:themeColor="text1"/>
          <w:sz w:val="20"/>
          <w:u w:val="none"/>
        </w:rPr>
        <w:t>&amp;</w:t>
      </w:r>
      <w:r w:rsidRPr="00FF4066">
        <w:rPr>
          <w:rStyle w:val="Hyperlink"/>
          <w:color w:val="000000" w:themeColor="text1"/>
          <w:spacing w:val="-13"/>
          <w:sz w:val="20"/>
          <w:u w:val="none"/>
        </w:rPr>
        <w:t xml:space="preserve"> </w:t>
      </w:r>
      <w:r w:rsidRPr="00FF4066">
        <w:rPr>
          <w:rStyle w:val="Hyperlink"/>
          <w:color w:val="000000" w:themeColor="text1"/>
          <w:sz w:val="20"/>
          <w:u w:val="none"/>
        </w:rPr>
        <w:t>A</w:t>
      </w:r>
      <w:r w:rsidRPr="00FF4066">
        <w:rPr>
          <w:rStyle w:val="Hyperlink"/>
          <w:color w:val="000000" w:themeColor="text1"/>
          <w:sz w:val="16"/>
          <w:u w:val="none"/>
        </w:rPr>
        <w:t>NALYSIS</w:t>
      </w:r>
      <w:r w:rsidRPr="00FF4066">
        <w:rPr>
          <w:rStyle w:val="Hyperlink"/>
          <w:color w:val="000000" w:themeColor="text1"/>
          <w:sz w:val="20"/>
          <w:u w:val="none"/>
        </w:rPr>
        <w:t>,</w:t>
      </w:r>
      <w:r w:rsidRPr="00FF4066">
        <w:rPr>
          <w:rStyle w:val="Hyperlink"/>
          <w:color w:val="000000" w:themeColor="text1"/>
          <w:spacing w:val="-5"/>
          <w:sz w:val="20"/>
          <w:u w:val="none"/>
        </w:rPr>
        <w:t xml:space="preserve"> </w:t>
      </w:r>
      <w:r w:rsidRPr="00FF4066">
        <w:rPr>
          <w:rStyle w:val="Hyperlink"/>
          <w:color w:val="000000" w:themeColor="text1"/>
          <w:sz w:val="20"/>
          <w:u w:val="none"/>
        </w:rPr>
        <w:t>M</w:t>
      </w:r>
      <w:r w:rsidRPr="00FF4066">
        <w:rPr>
          <w:rStyle w:val="Hyperlink"/>
          <w:color w:val="000000" w:themeColor="text1"/>
          <w:sz w:val="16"/>
          <w:u w:val="none"/>
        </w:rPr>
        <w:t>ASSACHUSETTS</w:t>
      </w:r>
      <w:r w:rsidRPr="00FF4066">
        <w:rPr>
          <w:rStyle w:val="Hyperlink"/>
          <w:color w:val="000000" w:themeColor="text1"/>
          <w:spacing w:val="-4"/>
          <w:sz w:val="16"/>
          <w:u w:val="none"/>
        </w:rPr>
        <w:t xml:space="preserve"> </w:t>
      </w:r>
      <w:r w:rsidRPr="00FF4066">
        <w:rPr>
          <w:rStyle w:val="Hyperlink"/>
          <w:color w:val="000000" w:themeColor="text1"/>
          <w:sz w:val="20"/>
          <w:u w:val="none"/>
        </w:rPr>
        <w:t>A</w:t>
      </w:r>
      <w:r w:rsidRPr="00FF4066">
        <w:rPr>
          <w:rStyle w:val="Hyperlink"/>
          <w:color w:val="000000" w:themeColor="text1"/>
          <w:sz w:val="16"/>
          <w:u w:val="none"/>
        </w:rPr>
        <w:t>CUTE</w:t>
      </w:r>
      <w:r w:rsidRPr="00FF4066">
        <w:rPr>
          <w:rStyle w:val="Hyperlink"/>
          <w:color w:val="000000" w:themeColor="text1"/>
          <w:spacing w:val="-4"/>
          <w:sz w:val="16"/>
          <w:u w:val="none"/>
        </w:rPr>
        <w:t xml:space="preserve"> </w:t>
      </w:r>
      <w:r w:rsidRPr="00FF4066">
        <w:rPr>
          <w:rStyle w:val="Hyperlink"/>
          <w:color w:val="000000" w:themeColor="text1"/>
          <w:sz w:val="20"/>
          <w:u w:val="none"/>
        </w:rPr>
        <w:t>H</w:t>
      </w:r>
      <w:r w:rsidRPr="00FF4066">
        <w:rPr>
          <w:rStyle w:val="Hyperlink"/>
          <w:color w:val="000000" w:themeColor="text1"/>
          <w:sz w:val="16"/>
          <w:u w:val="none"/>
        </w:rPr>
        <w:t>OSPITAL</w:t>
      </w:r>
      <w:r w:rsidRPr="00FF4066">
        <w:rPr>
          <w:rStyle w:val="Hyperlink"/>
          <w:color w:val="000000" w:themeColor="text1"/>
          <w:spacing w:val="-7"/>
          <w:sz w:val="16"/>
          <w:u w:val="none"/>
        </w:rPr>
        <w:t xml:space="preserve"> </w:t>
      </w:r>
      <w:r w:rsidRPr="00FF4066">
        <w:rPr>
          <w:rStyle w:val="Hyperlink"/>
          <w:color w:val="000000" w:themeColor="text1"/>
          <w:sz w:val="16"/>
          <w:u w:val="none"/>
        </w:rPr>
        <w:t>AND</w:t>
      </w:r>
      <w:r w:rsidRPr="00FF4066">
        <w:rPr>
          <w:rStyle w:val="Hyperlink"/>
          <w:color w:val="000000" w:themeColor="text1"/>
          <w:spacing w:val="-5"/>
          <w:sz w:val="16"/>
          <w:u w:val="none"/>
        </w:rPr>
        <w:t xml:space="preserve"> </w:t>
      </w:r>
      <w:r w:rsidRPr="00FF4066">
        <w:rPr>
          <w:rStyle w:val="Hyperlink"/>
          <w:color w:val="000000" w:themeColor="text1"/>
          <w:sz w:val="20"/>
          <w:u w:val="none"/>
        </w:rPr>
        <w:t>H</w:t>
      </w:r>
      <w:r w:rsidRPr="00FF4066">
        <w:rPr>
          <w:rStyle w:val="Hyperlink"/>
          <w:color w:val="000000" w:themeColor="text1"/>
          <w:sz w:val="16"/>
          <w:u w:val="none"/>
        </w:rPr>
        <w:t>EALTH</w:t>
      </w:r>
      <w:r w:rsidRPr="00FF4066">
        <w:rPr>
          <w:rStyle w:val="Hyperlink"/>
          <w:color w:val="000000" w:themeColor="text1"/>
          <w:spacing w:val="-5"/>
          <w:sz w:val="16"/>
          <w:u w:val="none"/>
        </w:rPr>
        <w:t xml:space="preserve"> </w:t>
      </w:r>
      <w:r w:rsidRPr="00FF4066">
        <w:rPr>
          <w:rStyle w:val="Hyperlink"/>
          <w:color w:val="000000" w:themeColor="text1"/>
          <w:sz w:val="20"/>
          <w:u w:val="none"/>
        </w:rPr>
        <w:t>S</w:t>
      </w:r>
      <w:r w:rsidRPr="00FF4066">
        <w:rPr>
          <w:rStyle w:val="Hyperlink"/>
          <w:color w:val="000000" w:themeColor="text1"/>
          <w:sz w:val="16"/>
          <w:u w:val="none"/>
        </w:rPr>
        <w:t>YSTEM</w:t>
      </w:r>
      <w:r w:rsidRPr="00FF4066">
        <w:rPr>
          <w:rStyle w:val="Hyperlink"/>
          <w:color w:val="000000" w:themeColor="text1"/>
          <w:spacing w:val="-5"/>
          <w:sz w:val="16"/>
          <w:u w:val="none"/>
        </w:rPr>
        <w:t xml:space="preserve"> </w:t>
      </w:r>
      <w:r w:rsidRPr="00FF4066">
        <w:rPr>
          <w:rStyle w:val="Hyperlink"/>
          <w:color w:val="000000" w:themeColor="text1"/>
          <w:sz w:val="20"/>
          <w:u w:val="none"/>
        </w:rPr>
        <w:t>F</w:t>
      </w:r>
      <w:r w:rsidRPr="00FF4066">
        <w:rPr>
          <w:rStyle w:val="Hyperlink"/>
          <w:color w:val="000000" w:themeColor="text1"/>
          <w:sz w:val="16"/>
          <w:u w:val="none"/>
        </w:rPr>
        <w:t>INANCIAL</w:t>
      </w:r>
      <w:r w:rsidRPr="00FF4066">
        <w:rPr>
          <w:rStyle w:val="Hyperlink"/>
          <w:color w:val="000000" w:themeColor="text1"/>
          <w:spacing w:val="-6"/>
          <w:sz w:val="16"/>
          <w:u w:val="none"/>
        </w:rPr>
        <w:t xml:space="preserve"> </w:t>
      </w:r>
      <w:r w:rsidRPr="00FF4066">
        <w:rPr>
          <w:rStyle w:val="Hyperlink"/>
          <w:color w:val="000000" w:themeColor="text1"/>
          <w:spacing w:val="-2"/>
          <w:sz w:val="20"/>
          <w:u w:val="none"/>
        </w:rPr>
        <w:t>P</w:t>
      </w:r>
      <w:r w:rsidRPr="00FF4066">
        <w:rPr>
          <w:rStyle w:val="Hyperlink"/>
          <w:color w:val="000000" w:themeColor="text1"/>
          <w:spacing w:val="-2"/>
          <w:sz w:val="16"/>
          <w:u w:val="none"/>
        </w:rPr>
        <w:t>ERFORMANCE</w:t>
      </w:r>
    </w:p>
    <w:p w14:paraId="47167DAA" w14:textId="4D263543" w:rsidR="00CC75E2" w:rsidRPr="00FF2871" w:rsidRDefault="00CC75E2" w:rsidP="005E49F4">
      <w:pPr>
        <w:ind w:left="960" w:right="1030"/>
        <w:rPr>
          <w:sz w:val="20"/>
        </w:rPr>
      </w:pPr>
      <w:r w:rsidRPr="00FF4066">
        <w:rPr>
          <w:rStyle w:val="Hyperlink"/>
          <w:color w:val="000000" w:themeColor="text1"/>
          <w:sz w:val="20"/>
          <w:u w:val="none"/>
        </w:rPr>
        <w:t>HFY</w:t>
      </w:r>
      <w:r w:rsidRPr="00FF4066">
        <w:rPr>
          <w:rStyle w:val="Hyperlink"/>
          <w:color w:val="000000" w:themeColor="text1"/>
          <w:spacing w:val="-2"/>
          <w:sz w:val="20"/>
          <w:u w:val="none"/>
        </w:rPr>
        <w:t xml:space="preserve"> </w:t>
      </w:r>
      <w:r w:rsidRPr="00FF4066">
        <w:rPr>
          <w:rStyle w:val="Hyperlink"/>
          <w:color w:val="000000" w:themeColor="text1"/>
          <w:sz w:val="20"/>
          <w:u w:val="none"/>
        </w:rPr>
        <w:t>2023 D</w:t>
      </w:r>
      <w:r w:rsidRPr="00FF4066">
        <w:rPr>
          <w:rStyle w:val="Hyperlink"/>
          <w:color w:val="000000" w:themeColor="text1"/>
          <w:sz w:val="16"/>
          <w:u w:val="none"/>
        </w:rPr>
        <w:t>ATABOOK</w:t>
      </w:r>
      <w:r w:rsidR="00FF4066" w:rsidRPr="00FF4066">
        <w:rPr>
          <w:color w:val="000000" w:themeColor="text1"/>
          <w:sz w:val="20"/>
        </w:rPr>
        <w:fldChar w:fldCharType="end"/>
      </w:r>
      <w:r w:rsidRPr="00FF4066">
        <w:rPr>
          <w:color w:val="000000" w:themeColor="text1"/>
          <w:sz w:val="16"/>
        </w:rPr>
        <w:t xml:space="preserve"> </w:t>
      </w:r>
      <w:r w:rsidRPr="00FF4066">
        <w:rPr>
          <w:color w:val="000000" w:themeColor="text1"/>
          <w:sz w:val="20"/>
        </w:rPr>
        <w:t>(Sept</w:t>
      </w:r>
      <w:r>
        <w:rPr>
          <w:sz w:val="20"/>
        </w:rPr>
        <w:t xml:space="preserve">. 2024), [hereinafter CHIA HFY23 Financial Databook], </w:t>
      </w:r>
      <w:r>
        <w:rPr>
          <w:i/>
          <w:sz w:val="20"/>
        </w:rPr>
        <w:t xml:space="preserve">available at </w:t>
      </w:r>
      <w:hyperlink r:id="rId68">
        <w:r>
          <w:rPr>
            <w:color w:val="486794"/>
            <w:spacing w:val="-2"/>
            <w:sz w:val="20"/>
            <w:u w:val="single" w:color="486794"/>
          </w:rPr>
          <w:t>https://www.chiamass.gov/assets/Uploads/mass-hospital-financials/2023-annual-report/Acute-Hospital-</w:t>
        </w:r>
      </w:hyperlink>
      <w:r>
        <w:rPr>
          <w:color w:val="486794"/>
          <w:spacing w:val="-2"/>
          <w:sz w:val="20"/>
        </w:rPr>
        <w:t xml:space="preserve"> </w:t>
      </w:r>
      <w:hyperlink r:id="rId69">
        <w:r>
          <w:rPr>
            <w:color w:val="486794"/>
            <w:spacing w:val="-2"/>
            <w:sz w:val="20"/>
          </w:rPr>
          <w:t>Financial-Performance-2023-Databook.xlsx</w:t>
        </w:r>
        <w:r>
          <w:rPr>
            <w:spacing w:val="-2"/>
            <w:sz w:val="20"/>
          </w:rPr>
          <w:t>.</w:t>
        </w:r>
      </w:hyperlink>
    </w:p>
  </w:footnote>
  <w:footnote w:id="42">
    <w:p w14:paraId="7BE13C81" w14:textId="6E68C60E" w:rsidR="00FF2871" w:rsidRDefault="004F6954" w:rsidP="005E49F4">
      <w:pPr>
        <w:spacing w:before="1"/>
        <w:ind w:left="960" w:right="1030"/>
        <w:rPr>
          <w:i/>
          <w:sz w:val="20"/>
        </w:rPr>
      </w:pPr>
      <w:r>
        <w:rPr>
          <w:rStyle w:val="FootnoteReference"/>
        </w:rPr>
        <w:footnoteRef/>
      </w:r>
      <w:r>
        <w:t xml:space="preserve"> </w:t>
      </w:r>
      <w:r w:rsidR="00FF2871">
        <w:rPr>
          <w:sz w:val="20"/>
        </w:rPr>
        <w:t>On</w:t>
      </w:r>
      <w:r w:rsidR="00FF2871">
        <w:rPr>
          <w:spacing w:val="-1"/>
          <w:sz w:val="20"/>
        </w:rPr>
        <w:t xml:space="preserve"> </w:t>
      </w:r>
      <w:r w:rsidR="00FF2871">
        <w:rPr>
          <w:sz w:val="20"/>
        </w:rPr>
        <w:t>February</w:t>
      </w:r>
      <w:r w:rsidR="00FF2871">
        <w:rPr>
          <w:spacing w:val="-2"/>
          <w:sz w:val="20"/>
        </w:rPr>
        <w:t xml:space="preserve"> </w:t>
      </w:r>
      <w:r w:rsidR="00FF2871">
        <w:rPr>
          <w:sz w:val="20"/>
        </w:rPr>
        <w:t>7, 2025, the</w:t>
      </w:r>
      <w:r w:rsidR="00FF2871">
        <w:rPr>
          <w:spacing w:val="-2"/>
          <w:sz w:val="20"/>
        </w:rPr>
        <w:t xml:space="preserve"> </w:t>
      </w:r>
      <w:r w:rsidR="00FF2871">
        <w:rPr>
          <w:sz w:val="20"/>
        </w:rPr>
        <w:t>NIH</w:t>
      </w:r>
      <w:r w:rsidR="00FF2871">
        <w:rPr>
          <w:spacing w:val="-2"/>
          <w:sz w:val="20"/>
        </w:rPr>
        <w:t xml:space="preserve"> </w:t>
      </w:r>
      <w:r w:rsidR="00FF2871">
        <w:rPr>
          <w:sz w:val="20"/>
        </w:rPr>
        <w:t>announced that it would provide</w:t>
      </w:r>
      <w:r w:rsidR="00FF2871">
        <w:rPr>
          <w:spacing w:val="-2"/>
          <w:sz w:val="20"/>
        </w:rPr>
        <w:t xml:space="preserve"> </w:t>
      </w:r>
      <w:r w:rsidR="00FF2871">
        <w:rPr>
          <w:sz w:val="20"/>
        </w:rPr>
        <w:t>a</w:t>
      </w:r>
      <w:r w:rsidR="00FF2871">
        <w:rPr>
          <w:spacing w:val="-1"/>
          <w:sz w:val="20"/>
        </w:rPr>
        <w:t xml:space="preserve"> </w:t>
      </w:r>
      <w:r w:rsidR="00FF2871">
        <w:rPr>
          <w:sz w:val="20"/>
        </w:rPr>
        <w:t>flat rate</w:t>
      </w:r>
      <w:r w:rsidR="00FF2871">
        <w:rPr>
          <w:spacing w:val="-2"/>
          <w:sz w:val="20"/>
        </w:rPr>
        <w:t xml:space="preserve"> </w:t>
      </w:r>
      <w:r w:rsidR="00FF2871">
        <w:rPr>
          <w:sz w:val="20"/>
        </w:rPr>
        <w:t>of</w:t>
      </w:r>
      <w:r w:rsidR="00FF2871">
        <w:rPr>
          <w:spacing w:val="-1"/>
          <w:sz w:val="20"/>
        </w:rPr>
        <w:t xml:space="preserve"> </w:t>
      </w:r>
      <w:r w:rsidR="00FF2871">
        <w:rPr>
          <w:sz w:val="20"/>
        </w:rPr>
        <w:t>15%</w:t>
      </w:r>
      <w:r w:rsidR="00FF2871">
        <w:rPr>
          <w:spacing w:val="-1"/>
          <w:sz w:val="20"/>
        </w:rPr>
        <w:t xml:space="preserve"> </w:t>
      </w:r>
      <w:r w:rsidR="00FF2871">
        <w:rPr>
          <w:sz w:val="20"/>
        </w:rPr>
        <w:t>for</w:t>
      </w:r>
      <w:r w:rsidR="00FF2871">
        <w:rPr>
          <w:spacing w:val="-2"/>
          <w:sz w:val="20"/>
        </w:rPr>
        <w:t xml:space="preserve"> </w:t>
      </w:r>
      <w:r w:rsidR="00FF2871">
        <w:rPr>
          <w:sz w:val="20"/>
        </w:rPr>
        <w:t>indirect costs under its research grants, a substantial reduction for most research universities and academic medical centers. Jonathan</w:t>
      </w:r>
      <w:r w:rsidR="00FF2871">
        <w:rPr>
          <w:spacing w:val="-3"/>
          <w:sz w:val="20"/>
        </w:rPr>
        <w:t xml:space="preserve"> </w:t>
      </w:r>
      <w:proofErr w:type="spellStart"/>
      <w:r w:rsidR="00FF2871">
        <w:rPr>
          <w:sz w:val="20"/>
        </w:rPr>
        <w:t>Wosen</w:t>
      </w:r>
      <w:proofErr w:type="spellEnd"/>
      <w:r w:rsidR="00FF2871">
        <w:rPr>
          <w:spacing w:val="-3"/>
          <w:sz w:val="20"/>
        </w:rPr>
        <w:t xml:space="preserve"> </w:t>
      </w:r>
      <w:r w:rsidR="00FF2871">
        <w:rPr>
          <w:sz w:val="20"/>
        </w:rPr>
        <w:t>et</w:t>
      </w:r>
      <w:r w:rsidR="00FF2871">
        <w:rPr>
          <w:spacing w:val="-2"/>
          <w:sz w:val="20"/>
        </w:rPr>
        <w:t xml:space="preserve"> </w:t>
      </w:r>
      <w:r w:rsidR="00FF2871">
        <w:rPr>
          <w:sz w:val="20"/>
        </w:rPr>
        <w:t>al.,</w:t>
      </w:r>
      <w:r w:rsidR="00FF2871">
        <w:rPr>
          <w:spacing w:val="-2"/>
          <w:sz w:val="20"/>
        </w:rPr>
        <w:t xml:space="preserve"> </w:t>
      </w:r>
      <w:hyperlink r:id="rId70" w:history="1">
        <w:r w:rsidR="00FF2871" w:rsidRPr="00BF24AE">
          <w:rPr>
            <w:rStyle w:val="Hyperlink"/>
            <w:i/>
            <w:color w:val="000000" w:themeColor="text1"/>
            <w:sz w:val="20"/>
            <w:u w:val="none"/>
          </w:rPr>
          <w:t>NIH</w:t>
        </w:r>
        <w:r w:rsidR="00FF2871" w:rsidRPr="00BF24AE">
          <w:rPr>
            <w:rStyle w:val="Hyperlink"/>
            <w:i/>
            <w:color w:val="000000" w:themeColor="text1"/>
            <w:spacing w:val="-2"/>
            <w:sz w:val="20"/>
            <w:u w:val="none"/>
          </w:rPr>
          <w:t xml:space="preserve"> </w:t>
        </w:r>
        <w:r w:rsidR="00FF2871" w:rsidRPr="00BF24AE">
          <w:rPr>
            <w:rStyle w:val="Hyperlink"/>
            <w:i/>
            <w:color w:val="000000" w:themeColor="text1"/>
            <w:sz w:val="20"/>
            <w:u w:val="none"/>
          </w:rPr>
          <w:t>plans</w:t>
        </w:r>
        <w:r w:rsidR="00FF2871" w:rsidRPr="00BF24AE">
          <w:rPr>
            <w:rStyle w:val="Hyperlink"/>
            <w:i/>
            <w:color w:val="000000" w:themeColor="text1"/>
            <w:spacing w:val="-4"/>
            <w:sz w:val="20"/>
            <w:u w:val="none"/>
          </w:rPr>
          <w:t xml:space="preserve"> </w:t>
        </w:r>
        <w:r w:rsidR="00FF2871" w:rsidRPr="00BF24AE">
          <w:rPr>
            <w:rStyle w:val="Hyperlink"/>
            <w:i/>
            <w:color w:val="000000" w:themeColor="text1"/>
            <w:sz w:val="20"/>
            <w:u w:val="none"/>
          </w:rPr>
          <w:t>to</w:t>
        </w:r>
        <w:r w:rsidR="00FF2871" w:rsidRPr="00BF24AE">
          <w:rPr>
            <w:rStyle w:val="Hyperlink"/>
            <w:i/>
            <w:color w:val="000000" w:themeColor="text1"/>
            <w:spacing w:val="-4"/>
            <w:sz w:val="20"/>
            <w:u w:val="none"/>
          </w:rPr>
          <w:t xml:space="preserve"> </w:t>
        </w:r>
        <w:r w:rsidR="00FF2871" w:rsidRPr="00BF24AE">
          <w:rPr>
            <w:rStyle w:val="Hyperlink"/>
            <w:i/>
            <w:color w:val="000000" w:themeColor="text1"/>
            <w:sz w:val="20"/>
            <w:u w:val="none"/>
          </w:rPr>
          <w:t>slash</w:t>
        </w:r>
        <w:r w:rsidR="00FF2871" w:rsidRPr="00BF24AE">
          <w:rPr>
            <w:rStyle w:val="Hyperlink"/>
            <w:i/>
            <w:color w:val="000000" w:themeColor="text1"/>
            <w:spacing w:val="-1"/>
            <w:sz w:val="20"/>
            <w:u w:val="none"/>
          </w:rPr>
          <w:t xml:space="preserve"> </w:t>
        </w:r>
        <w:r w:rsidR="00FF2871" w:rsidRPr="00BF24AE">
          <w:rPr>
            <w:rStyle w:val="Hyperlink"/>
            <w:i/>
            <w:color w:val="000000" w:themeColor="text1"/>
            <w:sz w:val="20"/>
            <w:u w:val="none"/>
          </w:rPr>
          <w:t>support</w:t>
        </w:r>
        <w:r w:rsidR="00FF2871" w:rsidRPr="00BF24AE">
          <w:rPr>
            <w:rStyle w:val="Hyperlink"/>
            <w:i/>
            <w:color w:val="000000" w:themeColor="text1"/>
            <w:spacing w:val="-4"/>
            <w:sz w:val="20"/>
            <w:u w:val="none"/>
          </w:rPr>
          <w:t xml:space="preserve"> </w:t>
        </w:r>
        <w:r w:rsidR="00FF2871" w:rsidRPr="00BF24AE">
          <w:rPr>
            <w:rStyle w:val="Hyperlink"/>
            <w:i/>
            <w:color w:val="000000" w:themeColor="text1"/>
            <w:sz w:val="20"/>
            <w:u w:val="none"/>
          </w:rPr>
          <w:t>for</w:t>
        </w:r>
        <w:r w:rsidR="00FF2871" w:rsidRPr="00BF24AE">
          <w:rPr>
            <w:rStyle w:val="Hyperlink"/>
            <w:i/>
            <w:color w:val="000000" w:themeColor="text1"/>
            <w:spacing w:val="-3"/>
            <w:sz w:val="20"/>
            <w:u w:val="none"/>
          </w:rPr>
          <w:t xml:space="preserve"> </w:t>
        </w:r>
        <w:r w:rsidR="00FF2871" w:rsidRPr="00BF24AE">
          <w:rPr>
            <w:rStyle w:val="Hyperlink"/>
            <w:i/>
            <w:color w:val="000000" w:themeColor="text1"/>
            <w:sz w:val="20"/>
            <w:u w:val="none"/>
          </w:rPr>
          <w:t>indirect</w:t>
        </w:r>
        <w:r w:rsidR="00FF2871" w:rsidRPr="00BF24AE">
          <w:rPr>
            <w:rStyle w:val="Hyperlink"/>
            <w:i/>
            <w:color w:val="000000" w:themeColor="text1"/>
            <w:spacing w:val="-4"/>
            <w:sz w:val="20"/>
            <w:u w:val="none"/>
          </w:rPr>
          <w:t xml:space="preserve"> </w:t>
        </w:r>
        <w:r w:rsidR="00FF2871" w:rsidRPr="00BF24AE">
          <w:rPr>
            <w:rStyle w:val="Hyperlink"/>
            <w:i/>
            <w:color w:val="000000" w:themeColor="text1"/>
            <w:sz w:val="20"/>
            <w:u w:val="none"/>
          </w:rPr>
          <w:t>research</w:t>
        </w:r>
        <w:r w:rsidR="00FF2871" w:rsidRPr="00BF24AE">
          <w:rPr>
            <w:rStyle w:val="Hyperlink"/>
            <w:i/>
            <w:color w:val="000000" w:themeColor="text1"/>
            <w:spacing w:val="-4"/>
            <w:sz w:val="20"/>
            <w:u w:val="none"/>
          </w:rPr>
          <w:t xml:space="preserve"> </w:t>
        </w:r>
        <w:r w:rsidR="00FF2871" w:rsidRPr="00BF24AE">
          <w:rPr>
            <w:rStyle w:val="Hyperlink"/>
            <w:i/>
            <w:color w:val="000000" w:themeColor="text1"/>
            <w:sz w:val="20"/>
            <w:u w:val="none"/>
          </w:rPr>
          <w:t>costs,</w:t>
        </w:r>
        <w:r w:rsidR="00FF2871" w:rsidRPr="00BF24AE">
          <w:rPr>
            <w:rStyle w:val="Hyperlink"/>
            <w:i/>
            <w:color w:val="000000" w:themeColor="text1"/>
            <w:spacing w:val="-2"/>
            <w:sz w:val="20"/>
            <w:u w:val="none"/>
          </w:rPr>
          <w:t xml:space="preserve"> </w:t>
        </w:r>
        <w:r w:rsidR="00FF2871" w:rsidRPr="00BF24AE">
          <w:rPr>
            <w:rStyle w:val="Hyperlink"/>
            <w:i/>
            <w:color w:val="000000" w:themeColor="text1"/>
            <w:sz w:val="20"/>
            <w:u w:val="none"/>
          </w:rPr>
          <w:t>sending</w:t>
        </w:r>
        <w:r w:rsidR="00FF2871" w:rsidRPr="00BF24AE">
          <w:rPr>
            <w:rStyle w:val="Hyperlink"/>
            <w:i/>
            <w:color w:val="000000" w:themeColor="text1"/>
            <w:spacing w:val="-3"/>
            <w:sz w:val="20"/>
            <w:u w:val="none"/>
          </w:rPr>
          <w:t xml:space="preserve"> </w:t>
        </w:r>
        <w:r w:rsidR="00FF2871" w:rsidRPr="00BF24AE">
          <w:rPr>
            <w:rStyle w:val="Hyperlink"/>
            <w:i/>
            <w:color w:val="000000" w:themeColor="text1"/>
            <w:sz w:val="20"/>
            <w:u w:val="none"/>
          </w:rPr>
          <w:t>shockwaves</w:t>
        </w:r>
        <w:r w:rsidR="00FF2871" w:rsidRPr="00BF24AE">
          <w:rPr>
            <w:rStyle w:val="Hyperlink"/>
            <w:i/>
            <w:color w:val="000000" w:themeColor="text1"/>
            <w:spacing w:val="-1"/>
            <w:sz w:val="20"/>
            <w:u w:val="none"/>
          </w:rPr>
          <w:t xml:space="preserve"> </w:t>
        </w:r>
        <w:r w:rsidR="00FF2871" w:rsidRPr="00BF24AE">
          <w:rPr>
            <w:rStyle w:val="Hyperlink"/>
            <w:i/>
            <w:color w:val="000000" w:themeColor="text1"/>
            <w:sz w:val="20"/>
            <w:u w:val="none"/>
          </w:rPr>
          <w:t>through science</w:t>
        </w:r>
      </w:hyperlink>
      <w:r w:rsidR="00FF2871" w:rsidRPr="00BF24AE">
        <w:rPr>
          <w:color w:val="000000" w:themeColor="text1"/>
          <w:sz w:val="20"/>
        </w:rPr>
        <w:t>, STAT</w:t>
      </w:r>
      <w:r w:rsidR="00FF2871">
        <w:rPr>
          <w:sz w:val="20"/>
        </w:rPr>
        <w:t xml:space="preserve">, (Feb. 7, 2025), </w:t>
      </w:r>
      <w:r w:rsidR="00FF2871">
        <w:rPr>
          <w:i/>
          <w:sz w:val="20"/>
        </w:rPr>
        <w:t xml:space="preserve">available at </w:t>
      </w:r>
      <w:hyperlink r:id="rId71">
        <w:r w:rsidR="00FF2871">
          <w:rPr>
            <w:color w:val="486794"/>
            <w:sz w:val="20"/>
          </w:rPr>
          <w:t>https://www.statnews.com/2025/02/07/nih-slashes-indirect-</w:t>
        </w:r>
      </w:hyperlink>
      <w:r w:rsidR="00FF2871">
        <w:rPr>
          <w:color w:val="486794"/>
          <w:sz w:val="20"/>
        </w:rPr>
        <w:t xml:space="preserve"> </w:t>
      </w:r>
      <w:hyperlink r:id="rId72">
        <w:r w:rsidR="00FF2871">
          <w:rPr>
            <w:color w:val="486794"/>
            <w:sz w:val="20"/>
            <w:u w:val="single" w:color="486794"/>
          </w:rPr>
          <w:t>costs-on-all-grants-to-15-percent-trump/</w:t>
        </w:r>
        <w:r w:rsidR="00FF2871">
          <w:rPr>
            <w:sz w:val="20"/>
          </w:rPr>
          <w:t>;</w:t>
        </w:r>
      </w:hyperlink>
      <w:r w:rsidR="00FF2871">
        <w:rPr>
          <w:sz w:val="20"/>
        </w:rPr>
        <w:t xml:space="preserve"> </w:t>
      </w:r>
      <w:hyperlink r:id="rId73" w:history="1">
        <w:r w:rsidR="00FF2871" w:rsidRPr="00202453">
          <w:rPr>
            <w:rStyle w:val="Hyperlink"/>
            <w:color w:val="000000" w:themeColor="text1"/>
            <w:sz w:val="20"/>
            <w:u w:val="none"/>
          </w:rPr>
          <w:t>N</w:t>
        </w:r>
        <w:r w:rsidR="00FF2871" w:rsidRPr="00202453">
          <w:rPr>
            <w:rStyle w:val="Hyperlink"/>
            <w:color w:val="000000" w:themeColor="text1"/>
            <w:sz w:val="16"/>
            <w:u w:val="none"/>
          </w:rPr>
          <w:t>AT</w:t>
        </w:r>
        <w:r w:rsidR="00FF2871" w:rsidRPr="00202453">
          <w:rPr>
            <w:rStyle w:val="Hyperlink"/>
            <w:color w:val="000000" w:themeColor="text1"/>
            <w:sz w:val="20"/>
            <w:u w:val="none"/>
          </w:rPr>
          <w:t>’</w:t>
        </w:r>
        <w:r w:rsidR="00FF2871" w:rsidRPr="00202453">
          <w:rPr>
            <w:rStyle w:val="Hyperlink"/>
            <w:color w:val="000000" w:themeColor="text1"/>
            <w:sz w:val="16"/>
            <w:u w:val="none"/>
          </w:rPr>
          <w:t>L</w:t>
        </w:r>
        <w:r w:rsidR="00FF2871" w:rsidRPr="00202453">
          <w:rPr>
            <w:rStyle w:val="Hyperlink"/>
            <w:color w:val="000000" w:themeColor="text1"/>
            <w:sz w:val="20"/>
            <w:u w:val="none"/>
          </w:rPr>
          <w:t>.</w:t>
        </w:r>
        <w:r w:rsidR="00FF2871" w:rsidRPr="00202453">
          <w:rPr>
            <w:rStyle w:val="Hyperlink"/>
            <w:color w:val="000000" w:themeColor="text1"/>
            <w:spacing w:val="-10"/>
            <w:sz w:val="20"/>
            <w:u w:val="none"/>
          </w:rPr>
          <w:t xml:space="preserve"> </w:t>
        </w:r>
        <w:r w:rsidR="00FF2871" w:rsidRPr="00202453">
          <w:rPr>
            <w:rStyle w:val="Hyperlink"/>
            <w:color w:val="000000" w:themeColor="text1"/>
            <w:sz w:val="20"/>
            <w:u w:val="none"/>
          </w:rPr>
          <w:t>I</w:t>
        </w:r>
        <w:r w:rsidR="00FF2871" w:rsidRPr="00202453">
          <w:rPr>
            <w:rStyle w:val="Hyperlink"/>
            <w:color w:val="000000" w:themeColor="text1"/>
            <w:sz w:val="16"/>
            <w:u w:val="none"/>
          </w:rPr>
          <w:t>NSTITUTES</w:t>
        </w:r>
        <w:r w:rsidR="00FF2871" w:rsidRPr="00202453">
          <w:rPr>
            <w:rStyle w:val="Hyperlink"/>
            <w:color w:val="000000" w:themeColor="text1"/>
            <w:spacing w:val="-3"/>
            <w:sz w:val="16"/>
            <w:u w:val="none"/>
          </w:rPr>
          <w:t xml:space="preserve"> </w:t>
        </w:r>
        <w:r w:rsidR="00FF2871" w:rsidRPr="00202453">
          <w:rPr>
            <w:rStyle w:val="Hyperlink"/>
            <w:color w:val="000000" w:themeColor="text1"/>
            <w:sz w:val="16"/>
            <w:u w:val="none"/>
          </w:rPr>
          <w:t>OF</w:t>
        </w:r>
        <w:r w:rsidR="00FF2871" w:rsidRPr="00202453">
          <w:rPr>
            <w:rStyle w:val="Hyperlink"/>
            <w:color w:val="000000" w:themeColor="text1"/>
            <w:spacing w:val="-1"/>
            <w:sz w:val="16"/>
            <w:u w:val="none"/>
          </w:rPr>
          <w:t xml:space="preserve"> </w:t>
        </w:r>
        <w:r w:rsidR="00FF2871" w:rsidRPr="00202453">
          <w:rPr>
            <w:rStyle w:val="Hyperlink"/>
            <w:color w:val="000000" w:themeColor="text1"/>
            <w:sz w:val="20"/>
            <w:u w:val="none"/>
          </w:rPr>
          <w:t>H</w:t>
        </w:r>
        <w:r w:rsidR="00FF2871" w:rsidRPr="00202453">
          <w:rPr>
            <w:rStyle w:val="Hyperlink"/>
            <w:color w:val="000000" w:themeColor="text1"/>
            <w:sz w:val="16"/>
            <w:u w:val="none"/>
          </w:rPr>
          <w:t>EALTH</w:t>
        </w:r>
        <w:r w:rsidR="00FF2871" w:rsidRPr="00202453">
          <w:rPr>
            <w:rStyle w:val="Hyperlink"/>
            <w:color w:val="000000" w:themeColor="text1"/>
            <w:sz w:val="20"/>
            <w:u w:val="none"/>
          </w:rPr>
          <w:t>,</w:t>
        </w:r>
        <w:r w:rsidR="00FF2871" w:rsidRPr="00202453">
          <w:rPr>
            <w:rStyle w:val="Hyperlink"/>
            <w:color w:val="000000" w:themeColor="text1"/>
            <w:spacing w:val="-12"/>
            <w:sz w:val="20"/>
            <w:u w:val="none"/>
          </w:rPr>
          <w:t xml:space="preserve"> </w:t>
        </w:r>
        <w:r w:rsidR="00FF2871" w:rsidRPr="00202453">
          <w:rPr>
            <w:rStyle w:val="Hyperlink"/>
            <w:color w:val="000000" w:themeColor="text1"/>
            <w:sz w:val="20"/>
            <w:u w:val="none"/>
          </w:rPr>
          <w:t>S</w:t>
        </w:r>
        <w:r w:rsidR="00FF2871" w:rsidRPr="00202453">
          <w:rPr>
            <w:rStyle w:val="Hyperlink"/>
            <w:color w:val="000000" w:themeColor="text1"/>
            <w:sz w:val="16"/>
            <w:u w:val="none"/>
          </w:rPr>
          <w:t xml:space="preserve">UPPLEMENTAL </w:t>
        </w:r>
        <w:r w:rsidR="00FF2871" w:rsidRPr="00202453">
          <w:rPr>
            <w:rStyle w:val="Hyperlink"/>
            <w:color w:val="000000" w:themeColor="text1"/>
            <w:sz w:val="20"/>
            <w:u w:val="none"/>
          </w:rPr>
          <w:t>G</w:t>
        </w:r>
        <w:r w:rsidR="00FF2871" w:rsidRPr="00202453">
          <w:rPr>
            <w:rStyle w:val="Hyperlink"/>
            <w:color w:val="000000" w:themeColor="text1"/>
            <w:sz w:val="16"/>
            <w:u w:val="none"/>
          </w:rPr>
          <w:t>UIDANCE</w:t>
        </w:r>
        <w:r w:rsidR="00FF2871" w:rsidRPr="00202453">
          <w:rPr>
            <w:rStyle w:val="Hyperlink"/>
            <w:color w:val="000000" w:themeColor="text1"/>
            <w:spacing w:val="-2"/>
            <w:sz w:val="16"/>
            <w:u w:val="none"/>
          </w:rPr>
          <w:t xml:space="preserve"> </w:t>
        </w:r>
        <w:r w:rsidR="00FF2871" w:rsidRPr="00202453">
          <w:rPr>
            <w:rStyle w:val="Hyperlink"/>
            <w:color w:val="000000" w:themeColor="text1"/>
            <w:sz w:val="16"/>
            <w:u w:val="none"/>
          </w:rPr>
          <w:t>TO</w:t>
        </w:r>
        <w:r w:rsidR="00FF2871" w:rsidRPr="00202453">
          <w:rPr>
            <w:rStyle w:val="Hyperlink"/>
            <w:color w:val="000000" w:themeColor="text1"/>
            <w:spacing w:val="-4"/>
            <w:sz w:val="16"/>
            <w:u w:val="none"/>
          </w:rPr>
          <w:t xml:space="preserve"> </w:t>
        </w:r>
        <w:r w:rsidR="00FF2871" w:rsidRPr="00202453">
          <w:rPr>
            <w:rStyle w:val="Hyperlink"/>
            <w:color w:val="000000" w:themeColor="text1"/>
            <w:sz w:val="16"/>
            <w:u w:val="none"/>
          </w:rPr>
          <w:t xml:space="preserve">THE </w:t>
        </w:r>
        <w:r w:rsidR="00FF2871" w:rsidRPr="00202453">
          <w:rPr>
            <w:rStyle w:val="Hyperlink"/>
            <w:color w:val="000000" w:themeColor="text1"/>
            <w:sz w:val="20"/>
            <w:u w:val="none"/>
          </w:rPr>
          <w:t>2024</w:t>
        </w:r>
        <w:r w:rsidR="00FF2871" w:rsidRPr="00202453">
          <w:rPr>
            <w:rStyle w:val="Hyperlink"/>
            <w:color w:val="000000" w:themeColor="text1"/>
            <w:spacing w:val="-10"/>
            <w:sz w:val="20"/>
            <w:u w:val="none"/>
          </w:rPr>
          <w:t xml:space="preserve"> </w:t>
        </w:r>
        <w:r w:rsidR="00FF2871" w:rsidRPr="00202453">
          <w:rPr>
            <w:rStyle w:val="Hyperlink"/>
            <w:color w:val="000000" w:themeColor="text1"/>
            <w:sz w:val="20"/>
            <w:u w:val="none"/>
          </w:rPr>
          <w:t>NIH G</w:t>
        </w:r>
        <w:r w:rsidR="00FF2871" w:rsidRPr="00202453">
          <w:rPr>
            <w:rStyle w:val="Hyperlink"/>
            <w:color w:val="000000" w:themeColor="text1"/>
            <w:sz w:val="16"/>
            <w:u w:val="none"/>
          </w:rPr>
          <w:t xml:space="preserve">RANTS </w:t>
        </w:r>
        <w:r w:rsidR="00FF2871" w:rsidRPr="00202453">
          <w:rPr>
            <w:rStyle w:val="Hyperlink"/>
            <w:color w:val="000000" w:themeColor="text1"/>
            <w:sz w:val="20"/>
            <w:u w:val="none"/>
          </w:rPr>
          <w:t>P</w:t>
        </w:r>
        <w:r w:rsidR="00FF2871" w:rsidRPr="00202453">
          <w:rPr>
            <w:rStyle w:val="Hyperlink"/>
            <w:color w:val="000000" w:themeColor="text1"/>
            <w:sz w:val="16"/>
            <w:u w:val="none"/>
          </w:rPr>
          <w:t xml:space="preserve">OLICY </w:t>
        </w:r>
        <w:r w:rsidR="00FF2871" w:rsidRPr="00202453">
          <w:rPr>
            <w:rStyle w:val="Hyperlink"/>
            <w:color w:val="000000" w:themeColor="text1"/>
            <w:sz w:val="20"/>
            <w:u w:val="none"/>
          </w:rPr>
          <w:t>S</w:t>
        </w:r>
        <w:r w:rsidR="00FF2871" w:rsidRPr="00202453">
          <w:rPr>
            <w:rStyle w:val="Hyperlink"/>
            <w:color w:val="000000" w:themeColor="text1"/>
            <w:sz w:val="16"/>
            <w:u w:val="none"/>
          </w:rPr>
          <w:t>TATEMENT</w:t>
        </w:r>
        <w:r w:rsidR="00FF2871" w:rsidRPr="00202453">
          <w:rPr>
            <w:rStyle w:val="Hyperlink"/>
            <w:color w:val="000000" w:themeColor="text1"/>
            <w:sz w:val="20"/>
            <w:u w:val="none"/>
          </w:rPr>
          <w:t>:</w:t>
        </w:r>
        <w:r w:rsidR="00FF2871" w:rsidRPr="00202453">
          <w:rPr>
            <w:rStyle w:val="Hyperlink"/>
            <w:color w:val="000000" w:themeColor="text1"/>
            <w:spacing w:val="-1"/>
            <w:sz w:val="20"/>
            <w:u w:val="none"/>
          </w:rPr>
          <w:t xml:space="preserve"> </w:t>
        </w:r>
        <w:r w:rsidR="00FF2871" w:rsidRPr="00202453">
          <w:rPr>
            <w:rStyle w:val="Hyperlink"/>
            <w:color w:val="000000" w:themeColor="text1"/>
            <w:sz w:val="20"/>
            <w:u w:val="none"/>
          </w:rPr>
          <w:t>I</w:t>
        </w:r>
        <w:r w:rsidR="00FF2871" w:rsidRPr="00202453">
          <w:rPr>
            <w:rStyle w:val="Hyperlink"/>
            <w:color w:val="000000" w:themeColor="text1"/>
            <w:sz w:val="16"/>
            <w:u w:val="none"/>
          </w:rPr>
          <w:t xml:space="preserve">NDIRECT </w:t>
        </w:r>
        <w:r w:rsidR="00FF2871" w:rsidRPr="00202453">
          <w:rPr>
            <w:rStyle w:val="Hyperlink"/>
            <w:color w:val="000000" w:themeColor="text1"/>
            <w:sz w:val="20"/>
            <w:u w:val="none"/>
          </w:rPr>
          <w:t>C</w:t>
        </w:r>
        <w:r w:rsidR="00FF2871" w:rsidRPr="00202453">
          <w:rPr>
            <w:rStyle w:val="Hyperlink"/>
            <w:color w:val="000000" w:themeColor="text1"/>
            <w:sz w:val="16"/>
            <w:u w:val="none"/>
          </w:rPr>
          <w:t xml:space="preserve">OST </w:t>
        </w:r>
        <w:r w:rsidR="00FF2871" w:rsidRPr="00202453">
          <w:rPr>
            <w:rStyle w:val="Hyperlink"/>
            <w:color w:val="000000" w:themeColor="text1"/>
            <w:sz w:val="20"/>
            <w:u w:val="none"/>
          </w:rPr>
          <w:t>R</w:t>
        </w:r>
        <w:r w:rsidR="00FF2871" w:rsidRPr="00202453">
          <w:rPr>
            <w:rStyle w:val="Hyperlink"/>
            <w:color w:val="000000" w:themeColor="text1"/>
            <w:sz w:val="16"/>
            <w:u w:val="none"/>
          </w:rPr>
          <w:t>ATES</w:t>
        </w:r>
      </w:hyperlink>
      <w:r w:rsidR="00FF2871" w:rsidRPr="00202453">
        <w:rPr>
          <w:color w:val="000000" w:themeColor="text1"/>
          <w:sz w:val="16"/>
        </w:rPr>
        <w:t xml:space="preserve"> </w:t>
      </w:r>
      <w:r w:rsidR="00FF2871" w:rsidRPr="00202453">
        <w:rPr>
          <w:color w:val="000000" w:themeColor="text1"/>
          <w:sz w:val="20"/>
        </w:rPr>
        <w:t>(Feb</w:t>
      </w:r>
      <w:r w:rsidR="00FF2871">
        <w:rPr>
          <w:sz w:val="20"/>
        </w:rPr>
        <w:t xml:space="preserve">. 7, 2025), </w:t>
      </w:r>
      <w:r w:rsidR="00FF2871">
        <w:rPr>
          <w:i/>
          <w:sz w:val="20"/>
        </w:rPr>
        <w:t>available at</w:t>
      </w:r>
    </w:p>
    <w:p w14:paraId="748257E8" w14:textId="14A15CBA" w:rsidR="004F6954" w:rsidRDefault="00FF2871" w:rsidP="005E49F4">
      <w:pPr>
        <w:pStyle w:val="FootnoteText"/>
        <w:ind w:left="960" w:right="1030"/>
      </w:pPr>
      <w:hyperlink r:id="rId74">
        <w:r>
          <w:rPr>
            <w:color w:val="486794"/>
            <w:u w:val="single" w:color="486794"/>
          </w:rPr>
          <w:t>https://grants.nih.gov/grants/guide/notice-files/NOT-OD-25-068.html</w:t>
        </w:r>
        <w:r>
          <w:t>.</w:t>
        </w:r>
      </w:hyperlink>
      <w:r>
        <w:t xml:space="preserve"> Boston Globe analysis of DFCI’s FY2024 NIH grant funding suggests that reducing indirect costs to 15% would have reduced DFCI’s annual federal research funding by $33.7 million. Jonathan Saltzman, </w:t>
      </w:r>
      <w:hyperlink r:id="rId75" w:history="1">
        <w:r w:rsidRPr="0041461F">
          <w:rPr>
            <w:rStyle w:val="Hyperlink"/>
            <w:i/>
            <w:color w:val="000000" w:themeColor="text1"/>
            <w:u w:val="none"/>
          </w:rPr>
          <w:t>Which New England institutions stand to</w:t>
        </w:r>
        <w:r w:rsidRPr="0041461F">
          <w:rPr>
            <w:rStyle w:val="Hyperlink"/>
            <w:i/>
            <w:color w:val="000000" w:themeColor="text1"/>
            <w:spacing w:val="40"/>
            <w:u w:val="none"/>
          </w:rPr>
          <w:t xml:space="preserve"> </w:t>
        </w:r>
        <w:r w:rsidRPr="0041461F">
          <w:rPr>
            <w:rStyle w:val="Hyperlink"/>
            <w:i/>
            <w:color w:val="000000" w:themeColor="text1"/>
            <w:u w:val="none"/>
          </w:rPr>
          <w:t>lose the most under Trump’s proposed NIH funding cuts?</w:t>
        </w:r>
        <w:r w:rsidRPr="0041461F">
          <w:rPr>
            <w:rStyle w:val="Hyperlink"/>
            <w:color w:val="000000" w:themeColor="text1"/>
            <w:u w:val="none"/>
          </w:rPr>
          <w:t>,</w:t>
        </w:r>
      </w:hyperlink>
      <w:r w:rsidRPr="0041461F">
        <w:rPr>
          <w:color w:val="000000" w:themeColor="text1"/>
        </w:rPr>
        <w:t xml:space="preserve"> B</w:t>
      </w:r>
      <w:r w:rsidRPr="0041461F">
        <w:rPr>
          <w:color w:val="000000" w:themeColor="text1"/>
          <w:sz w:val="16"/>
        </w:rPr>
        <w:t xml:space="preserve">OSTON </w:t>
      </w:r>
      <w:r>
        <w:t>G</w:t>
      </w:r>
      <w:r>
        <w:rPr>
          <w:sz w:val="16"/>
        </w:rPr>
        <w:t>LOBE</w:t>
      </w:r>
      <w:r>
        <w:t xml:space="preserve">, (Feb. 12, 2025), </w:t>
      </w:r>
      <w:r>
        <w:rPr>
          <w:i/>
        </w:rPr>
        <w:t xml:space="preserve">available at </w:t>
      </w:r>
      <w:hyperlink r:id="rId76">
        <w:r>
          <w:rPr>
            <w:color w:val="486794"/>
            <w:spacing w:val="-2"/>
            <w:u w:val="single" w:color="486794"/>
          </w:rPr>
          <w:t>https://www.bostonglobe.com/2025/02/12/business/nih-funding-new-england-harvard-mgh-brigham-</w:t>
        </w:r>
      </w:hyperlink>
      <w:r>
        <w:rPr>
          <w:color w:val="486794"/>
          <w:spacing w:val="-2"/>
        </w:rPr>
        <w:t xml:space="preserve"> </w:t>
      </w:r>
      <w:hyperlink r:id="rId77">
        <w:proofErr w:type="spellStart"/>
        <w:r>
          <w:rPr>
            <w:color w:val="486794"/>
            <w:u w:val="single" w:color="486794"/>
          </w:rPr>
          <w:t>womens</w:t>
        </w:r>
        <w:proofErr w:type="spellEnd"/>
        <w:r>
          <w:rPr>
            <w:color w:val="486794"/>
            <w:u w:val="single" w:color="486794"/>
          </w:rPr>
          <w:t>/?p1=</w:t>
        </w:r>
        <w:proofErr w:type="spellStart"/>
        <w:r>
          <w:rPr>
            <w:color w:val="486794"/>
            <w:u w:val="single" w:color="486794"/>
          </w:rPr>
          <w:t>BGSearch_Overlay_Results</w:t>
        </w:r>
        <w:proofErr w:type="spellEnd"/>
        <w:r>
          <w:t>.</w:t>
        </w:r>
      </w:hyperlink>
      <w:r>
        <w:t xml:space="preserve"> It is not clear how much additional cancer research funding would</w:t>
      </w:r>
      <w:r>
        <w:rPr>
          <w:spacing w:val="-3"/>
        </w:rPr>
        <w:t xml:space="preserve"> </w:t>
      </w:r>
      <w:r>
        <w:t>be</w:t>
      </w:r>
      <w:r>
        <w:rPr>
          <w:spacing w:val="-5"/>
        </w:rPr>
        <w:t xml:space="preserve"> </w:t>
      </w:r>
      <w:r>
        <w:t>lost</w:t>
      </w:r>
      <w:r>
        <w:rPr>
          <w:spacing w:val="-3"/>
        </w:rPr>
        <w:t xml:space="preserve"> </w:t>
      </w:r>
      <w:r>
        <w:t>through</w:t>
      </w:r>
      <w:r>
        <w:rPr>
          <w:spacing w:val="-4"/>
        </w:rPr>
        <w:t xml:space="preserve"> </w:t>
      </w:r>
      <w:r>
        <w:t>reductions</w:t>
      </w:r>
      <w:r>
        <w:rPr>
          <w:spacing w:val="-3"/>
        </w:rPr>
        <w:t xml:space="preserve"> </w:t>
      </w:r>
      <w:r>
        <w:t>of</w:t>
      </w:r>
      <w:r>
        <w:rPr>
          <w:spacing w:val="-4"/>
        </w:rPr>
        <w:t xml:space="preserve"> </w:t>
      </w:r>
      <w:r>
        <w:t>grants</w:t>
      </w:r>
      <w:r>
        <w:rPr>
          <w:spacing w:val="-3"/>
        </w:rPr>
        <w:t xml:space="preserve"> </w:t>
      </w:r>
      <w:r>
        <w:t>across</w:t>
      </w:r>
      <w:r>
        <w:rPr>
          <w:spacing w:val="-3"/>
        </w:rPr>
        <w:t xml:space="preserve"> </w:t>
      </w:r>
      <w:r>
        <w:t>all</w:t>
      </w:r>
      <w:r>
        <w:rPr>
          <w:spacing w:val="-4"/>
        </w:rPr>
        <w:t xml:space="preserve"> </w:t>
      </w:r>
      <w:r>
        <w:t>institutions</w:t>
      </w:r>
      <w:r>
        <w:rPr>
          <w:spacing w:val="-3"/>
        </w:rPr>
        <w:t xml:space="preserve"> </w:t>
      </w:r>
      <w:r>
        <w:t>in</w:t>
      </w:r>
      <w:r>
        <w:rPr>
          <w:spacing w:val="-4"/>
        </w:rPr>
        <w:t xml:space="preserve"> </w:t>
      </w:r>
      <w:r>
        <w:t>the</w:t>
      </w:r>
      <w:r>
        <w:rPr>
          <w:spacing w:val="-5"/>
        </w:rPr>
        <w:t xml:space="preserve"> </w:t>
      </w:r>
      <w:r>
        <w:t>Dana-Farber/Harvard</w:t>
      </w:r>
      <w:r>
        <w:rPr>
          <w:spacing w:val="-3"/>
        </w:rPr>
        <w:t xml:space="preserve"> </w:t>
      </w:r>
      <w:r>
        <w:t>Cancer</w:t>
      </w:r>
      <w:r>
        <w:rPr>
          <w:spacing w:val="-3"/>
        </w:rPr>
        <w:t xml:space="preserve"> </w:t>
      </w:r>
      <w:r>
        <w:t>Center.</w:t>
      </w:r>
    </w:p>
  </w:footnote>
  <w:footnote w:id="43">
    <w:p w14:paraId="64F244CC" w14:textId="5E65D260" w:rsidR="005E49F4" w:rsidRDefault="005E49F4" w:rsidP="005E49F4">
      <w:pPr>
        <w:pStyle w:val="FootnoteText"/>
        <w:ind w:left="960" w:right="1030"/>
      </w:pPr>
      <w:r>
        <w:rPr>
          <w:rStyle w:val="FootnoteReference"/>
        </w:rPr>
        <w:footnoteRef/>
      </w:r>
      <w:r>
        <w:t xml:space="preserve"> The precise number of beds used for oncology care at BWH on a given day varies according to</w:t>
      </w:r>
      <w:r>
        <w:rPr>
          <w:spacing w:val="40"/>
        </w:rPr>
        <w:t xml:space="preserve"> </w:t>
      </w:r>
      <w:r>
        <w:t xml:space="preserve">information provided confidentially by DFCI and Mass General Brigham, but </w:t>
      </w:r>
      <w:r>
        <w:rPr>
          <w:i/>
        </w:rPr>
        <w:t xml:space="preserve">see </w:t>
      </w:r>
      <w:r>
        <w:t>DFCI</w:t>
      </w:r>
      <w:r>
        <w:rPr>
          <w:spacing w:val="-3"/>
        </w:rPr>
        <w:t xml:space="preserve"> </w:t>
      </w:r>
      <w:r>
        <w:t>S</w:t>
      </w:r>
      <w:r>
        <w:rPr>
          <w:sz w:val="16"/>
        </w:rPr>
        <w:t xml:space="preserve">TAFF </w:t>
      </w:r>
      <w:r>
        <w:t>R</w:t>
      </w:r>
      <w:r>
        <w:rPr>
          <w:sz w:val="16"/>
        </w:rPr>
        <w:t>EPORT</w:t>
      </w:r>
      <w:r>
        <w:t xml:space="preserve">, </w:t>
      </w:r>
      <w:r>
        <w:rPr>
          <w:i/>
        </w:rPr>
        <w:t xml:space="preserve">supra </w:t>
      </w:r>
      <w:r>
        <w:t>note</w:t>
      </w:r>
      <w:r>
        <w:rPr>
          <w:spacing w:val="-3"/>
        </w:rPr>
        <w:t xml:space="preserve"> </w:t>
      </w:r>
      <w:hyperlink w:anchor="_bookmark15" w:history="1">
        <w:r>
          <w:t>15,</w:t>
        </w:r>
      </w:hyperlink>
      <w:r>
        <w:rPr>
          <w:spacing w:val="-2"/>
        </w:rPr>
        <w:t xml:space="preserve"> </w:t>
      </w:r>
      <w:r>
        <w:t>at</w:t>
      </w:r>
      <w:r>
        <w:rPr>
          <w:spacing w:val="-2"/>
        </w:rPr>
        <w:t xml:space="preserve"> </w:t>
      </w:r>
      <w:r>
        <w:t>14,</w:t>
      </w:r>
      <w:r>
        <w:rPr>
          <w:spacing w:val="-2"/>
        </w:rPr>
        <w:t xml:space="preserve"> </w:t>
      </w:r>
      <w:r>
        <w:t>providing</w:t>
      </w:r>
      <w:r>
        <w:rPr>
          <w:spacing w:val="-3"/>
        </w:rPr>
        <w:t xml:space="preserve"> </w:t>
      </w:r>
      <w:r>
        <w:t>DFCI’s</w:t>
      </w:r>
      <w:r>
        <w:rPr>
          <w:spacing w:val="-2"/>
        </w:rPr>
        <w:t xml:space="preserve"> </w:t>
      </w:r>
      <w:r>
        <w:t>estimate</w:t>
      </w:r>
      <w:r>
        <w:rPr>
          <w:spacing w:val="-3"/>
        </w:rPr>
        <w:t xml:space="preserve"> </w:t>
      </w:r>
      <w:r>
        <w:t>that</w:t>
      </w:r>
      <w:r>
        <w:rPr>
          <w:spacing w:val="-2"/>
        </w:rPr>
        <w:t xml:space="preserve"> </w:t>
      </w:r>
      <w:r>
        <w:t>its</w:t>
      </w:r>
      <w:r>
        <w:rPr>
          <w:spacing w:val="-3"/>
        </w:rPr>
        <w:t xml:space="preserve"> </w:t>
      </w:r>
      <w:r>
        <w:t>physicians</w:t>
      </w:r>
      <w:r>
        <w:rPr>
          <w:spacing w:val="-2"/>
        </w:rPr>
        <w:t xml:space="preserve"> </w:t>
      </w:r>
      <w:r>
        <w:t>staff</w:t>
      </w:r>
      <w:r>
        <w:rPr>
          <w:spacing w:val="-3"/>
        </w:rPr>
        <w:t xml:space="preserve"> </w:t>
      </w:r>
      <w:r>
        <w:t>211</w:t>
      </w:r>
      <w:r>
        <w:rPr>
          <w:spacing w:val="-4"/>
        </w:rPr>
        <w:t xml:space="preserve"> </w:t>
      </w:r>
      <w:r>
        <w:t>beds</w:t>
      </w:r>
      <w:r>
        <w:rPr>
          <w:spacing w:val="-2"/>
        </w:rPr>
        <w:t xml:space="preserve"> </w:t>
      </w:r>
      <w:r>
        <w:t>per</w:t>
      </w:r>
      <w:r>
        <w:rPr>
          <w:spacing w:val="-3"/>
        </w:rPr>
        <w:t xml:space="preserve"> </w:t>
      </w:r>
      <w:r>
        <w:t>day</w:t>
      </w:r>
      <w:r>
        <w:rPr>
          <w:spacing w:val="-3"/>
        </w:rPr>
        <w:t xml:space="preserve"> </w:t>
      </w:r>
      <w:r>
        <w:t>including</w:t>
      </w:r>
      <w:r>
        <w:rPr>
          <w:spacing w:val="-3"/>
        </w:rPr>
        <w:t xml:space="preserve"> </w:t>
      </w:r>
      <w:r>
        <w:t>DFCI’s</w:t>
      </w:r>
      <w:r>
        <w:rPr>
          <w:spacing w:val="-2"/>
        </w:rPr>
        <w:t xml:space="preserve"> </w:t>
      </w:r>
      <w:r>
        <w:t>own</w:t>
      </w:r>
      <w:r>
        <w:rPr>
          <w:spacing w:val="-3"/>
        </w:rPr>
        <w:t xml:space="preserve"> </w:t>
      </w:r>
      <w:r>
        <w:t xml:space="preserve">30 </w:t>
      </w:r>
      <w:r>
        <w:rPr>
          <w:spacing w:val="-2"/>
        </w:rPr>
        <w:t>beds.</w:t>
      </w:r>
    </w:p>
  </w:footnote>
  <w:footnote w:id="44">
    <w:p w14:paraId="4C2D24FA" w14:textId="2F58BC28" w:rsidR="00415710" w:rsidRDefault="009A0F0D" w:rsidP="00647633">
      <w:pPr>
        <w:pStyle w:val="FootnoteText"/>
        <w:ind w:left="990" w:right="940"/>
      </w:pPr>
      <w:r>
        <w:rPr>
          <w:rStyle w:val="FootnoteReference"/>
        </w:rPr>
        <w:footnoteRef/>
      </w:r>
      <w:r>
        <w:t xml:space="preserve"> </w:t>
      </w:r>
      <w:r w:rsidR="00B50FAC">
        <w:t>In</w:t>
      </w:r>
      <w:r w:rsidR="00B50FAC">
        <w:rPr>
          <w:spacing w:val="-2"/>
        </w:rPr>
        <w:t xml:space="preserve"> </w:t>
      </w:r>
      <w:r w:rsidR="00B50FAC">
        <w:t>2017,</w:t>
      </w:r>
      <w:r w:rsidR="00B50FAC">
        <w:rPr>
          <w:spacing w:val="-1"/>
        </w:rPr>
        <w:t xml:space="preserve"> </w:t>
      </w:r>
      <w:r w:rsidR="00B50FAC">
        <w:t>2,470</w:t>
      </w:r>
      <w:r w:rsidR="00B50FAC">
        <w:rPr>
          <w:spacing w:val="-1"/>
        </w:rPr>
        <w:t xml:space="preserve"> </w:t>
      </w:r>
      <w:r w:rsidR="00B50FAC">
        <w:t>hospitals</w:t>
      </w:r>
      <w:r w:rsidR="00B50FAC">
        <w:rPr>
          <w:spacing w:val="-1"/>
        </w:rPr>
        <w:t xml:space="preserve"> </w:t>
      </w:r>
      <w:r w:rsidR="00B50FAC">
        <w:t>across</w:t>
      </w:r>
      <w:r w:rsidR="00B50FAC">
        <w:rPr>
          <w:spacing w:val="-1"/>
        </w:rPr>
        <w:t xml:space="preserve"> </w:t>
      </w:r>
      <w:r w:rsidR="00B50FAC">
        <w:t>the</w:t>
      </w:r>
      <w:r w:rsidR="00B50FAC">
        <w:rPr>
          <w:spacing w:val="-3"/>
        </w:rPr>
        <w:t xml:space="preserve"> </w:t>
      </w:r>
      <w:r w:rsidR="00B50FAC">
        <w:t>United</w:t>
      </w:r>
      <w:r w:rsidR="00B50FAC">
        <w:rPr>
          <w:spacing w:val="-1"/>
        </w:rPr>
        <w:t xml:space="preserve"> </w:t>
      </w:r>
      <w:r w:rsidR="00B50FAC">
        <w:t>States</w:t>
      </w:r>
      <w:r w:rsidR="00B50FAC">
        <w:rPr>
          <w:spacing w:val="-1"/>
        </w:rPr>
        <w:t xml:space="preserve"> </w:t>
      </w:r>
      <w:r w:rsidR="00B50FAC">
        <w:t>provided</w:t>
      </w:r>
      <w:r w:rsidR="00B50FAC">
        <w:rPr>
          <w:spacing w:val="-1"/>
        </w:rPr>
        <w:t xml:space="preserve"> </w:t>
      </w:r>
      <w:r w:rsidR="00B50FAC">
        <w:t>some</w:t>
      </w:r>
      <w:r w:rsidR="00B50FAC">
        <w:rPr>
          <w:spacing w:val="-3"/>
        </w:rPr>
        <w:t xml:space="preserve"> </w:t>
      </w:r>
      <w:r w:rsidR="00B50FAC">
        <w:t>form</w:t>
      </w:r>
      <w:r w:rsidR="00B50FAC">
        <w:rPr>
          <w:spacing w:val="-1"/>
        </w:rPr>
        <w:t xml:space="preserve"> </w:t>
      </w:r>
      <w:r w:rsidR="00B50FAC">
        <w:t>of</w:t>
      </w:r>
      <w:r w:rsidR="00B50FAC">
        <w:rPr>
          <w:spacing w:val="-2"/>
        </w:rPr>
        <w:t xml:space="preserve"> </w:t>
      </w:r>
      <w:r w:rsidR="00B50FAC">
        <w:t>oncology</w:t>
      </w:r>
      <w:r w:rsidR="00B50FAC">
        <w:rPr>
          <w:spacing w:val="-3"/>
        </w:rPr>
        <w:t xml:space="preserve"> </w:t>
      </w:r>
      <w:r w:rsidR="00B50FAC">
        <w:t>care</w:t>
      </w:r>
      <w:r w:rsidR="00B50FAC">
        <w:rPr>
          <w:spacing w:val="-3"/>
        </w:rPr>
        <w:t xml:space="preserve"> </w:t>
      </w:r>
      <w:r w:rsidR="00B50FAC">
        <w:t>to</w:t>
      </w:r>
      <w:r w:rsidR="00B50FAC">
        <w:rPr>
          <w:spacing w:val="-2"/>
        </w:rPr>
        <w:t xml:space="preserve"> </w:t>
      </w:r>
      <w:r w:rsidR="00B50FAC">
        <w:t>patients</w:t>
      </w:r>
      <w:r w:rsidR="00B50FAC">
        <w:rPr>
          <w:spacing w:val="-1"/>
        </w:rPr>
        <w:t xml:space="preserve"> </w:t>
      </w:r>
      <w:r w:rsidR="00B50FAC">
        <w:t>at</w:t>
      </w:r>
      <w:r w:rsidR="00B50FAC">
        <w:rPr>
          <w:spacing w:val="-1"/>
        </w:rPr>
        <w:t xml:space="preserve"> </w:t>
      </w:r>
      <w:r w:rsidR="00B50FAC">
        <w:t>an integrated hospital campus, while 11 PPS-exempt cancer hospitals deliver care in stand-alone cancer facilities.</w:t>
      </w:r>
      <w:r w:rsidR="00B50FAC">
        <w:rPr>
          <w:spacing w:val="-2"/>
        </w:rPr>
        <w:t xml:space="preserve"> </w:t>
      </w:r>
      <w:r w:rsidR="00B50FAC">
        <w:t>DFCI</w:t>
      </w:r>
      <w:r w:rsidR="00B50FAC">
        <w:rPr>
          <w:spacing w:val="-2"/>
        </w:rPr>
        <w:t xml:space="preserve"> </w:t>
      </w:r>
      <w:r w:rsidR="00B50FAC">
        <w:t>is</w:t>
      </w:r>
      <w:r w:rsidR="00B50FAC">
        <w:rPr>
          <w:spacing w:val="-2"/>
        </w:rPr>
        <w:t xml:space="preserve"> </w:t>
      </w:r>
      <w:r w:rsidR="00B50FAC">
        <w:t>the</w:t>
      </w:r>
      <w:r w:rsidR="00B50FAC">
        <w:rPr>
          <w:spacing w:val="-4"/>
        </w:rPr>
        <w:t xml:space="preserve"> </w:t>
      </w:r>
      <w:r w:rsidR="00B50FAC">
        <w:t>only</w:t>
      </w:r>
      <w:r w:rsidR="00B50FAC">
        <w:rPr>
          <w:spacing w:val="-4"/>
        </w:rPr>
        <w:t xml:space="preserve"> </w:t>
      </w:r>
      <w:r w:rsidR="00B50FAC">
        <w:t>PPS-exempt</w:t>
      </w:r>
      <w:r w:rsidR="00B50FAC">
        <w:rPr>
          <w:spacing w:val="-2"/>
        </w:rPr>
        <w:t xml:space="preserve"> </w:t>
      </w:r>
      <w:r w:rsidR="00B50FAC">
        <w:t>hospital</w:t>
      </w:r>
      <w:r w:rsidR="00B50FAC">
        <w:rPr>
          <w:spacing w:val="-3"/>
        </w:rPr>
        <w:t xml:space="preserve"> </w:t>
      </w:r>
      <w:r w:rsidR="00B50FAC">
        <w:t>to</w:t>
      </w:r>
      <w:r w:rsidR="00B50FAC">
        <w:rPr>
          <w:spacing w:val="-3"/>
        </w:rPr>
        <w:t xml:space="preserve"> </w:t>
      </w:r>
      <w:r w:rsidR="00B50FAC">
        <w:t>focus</w:t>
      </w:r>
      <w:r w:rsidR="00B50FAC">
        <w:rPr>
          <w:spacing w:val="-2"/>
        </w:rPr>
        <w:t xml:space="preserve"> </w:t>
      </w:r>
      <w:r w:rsidR="00B50FAC">
        <w:t>solely</w:t>
      </w:r>
      <w:r w:rsidR="00B50FAC">
        <w:rPr>
          <w:spacing w:val="-4"/>
        </w:rPr>
        <w:t xml:space="preserve"> </w:t>
      </w:r>
      <w:r w:rsidR="00B50FAC">
        <w:t>on</w:t>
      </w:r>
      <w:r w:rsidR="00B50FAC">
        <w:rPr>
          <w:spacing w:val="-3"/>
        </w:rPr>
        <w:t xml:space="preserve"> </w:t>
      </w:r>
      <w:r w:rsidR="00B50FAC">
        <w:t>medical</w:t>
      </w:r>
      <w:r w:rsidR="00B50FAC">
        <w:rPr>
          <w:spacing w:val="-3"/>
        </w:rPr>
        <w:t xml:space="preserve"> </w:t>
      </w:r>
      <w:r w:rsidR="00B50FAC">
        <w:t>oncology</w:t>
      </w:r>
      <w:r w:rsidR="00B50FAC">
        <w:rPr>
          <w:spacing w:val="-4"/>
        </w:rPr>
        <w:t xml:space="preserve"> </w:t>
      </w:r>
      <w:r w:rsidR="00B50FAC">
        <w:t>care.</w:t>
      </w:r>
      <w:r w:rsidR="00B50FAC">
        <w:rPr>
          <w:spacing w:val="-3"/>
        </w:rPr>
        <w:t xml:space="preserve"> </w:t>
      </w:r>
      <w:r w:rsidR="00B50FAC">
        <w:rPr>
          <w:i/>
        </w:rPr>
        <w:t>See</w:t>
      </w:r>
      <w:r w:rsidR="00B50FAC">
        <w:rPr>
          <w:i/>
          <w:spacing w:val="-4"/>
        </w:rPr>
        <w:t xml:space="preserve"> </w:t>
      </w:r>
      <w:proofErr w:type="spellStart"/>
      <w:r w:rsidR="00B50FAC">
        <w:t>Peiyin</w:t>
      </w:r>
      <w:proofErr w:type="spellEnd"/>
      <w:r w:rsidR="00B50FAC">
        <w:rPr>
          <w:spacing w:val="-3"/>
        </w:rPr>
        <w:t xml:space="preserve"> </w:t>
      </w:r>
      <w:r w:rsidR="00B50FAC">
        <w:t>Hung,</w:t>
      </w:r>
      <w:r w:rsidR="00B50FAC">
        <w:rPr>
          <w:spacing w:val="-2"/>
        </w:rPr>
        <w:t xml:space="preserve"> </w:t>
      </w:r>
      <w:r w:rsidR="00B50FAC">
        <w:t xml:space="preserve">et al., </w:t>
      </w:r>
      <w:hyperlink r:id="rId78" w:history="1">
        <w:r w:rsidR="00B50FAC" w:rsidRPr="00950A4E">
          <w:rPr>
            <w:rStyle w:val="Hyperlink"/>
            <w:i/>
            <w:color w:val="000000" w:themeColor="text1"/>
            <w:u w:val="none"/>
          </w:rPr>
          <w:t>Trends in Cancer Treatment Service Availability Across Critical Access Hospitals and Prospective Payment System Hospitals</w:t>
        </w:r>
        <w:r w:rsidR="00B50FAC" w:rsidRPr="00950A4E">
          <w:rPr>
            <w:rStyle w:val="Hyperlink"/>
            <w:color w:val="000000" w:themeColor="text1"/>
            <w:u w:val="none"/>
          </w:rPr>
          <w:t>,</w:t>
        </w:r>
      </w:hyperlink>
      <w:r w:rsidR="00B50FAC" w:rsidRPr="00950A4E">
        <w:rPr>
          <w:color w:val="000000" w:themeColor="text1"/>
        </w:rPr>
        <w:t xml:space="preserve"> M</w:t>
      </w:r>
      <w:r w:rsidR="00B50FAC" w:rsidRPr="00950A4E">
        <w:rPr>
          <w:color w:val="000000" w:themeColor="text1"/>
          <w:sz w:val="16"/>
        </w:rPr>
        <w:t xml:space="preserve">ED </w:t>
      </w:r>
      <w:r w:rsidR="00B50FAC">
        <w:t>C</w:t>
      </w:r>
      <w:r w:rsidR="00B50FAC">
        <w:rPr>
          <w:sz w:val="16"/>
        </w:rPr>
        <w:t xml:space="preserve">ARE </w:t>
      </w:r>
      <w:r w:rsidR="00B50FAC">
        <w:t xml:space="preserve">(2022), </w:t>
      </w:r>
      <w:r w:rsidR="00B50FAC">
        <w:rPr>
          <w:i/>
        </w:rPr>
        <w:t xml:space="preserve">available at </w:t>
      </w:r>
      <w:hyperlink r:id="rId79">
        <w:r w:rsidR="00B50FAC">
          <w:rPr>
            <w:color w:val="486794"/>
            <w:u w:val="single" w:color="486794"/>
          </w:rPr>
          <w:t>https://journals.lww.com/lww-</w:t>
        </w:r>
      </w:hyperlink>
      <w:r w:rsidR="00B50FAC">
        <w:rPr>
          <w:color w:val="486794"/>
        </w:rPr>
        <w:t xml:space="preserve"> </w:t>
      </w:r>
      <w:hyperlink r:id="rId80">
        <w:r w:rsidR="00B50FAC">
          <w:rPr>
            <w:color w:val="486794"/>
            <w:u w:val="single" w:color="486794"/>
          </w:rPr>
          <w:t>medicalcare/abstract/2022/03000/trends_in_cancer_treatment_service_availability.2.aspx</w:t>
        </w:r>
      </w:hyperlink>
      <w:r w:rsidR="00B50FAC">
        <w:rPr>
          <w:color w:val="486794"/>
        </w:rPr>
        <w:t xml:space="preserve"> </w:t>
      </w:r>
      <w:r w:rsidR="00B50FAC" w:rsidRPr="00950A4E">
        <w:rPr>
          <w:color w:val="000000" w:themeColor="text1"/>
        </w:rPr>
        <w:t xml:space="preserve">and </w:t>
      </w:r>
      <w:hyperlink r:id="rId81" w:history="1">
        <w:r w:rsidR="00B50FAC" w:rsidRPr="00950A4E">
          <w:rPr>
            <w:rStyle w:val="Hyperlink"/>
            <w:i/>
            <w:color w:val="000000" w:themeColor="text1"/>
            <w:u w:val="none"/>
          </w:rPr>
          <w:t>PPS- Exempt Cancer Hospitals (PCHs)</w:t>
        </w:r>
        <w:r w:rsidR="00B50FAC" w:rsidRPr="00950A4E">
          <w:rPr>
            <w:rStyle w:val="Hyperlink"/>
            <w:color w:val="000000" w:themeColor="text1"/>
            <w:u w:val="none"/>
          </w:rPr>
          <w:t>,</w:t>
        </w:r>
      </w:hyperlink>
      <w:r w:rsidR="00B50FAC" w:rsidRPr="00950A4E">
        <w:rPr>
          <w:color w:val="000000" w:themeColor="text1"/>
        </w:rPr>
        <w:t xml:space="preserve"> C</w:t>
      </w:r>
      <w:r w:rsidR="00B50FAC" w:rsidRPr="00950A4E">
        <w:rPr>
          <w:color w:val="000000" w:themeColor="text1"/>
          <w:sz w:val="16"/>
        </w:rPr>
        <w:t>TRS</w:t>
      </w:r>
      <w:r w:rsidR="00B50FAC" w:rsidRPr="00950A4E">
        <w:rPr>
          <w:color w:val="000000" w:themeColor="text1"/>
        </w:rPr>
        <w:t xml:space="preserve">. </w:t>
      </w:r>
      <w:r w:rsidR="00B50FAC" w:rsidRPr="00950A4E">
        <w:rPr>
          <w:color w:val="000000" w:themeColor="text1"/>
          <w:sz w:val="16"/>
        </w:rPr>
        <w:t xml:space="preserve">FOR </w:t>
      </w:r>
      <w:r w:rsidR="00B50FAC" w:rsidRPr="00950A4E">
        <w:rPr>
          <w:color w:val="000000" w:themeColor="text1"/>
        </w:rPr>
        <w:t>M</w:t>
      </w:r>
      <w:r w:rsidR="00B50FAC" w:rsidRPr="00950A4E">
        <w:rPr>
          <w:color w:val="000000" w:themeColor="text1"/>
          <w:sz w:val="16"/>
        </w:rPr>
        <w:t xml:space="preserve">EDICARE </w:t>
      </w:r>
      <w:r w:rsidR="00B50FAC" w:rsidRPr="00950A4E">
        <w:rPr>
          <w:color w:val="000000" w:themeColor="text1"/>
        </w:rPr>
        <w:t>&amp;</w:t>
      </w:r>
      <w:r w:rsidR="00B50FAC" w:rsidRPr="00950A4E">
        <w:rPr>
          <w:color w:val="000000" w:themeColor="text1"/>
          <w:spacing w:val="-1"/>
        </w:rPr>
        <w:t xml:space="preserve"> </w:t>
      </w:r>
      <w:r w:rsidR="00B50FAC" w:rsidRPr="00950A4E">
        <w:rPr>
          <w:color w:val="000000" w:themeColor="text1"/>
        </w:rPr>
        <w:t>M</w:t>
      </w:r>
      <w:r w:rsidR="00B50FAC" w:rsidRPr="00950A4E">
        <w:rPr>
          <w:color w:val="000000" w:themeColor="text1"/>
          <w:sz w:val="16"/>
        </w:rPr>
        <w:t xml:space="preserve">EDICAID </w:t>
      </w:r>
      <w:r w:rsidR="00B50FAC" w:rsidRPr="00950A4E">
        <w:rPr>
          <w:color w:val="000000" w:themeColor="text1"/>
        </w:rPr>
        <w:t>S</w:t>
      </w:r>
      <w:r w:rsidR="00B50FAC" w:rsidRPr="00950A4E">
        <w:rPr>
          <w:color w:val="000000" w:themeColor="text1"/>
          <w:sz w:val="16"/>
        </w:rPr>
        <w:t>ERVS</w:t>
      </w:r>
      <w:r w:rsidR="00B50FAC" w:rsidRPr="00950A4E">
        <w:rPr>
          <w:color w:val="000000" w:themeColor="text1"/>
        </w:rPr>
        <w:t xml:space="preserve">., </w:t>
      </w:r>
      <w:r w:rsidR="00B50FAC" w:rsidRPr="00950A4E">
        <w:rPr>
          <w:i/>
          <w:color w:val="000000" w:themeColor="text1"/>
        </w:rPr>
        <w:t xml:space="preserve">available at </w:t>
      </w:r>
      <w:hyperlink r:id="rId82">
        <w:r w:rsidR="00B50FAC">
          <w:rPr>
            <w:color w:val="486794"/>
            <w:spacing w:val="-2"/>
            <w:u w:val="single" w:color="486794"/>
          </w:rPr>
          <w:t>https://www.cms.gov/medicare/payment/prospective-payment-systems/acute-inpatient-pps/pps-exempt-</w:t>
        </w:r>
      </w:hyperlink>
      <w:r w:rsidR="00B50FAC">
        <w:rPr>
          <w:color w:val="486794"/>
          <w:spacing w:val="-2"/>
        </w:rPr>
        <w:t xml:space="preserve"> </w:t>
      </w:r>
      <w:hyperlink r:id="rId83">
        <w:r w:rsidR="00B50FAC">
          <w:rPr>
            <w:color w:val="486794"/>
            <w:u w:val="single" w:color="486794"/>
          </w:rPr>
          <w:t>cancer-hospitals-</w:t>
        </w:r>
        <w:proofErr w:type="spellStart"/>
        <w:r w:rsidR="00B50FAC">
          <w:rPr>
            <w:color w:val="486794"/>
            <w:u w:val="single" w:color="486794"/>
          </w:rPr>
          <w:t>pchs</w:t>
        </w:r>
        <w:proofErr w:type="spellEnd"/>
      </w:hyperlink>
      <w:r w:rsidR="00B50FAC">
        <w:rPr>
          <w:color w:val="486794"/>
        </w:rPr>
        <w:t xml:space="preserve"> </w:t>
      </w:r>
      <w:r w:rsidR="00B50FAC">
        <w:t>(last visited February 27, 2025).</w:t>
      </w:r>
    </w:p>
  </w:footnote>
  <w:footnote w:id="45">
    <w:p w14:paraId="48555F12" w14:textId="717A4874" w:rsidR="0079661E" w:rsidRDefault="0079661E" w:rsidP="00647633">
      <w:pPr>
        <w:spacing w:line="226" w:lineRule="exact"/>
        <w:ind w:left="990" w:right="940"/>
        <w:rPr>
          <w:sz w:val="20"/>
        </w:rPr>
      </w:pPr>
      <w:r>
        <w:rPr>
          <w:rStyle w:val="FootnoteReference"/>
        </w:rPr>
        <w:footnoteRef/>
      </w:r>
      <w:r>
        <w:t xml:space="preserve"> </w:t>
      </w:r>
      <w:hyperlink r:id="rId84" w:history="1">
        <w:r w:rsidRPr="00FC336A">
          <w:rPr>
            <w:rStyle w:val="Hyperlink"/>
            <w:color w:val="000000" w:themeColor="text1"/>
            <w:sz w:val="20"/>
            <w:u w:val="none"/>
          </w:rPr>
          <w:t>C</w:t>
        </w:r>
        <w:r w:rsidRPr="00FC336A">
          <w:rPr>
            <w:rStyle w:val="Hyperlink"/>
            <w:color w:val="000000" w:themeColor="text1"/>
            <w:sz w:val="16"/>
            <w:u w:val="none"/>
          </w:rPr>
          <w:t>TR</w:t>
        </w:r>
        <w:r w:rsidRPr="00FC336A">
          <w:rPr>
            <w:rStyle w:val="Hyperlink"/>
            <w:color w:val="000000" w:themeColor="text1"/>
            <w:sz w:val="20"/>
            <w:u w:val="none"/>
          </w:rPr>
          <w:t>.</w:t>
        </w:r>
        <w:r w:rsidRPr="00FC336A">
          <w:rPr>
            <w:rStyle w:val="Hyperlink"/>
            <w:color w:val="000000" w:themeColor="text1"/>
            <w:spacing w:val="-13"/>
            <w:sz w:val="20"/>
            <w:u w:val="none"/>
          </w:rPr>
          <w:t xml:space="preserve"> </w:t>
        </w:r>
        <w:r w:rsidRPr="00FC336A">
          <w:rPr>
            <w:rStyle w:val="Hyperlink"/>
            <w:color w:val="000000" w:themeColor="text1"/>
            <w:sz w:val="16"/>
            <w:u w:val="none"/>
          </w:rPr>
          <w:t>FOR</w:t>
        </w:r>
        <w:r w:rsidRPr="00FC336A">
          <w:rPr>
            <w:rStyle w:val="Hyperlink"/>
            <w:color w:val="000000" w:themeColor="text1"/>
            <w:spacing w:val="-9"/>
            <w:sz w:val="16"/>
            <w:u w:val="none"/>
          </w:rPr>
          <w:t xml:space="preserve"> </w:t>
        </w:r>
        <w:r w:rsidRPr="00FC336A">
          <w:rPr>
            <w:rStyle w:val="Hyperlink"/>
            <w:color w:val="000000" w:themeColor="text1"/>
            <w:sz w:val="20"/>
            <w:u w:val="none"/>
          </w:rPr>
          <w:t>H</w:t>
        </w:r>
        <w:r w:rsidRPr="00FC336A">
          <w:rPr>
            <w:rStyle w:val="Hyperlink"/>
            <w:color w:val="000000" w:themeColor="text1"/>
            <w:sz w:val="16"/>
            <w:u w:val="none"/>
          </w:rPr>
          <w:t>EALTH</w:t>
        </w:r>
        <w:r w:rsidRPr="00FC336A">
          <w:rPr>
            <w:rStyle w:val="Hyperlink"/>
            <w:color w:val="000000" w:themeColor="text1"/>
            <w:spacing w:val="-7"/>
            <w:sz w:val="16"/>
            <w:u w:val="none"/>
          </w:rPr>
          <w:t xml:space="preserve"> </w:t>
        </w:r>
        <w:r w:rsidRPr="00FC336A">
          <w:rPr>
            <w:rStyle w:val="Hyperlink"/>
            <w:color w:val="000000" w:themeColor="text1"/>
            <w:sz w:val="20"/>
            <w:u w:val="none"/>
          </w:rPr>
          <w:t>I</w:t>
        </w:r>
        <w:r w:rsidRPr="00FC336A">
          <w:rPr>
            <w:rStyle w:val="Hyperlink"/>
            <w:color w:val="000000" w:themeColor="text1"/>
            <w:sz w:val="16"/>
            <w:u w:val="none"/>
          </w:rPr>
          <w:t>NFO</w:t>
        </w:r>
        <w:r w:rsidRPr="00FC336A">
          <w:rPr>
            <w:rStyle w:val="Hyperlink"/>
            <w:color w:val="000000" w:themeColor="text1"/>
            <w:sz w:val="20"/>
            <w:u w:val="none"/>
          </w:rPr>
          <w:t>.</w:t>
        </w:r>
        <w:r w:rsidRPr="00FC336A">
          <w:rPr>
            <w:rStyle w:val="Hyperlink"/>
            <w:color w:val="000000" w:themeColor="text1"/>
            <w:spacing w:val="-12"/>
            <w:sz w:val="20"/>
            <w:u w:val="none"/>
          </w:rPr>
          <w:t xml:space="preserve"> </w:t>
        </w:r>
        <w:r w:rsidRPr="00FC336A">
          <w:rPr>
            <w:rStyle w:val="Hyperlink"/>
            <w:color w:val="000000" w:themeColor="text1"/>
            <w:sz w:val="20"/>
            <w:u w:val="none"/>
          </w:rPr>
          <w:t>&amp;</w:t>
        </w:r>
        <w:r w:rsidRPr="00FC336A">
          <w:rPr>
            <w:rStyle w:val="Hyperlink"/>
            <w:color w:val="000000" w:themeColor="text1"/>
            <w:spacing w:val="-13"/>
            <w:sz w:val="20"/>
            <w:u w:val="none"/>
          </w:rPr>
          <w:t xml:space="preserve"> </w:t>
        </w:r>
        <w:r w:rsidRPr="00FC336A">
          <w:rPr>
            <w:rStyle w:val="Hyperlink"/>
            <w:color w:val="000000" w:themeColor="text1"/>
            <w:sz w:val="20"/>
            <w:u w:val="none"/>
          </w:rPr>
          <w:t>A</w:t>
        </w:r>
        <w:r w:rsidRPr="00FC336A">
          <w:rPr>
            <w:rStyle w:val="Hyperlink"/>
            <w:color w:val="000000" w:themeColor="text1"/>
            <w:sz w:val="16"/>
            <w:u w:val="none"/>
          </w:rPr>
          <w:t>NALYSIS</w:t>
        </w:r>
        <w:r w:rsidRPr="00FC336A">
          <w:rPr>
            <w:rStyle w:val="Hyperlink"/>
            <w:color w:val="000000" w:themeColor="text1"/>
            <w:sz w:val="20"/>
            <w:u w:val="none"/>
          </w:rPr>
          <w:t>,</w:t>
        </w:r>
        <w:r w:rsidRPr="00FC336A">
          <w:rPr>
            <w:rStyle w:val="Hyperlink"/>
            <w:color w:val="000000" w:themeColor="text1"/>
            <w:spacing w:val="-12"/>
            <w:sz w:val="20"/>
            <w:u w:val="none"/>
          </w:rPr>
          <w:t xml:space="preserve"> </w:t>
        </w:r>
        <w:r w:rsidRPr="00FC336A">
          <w:rPr>
            <w:rStyle w:val="Hyperlink"/>
            <w:color w:val="000000" w:themeColor="text1"/>
            <w:sz w:val="20"/>
            <w:u w:val="none"/>
          </w:rPr>
          <w:t>D</w:t>
        </w:r>
        <w:r w:rsidRPr="00FC336A">
          <w:rPr>
            <w:rStyle w:val="Hyperlink"/>
            <w:color w:val="000000" w:themeColor="text1"/>
            <w:sz w:val="16"/>
            <w:u w:val="none"/>
          </w:rPr>
          <w:t>ANA</w:t>
        </w:r>
        <w:r w:rsidRPr="00FC336A">
          <w:rPr>
            <w:rStyle w:val="Hyperlink"/>
            <w:color w:val="000000" w:themeColor="text1"/>
            <w:sz w:val="20"/>
            <w:u w:val="none"/>
          </w:rPr>
          <w:t>-F</w:t>
        </w:r>
        <w:r w:rsidRPr="00FC336A">
          <w:rPr>
            <w:rStyle w:val="Hyperlink"/>
            <w:color w:val="000000" w:themeColor="text1"/>
            <w:sz w:val="16"/>
            <w:u w:val="none"/>
          </w:rPr>
          <w:t>ARBER</w:t>
        </w:r>
        <w:r w:rsidRPr="00FC336A">
          <w:rPr>
            <w:rStyle w:val="Hyperlink"/>
            <w:color w:val="000000" w:themeColor="text1"/>
            <w:spacing w:val="-8"/>
            <w:sz w:val="16"/>
            <w:u w:val="none"/>
          </w:rPr>
          <w:t xml:space="preserve"> </w:t>
        </w:r>
        <w:r w:rsidRPr="00FC336A">
          <w:rPr>
            <w:rStyle w:val="Hyperlink"/>
            <w:color w:val="000000" w:themeColor="text1"/>
            <w:sz w:val="20"/>
            <w:u w:val="none"/>
          </w:rPr>
          <w:t>C</w:t>
        </w:r>
        <w:r w:rsidRPr="00FC336A">
          <w:rPr>
            <w:rStyle w:val="Hyperlink"/>
            <w:color w:val="000000" w:themeColor="text1"/>
            <w:sz w:val="16"/>
            <w:u w:val="none"/>
          </w:rPr>
          <w:t>ANCER</w:t>
        </w:r>
        <w:r w:rsidRPr="00FC336A">
          <w:rPr>
            <w:rStyle w:val="Hyperlink"/>
            <w:color w:val="000000" w:themeColor="text1"/>
            <w:spacing w:val="-5"/>
            <w:sz w:val="16"/>
            <w:u w:val="none"/>
          </w:rPr>
          <w:t xml:space="preserve"> </w:t>
        </w:r>
        <w:r w:rsidRPr="00FC336A">
          <w:rPr>
            <w:rStyle w:val="Hyperlink"/>
            <w:color w:val="000000" w:themeColor="text1"/>
            <w:sz w:val="20"/>
            <w:u w:val="none"/>
          </w:rPr>
          <w:t>I</w:t>
        </w:r>
        <w:r w:rsidRPr="00FC336A">
          <w:rPr>
            <w:rStyle w:val="Hyperlink"/>
            <w:color w:val="000000" w:themeColor="text1"/>
            <w:sz w:val="16"/>
            <w:u w:val="none"/>
          </w:rPr>
          <w:t>NSTITUTE</w:t>
        </w:r>
        <w:r w:rsidRPr="00FC336A">
          <w:rPr>
            <w:rStyle w:val="Hyperlink"/>
            <w:color w:val="000000" w:themeColor="text1"/>
            <w:spacing w:val="-5"/>
            <w:sz w:val="16"/>
            <w:u w:val="none"/>
          </w:rPr>
          <w:t xml:space="preserve"> </w:t>
        </w:r>
        <w:r w:rsidRPr="00FC336A">
          <w:rPr>
            <w:rStyle w:val="Hyperlink"/>
            <w:color w:val="000000" w:themeColor="text1"/>
            <w:sz w:val="20"/>
            <w:u w:val="none"/>
          </w:rPr>
          <w:t>2023</w:t>
        </w:r>
        <w:r w:rsidRPr="00FC336A">
          <w:rPr>
            <w:rStyle w:val="Hyperlink"/>
            <w:color w:val="000000" w:themeColor="text1"/>
            <w:spacing w:val="-12"/>
            <w:sz w:val="20"/>
            <w:u w:val="none"/>
          </w:rPr>
          <w:t xml:space="preserve"> </w:t>
        </w:r>
        <w:r w:rsidRPr="00FC336A">
          <w:rPr>
            <w:rStyle w:val="Hyperlink"/>
            <w:color w:val="000000" w:themeColor="text1"/>
            <w:sz w:val="20"/>
            <w:u w:val="none"/>
          </w:rPr>
          <w:t>H</w:t>
        </w:r>
        <w:r w:rsidRPr="00FC336A">
          <w:rPr>
            <w:rStyle w:val="Hyperlink"/>
            <w:color w:val="000000" w:themeColor="text1"/>
            <w:sz w:val="16"/>
            <w:u w:val="none"/>
          </w:rPr>
          <w:t>OSPITAL</w:t>
        </w:r>
        <w:r w:rsidRPr="00FC336A">
          <w:rPr>
            <w:rStyle w:val="Hyperlink"/>
            <w:color w:val="000000" w:themeColor="text1"/>
            <w:spacing w:val="-5"/>
            <w:sz w:val="16"/>
            <w:u w:val="none"/>
          </w:rPr>
          <w:t xml:space="preserve"> </w:t>
        </w:r>
        <w:r w:rsidRPr="00FC336A">
          <w:rPr>
            <w:rStyle w:val="Hyperlink"/>
            <w:color w:val="000000" w:themeColor="text1"/>
            <w:sz w:val="20"/>
            <w:u w:val="none"/>
          </w:rPr>
          <w:t>P</w:t>
        </w:r>
        <w:r w:rsidRPr="00FC336A">
          <w:rPr>
            <w:rStyle w:val="Hyperlink"/>
            <w:color w:val="000000" w:themeColor="text1"/>
            <w:sz w:val="16"/>
            <w:u w:val="none"/>
          </w:rPr>
          <w:t>ROFILE</w:t>
        </w:r>
        <w:r w:rsidRPr="00FC336A">
          <w:rPr>
            <w:rStyle w:val="Hyperlink"/>
            <w:color w:val="000000" w:themeColor="text1"/>
            <w:sz w:val="20"/>
            <w:u w:val="none"/>
          </w:rPr>
          <w:t>,</w:t>
        </w:r>
      </w:hyperlink>
      <w:r w:rsidRPr="00FC336A">
        <w:rPr>
          <w:color w:val="000000" w:themeColor="text1"/>
          <w:spacing w:val="-12"/>
          <w:sz w:val="20"/>
        </w:rPr>
        <w:t xml:space="preserve"> </w:t>
      </w:r>
      <w:r w:rsidRPr="00FC336A">
        <w:rPr>
          <w:color w:val="000000" w:themeColor="text1"/>
          <w:sz w:val="20"/>
        </w:rPr>
        <w:t>(Jan</w:t>
      </w:r>
      <w:r>
        <w:rPr>
          <w:sz w:val="20"/>
        </w:rPr>
        <w:t>.</w:t>
      </w:r>
      <w:r>
        <w:rPr>
          <w:spacing w:val="-6"/>
          <w:sz w:val="20"/>
        </w:rPr>
        <w:t xml:space="preserve"> </w:t>
      </w:r>
      <w:r>
        <w:rPr>
          <w:spacing w:val="-2"/>
          <w:sz w:val="20"/>
        </w:rPr>
        <w:t>2025)</w:t>
      </w:r>
    </w:p>
    <w:p w14:paraId="2974CCE4" w14:textId="2DB99589" w:rsidR="0079661E" w:rsidRPr="00CE692F" w:rsidRDefault="0079661E" w:rsidP="00647633">
      <w:pPr>
        <w:spacing w:before="2"/>
        <w:ind w:left="990" w:right="940"/>
        <w:rPr>
          <w:sz w:val="20"/>
        </w:rPr>
      </w:pPr>
      <w:r>
        <w:rPr>
          <w:sz w:val="20"/>
        </w:rPr>
        <w:t>[hereinafter CHIA DFCI 2023 H</w:t>
      </w:r>
      <w:r>
        <w:rPr>
          <w:sz w:val="16"/>
        </w:rPr>
        <w:t xml:space="preserve">OSPITAL </w:t>
      </w:r>
      <w:r>
        <w:rPr>
          <w:sz w:val="20"/>
        </w:rPr>
        <w:t>P</w:t>
      </w:r>
      <w:r>
        <w:rPr>
          <w:sz w:val="16"/>
        </w:rPr>
        <w:t>ROFILE</w:t>
      </w:r>
      <w:r>
        <w:rPr>
          <w:sz w:val="20"/>
        </w:rPr>
        <w:t xml:space="preserve">], </w:t>
      </w:r>
      <w:r>
        <w:rPr>
          <w:i/>
          <w:sz w:val="20"/>
        </w:rPr>
        <w:t xml:space="preserve">available at </w:t>
      </w:r>
      <w:hyperlink r:id="rId85">
        <w:r>
          <w:rPr>
            <w:color w:val="486794"/>
            <w:sz w:val="20"/>
            <w:u w:val="single" w:color="486794"/>
          </w:rPr>
          <w:t>https://www.chiamass.gov/assets/docs/r/hospital-profiles/2023/dana-far.pdf</w:t>
        </w:r>
      </w:hyperlink>
      <w:r>
        <w:rPr>
          <w:color w:val="486794"/>
          <w:spacing w:val="-5"/>
          <w:sz w:val="20"/>
        </w:rPr>
        <w:t xml:space="preserve"> </w:t>
      </w:r>
      <w:r>
        <w:rPr>
          <w:sz w:val="20"/>
        </w:rPr>
        <w:t>(last</w:t>
      </w:r>
      <w:r>
        <w:rPr>
          <w:spacing w:val="-9"/>
          <w:sz w:val="20"/>
        </w:rPr>
        <w:t xml:space="preserve"> </w:t>
      </w:r>
      <w:r>
        <w:rPr>
          <w:sz w:val="20"/>
        </w:rPr>
        <w:t>visited</w:t>
      </w:r>
      <w:r>
        <w:rPr>
          <w:spacing w:val="-9"/>
          <w:sz w:val="20"/>
        </w:rPr>
        <w:t xml:space="preserve"> </w:t>
      </w:r>
      <w:r>
        <w:rPr>
          <w:sz w:val="20"/>
        </w:rPr>
        <w:t>February</w:t>
      </w:r>
      <w:r>
        <w:rPr>
          <w:spacing w:val="-10"/>
          <w:sz w:val="20"/>
        </w:rPr>
        <w:t xml:space="preserve"> </w:t>
      </w:r>
      <w:r>
        <w:rPr>
          <w:sz w:val="20"/>
        </w:rPr>
        <w:t xml:space="preserve">27, </w:t>
      </w:r>
      <w:r>
        <w:rPr>
          <w:spacing w:val="-2"/>
          <w:sz w:val="20"/>
        </w:rPr>
        <w:t>2025).</w:t>
      </w:r>
    </w:p>
  </w:footnote>
  <w:footnote w:id="46">
    <w:p w14:paraId="1B90D112" w14:textId="0D50FB36" w:rsidR="00CE692F" w:rsidRDefault="00CE692F" w:rsidP="00647633">
      <w:pPr>
        <w:pStyle w:val="FootnoteText"/>
        <w:ind w:left="990" w:right="940"/>
      </w:pPr>
      <w:r>
        <w:rPr>
          <w:rStyle w:val="FootnoteReference"/>
        </w:rPr>
        <w:footnoteRef/>
      </w:r>
      <w:r>
        <w:t xml:space="preserve"> DFCI</w:t>
      </w:r>
      <w:r>
        <w:rPr>
          <w:spacing w:val="-13"/>
        </w:rPr>
        <w:t xml:space="preserve"> </w:t>
      </w:r>
      <w:r>
        <w:t>MA-RPO</w:t>
      </w:r>
      <w:r>
        <w:rPr>
          <w:spacing w:val="-12"/>
        </w:rPr>
        <w:t xml:space="preserve"> </w:t>
      </w:r>
      <w:r>
        <w:t>F</w:t>
      </w:r>
      <w:r>
        <w:rPr>
          <w:sz w:val="16"/>
        </w:rPr>
        <w:t>ILING</w:t>
      </w:r>
      <w:r>
        <w:t>,</w:t>
      </w:r>
      <w:r>
        <w:rPr>
          <w:spacing w:val="-5"/>
        </w:rPr>
        <w:t xml:space="preserve"> </w:t>
      </w:r>
      <w:r>
        <w:rPr>
          <w:i/>
        </w:rPr>
        <w:t>supra</w:t>
      </w:r>
      <w:r>
        <w:rPr>
          <w:i/>
          <w:spacing w:val="-6"/>
        </w:rPr>
        <w:t xml:space="preserve"> </w:t>
      </w:r>
      <w:r>
        <w:t>note</w:t>
      </w:r>
      <w:r>
        <w:rPr>
          <w:spacing w:val="-5"/>
        </w:rPr>
        <w:t xml:space="preserve"> </w:t>
      </w:r>
      <w:hyperlink w:anchor="_bookmark43" w:history="1">
        <w:r>
          <w:rPr>
            <w:spacing w:val="-5"/>
          </w:rPr>
          <w:t>36.</w:t>
        </w:r>
      </w:hyperlink>
    </w:p>
  </w:footnote>
  <w:footnote w:id="47">
    <w:p w14:paraId="437F1F9A" w14:textId="54CB435B" w:rsidR="00236043" w:rsidRDefault="00236043" w:rsidP="00647633">
      <w:pPr>
        <w:pStyle w:val="FootnoteText"/>
        <w:ind w:left="990" w:right="940"/>
      </w:pPr>
      <w:r>
        <w:rPr>
          <w:rStyle w:val="FootnoteReference"/>
        </w:rPr>
        <w:footnoteRef/>
      </w:r>
      <w:r>
        <w:t xml:space="preserve"> </w:t>
      </w:r>
      <w:r w:rsidR="0015756B">
        <w:t>DFCI</w:t>
      </w:r>
      <w:r w:rsidR="0015756B">
        <w:rPr>
          <w:spacing w:val="-13"/>
        </w:rPr>
        <w:t xml:space="preserve"> </w:t>
      </w:r>
      <w:r w:rsidR="0015756B">
        <w:t>MA-RPO</w:t>
      </w:r>
      <w:r w:rsidR="0015756B">
        <w:rPr>
          <w:spacing w:val="-12"/>
        </w:rPr>
        <w:t xml:space="preserve"> </w:t>
      </w:r>
      <w:r w:rsidR="0015756B">
        <w:t>F</w:t>
      </w:r>
      <w:r w:rsidR="0015756B">
        <w:rPr>
          <w:sz w:val="16"/>
        </w:rPr>
        <w:t>ILING</w:t>
      </w:r>
      <w:r w:rsidR="0015756B">
        <w:t>,</w:t>
      </w:r>
      <w:r w:rsidR="0015756B">
        <w:rPr>
          <w:spacing w:val="-5"/>
        </w:rPr>
        <w:t xml:space="preserve"> </w:t>
      </w:r>
      <w:r w:rsidR="0015756B">
        <w:rPr>
          <w:i/>
        </w:rPr>
        <w:t>supra</w:t>
      </w:r>
      <w:r w:rsidR="0015756B">
        <w:rPr>
          <w:i/>
          <w:spacing w:val="-6"/>
        </w:rPr>
        <w:t xml:space="preserve"> </w:t>
      </w:r>
      <w:r w:rsidR="0015756B">
        <w:t>note</w:t>
      </w:r>
      <w:r w:rsidR="0015756B">
        <w:rPr>
          <w:spacing w:val="-5"/>
        </w:rPr>
        <w:t xml:space="preserve"> </w:t>
      </w:r>
      <w:hyperlink w:anchor="_bookmark43" w:history="1">
        <w:r w:rsidR="0015756B">
          <w:rPr>
            <w:spacing w:val="-5"/>
          </w:rPr>
          <w:t>36.</w:t>
        </w:r>
      </w:hyperlink>
    </w:p>
  </w:footnote>
  <w:footnote w:id="48">
    <w:p w14:paraId="5C352AF4" w14:textId="75EE450A" w:rsidR="00F262A4" w:rsidRDefault="00F262A4" w:rsidP="00647633">
      <w:pPr>
        <w:ind w:left="990" w:right="940"/>
        <w:rPr>
          <w:i/>
          <w:sz w:val="20"/>
        </w:rPr>
      </w:pPr>
      <w:r>
        <w:rPr>
          <w:rStyle w:val="FootnoteReference"/>
        </w:rPr>
        <w:footnoteRef/>
      </w:r>
      <w:r>
        <w:t xml:space="preserve"> </w:t>
      </w:r>
      <w:hyperlink r:id="rId86" w:history="1">
        <w:r w:rsidRPr="00B97377">
          <w:rPr>
            <w:rStyle w:val="Hyperlink"/>
            <w:color w:val="000000" w:themeColor="text1"/>
            <w:sz w:val="20"/>
            <w:u w:val="none"/>
          </w:rPr>
          <w:t>D</w:t>
        </w:r>
        <w:r w:rsidRPr="00B97377">
          <w:rPr>
            <w:rStyle w:val="Hyperlink"/>
            <w:color w:val="000000" w:themeColor="text1"/>
            <w:sz w:val="16"/>
            <w:u w:val="none"/>
          </w:rPr>
          <w:t>ANA</w:t>
        </w:r>
        <w:r w:rsidRPr="00B97377">
          <w:rPr>
            <w:rStyle w:val="Hyperlink"/>
            <w:color w:val="000000" w:themeColor="text1"/>
            <w:sz w:val="20"/>
            <w:u w:val="none"/>
          </w:rPr>
          <w:t>-F</w:t>
        </w:r>
        <w:r w:rsidRPr="00B97377">
          <w:rPr>
            <w:rStyle w:val="Hyperlink"/>
            <w:color w:val="000000" w:themeColor="text1"/>
            <w:sz w:val="16"/>
            <w:u w:val="none"/>
          </w:rPr>
          <w:t>ARBER</w:t>
        </w:r>
        <w:r w:rsidRPr="00B97377">
          <w:rPr>
            <w:rStyle w:val="Hyperlink"/>
            <w:color w:val="000000" w:themeColor="text1"/>
            <w:spacing w:val="-2"/>
            <w:sz w:val="16"/>
            <w:u w:val="none"/>
          </w:rPr>
          <w:t xml:space="preserve"> </w:t>
        </w:r>
        <w:r w:rsidRPr="00B97377">
          <w:rPr>
            <w:rStyle w:val="Hyperlink"/>
            <w:color w:val="000000" w:themeColor="text1"/>
            <w:sz w:val="20"/>
            <w:u w:val="none"/>
          </w:rPr>
          <w:t>C</w:t>
        </w:r>
        <w:r w:rsidRPr="00B97377">
          <w:rPr>
            <w:rStyle w:val="Hyperlink"/>
            <w:color w:val="000000" w:themeColor="text1"/>
            <w:sz w:val="16"/>
            <w:u w:val="none"/>
          </w:rPr>
          <w:t>ANCER</w:t>
        </w:r>
        <w:r w:rsidRPr="00B97377">
          <w:rPr>
            <w:rStyle w:val="Hyperlink"/>
            <w:color w:val="000000" w:themeColor="text1"/>
            <w:spacing w:val="-4"/>
            <w:sz w:val="16"/>
            <w:u w:val="none"/>
          </w:rPr>
          <w:t xml:space="preserve"> </w:t>
        </w:r>
        <w:r w:rsidRPr="00B97377">
          <w:rPr>
            <w:rStyle w:val="Hyperlink"/>
            <w:color w:val="000000" w:themeColor="text1"/>
            <w:sz w:val="20"/>
            <w:u w:val="none"/>
          </w:rPr>
          <w:t>I</w:t>
        </w:r>
        <w:r w:rsidRPr="00B97377">
          <w:rPr>
            <w:rStyle w:val="Hyperlink"/>
            <w:color w:val="000000" w:themeColor="text1"/>
            <w:sz w:val="16"/>
            <w:u w:val="none"/>
          </w:rPr>
          <w:t>NSTITUTE</w:t>
        </w:r>
        <w:r w:rsidRPr="00B97377">
          <w:rPr>
            <w:rStyle w:val="Hyperlink"/>
            <w:color w:val="000000" w:themeColor="text1"/>
            <w:sz w:val="20"/>
            <w:u w:val="none"/>
          </w:rPr>
          <w:t>,</w:t>
        </w:r>
        <w:r w:rsidRPr="00B97377">
          <w:rPr>
            <w:rStyle w:val="Hyperlink"/>
            <w:color w:val="000000" w:themeColor="text1"/>
            <w:spacing w:val="-11"/>
            <w:sz w:val="20"/>
            <w:u w:val="none"/>
          </w:rPr>
          <w:t xml:space="preserve"> </w:t>
        </w:r>
        <w:r w:rsidRPr="00B97377">
          <w:rPr>
            <w:rStyle w:val="Hyperlink"/>
            <w:color w:val="000000" w:themeColor="text1"/>
            <w:sz w:val="20"/>
            <w:u w:val="none"/>
          </w:rPr>
          <w:t>N</w:t>
        </w:r>
        <w:r w:rsidRPr="00B97377">
          <w:rPr>
            <w:rStyle w:val="Hyperlink"/>
            <w:color w:val="000000" w:themeColor="text1"/>
            <w:sz w:val="16"/>
            <w:u w:val="none"/>
          </w:rPr>
          <w:t>OTICE</w:t>
        </w:r>
        <w:r w:rsidRPr="00B97377">
          <w:rPr>
            <w:rStyle w:val="Hyperlink"/>
            <w:color w:val="000000" w:themeColor="text1"/>
            <w:spacing w:val="-3"/>
            <w:sz w:val="16"/>
            <w:u w:val="none"/>
          </w:rPr>
          <w:t xml:space="preserve"> </w:t>
        </w:r>
        <w:r w:rsidRPr="00B97377">
          <w:rPr>
            <w:rStyle w:val="Hyperlink"/>
            <w:color w:val="000000" w:themeColor="text1"/>
            <w:sz w:val="16"/>
            <w:u w:val="none"/>
          </w:rPr>
          <w:t>OF</w:t>
        </w:r>
        <w:r w:rsidRPr="00B97377">
          <w:rPr>
            <w:rStyle w:val="Hyperlink"/>
            <w:color w:val="000000" w:themeColor="text1"/>
            <w:spacing w:val="-2"/>
            <w:sz w:val="16"/>
            <w:u w:val="none"/>
          </w:rPr>
          <w:t xml:space="preserve"> </w:t>
        </w:r>
        <w:r w:rsidRPr="00B97377">
          <w:rPr>
            <w:rStyle w:val="Hyperlink"/>
            <w:color w:val="000000" w:themeColor="text1"/>
            <w:sz w:val="20"/>
            <w:u w:val="none"/>
          </w:rPr>
          <w:t>M</w:t>
        </w:r>
        <w:r w:rsidRPr="00B97377">
          <w:rPr>
            <w:rStyle w:val="Hyperlink"/>
            <w:color w:val="000000" w:themeColor="text1"/>
            <w:sz w:val="16"/>
            <w:u w:val="none"/>
          </w:rPr>
          <w:t>ATERIAL</w:t>
        </w:r>
        <w:r w:rsidRPr="00B97377">
          <w:rPr>
            <w:rStyle w:val="Hyperlink"/>
            <w:color w:val="000000" w:themeColor="text1"/>
            <w:spacing w:val="-4"/>
            <w:sz w:val="16"/>
            <w:u w:val="none"/>
          </w:rPr>
          <w:t xml:space="preserve"> </w:t>
        </w:r>
        <w:r w:rsidRPr="00B97377">
          <w:rPr>
            <w:rStyle w:val="Hyperlink"/>
            <w:color w:val="000000" w:themeColor="text1"/>
            <w:sz w:val="20"/>
            <w:u w:val="none"/>
          </w:rPr>
          <w:t>C</w:t>
        </w:r>
        <w:r w:rsidRPr="00B97377">
          <w:rPr>
            <w:rStyle w:val="Hyperlink"/>
            <w:color w:val="000000" w:themeColor="text1"/>
            <w:sz w:val="16"/>
            <w:u w:val="none"/>
          </w:rPr>
          <w:t>HANGE</w:t>
        </w:r>
        <w:r w:rsidRPr="00B97377">
          <w:rPr>
            <w:rStyle w:val="Hyperlink"/>
            <w:color w:val="000000" w:themeColor="text1"/>
            <w:spacing w:val="-3"/>
            <w:sz w:val="16"/>
            <w:u w:val="none"/>
          </w:rPr>
          <w:t xml:space="preserve"> </w:t>
        </w:r>
        <w:r w:rsidRPr="00B97377">
          <w:rPr>
            <w:rStyle w:val="Hyperlink"/>
            <w:color w:val="000000" w:themeColor="text1"/>
            <w:sz w:val="16"/>
            <w:u w:val="none"/>
          </w:rPr>
          <w:t>TO</w:t>
        </w:r>
        <w:r w:rsidRPr="00B97377">
          <w:rPr>
            <w:rStyle w:val="Hyperlink"/>
            <w:color w:val="000000" w:themeColor="text1"/>
            <w:spacing w:val="-2"/>
            <w:sz w:val="16"/>
            <w:u w:val="none"/>
          </w:rPr>
          <w:t xml:space="preserve"> </w:t>
        </w:r>
        <w:r w:rsidRPr="00B97377">
          <w:rPr>
            <w:rStyle w:val="Hyperlink"/>
            <w:color w:val="000000" w:themeColor="text1"/>
            <w:sz w:val="16"/>
            <w:u w:val="none"/>
          </w:rPr>
          <w:t>THE</w:t>
        </w:r>
        <w:r w:rsidRPr="00B97377">
          <w:rPr>
            <w:rStyle w:val="Hyperlink"/>
            <w:color w:val="000000" w:themeColor="text1"/>
            <w:spacing w:val="-1"/>
            <w:sz w:val="16"/>
            <w:u w:val="none"/>
          </w:rPr>
          <w:t xml:space="preserve"> </w:t>
        </w:r>
        <w:r w:rsidRPr="00B97377">
          <w:rPr>
            <w:rStyle w:val="Hyperlink"/>
            <w:color w:val="000000" w:themeColor="text1"/>
            <w:sz w:val="20"/>
            <w:u w:val="none"/>
          </w:rPr>
          <w:t>H</w:t>
        </w:r>
        <w:r w:rsidRPr="00B97377">
          <w:rPr>
            <w:rStyle w:val="Hyperlink"/>
            <w:color w:val="000000" w:themeColor="text1"/>
            <w:sz w:val="16"/>
            <w:u w:val="none"/>
          </w:rPr>
          <w:t>EALTH</w:t>
        </w:r>
        <w:r w:rsidRPr="00B97377">
          <w:rPr>
            <w:rStyle w:val="Hyperlink"/>
            <w:color w:val="000000" w:themeColor="text1"/>
            <w:spacing w:val="-4"/>
            <w:sz w:val="16"/>
            <w:u w:val="none"/>
          </w:rPr>
          <w:t xml:space="preserve"> </w:t>
        </w:r>
        <w:r w:rsidRPr="00B97377">
          <w:rPr>
            <w:rStyle w:val="Hyperlink"/>
            <w:color w:val="000000" w:themeColor="text1"/>
            <w:sz w:val="20"/>
            <w:u w:val="none"/>
          </w:rPr>
          <w:t>P</w:t>
        </w:r>
        <w:r w:rsidRPr="00B97377">
          <w:rPr>
            <w:rStyle w:val="Hyperlink"/>
            <w:color w:val="000000" w:themeColor="text1"/>
            <w:sz w:val="16"/>
            <w:u w:val="none"/>
          </w:rPr>
          <w:t>OLICY</w:t>
        </w:r>
        <w:r w:rsidRPr="00B97377">
          <w:rPr>
            <w:rStyle w:val="Hyperlink"/>
            <w:color w:val="000000" w:themeColor="text1"/>
            <w:spacing w:val="-2"/>
            <w:sz w:val="16"/>
            <w:u w:val="none"/>
          </w:rPr>
          <w:t xml:space="preserve"> </w:t>
        </w:r>
        <w:r w:rsidRPr="00B97377">
          <w:rPr>
            <w:rStyle w:val="Hyperlink"/>
            <w:color w:val="000000" w:themeColor="text1"/>
            <w:sz w:val="20"/>
            <w:u w:val="none"/>
          </w:rPr>
          <w:t>C</w:t>
        </w:r>
        <w:r w:rsidRPr="00B97377">
          <w:rPr>
            <w:rStyle w:val="Hyperlink"/>
            <w:color w:val="000000" w:themeColor="text1"/>
            <w:sz w:val="16"/>
            <w:u w:val="none"/>
          </w:rPr>
          <w:t>OMM</w:t>
        </w:r>
        <w:r w:rsidRPr="00B97377">
          <w:rPr>
            <w:rStyle w:val="Hyperlink"/>
            <w:color w:val="000000" w:themeColor="text1"/>
            <w:sz w:val="20"/>
            <w:u w:val="none"/>
          </w:rPr>
          <w:t>’</w:t>
        </w:r>
        <w:r w:rsidRPr="00B97377">
          <w:rPr>
            <w:rStyle w:val="Hyperlink"/>
            <w:color w:val="000000" w:themeColor="text1"/>
            <w:sz w:val="16"/>
            <w:u w:val="none"/>
          </w:rPr>
          <w:t>N</w:t>
        </w:r>
      </w:hyperlink>
      <w:r w:rsidRPr="00B97377">
        <w:rPr>
          <w:color w:val="000000" w:themeColor="text1"/>
          <w:spacing w:val="-4"/>
          <w:sz w:val="16"/>
        </w:rPr>
        <w:t xml:space="preserve"> </w:t>
      </w:r>
      <w:r w:rsidRPr="00B97377">
        <w:rPr>
          <w:color w:val="000000" w:themeColor="text1"/>
          <w:sz w:val="20"/>
        </w:rPr>
        <w:t>(Mar</w:t>
      </w:r>
      <w:r>
        <w:rPr>
          <w:sz w:val="20"/>
        </w:rPr>
        <w:t>.</w:t>
      </w:r>
      <w:r>
        <w:rPr>
          <w:spacing w:val="-2"/>
          <w:sz w:val="20"/>
        </w:rPr>
        <w:t xml:space="preserve"> </w:t>
      </w:r>
      <w:r>
        <w:rPr>
          <w:sz w:val="20"/>
        </w:rPr>
        <w:t>3,</w:t>
      </w:r>
      <w:r>
        <w:rPr>
          <w:spacing w:val="-2"/>
          <w:sz w:val="20"/>
        </w:rPr>
        <w:t xml:space="preserve"> </w:t>
      </w:r>
      <w:r>
        <w:rPr>
          <w:sz w:val="20"/>
        </w:rPr>
        <w:t>2014</w:t>
      </w:r>
      <w:r w:rsidRPr="00B97377">
        <w:rPr>
          <w:color w:val="000000" w:themeColor="text1"/>
          <w:sz w:val="20"/>
        </w:rPr>
        <w:t>),</w:t>
      </w:r>
      <w:r w:rsidRPr="00B97377">
        <w:rPr>
          <w:color w:val="000000" w:themeColor="text1"/>
          <w:spacing w:val="-11"/>
          <w:sz w:val="20"/>
        </w:rPr>
        <w:t xml:space="preserve"> </w:t>
      </w:r>
      <w:hyperlink r:id="rId87" w:history="1">
        <w:r w:rsidRPr="00B97377">
          <w:rPr>
            <w:rStyle w:val="Hyperlink"/>
            <w:color w:val="000000" w:themeColor="text1"/>
            <w:sz w:val="20"/>
            <w:u w:val="none"/>
          </w:rPr>
          <w:t>A</w:t>
        </w:r>
        <w:r w:rsidRPr="00B97377">
          <w:rPr>
            <w:rStyle w:val="Hyperlink"/>
            <w:color w:val="000000" w:themeColor="text1"/>
            <w:sz w:val="16"/>
            <w:u w:val="none"/>
          </w:rPr>
          <w:t>S</w:t>
        </w:r>
        <w:r w:rsidRPr="00B97377">
          <w:rPr>
            <w:rStyle w:val="Hyperlink"/>
            <w:color w:val="000000" w:themeColor="text1"/>
            <w:spacing w:val="40"/>
            <w:sz w:val="16"/>
            <w:u w:val="none"/>
          </w:rPr>
          <w:t xml:space="preserve"> </w:t>
        </w:r>
        <w:r w:rsidRPr="00B97377">
          <w:rPr>
            <w:rStyle w:val="Hyperlink"/>
            <w:color w:val="000000" w:themeColor="text1"/>
            <w:sz w:val="20"/>
            <w:u w:val="none"/>
          </w:rPr>
          <w:t>R</w:t>
        </w:r>
        <w:r w:rsidRPr="00B97377">
          <w:rPr>
            <w:rStyle w:val="Hyperlink"/>
            <w:color w:val="000000" w:themeColor="text1"/>
            <w:sz w:val="16"/>
            <w:u w:val="none"/>
          </w:rPr>
          <w:t xml:space="preserve">EQUIRED </w:t>
        </w:r>
        <w:r w:rsidRPr="00B97377">
          <w:rPr>
            <w:rStyle w:val="Hyperlink"/>
            <w:color w:val="000000" w:themeColor="text1"/>
            <w:sz w:val="20"/>
            <w:u w:val="none"/>
          </w:rPr>
          <w:t>U</w:t>
        </w:r>
        <w:r w:rsidRPr="00B97377">
          <w:rPr>
            <w:rStyle w:val="Hyperlink"/>
            <w:color w:val="000000" w:themeColor="text1"/>
            <w:sz w:val="16"/>
            <w:u w:val="none"/>
          </w:rPr>
          <w:t xml:space="preserve">NDER </w:t>
        </w:r>
        <w:r w:rsidRPr="00B97377">
          <w:rPr>
            <w:rStyle w:val="Hyperlink"/>
            <w:color w:val="000000" w:themeColor="text1"/>
            <w:sz w:val="20"/>
            <w:u w:val="none"/>
          </w:rPr>
          <w:t>M</w:t>
        </w:r>
        <w:r w:rsidRPr="00B97377">
          <w:rPr>
            <w:rStyle w:val="Hyperlink"/>
            <w:color w:val="000000" w:themeColor="text1"/>
            <w:sz w:val="16"/>
            <w:u w:val="none"/>
          </w:rPr>
          <w:t>ASS</w:t>
        </w:r>
        <w:r w:rsidRPr="00B97377">
          <w:rPr>
            <w:rStyle w:val="Hyperlink"/>
            <w:color w:val="000000" w:themeColor="text1"/>
            <w:sz w:val="20"/>
            <w:u w:val="none"/>
          </w:rPr>
          <w:t>. G</w:t>
        </w:r>
        <w:r w:rsidRPr="00B97377">
          <w:rPr>
            <w:rStyle w:val="Hyperlink"/>
            <w:color w:val="000000" w:themeColor="text1"/>
            <w:sz w:val="16"/>
            <w:u w:val="none"/>
          </w:rPr>
          <w:t>EN</w:t>
        </w:r>
        <w:r w:rsidRPr="00B97377">
          <w:rPr>
            <w:rStyle w:val="Hyperlink"/>
            <w:color w:val="000000" w:themeColor="text1"/>
            <w:sz w:val="20"/>
            <w:u w:val="none"/>
          </w:rPr>
          <w:t>. L</w:t>
        </w:r>
        <w:r w:rsidRPr="00B97377">
          <w:rPr>
            <w:rStyle w:val="Hyperlink"/>
            <w:color w:val="000000" w:themeColor="text1"/>
            <w:sz w:val="16"/>
            <w:u w:val="none"/>
          </w:rPr>
          <w:t>AWS</w:t>
        </w:r>
      </w:hyperlink>
      <w:r w:rsidRPr="00B97377">
        <w:rPr>
          <w:color w:val="000000" w:themeColor="text1"/>
          <w:sz w:val="16"/>
        </w:rPr>
        <w:t xml:space="preserve"> </w:t>
      </w:r>
      <w:proofErr w:type="spellStart"/>
      <w:r w:rsidRPr="00B97377">
        <w:rPr>
          <w:color w:val="000000" w:themeColor="text1"/>
          <w:sz w:val="20"/>
        </w:rPr>
        <w:t>ch.</w:t>
      </w:r>
      <w:proofErr w:type="spellEnd"/>
      <w:r w:rsidRPr="00B97377">
        <w:rPr>
          <w:color w:val="000000" w:themeColor="text1"/>
          <w:sz w:val="20"/>
        </w:rPr>
        <w:t xml:space="preserve"> </w:t>
      </w:r>
      <w:r>
        <w:rPr>
          <w:sz w:val="20"/>
        </w:rPr>
        <w:t xml:space="preserve">6D § 13 (2012), </w:t>
      </w:r>
      <w:r>
        <w:rPr>
          <w:i/>
          <w:sz w:val="20"/>
        </w:rPr>
        <w:t>available at</w:t>
      </w:r>
    </w:p>
    <w:p w14:paraId="4EBB54DA" w14:textId="4487E4E7" w:rsidR="00F262A4" w:rsidRPr="00C36F02" w:rsidRDefault="00F262A4" w:rsidP="00647633">
      <w:pPr>
        <w:ind w:left="990" w:right="940"/>
        <w:rPr>
          <w:sz w:val="20"/>
        </w:rPr>
      </w:pPr>
      <w:hyperlink r:id="rId88">
        <w:r>
          <w:rPr>
            <w:color w:val="486794"/>
            <w:sz w:val="20"/>
            <w:u w:val="single" w:color="486794"/>
          </w:rPr>
          <w:t>https://masshpc.gov/sites/default/files/2023-02/20140303_danafarber-commonwealth_mcn.pdf</w:t>
        </w:r>
        <w:r>
          <w:rPr>
            <w:sz w:val="20"/>
          </w:rPr>
          <w:t>;</w:t>
        </w:r>
      </w:hyperlink>
      <w:r>
        <w:rPr>
          <w:sz w:val="20"/>
        </w:rPr>
        <w:t xml:space="preserve"> Jill Terreri</w:t>
      </w:r>
      <w:r>
        <w:rPr>
          <w:spacing w:val="-4"/>
          <w:sz w:val="20"/>
        </w:rPr>
        <w:t xml:space="preserve"> </w:t>
      </w:r>
      <w:r>
        <w:rPr>
          <w:sz w:val="20"/>
        </w:rPr>
        <w:t>Ramos,</w:t>
      </w:r>
      <w:r>
        <w:rPr>
          <w:spacing w:val="-3"/>
          <w:sz w:val="20"/>
        </w:rPr>
        <w:t xml:space="preserve"> </w:t>
      </w:r>
      <w:hyperlink r:id="rId89" w:history="1">
        <w:r w:rsidRPr="00B97377">
          <w:rPr>
            <w:rStyle w:val="Hyperlink"/>
            <w:i/>
            <w:color w:val="000000" w:themeColor="text1"/>
            <w:sz w:val="20"/>
            <w:u w:val="none"/>
          </w:rPr>
          <w:t>Dana-Farber</w:t>
        </w:r>
        <w:r w:rsidRPr="00B97377">
          <w:rPr>
            <w:rStyle w:val="Hyperlink"/>
            <w:i/>
            <w:color w:val="000000" w:themeColor="text1"/>
            <w:spacing w:val="-2"/>
            <w:sz w:val="20"/>
            <w:u w:val="none"/>
          </w:rPr>
          <w:t xml:space="preserve"> </w:t>
        </w:r>
        <w:r w:rsidRPr="00B97377">
          <w:rPr>
            <w:rStyle w:val="Hyperlink"/>
            <w:i/>
            <w:color w:val="000000" w:themeColor="text1"/>
            <w:sz w:val="20"/>
            <w:u w:val="none"/>
          </w:rPr>
          <w:t>closes</w:t>
        </w:r>
        <w:r w:rsidRPr="00B97377">
          <w:rPr>
            <w:rStyle w:val="Hyperlink"/>
            <w:i/>
            <w:color w:val="000000" w:themeColor="text1"/>
            <w:spacing w:val="-5"/>
            <w:sz w:val="20"/>
            <w:u w:val="none"/>
          </w:rPr>
          <w:t xml:space="preserve"> </w:t>
        </w:r>
        <w:r w:rsidRPr="00B97377">
          <w:rPr>
            <w:rStyle w:val="Hyperlink"/>
            <w:i/>
            <w:color w:val="000000" w:themeColor="text1"/>
            <w:sz w:val="20"/>
            <w:u w:val="none"/>
          </w:rPr>
          <w:t>offices</w:t>
        </w:r>
        <w:r w:rsidRPr="00B97377">
          <w:rPr>
            <w:rStyle w:val="Hyperlink"/>
            <w:i/>
            <w:color w:val="000000" w:themeColor="text1"/>
            <w:spacing w:val="-5"/>
            <w:sz w:val="20"/>
            <w:u w:val="none"/>
          </w:rPr>
          <w:t xml:space="preserve"> </w:t>
        </w:r>
        <w:r w:rsidRPr="00B97377">
          <w:rPr>
            <w:rStyle w:val="Hyperlink"/>
            <w:i/>
            <w:color w:val="000000" w:themeColor="text1"/>
            <w:sz w:val="20"/>
            <w:u w:val="none"/>
          </w:rPr>
          <w:t>in</w:t>
        </w:r>
        <w:r w:rsidRPr="00B97377">
          <w:rPr>
            <w:rStyle w:val="Hyperlink"/>
            <w:i/>
            <w:color w:val="000000" w:themeColor="text1"/>
            <w:spacing w:val="-5"/>
            <w:sz w:val="20"/>
            <w:u w:val="none"/>
          </w:rPr>
          <w:t xml:space="preserve"> </w:t>
        </w:r>
        <w:r w:rsidRPr="00B97377">
          <w:rPr>
            <w:rStyle w:val="Hyperlink"/>
            <w:i/>
            <w:color w:val="000000" w:themeColor="text1"/>
            <w:sz w:val="20"/>
            <w:u w:val="none"/>
          </w:rPr>
          <w:t>Quincy,</w:t>
        </w:r>
        <w:r w:rsidRPr="00B97377">
          <w:rPr>
            <w:rStyle w:val="Hyperlink"/>
            <w:i/>
            <w:color w:val="000000" w:themeColor="text1"/>
            <w:spacing w:val="-3"/>
            <w:sz w:val="20"/>
            <w:u w:val="none"/>
          </w:rPr>
          <w:t xml:space="preserve"> </w:t>
        </w:r>
        <w:r w:rsidRPr="00B97377">
          <w:rPr>
            <w:rStyle w:val="Hyperlink"/>
            <w:i/>
            <w:color w:val="000000" w:themeColor="text1"/>
            <w:sz w:val="20"/>
            <w:u w:val="none"/>
          </w:rPr>
          <w:t>Milton,</w:t>
        </w:r>
        <w:r w:rsidRPr="00B97377">
          <w:rPr>
            <w:rStyle w:val="Hyperlink"/>
            <w:i/>
            <w:color w:val="000000" w:themeColor="text1"/>
            <w:spacing w:val="-3"/>
            <w:sz w:val="20"/>
            <w:u w:val="none"/>
          </w:rPr>
          <w:t xml:space="preserve"> </w:t>
        </w:r>
        <w:r w:rsidRPr="00B97377">
          <w:rPr>
            <w:rStyle w:val="Hyperlink"/>
            <w:i/>
            <w:color w:val="000000" w:themeColor="text1"/>
            <w:sz w:val="20"/>
            <w:u w:val="none"/>
          </w:rPr>
          <w:t>Dorchester</w:t>
        </w:r>
        <w:r w:rsidRPr="00B97377">
          <w:rPr>
            <w:rStyle w:val="Hyperlink"/>
            <w:color w:val="000000" w:themeColor="text1"/>
            <w:sz w:val="20"/>
            <w:u w:val="none"/>
          </w:rPr>
          <w:t>,</w:t>
        </w:r>
      </w:hyperlink>
      <w:r w:rsidRPr="00B97377">
        <w:rPr>
          <w:color w:val="000000" w:themeColor="text1"/>
          <w:spacing w:val="-3"/>
          <w:sz w:val="20"/>
        </w:rPr>
        <w:t xml:space="preserve"> </w:t>
      </w:r>
      <w:r w:rsidRPr="00B97377">
        <w:rPr>
          <w:color w:val="000000" w:themeColor="text1"/>
          <w:sz w:val="20"/>
        </w:rPr>
        <w:t>B</w:t>
      </w:r>
      <w:r w:rsidRPr="00B97377">
        <w:rPr>
          <w:color w:val="000000" w:themeColor="text1"/>
          <w:sz w:val="16"/>
        </w:rPr>
        <w:t>OSTON</w:t>
      </w:r>
      <w:r w:rsidRPr="00B97377">
        <w:rPr>
          <w:color w:val="000000" w:themeColor="text1"/>
          <w:spacing w:val="-3"/>
          <w:sz w:val="16"/>
        </w:rPr>
        <w:t xml:space="preserve"> </w:t>
      </w:r>
      <w:r>
        <w:rPr>
          <w:sz w:val="20"/>
        </w:rPr>
        <w:t>G</w:t>
      </w:r>
      <w:r>
        <w:rPr>
          <w:sz w:val="16"/>
        </w:rPr>
        <w:t>LOBE</w:t>
      </w:r>
      <w:r>
        <w:rPr>
          <w:sz w:val="20"/>
        </w:rPr>
        <w:t>,</w:t>
      </w:r>
      <w:r>
        <w:rPr>
          <w:spacing w:val="-3"/>
          <w:sz w:val="20"/>
        </w:rPr>
        <w:t xml:space="preserve"> </w:t>
      </w:r>
      <w:r>
        <w:rPr>
          <w:sz w:val="20"/>
        </w:rPr>
        <w:t>(Sept.</w:t>
      </w:r>
      <w:r>
        <w:rPr>
          <w:spacing w:val="-3"/>
          <w:sz w:val="20"/>
        </w:rPr>
        <w:t xml:space="preserve"> </w:t>
      </w:r>
      <w:r>
        <w:rPr>
          <w:sz w:val="20"/>
        </w:rPr>
        <w:t>23,</w:t>
      </w:r>
      <w:r>
        <w:rPr>
          <w:spacing w:val="-3"/>
          <w:sz w:val="20"/>
        </w:rPr>
        <w:t xml:space="preserve"> </w:t>
      </w:r>
      <w:r>
        <w:rPr>
          <w:sz w:val="20"/>
        </w:rPr>
        <w:t xml:space="preserve">2016), </w:t>
      </w:r>
      <w:r>
        <w:rPr>
          <w:i/>
          <w:sz w:val="20"/>
        </w:rPr>
        <w:t xml:space="preserve">available at </w:t>
      </w:r>
      <w:hyperlink r:id="rId90">
        <w:r>
          <w:rPr>
            <w:color w:val="486794"/>
            <w:sz w:val="20"/>
            <w:u w:val="single" w:color="486794"/>
          </w:rPr>
          <w:t>https://www.bostonglobe.com/metro/regionals/south/2016/09/23/dana-farber-closes-</w:t>
        </w:r>
      </w:hyperlink>
      <w:r>
        <w:rPr>
          <w:color w:val="486794"/>
          <w:sz w:val="20"/>
        </w:rPr>
        <w:t xml:space="preserve"> </w:t>
      </w:r>
      <w:hyperlink r:id="rId91">
        <w:r>
          <w:rPr>
            <w:color w:val="486794"/>
            <w:spacing w:val="-2"/>
            <w:sz w:val="20"/>
            <w:u w:val="single" w:color="486794"/>
          </w:rPr>
          <w:t>offices-quincy-milton-dorchester/EF5XFVuQ2Eklf7TOoUV2LL/story.html</w:t>
        </w:r>
        <w:r>
          <w:rPr>
            <w:spacing w:val="-2"/>
            <w:sz w:val="20"/>
          </w:rPr>
          <w:t>.</w:t>
        </w:r>
      </w:hyperlink>
    </w:p>
  </w:footnote>
  <w:footnote w:id="49">
    <w:p w14:paraId="09F6E886" w14:textId="07E372AF" w:rsidR="00C36F02" w:rsidRDefault="00C36F02" w:rsidP="00647633">
      <w:pPr>
        <w:pStyle w:val="FootnoteText"/>
        <w:ind w:left="990" w:right="940"/>
      </w:pPr>
      <w:r>
        <w:rPr>
          <w:rStyle w:val="FootnoteReference"/>
        </w:rPr>
        <w:footnoteRef/>
      </w:r>
      <w:r>
        <w:t xml:space="preserve"> DFCI</w:t>
      </w:r>
      <w:r>
        <w:rPr>
          <w:spacing w:val="-13"/>
        </w:rPr>
        <w:t xml:space="preserve"> </w:t>
      </w:r>
      <w:r>
        <w:t>MA-RPO</w:t>
      </w:r>
      <w:r>
        <w:rPr>
          <w:spacing w:val="-12"/>
        </w:rPr>
        <w:t xml:space="preserve"> </w:t>
      </w:r>
      <w:r>
        <w:t>F</w:t>
      </w:r>
      <w:r>
        <w:rPr>
          <w:sz w:val="16"/>
        </w:rPr>
        <w:t>ILING</w:t>
      </w:r>
      <w:r>
        <w:t>,</w:t>
      </w:r>
      <w:r>
        <w:rPr>
          <w:spacing w:val="-5"/>
        </w:rPr>
        <w:t xml:space="preserve"> </w:t>
      </w:r>
      <w:r>
        <w:rPr>
          <w:i/>
        </w:rPr>
        <w:t>supra</w:t>
      </w:r>
      <w:r>
        <w:rPr>
          <w:i/>
          <w:spacing w:val="-6"/>
        </w:rPr>
        <w:t xml:space="preserve"> </w:t>
      </w:r>
      <w:r>
        <w:t>note</w:t>
      </w:r>
      <w:r>
        <w:rPr>
          <w:spacing w:val="-5"/>
        </w:rPr>
        <w:t xml:space="preserve"> </w:t>
      </w:r>
      <w:hyperlink w:anchor="_bookmark43" w:history="1">
        <w:r>
          <w:rPr>
            <w:spacing w:val="-5"/>
          </w:rPr>
          <w:t>36.</w:t>
        </w:r>
      </w:hyperlink>
    </w:p>
  </w:footnote>
  <w:footnote w:id="50">
    <w:p w14:paraId="5B23D272" w14:textId="4F35507C" w:rsidR="00DF2E17" w:rsidRDefault="00DF2E17" w:rsidP="00647633">
      <w:pPr>
        <w:pStyle w:val="FootnoteText"/>
        <w:ind w:left="990" w:right="940"/>
      </w:pPr>
      <w:r>
        <w:rPr>
          <w:rStyle w:val="FootnoteReference"/>
        </w:rPr>
        <w:footnoteRef/>
      </w:r>
      <w:r>
        <w:t xml:space="preserve"> </w:t>
      </w:r>
      <w:hyperlink r:id="rId92" w:history="1">
        <w:r w:rsidR="0023011C" w:rsidRPr="00DF183C">
          <w:rPr>
            <w:rStyle w:val="Hyperlink"/>
            <w:i/>
            <w:color w:val="000000" w:themeColor="text1"/>
            <w:u w:val="none"/>
          </w:rPr>
          <w:t>Collaborations</w:t>
        </w:r>
        <w:r w:rsidR="0023011C" w:rsidRPr="00DF183C">
          <w:rPr>
            <w:rStyle w:val="Hyperlink"/>
            <w:color w:val="000000" w:themeColor="text1"/>
            <w:u w:val="none"/>
          </w:rPr>
          <w:t>,</w:t>
        </w:r>
        <w:r w:rsidR="0023011C" w:rsidRPr="00DF183C">
          <w:rPr>
            <w:rStyle w:val="Hyperlink"/>
            <w:color w:val="000000" w:themeColor="text1"/>
            <w:spacing w:val="-6"/>
            <w:u w:val="none"/>
          </w:rPr>
          <w:t xml:space="preserve"> </w:t>
        </w:r>
        <w:r w:rsidR="0023011C" w:rsidRPr="00DF183C">
          <w:rPr>
            <w:rStyle w:val="Hyperlink"/>
            <w:color w:val="000000" w:themeColor="text1"/>
            <w:u w:val="none"/>
          </w:rPr>
          <w:t>D</w:t>
        </w:r>
        <w:r w:rsidR="0023011C" w:rsidRPr="00DF183C">
          <w:rPr>
            <w:rStyle w:val="Hyperlink"/>
            <w:color w:val="000000" w:themeColor="text1"/>
            <w:sz w:val="16"/>
            <w:u w:val="none"/>
          </w:rPr>
          <w:t>ANA</w:t>
        </w:r>
        <w:r w:rsidR="0023011C" w:rsidRPr="00DF183C">
          <w:rPr>
            <w:rStyle w:val="Hyperlink"/>
            <w:color w:val="000000" w:themeColor="text1"/>
            <w:u w:val="none"/>
          </w:rPr>
          <w:t>-F</w:t>
        </w:r>
        <w:r w:rsidR="0023011C" w:rsidRPr="00DF183C">
          <w:rPr>
            <w:rStyle w:val="Hyperlink"/>
            <w:color w:val="000000" w:themeColor="text1"/>
            <w:sz w:val="16"/>
            <w:u w:val="none"/>
          </w:rPr>
          <w:t>ARBER</w:t>
        </w:r>
        <w:r w:rsidR="0023011C" w:rsidRPr="00DF183C">
          <w:rPr>
            <w:rStyle w:val="Hyperlink"/>
            <w:color w:val="000000" w:themeColor="text1"/>
            <w:spacing w:val="-7"/>
            <w:sz w:val="16"/>
            <w:u w:val="none"/>
          </w:rPr>
          <w:t xml:space="preserve"> </w:t>
        </w:r>
        <w:r w:rsidR="0023011C" w:rsidRPr="00DF183C">
          <w:rPr>
            <w:rStyle w:val="Hyperlink"/>
            <w:color w:val="000000" w:themeColor="text1"/>
            <w:u w:val="none"/>
          </w:rPr>
          <w:t>C</w:t>
        </w:r>
        <w:r w:rsidR="0023011C" w:rsidRPr="00DF183C">
          <w:rPr>
            <w:rStyle w:val="Hyperlink"/>
            <w:color w:val="000000" w:themeColor="text1"/>
            <w:sz w:val="16"/>
            <w:u w:val="none"/>
          </w:rPr>
          <w:t>ANCER</w:t>
        </w:r>
        <w:r w:rsidR="0023011C" w:rsidRPr="00DF183C">
          <w:rPr>
            <w:rStyle w:val="Hyperlink"/>
            <w:color w:val="000000" w:themeColor="text1"/>
            <w:spacing w:val="-7"/>
            <w:sz w:val="16"/>
            <w:u w:val="none"/>
          </w:rPr>
          <w:t xml:space="preserve"> </w:t>
        </w:r>
        <w:r w:rsidR="0023011C" w:rsidRPr="00DF183C">
          <w:rPr>
            <w:rStyle w:val="Hyperlink"/>
            <w:color w:val="000000" w:themeColor="text1"/>
            <w:u w:val="none"/>
          </w:rPr>
          <w:t>I</w:t>
        </w:r>
        <w:r w:rsidR="0023011C" w:rsidRPr="00DF183C">
          <w:rPr>
            <w:rStyle w:val="Hyperlink"/>
            <w:color w:val="000000" w:themeColor="text1"/>
            <w:sz w:val="16"/>
            <w:u w:val="none"/>
          </w:rPr>
          <w:t>NSTITUTE</w:t>
        </w:r>
      </w:hyperlink>
      <w:r w:rsidR="0023011C" w:rsidRPr="00DF183C">
        <w:rPr>
          <w:color w:val="000000" w:themeColor="text1"/>
        </w:rPr>
        <w:t>,</w:t>
      </w:r>
      <w:r w:rsidR="0023011C" w:rsidRPr="00DF183C">
        <w:rPr>
          <w:color w:val="000000" w:themeColor="text1"/>
          <w:spacing w:val="-8"/>
        </w:rPr>
        <w:t xml:space="preserve"> </w:t>
      </w:r>
      <w:hyperlink r:id="rId93">
        <w:r w:rsidR="0023011C">
          <w:rPr>
            <w:color w:val="486794"/>
            <w:u w:val="single" w:color="486794"/>
          </w:rPr>
          <w:t>https://www.dana-farber.org/about/collaborations</w:t>
        </w:r>
      </w:hyperlink>
      <w:r w:rsidR="0023011C">
        <w:rPr>
          <w:color w:val="486794"/>
          <w:spacing w:val="-6"/>
        </w:rPr>
        <w:t xml:space="preserve"> </w:t>
      </w:r>
      <w:r w:rsidR="0023011C">
        <w:t>(last visited February 27, 2025).</w:t>
      </w:r>
    </w:p>
  </w:footnote>
  <w:footnote w:id="51">
    <w:p w14:paraId="2A87B182" w14:textId="4BAF3451" w:rsidR="00647633" w:rsidRDefault="00647633" w:rsidP="00647633">
      <w:pPr>
        <w:pStyle w:val="FootnoteText"/>
        <w:ind w:left="990" w:right="940"/>
      </w:pPr>
      <w:r>
        <w:rPr>
          <w:rStyle w:val="FootnoteReference"/>
        </w:rPr>
        <w:footnoteRef/>
      </w:r>
      <w:r>
        <w:t xml:space="preserve"> </w:t>
      </w:r>
      <w:r>
        <w:rPr>
          <w:i/>
          <w:spacing w:val="-5"/>
        </w:rPr>
        <w:t>Id</w:t>
      </w:r>
      <w:r>
        <w:rPr>
          <w:spacing w:val="-5"/>
        </w:rPr>
        <w:t>.</w:t>
      </w:r>
    </w:p>
  </w:footnote>
  <w:footnote w:id="52">
    <w:p w14:paraId="5B6B1355" w14:textId="328DB02C" w:rsidR="00B679A0" w:rsidRDefault="00B679A0" w:rsidP="007400F3">
      <w:pPr>
        <w:pStyle w:val="FootnoteText"/>
        <w:ind w:left="900" w:right="940"/>
      </w:pPr>
      <w:r>
        <w:rPr>
          <w:rStyle w:val="FootnoteReference"/>
        </w:rPr>
        <w:footnoteRef/>
      </w:r>
      <w:r>
        <w:t xml:space="preserve"> DFCI</w:t>
      </w:r>
      <w:r>
        <w:rPr>
          <w:spacing w:val="-13"/>
        </w:rPr>
        <w:t xml:space="preserve"> </w:t>
      </w:r>
      <w:r>
        <w:t>MA-RPO</w:t>
      </w:r>
      <w:r>
        <w:rPr>
          <w:spacing w:val="-12"/>
        </w:rPr>
        <w:t xml:space="preserve"> </w:t>
      </w:r>
      <w:r>
        <w:t>F</w:t>
      </w:r>
      <w:r>
        <w:rPr>
          <w:sz w:val="16"/>
        </w:rPr>
        <w:t>ILING</w:t>
      </w:r>
      <w:r>
        <w:t>,</w:t>
      </w:r>
      <w:r>
        <w:rPr>
          <w:spacing w:val="-5"/>
        </w:rPr>
        <w:t xml:space="preserve"> </w:t>
      </w:r>
      <w:r>
        <w:rPr>
          <w:i/>
        </w:rPr>
        <w:t>supra</w:t>
      </w:r>
      <w:r>
        <w:rPr>
          <w:i/>
          <w:spacing w:val="-6"/>
        </w:rPr>
        <w:t xml:space="preserve"> </w:t>
      </w:r>
      <w:r>
        <w:t>note</w:t>
      </w:r>
      <w:r>
        <w:rPr>
          <w:spacing w:val="-5"/>
        </w:rPr>
        <w:t xml:space="preserve"> </w:t>
      </w:r>
      <w:hyperlink w:anchor="_bookmark43" w:history="1">
        <w:r>
          <w:rPr>
            <w:spacing w:val="-5"/>
          </w:rPr>
          <w:t>36.</w:t>
        </w:r>
      </w:hyperlink>
    </w:p>
  </w:footnote>
  <w:footnote w:id="53">
    <w:p w14:paraId="01B2FE67" w14:textId="495FFEB2" w:rsidR="00B07781" w:rsidRDefault="00B07781" w:rsidP="007400F3">
      <w:pPr>
        <w:pStyle w:val="FootnoteText"/>
        <w:ind w:left="900" w:right="940"/>
      </w:pPr>
      <w:r>
        <w:rPr>
          <w:rStyle w:val="FootnoteReference"/>
        </w:rPr>
        <w:footnoteRef/>
      </w:r>
      <w:r>
        <w:t xml:space="preserve"> </w:t>
      </w:r>
      <w:hyperlink r:id="rId94" w:history="1">
        <w:r w:rsidR="007400F3" w:rsidRPr="008020BA">
          <w:rPr>
            <w:rStyle w:val="Hyperlink"/>
            <w:i/>
            <w:color w:val="000000" w:themeColor="text1"/>
            <w:u w:val="none"/>
          </w:rPr>
          <w:t>Cancer and Blood Disorders Center</w:t>
        </w:r>
      </w:hyperlink>
      <w:r w:rsidR="007400F3" w:rsidRPr="008020BA">
        <w:rPr>
          <w:color w:val="000000" w:themeColor="text1"/>
        </w:rPr>
        <w:t xml:space="preserve">, </w:t>
      </w:r>
      <w:r w:rsidR="007400F3">
        <w:t>B</w:t>
      </w:r>
      <w:r w:rsidR="007400F3">
        <w:rPr>
          <w:sz w:val="16"/>
        </w:rPr>
        <w:t xml:space="preserve">OSTON </w:t>
      </w:r>
      <w:r w:rsidR="007400F3">
        <w:t>C</w:t>
      </w:r>
      <w:r w:rsidR="007400F3">
        <w:rPr>
          <w:sz w:val="16"/>
        </w:rPr>
        <w:t>HILDREN</w:t>
      </w:r>
      <w:r w:rsidR="007400F3">
        <w:t>’</w:t>
      </w:r>
      <w:r w:rsidR="007400F3">
        <w:rPr>
          <w:sz w:val="16"/>
        </w:rPr>
        <w:t xml:space="preserve">S </w:t>
      </w:r>
      <w:r w:rsidR="007400F3">
        <w:t>H</w:t>
      </w:r>
      <w:r w:rsidR="007400F3">
        <w:rPr>
          <w:sz w:val="16"/>
        </w:rPr>
        <w:t>OSPITAL</w:t>
      </w:r>
      <w:r w:rsidR="007400F3">
        <w:t xml:space="preserve">, </w:t>
      </w:r>
      <w:hyperlink r:id="rId95">
        <w:r w:rsidR="007400F3">
          <w:rPr>
            <w:color w:val="486794"/>
            <w:u w:val="single" w:color="486794"/>
          </w:rPr>
          <w:t>https://www.childrenshospital.org/centers/cancer-and-blood-disorders-center</w:t>
        </w:r>
      </w:hyperlink>
      <w:r w:rsidR="007400F3">
        <w:rPr>
          <w:color w:val="486794"/>
          <w:spacing w:val="-11"/>
        </w:rPr>
        <w:t xml:space="preserve"> </w:t>
      </w:r>
      <w:r w:rsidR="007400F3">
        <w:t>(last</w:t>
      </w:r>
      <w:r w:rsidR="007400F3">
        <w:rPr>
          <w:spacing w:val="-9"/>
        </w:rPr>
        <w:t xml:space="preserve"> </w:t>
      </w:r>
      <w:r w:rsidR="007400F3">
        <w:t>visited</w:t>
      </w:r>
      <w:r w:rsidR="007400F3">
        <w:rPr>
          <w:spacing w:val="-9"/>
        </w:rPr>
        <w:t xml:space="preserve"> </w:t>
      </w:r>
      <w:r w:rsidR="007400F3">
        <w:t>February</w:t>
      </w:r>
      <w:r w:rsidR="007400F3">
        <w:rPr>
          <w:spacing w:val="-11"/>
        </w:rPr>
        <w:t xml:space="preserve"> </w:t>
      </w:r>
      <w:r w:rsidR="007400F3">
        <w:t>27, 2025); DFCI MA-RPO F</w:t>
      </w:r>
      <w:r w:rsidR="007400F3">
        <w:rPr>
          <w:sz w:val="16"/>
        </w:rPr>
        <w:t>ILING</w:t>
      </w:r>
      <w:r w:rsidR="007400F3">
        <w:t xml:space="preserve">, </w:t>
      </w:r>
      <w:r w:rsidR="007400F3">
        <w:rPr>
          <w:i/>
        </w:rPr>
        <w:t xml:space="preserve">supra </w:t>
      </w:r>
      <w:r w:rsidR="007400F3">
        <w:t xml:space="preserve">note </w:t>
      </w:r>
      <w:hyperlink w:anchor="_bookmark43" w:history="1">
        <w:r w:rsidR="007400F3">
          <w:t>36.</w:t>
        </w:r>
      </w:hyperlink>
    </w:p>
  </w:footnote>
  <w:footnote w:id="54">
    <w:p w14:paraId="31B4E398" w14:textId="627BD05A" w:rsidR="00FF1B34" w:rsidRDefault="00FF1B34" w:rsidP="00FF1B34">
      <w:pPr>
        <w:spacing w:before="92"/>
        <w:ind w:left="960" w:right="1034"/>
        <w:rPr>
          <w:i/>
          <w:sz w:val="20"/>
        </w:rPr>
      </w:pPr>
      <w:r>
        <w:rPr>
          <w:rStyle w:val="FootnoteReference"/>
        </w:rPr>
        <w:footnoteRef/>
      </w:r>
      <w:r>
        <w:t xml:space="preserve"> </w:t>
      </w:r>
      <w:r>
        <w:rPr>
          <w:i/>
          <w:sz w:val="20"/>
        </w:rPr>
        <w:t xml:space="preserve">See </w:t>
      </w:r>
      <w:hyperlink r:id="rId96" w:history="1">
        <w:r w:rsidRPr="00684A9E">
          <w:rPr>
            <w:rStyle w:val="Hyperlink"/>
            <w:color w:val="000000" w:themeColor="text1"/>
            <w:sz w:val="20"/>
            <w:u w:val="none"/>
          </w:rPr>
          <w:t>M</w:t>
        </w:r>
        <w:r w:rsidRPr="00684A9E">
          <w:rPr>
            <w:rStyle w:val="Hyperlink"/>
            <w:color w:val="000000" w:themeColor="text1"/>
            <w:sz w:val="16"/>
            <w:u w:val="none"/>
          </w:rPr>
          <w:t>ASS</w:t>
        </w:r>
        <w:r w:rsidRPr="00684A9E">
          <w:rPr>
            <w:rStyle w:val="Hyperlink"/>
            <w:color w:val="000000" w:themeColor="text1"/>
            <w:sz w:val="20"/>
            <w:u w:val="none"/>
          </w:rPr>
          <w:t>.</w:t>
        </w:r>
        <w:r w:rsidRPr="00684A9E">
          <w:rPr>
            <w:rStyle w:val="Hyperlink"/>
            <w:color w:val="000000" w:themeColor="text1"/>
            <w:spacing w:val="-2"/>
            <w:sz w:val="20"/>
            <w:u w:val="none"/>
          </w:rPr>
          <w:t xml:space="preserve"> </w:t>
        </w:r>
        <w:r w:rsidRPr="00684A9E">
          <w:rPr>
            <w:rStyle w:val="Hyperlink"/>
            <w:color w:val="000000" w:themeColor="text1"/>
            <w:sz w:val="20"/>
            <w:u w:val="none"/>
          </w:rPr>
          <w:t>H</w:t>
        </w:r>
        <w:r w:rsidRPr="00684A9E">
          <w:rPr>
            <w:rStyle w:val="Hyperlink"/>
            <w:color w:val="000000" w:themeColor="text1"/>
            <w:sz w:val="16"/>
            <w:u w:val="none"/>
          </w:rPr>
          <w:t xml:space="preserve">EALTH </w:t>
        </w:r>
        <w:r w:rsidRPr="00684A9E">
          <w:rPr>
            <w:rStyle w:val="Hyperlink"/>
            <w:color w:val="000000" w:themeColor="text1"/>
            <w:sz w:val="20"/>
            <w:u w:val="none"/>
          </w:rPr>
          <w:t>P</w:t>
        </w:r>
        <w:r w:rsidRPr="00684A9E">
          <w:rPr>
            <w:rStyle w:val="Hyperlink"/>
            <w:color w:val="000000" w:themeColor="text1"/>
            <w:sz w:val="16"/>
            <w:u w:val="none"/>
          </w:rPr>
          <w:t xml:space="preserve">OLICY </w:t>
        </w:r>
        <w:r w:rsidRPr="00684A9E">
          <w:rPr>
            <w:rStyle w:val="Hyperlink"/>
            <w:color w:val="000000" w:themeColor="text1"/>
            <w:sz w:val="20"/>
            <w:u w:val="none"/>
          </w:rPr>
          <w:t>C</w:t>
        </w:r>
        <w:r w:rsidRPr="00684A9E">
          <w:rPr>
            <w:rStyle w:val="Hyperlink"/>
            <w:color w:val="000000" w:themeColor="text1"/>
            <w:sz w:val="16"/>
            <w:u w:val="none"/>
          </w:rPr>
          <w:t>OMM</w:t>
        </w:r>
        <w:r w:rsidRPr="00684A9E">
          <w:rPr>
            <w:rStyle w:val="Hyperlink"/>
            <w:color w:val="000000" w:themeColor="text1"/>
            <w:sz w:val="20"/>
            <w:u w:val="none"/>
          </w:rPr>
          <w:t>’</w:t>
        </w:r>
        <w:r w:rsidRPr="00684A9E">
          <w:rPr>
            <w:rStyle w:val="Hyperlink"/>
            <w:color w:val="000000" w:themeColor="text1"/>
            <w:sz w:val="16"/>
            <w:u w:val="none"/>
          </w:rPr>
          <w:t>N</w:t>
        </w:r>
        <w:r w:rsidRPr="00684A9E">
          <w:rPr>
            <w:rStyle w:val="Hyperlink"/>
            <w:color w:val="000000" w:themeColor="text1"/>
            <w:sz w:val="20"/>
            <w:u w:val="none"/>
          </w:rPr>
          <w:t>, R</w:t>
        </w:r>
        <w:r w:rsidRPr="00684A9E">
          <w:rPr>
            <w:rStyle w:val="Hyperlink"/>
            <w:color w:val="000000" w:themeColor="text1"/>
            <w:sz w:val="16"/>
            <w:u w:val="none"/>
          </w:rPr>
          <w:t xml:space="preserve">EVIEW OF </w:t>
        </w:r>
        <w:r w:rsidRPr="00684A9E">
          <w:rPr>
            <w:rStyle w:val="Hyperlink"/>
            <w:color w:val="000000" w:themeColor="text1"/>
            <w:sz w:val="20"/>
            <w:u w:val="none"/>
          </w:rPr>
          <w:t>T</w:t>
        </w:r>
        <w:r w:rsidRPr="00684A9E">
          <w:rPr>
            <w:rStyle w:val="Hyperlink"/>
            <w:color w:val="000000" w:themeColor="text1"/>
            <w:sz w:val="16"/>
            <w:u w:val="none"/>
          </w:rPr>
          <w:t xml:space="preserve">HE </w:t>
        </w:r>
        <w:r w:rsidRPr="00684A9E">
          <w:rPr>
            <w:rStyle w:val="Hyperlink"/>
            <w:color w:val="000000" w:themeColor="text1"/>
            <w:sz w:val="20"/>
            <w:u w:val="none"/>
          </w:rPr>
          <w:t>P</w:t>
        </w:r>
        <w:r w:rsidRPr="00684A9E">
          <w:rPr>
            <w:rStyle w:val="Hyperlink"/>
            <w:color w:val="000000" w:themeColor="text1"/>
            <w:sz w:val="16"/>
            <w:u w:val="none"/>
          </w:rPr>
          <w:t xml:space="preserve">ROPOSED </w:t>
        </w:r>
        <w:r w:rsidRPr="00684A9E">
          <w:rPr>
            <w:rStyle w:val="Hyperlink"/>
            <w:color w:val="000000" w:themeColor="text1"/>
            <w:sz w:val="20"/>
            <w:u w:val="none"/>
          </w:rPr>
          <w:t>M</w:t>
        </w:r>
        <w:r w:rsidRPr="00684A9E">
          <w:rPr>
            <w:rStyle w:val="Hyperlink"/>
            <w:color w:val="000000" w:themeColor="text1"/>
            <w:sz w:val="16"/>
            <w:u w:val="none"/>
          </w:rPr>
          <w:t xml:space="preserve">ERGER OF </w:t>
        </w:r>
        <w:r w:rsidRPr="00684A9E">
          <w:rPr>
            <w:rStyle w:val="Hyperlink"/>
            <w:color w:val="000000" w:themeColor="text1"/>
            <w:sz w:val="20"/>
            <w:u w:val="none"/>
          </w:rPr>
          <w:t>L</w:t>
        </w:r>
        <w:r w:rsidRPr="00684A9E">
          <w:rPr>
            <w:rStyle w:val="Hyperlink"/>
            <w:color w:val="000000" w:themeColor="text1"/>
            <w:sz w:val="16"/>
            <w:u w:val="none"/>
          </w:rPr>
          <w:t xml:space="preserve">AHEY </w:t>
        </w:r>
        <w:r w:rsidRPr="00684A9E">
          <w:rPr>
            <w:rStyle w:val="Hyperlink"/>
            <w:color w:val="000000" w:themeColor="text1"/>
            <w:sz w:val="20"/>
            <w:u w:val="none"/>
          </w:rPr>
          <w:t>H</w:t>
        </w:r>
        <w:r w:rsidRPr="00684A9E">
          <w:rPr>
            <w:rStyle w:val="Hyperlink"/>
            <w:color w:val="000000" w:themeColor="text1"/>
            <w:sz w:val="16"/>
            <w:u w:val="none"/>
          </w:rPr>
          <w:t xml:space="preserve">EALTH </w:t>
        </w:r>
        <w:r w:rsidRPr="00684A9E">
          <w:rPr>
            <w:rStyle w:val="Hyperlink"/>
            <w:color w:val="000000" w:themeColor="text1"/>
            <w:sz w:val="20"/>
            <w:u w:val="none"/>
          </w:rPr>
          <w:t>S</w:t>
        </w:r>
        <w:r w:rsidRPr="00684A9E">
          <w:rPr>
            <w:rStyle w:val="Hyperlink"/>
            <w:color w:val="000000" w:themeColor="text1"/>
            <w:sz w:val="16"/>
            <w:u w:val="none"/>
          </w:rPr>
          <w:t>YSTEM</w:t>
        </w:r>
        <w:r w:rsidRPr="00684A9E">
          <w:rPr>
            <w:rStyle w:val="Hyperlink"/>
            <w:color w:val="000000" w:themeColor="text1"/>
            <w:sz w:val="20"/>
            <w:u w:val="none"/>
          </w:rPr>
          <w:t>;</w:t>
        </w:r>
        <w:r w:rsidRPr="00684A9E">
          <w:rPr>
            <w:rStyle w:val="Hyperlink"/>
            <w:color w:val="000000" w:themeColor="text1"/>
            <w:spacing w:val="-2"/>
            <w:sz w:val="20"/>
            <w:u w:val="none"/>
          </w:rPr>
          <w:t xml:space="preserve"> </w:t>
        </w:r>
        <w:r w:rsidRPr="00684A9E">
          <w:rPr>
            <w:rStyle w:val="Hyperlink"/>
            <w:color w:val="000000" w:themeColor="text1"/>
            <w:sz w:val="20"/>
            <w:u w:val="none"/>
          </w:rPr>
          <w:t>C</w:t>
        </w:r>
        <w:r w:rsidRPr="00684A9E">
          <w:rPr>
            <w:rStyle w:val="Hyperlink"/>
            <w:color w:val="000000" w:themeColor="text1"/>
            <w:sz w:val="16"/>
            <w:u w:val="none"/>
          </w:rPr>
          <w:t>ARE</w:t>
        </w:r>
        <w:r w:rsidRPr="00684A9E">
          <w:rPr>
            <w:rStyle w:val="Hyperlink"/>
            <w:color w:val="000000" w:themeColor="text1"/>
            <w:sz w:val="20"/>
            <w:u w:val="none"/>
          </w:rPr>
          <w:t>G</w:t>
        </w:r>
        <w:r w:rsidRPr="00684A9E">
          <w:rPr>
            <w:rStyle w:val="Hyperlink"/>
            <w:color w:val="000000" w:themeColor="text1"/>
            <w:sz w:val="16"/>
            <w:u w:val="none"/>
          </w:rPr>
          <w:t>ROUP AND</w:t>
        </w:r>
        <w:r w:rsidRPr="00684A9E">
          <w:rPr>
            <w:rStyle w:val="Hyperlink"/>
            <w:color w:val="000000" w:themeColor="text1"/>
            <w:spacing w:val="40"/>
            <w:sz w:val="16"/>
            <w:u w:val="none"/>
          </w:rPr>
          <w:t xml:space="preserve"> </w:t>
        </w:r>
        <w:r w:rsidRPr="00684A9E">
          <w:rPr>
            <w:rStyle w:val="Hyperlink"/>
            <w:color w:val="000000" w:themeColor="text1"/>
            <w:sz w:val="16"/>
            <w:u w:val="none"/>
          </w:rPr>
          <w:t>ITS</w:t>
        </w:r>
        <w:r w:rsidRPr="00684A9E">
          <w:rPr>
            <w:rStyle w:val="Hyperlink"/>
            <w:color w:val="000000" w:themeColor="text1"/>
            <w:spacing w:val="-3"/>
            <w:sz w:val="16"/>
            <w:u w:val="none"/>
          </w:rPr>
          <w:t xml:space="preserve"> </w:t>
        </w:r>
        <w:r w:rsidRPr="00684A9E">
          <w:rPr>
            <w:rStyle w:val="Hyperlink"/>
            <w:color w:val="000000" w:themeColor="text1"/>
            <w:sz w:val="20"/>
            <w:u w:val="none"/>
          </w:rPr>
          <w:t>C</w:t>
        </w:r>
        <w:r w:rsidRPr="00684A9E">
          <w:rPr>
            <w:rStyle w:val="Hyperlink"/>
            <w:color w:val="000000" w:themeColor="text1"/>
            <w:sz w:val="16"/>
            <w:u w:val="none"/>
          </w:rPr>
          <w:t>OMPONENT</w:t>
        </w:r>
        <w:r w:rsidRPr="00684A9E">
          <w:rPr>
            <w:rStyle w:val="Hyperlink"/>
            <w:color w:val="000000" w:themeColor="text1"/>
            <w:spacing w:val="-1"/>
            <w:sz w:val="16"/>
            <w:u w:val="none"/>
          </w:rPr>
          <w:t xml:space="preserve"> </w:t>
        </w:r>
        <w:r w:rsidRPr="00684A9E">
          <w:rPr>
            <w:rStyle w:val="Hyperlink"/>
            <w:color w:val="000000" w:themeColor="text1"/>
            <w:sz w:val="20"/>
            <w:u w:val="none"/>
          </w:rPr>
          <w:t>P</w:t>
        </w:r>
        <w:r w:rsidRPr="00684A9E">
          <w:rPr>
            <w:rStyle w:val="Hyperlink"/>
            <w:color w:val="000000" w:themeColor="text1"/>
            <w:sz w:val="16"/>
            <w:u w:val="none"/>
          </w:rPr>
          <w:t>ARTS</w:t>
        </w:r>
        <w:r w:rsidRPr="00684A9E">
          <w:rPr>
            <w:rStyle w:val="Hyperlink"/>
            <w:color w:val="000000" w:themeColor="text1"/>
            <w:sz w:val="20"/>
            <w:u w:val="none"/>
          </w:rPr>
          <w:t>,</w:t>
        </w:r>
        <w:r w:rsidRPr="00684A9E">
          <w:rPr>
            <w:rStyle w:val="Hyperlink"/>
            <w:color w:val="000000" w:themeColor="text1"/>
            <w:spacing w:val="-13"/>
            <w:sz w:val="20"/>
            <w:u w:val="none"/>
          </w:rPr>
          <w:t xml:space="preserve"> </w:t>
        </w:r>
        <w:r w:rsidRPr="00684A9E">
          <w:rPr>
            <w:rStyle w:val="Hyperlink"/>
            <w:color w:val="000000" w:themeColor="text1"/>
            <w:sz w:val="20"/>
            <w:u w:val="none"/>
          </w:rPr>
          <w:t>B</w:t>
        </w:r>
        <w:r w:rsidRPr="00684A9E">
          <w:rPr>
            <w:rStyle w:val="Hyperlink"/>
            <w:color w:val="000000" w:themeColor="text1"/>
            <w:sz w:val="16"/>
            <w:u w:val="none"/>
          </w:rPr>
          <w:t>ETH</w:t>
        </w:r>
        <w:r w:rsidRPr="00684A9E">
          <w:rPr>
            <w:rStyle w:val="Hyperlink"/>
            <w:color w:val="000000" w:themeColor="text1"/>
            <w:spacing w:val="-4"/>
            <w:sz w:val="16"/>
            <w:u w:val="none"/>
          </w:rPr>
          <w:t xml:space="preserve"> </w:t>
        </w:r>
        <w:r w:rsidRPr="00684A9E">
          <w:rPr>
            <w:rStyle w:val="Hyperlink"/>
            <w:color w:val="000000" w:themeColor="text1"/>
            <w:sz w:val="20"/>
            <w:u w:val="none"/>
          </w:rPr>
          <w:t>I</w:t>
        </w:r>
        <w:r w:rsidRPr="00684A9E">
          <w:rPr>
            <w:rStyle w:val="Hyperlink"/>
            <w:color w:val="000000" w:themeColor="text1"/>
            <w:sz w:val="16"/>
            <w:u w:val="none"/>
          </w:rPr>
          <w:t>SRAEL</w:t>
        </w:r>
        <w:r w:rsidRPr="00684A9E">
          <w:rPr>
            <w:rStyle w:val="Hyperlink"/>
            <w:color w:val="000000" w:themeColor="text1"/>
            <w:spacing w:val="-4"/>
            <w:sz w:val="16"/>
            <w:u w:val="none"/>
          </w:rPr>
          <w:t xml:space="preserve"> </w:t>
        </w:r>
        <w:r w:rsidRPr="00684A9E">
          <w:rPr>
            <w:rStyle w:val="Hyperlink"/>
            <w:color w:val="000000" w:themeColor="text1"/>
            <w:sz w:val="20"/>
            <w:u w:val="none"/>
          </w:rPr>
          <w:t>D</w:t>
        </w:r>
        <w:r w:rsidRPr="00684A9E">
          <w:rPr>
            <w:rStyle w:val="Hyperlink"/>
            <w:color w:val="000000" w:themeColor="text1"/>
            <w:sz w:val="16"/>
            <w:u w:val="none"/>
          </w:rPr>
          <w:t>EACONESS</w:t>
        </w:r>
        <w:r w:rsidRPr="00684A9E">
          <w:rPr>
            <w:rStyle w:val="Hyperlink"/>
            <w:color w:val="000000" w:themeColor="text1"/>
            <w:spacing w:val="-4"/>
            <w:sz w:val="16"/>
            <w:u w:val="none"/>
          </w:rPr>
          <w:t xml:space="preserve"> </w:t>
        </w:r>
        <w:r w:rsidRPr="00684A9E">
          <w:rPr>
            <w:rStyle w:val="Hyperlink"/>
            <w:color w:val="000000" w:themeColor="text1"/>
            <w:sz w:val="20"/>
            <w:u w:val="none"/>
          </w:rPr>
          <w:t>M</w:t>
        </w:r>
        <w:r w:rsidRPr="00684A9E">
          <w:rPr>
            <w:rStyle w:val="Hyperlink"/>
            <w:color w:val="000000" w:themeColor="text1"/>
            <w:sz w:val="16"/>
            <w:u w:val="none"/>
          </w:rPr>
          <w:t>EDICAL</w:t>
        </w:r>
        <w:r w:rsidRPr="00684A9E">
          <w:rPr>
            <w:rStyle w:val="Hyperlink"/>
            <w:color w:val="000000" w:themeColor="text1"/>
            <w:spacing w:val="-1"/>
            <w:sz w:val="16"/>
            <w:u w:val="none"/>
          </w:rPr>
          <w:t xml:space="preserve"> </w:t>
        </w:r>
        <w:r w:rsidRPr="00684A9E">
          <w:rPr>
            <w:rStyle w:val="Hyperlink"/>
            <w:color w:val="000000" w:themeColor="text1"/>
            <w:sz w:val="20"/>
            <w:u w:val="none"/>
          </w:rPr>
          <w:t>C</w:t>
        </w:r>
        <w:r w:rsidRPr="00684A9E">
          <w:rPr>
            <w:rStyle w:val="Hyperlink"/>
            <w:color w:val="000000" w:themeColor="text1"/>
            <w:sz w:val="16"/>
            <w:u w:val="none"/>
          </w:rPr>
          <w:t>ENTER</w:t>
        </w:r>
        <w:r w:rsidRPr="00684A9E">
          <w:rPr>
            <w:rStyle w:val="Hyperlink"/>
            <w:color w:val="000000" w:themeColor="text1"/>
            <w:sz w:val="20"/>
            <w:u w:val="none"/>
          </w:rPr>
          <w:t>,</w:t>
        </w:r>
        <w:r w:rsidRPr="00684A9E">
          <w:rPr>
            <w:rStyle w:val="Hyperlink"/>
            <w:color w:val="000000" w:themeColor="text1"/>
            <w:spacing w:val="-11"/>
            <w:sz w:val="20"/>
            <w:u w:val="none"/>
          </w:rPr>
          <w:t xml:space="preserve"> </w:t>
        </w:r>
        <w:r w:rsidRPr="00684A9E">
          <w:rPr>
            <w:rStyle w:val="Hyperlink"/>
            <w:color w:val="000000" w:themeColor="text1"/>
            <w:sz w:val="20"/>
            <w:u w:val="none"/>
          </w:rPr>
          <w:t>N</w:t>
        </w:r>
        <w:r w:rsidRPr="00684A9E">
          <w:rPr>
            <w:rStyle w:val="Hyperlink"/>
            <w:color w:val="000000" w:themeColor="text1"/>
            <w:sz w:val="16"/>
            <w:u w:val="none"/>
          </w:rPr>
          <w:t>EW</w:t>
        </w:r>
        <w:r w:rsidRPr="00684A9E">
          <w:rPr>
            <w:rStyle w:val="Hyperlink"/>
            <w:color w:val="000000" w:themeColor="text1"/>
            <w:spacing w:val="-4"/>
            <w:sz w:val="16"/>
            <w:u w:val="none"/>
          </w:rPr>
          <w:t xml:space="preserve"> </w:t>
        </w:r>
        <w:r w:rsidRPr="00684A9E">
          <w:rPr>
            <w:rStyle w:val="Hyperlink"/>
            <w:color w:val="000000" w:themeColor="text1"/>
            <w:sz w:val="20"/>
            <w:u w:val="none"/>
          </w:rPr>
          <w:t>E</w:t>
        </w:r>
        <w:r w:rsidRPr="00684A9E">
          <w:rPr>
            <w:rStyle w:val="Hyperlink"/>
            <w:color w:val="000000" w:themeColor="text1"/>
            <w:sz w:val="16"/>
            <w:u w:val="none"/>
          </w:rPr>
          <w:t>NGLAND</w:t>
        </w:r>
        <w:r w:rsidRPr="00684A9E">
          <w:rPr>
            <w:rStyle w:val="Hyperlink"/>
            <w:color w:val="000000" w:themeColor="text1"/>
            <w:spacing w:val="-5"/>
            <w:sz w:val="16"/>
            <w:u w:val="none"/>
          </w:rPr>
          <w:t xml:space="preserve"> </w:t>
        </w:r>
        <w:r w:rsidRPr="00684A9E">
          <w:rPr>
            <w:rStyle w:val="Hyperlink"/>
            <w:color w:val="000000" w:themeColor="text1"/>
            <w:sz w:val="20"/>
            <w:u w:val="none"/>
          </w:rPr>
          <w:t>B</w:t>
        </w:r>
        <w:r w:rsidRPr="00684A9E">
          <w:rPr>
            <w:rStyle w:val="Hyperlink"/>
            <w:color w:val="000000" w:themeColor="text1"/>
            <w:sz w:val="16"/>
            <w:u w:val="none"/>
          </w:rPr>
          <w:t>APTIST</w:t>
        </w:r>
        <w:r w:rsidRPr="00684A9E">
          <w:rPr>
            <w:rStyle w:val="Hyperlink"/>
            <w:color w:val="000000" w:themeColor="text1"/>
            <w:spacing w:val="-1"/>
            <w:sz w:val="16"/>
            <w:u w:val="none"/>
          </w:rPr>
          <w:t xml:space="preserve"> </w:t>
        </w:r>
        <w:r w:rsidRPr="00684A9E">
          <w:rPr>
            <w:rStyle w:val="Hyperlink"/>
            <w:color w:val="000000" w:themeColor="text1"/>
            <w:sz w:val="20"/>
            <w:u w:val="none"/>
          </w:rPr>
          <w:t>H</w:t>
        </w:r>
        <w:r w:rsidRPr="00684A9E">
          <w:rPr>
            <w:rStyle w:val="Hyperlink"/>
            <w:color w:val="000000" w:themeColor="text1"/>
            <w:sz w:val="16"/>
            <w:u w:val="none"/>
          </w:rPr>
          <w:t>OSPITAL</w:t>
        </w:r>
        <w:r w:rsidRPr="00684A9E">
          <w:rPr>
            <w:rStyle w:val="Hyperlink"/>
            <w:color w:val="000000" w:themeColor="text1"/>
            <w:sz w:val="20"/>
            <w:u w:val="none"/>
          </w:rPr>
          <w:t>,</w:t>
        </w:r>
        <w:r w:rsidRPr="00684A9E">
          <w:rPr>
            <w:rStyle w:val="Hyperlink"/>
            <w:color w:val="000000" w:themeColor="text1"/>
            <w:spacing w:val="-13"/>
            <w:sz w:val="20"/>
            <w:u w:val="none"/>
          </w:rPr>
          <w:t xml:space="preserve"> </w:t>
        </w:r>
        <w:r w:rsidRPr="00684A9E">
          <w:rPr>
            <w:rStyle w:val="Hyperlink"/>
            <w:color w:val="000000" w:themeColor="text1"/>
            <w:sz w:val="16"/>
            <w:u w:val="none"/>
          </w:rPr>
          <w:t>AND</w:t>
        </w:r>
        <w:r w:rsidRPr="00684A9E">
          <w:rPr>
            <w:rStyle w:val="Hyperlink"/>
            <w:color w:val="000000" w:themeColor="text1"/>
            <w:spacing w:val="-3"/>
            <w:sz w:val="16"/>
            <w:u w:val="none"/>
          </w:rPr>
          <w:t xml:space="preserve"> </w:t>
        </w:r>
        <w:r w:rsidRPr="00684A9E">
          <w:rPr>
            <w:rStyle w:val="Hyperlink"/>
            <w:color w:val="000000" w:themeColor="text1"/>
            <w:sz w:val="20"/>
            <w:u w:val="none"/>
          </w:rPr>
          <w:t>M</w:t>
        </w:r>
        <w:r w:rsidRPr="00684A9E">
          <w:rPr>
            <w:rStyle w:val="Hyperlink"/>
            <w:color w:val="000000" w:themeColor="text1"/>
            <w:sz w:val="16"/>
            <w:u w:val="none"/>
          </w:rPr>
          <w:t>OUNT</w:t>
        </w:r>
        <w:r w:rsidRPr="00684A9E">
          <w:rPr>
            <w:rStyle w:val="Hyperlink"/>
            <w:color w:val="000000" w:themeColor="text1"/>
            <w:spacing w:val="-3"/>
            <w:sz w:val="16"/>
            <w:u w:val="none"/>
          </w:rPr>
          <w:t xml:space="preserve"> </w:t>
        </w:r>
        <w:r w:rsidRPr="00684A9E">
          <w:rPr>
            <w:rStyle w:val="Hyperlink"/>
            <w:color w:val="000000" w:themeColor="text1"/>
            <w:sz w:val="20"/>
            <w:u w:val="none"/>
          </w:rPr>
          <w:t>A</w:t>
        </w:r>
        <w:r w:rsidRPr="00684A9E">
          <w:rPr>
            <w:rStyle w:val="Hyperlink"/>
            <w:color w:val="000000" w:themeColor="text1"/>
            <w:sz w:val="16"/>
            <w:u w:val="none"/>
          </w:rPr>
          <w:t>UBURN</w:t>
        </w:r>
        <w:r w:rsidRPr="00684A9E">
          <w:rPr>
            <w:rStyle w:val="Hyperlink"/>
            <w:color w:val="000000" w:themeColor="text1"/>
            <w:spacing w:val="40"/>
            <w:sz w:val="16"/>
            <w:u w:val="none"/>
          </w:rPr>
          <w:t xml:space="preserve"> </w:t>
        </w:r>
        <w:r w:rsidRPr="00684A9E">
          <w:rPr>
            <w:rStyle w:val="Hyperlink"/>
            <w:color w:val="000000" w:themeColor="text1"/>
            <w:sz w:val="20"/>
            <w:u w:val="none"/>
          </w:rPr>
          <w:t>H</w:t>
        </w:r>
        <w:r w:rsidRPr="00684A9E">
          <w:rPr>
            <w:rStyle w:val="Hyperlink"/>
            <w:color w:val="000000" w:themeColor="text1"/>
            <w:sz w:val="16"/>
            <w:u w:val="none"/>
          </w:rPr>
          <w:t>OSPITAL</w:t>
        </w:r>
        <w:r w:rsidRPr="00684A9E">
          <w:rPr>
            <w:rStyle w:val="Hyperlink"/>
            <w:color w:val="000000" w:themeColor="text1"/>
            <w:sz w:val="20"/>
            <w:u w:val="none"/>
          </w:rPr>
          <w:t>; S</w:t>
        </w:r>
        <w:r w:rsidRPr="00684A9E">
          <w:rPr>
            <w:rStyle w:val="Hyperlink"/>
            <w:color w:val="000000" w:themeColor="text1"/>
            <w:sz w:val="16"/>
            <w:u w:val="none"/>
          </w:rPr>
          <w:t xml:space="preserve">EACOAST </w:t>
        </w:r>
        <w:r w:rsidRPr="00684A9E">
          <w:rPr>
            <w:rStyle w:val="Hyperlink"/>
            <w:color w:val="000000" w:themeColor="text1"/>
            <w:sz w:val="20"/>
            <w:u w:val="none"/>
          </w:rPr>
          <w:t>R</w:t>
        </w:r>
        <w:r w:rsidRPr="00684A9E">
          <w:rPr>
            <w:rStyle w:val="Hyperlink"/>
            <w:color w:val="000000" w:themeColor="text1"/>
            <w:sz w:val="16"/>
            <w:u w:val="none"/>
          </w:rPr>
          <w:t xml:space="preserve">EGIONAL </w:t>
        </w:r>
        <w:r w:rsidRPr="00684A9E">
          <w:rPr>
            <w:rStyle w:val="Hyperlink"/>
            <w:color w:val="000000" w:themeColor="text1"/>
            <w:sz w:val="20"/>
            <w:u w:val="none"/>
          </w:rPr>
          <w:t>H</w:t>
        </w:r>
        <w:r w:rsidRPr="00684A9E">
          <w:rPr>
            <w:rStyle w:val="Hyperlink"/>
            <w:color w:val="000000" w:themeColor="text1"/>
            <w:sz w:val="16"/>
            <w:u w:val="none"/>
          </w:rPr>
          <w:t xml:space="preserve">EALTH </w:t>
        </w:r>
        <w:r w:rsidRPr="00684A9E">
          <w:rPr>
            <w:rStyle w:val="Hyperlink"/>
            <w:color w:val="000000" w:themeColor="text1"/>
            <w:sz w:val="20"/>
            <w:u w:val="none"/>
          </w:rPr>
          <w:t>S</w:t>
        </w:r>
        <w:r w:rsidRPr="00684A9E">
          <w:rPr>
            <w:rStyle w:val="Hyperlink"/>
            <w:color w:val="000000" w:themeColor="text1"/>
            <w:sz w:val="16"/>
            <w:u w:val="none"/>
          </w:rPr>
          <w:t>YSTEMS</w:t>
        </w:r>
        <w:r w:rsidRPr="00684A9E">
          <w:rPr>
            <w:rStyle w:val="Hyperlink"/>
            <w:color w:val="000000" w:themeColor="text1"/>
            <w:sz w:val="20"/>
            <w:u w:val="none"/>
          </w:rPr>
          <w:t>;</w:t>
        </w:r>
        <w:r w:rsidRPr="00684A9E">
          <w:rPr>
            <w:rStyle w:val="Hyperlink"/>
            <w:color w:val="000000" w:themeColor="text1"/>
            <w:spacing w:val="-3"/>
            <w:sz w:val="20"/>
            <w:u w:val="none"/>
          </w:rPr>
          <w:t xml:space="preserve"> </w:t>
        </w:r>
        <w:r w:rsidRPr="00684A9E">
          <w:rPr>
            <w:rStyle w:val="Hyperlink"/>
            <w:color w:val="000000" w:themeColor="text1"/>
            <w:sz w:val="16"/>
            <w:u w:val="none"/>
          </w:rPr>
          <w:t xml:space="preserve">AND </w:t>
        </w:r>
        <w:r w:rsidRPr="00684A9E">
          <w:rPr>
            <w:rStyle w:val="Hyperlink"/>
            <w:color w:val="000000" w:themeColor="text1"/>
            <w:sz w:val="20"/>
            <w:u w:val="none"/>
          </w:rPr>
          <w:t>E</w:t>
        </w:r>
        <w:r w:rsidRPr="00684A9E">
          <w:rPr>
            <w:rStyle w:val="Hyperlink"/>
            <w:color w:val="000000" w:themeColor="text1"/>
            <w:sz w:val="16"/>
            <w:u w:val="none"/>
          </w:rPr>
          <w:t xml:space="preserve">ACH OF THEIR </w:t>
        </w:r>
        <w:r w:rsidRPr="00684A9E">
          <w:rPr>
            <w:rStyle w:val="Hyperlink"/>
            <w:color w:val="000000" w:themeColor="text1"/>
            <w:sz w:val="20"/>
            <w:u w:val="none"/>
          </w:rPr>
          <w:t>C</w:t>
        </w:r>
        <w:r w:rsidRPr="00684A9E">
          <w:rPr>
            <w:rStyle w:val="Hyperlink"/>
            <w:color w:val="000000" w:themeColor="text1"/>
            <w:sz w:val="16"/>
            <w:u w:val="none"/>
          </w:rPr>
          <w:t xml:space="preserve">ORPORATE </w:t>
        </w:r>
        <w:r w:rsidRPr="00684A9E">
          <w:rPr>
            <w:rStyle w:val="Hyperlink"/>
            <w:color w:val="000000" w:themeColor="text1"/>
            <w:sz w:val="20"/>
            <w:u w:val="none"/>
          </w:rPr>
          <w:t>S</w:t>
        </w:r>
        <w:r w:rsidRPr="00684A9E">
          <w:rPr>
            <w:rStyle w:val="Hyperlink"/>
            <w:color w:val="000000" w:themeColor="text1"/>
            <w:sz w:val="16"/>
            <w:u w:val="none"/>
          </w:rPr>
          <w:t xml:space="preserve">UBSIDIARIES INTO </w:t>
        </w:r>
        <w:r w:rsidRPr="00684A9E">
          <w:rPr>
            <w:rStyle w:val="Hyperlink"/>
            <w:color w:val="000000" w:themeColor="text1"/>
            <w:sz w:val="20"/>
            <w:u w:val="none"/>
          </w:rPr>
          <w:t>B</w:t>
        </w:r>
        <w:r w:rsidRPr="00684A9E">
          <w:rPr>
            <w:rStyle w:val="Hyperlink"/>
            <w:color w:val="000000" w:themeColor="text1"/>
            <w:sz w:val="16"/>
            <w:u w:val="none"/>
          </w:rPr>
          <w:t xml:space="preserve">ETH </w:t>
        </w:r>
        <w:r w:rsidRPr="00684A9E">
          <w:rPr>
            <w:rStyle w:val="Hyperlink"/>
            <w:color w:val="000000" w:themeColor="text1"/>
            <w:sz w:val="20"/>
            <w:u w:val="none"/>
          </w:rPr>
          <w:t>I</w:t>
        </w:r>
        <w:r w:rsidRPr="00684A9E">
          <w:rPr>
            <w:rStyle w:val="Hyperlink"/>
            <w:color w:val="000000" w:themeColor="text1"/>
            <w:sz w:val="16"/>
            <w:u w:val="none"/>
          </w:rPr>
          <w:t xml:space="preserve">SRAEL </w:t>
        </w:r>
        <w:r w:rsidRPr="00684A9E">
          <w:rPr>
            <w:rStyle w:val="Hyperlink"/>
            <w:color w:val="000000" w:themeColor="text1"/>
            <w:sz w:val="20"/>
            <w:u w:val="none"/>
          </w:rPr>
          <w:t>L</w:t>
        </w:r>
        <w:r w:rsidRPr="00684A9E">
          <w:rPr>
            <w:rStyle w:val="Hyperlink"/>
            <w:color w:val="000000" w:themeColor="text1"/>
            <w:sz w:val="16"/>
            <w:u w:val="none"/>
          </w:rPr>
          <w:t>AHEY</w:t>
        </w:r>
        <w:r w:rsidRPr="00684A9E">
          <w:rPr>
            <w:rStyle w:val="Hyperlink"/>
            <w:color w:val="000000" w:themeColor="text1"/>
            <w:spacing w:val="40"/>
            <w:sz w:val="16"/>
            <w:u w:val="none"/>
          </w:rPr>
          <w:t xml:space="preserve"> </w:t>
        </w:r>
        <w:r w:rsidRPr="00684A9E">
          <w:rPr>
            <w:rStyle w:val="Hyperlink"/>
            <w:color w:val="000000" w:themeColor="text1"/>
            <w:sz w:val="20"/>
            <w:u w:val="none"/>
          </w:rPr>
          <w:t>H</w:t>
        </w:r>
        <w:r w:rsidRPr="00684A9E">
          <w:rPr>
            <w:rStyle w:val="Hyperlink"/>
            <w:color w:val="000000" w:themeColor="text1"/>
            <w:sz w:val="16"/>
            <w:u w:val="none"/>
          </w:rPr>
          <w:t>EALTH</w:t>
        </w:r>
        <w:r w:rsidRPr="00684A9E">
          <w:rPr>
            <w:rStyle w:val="Hyperlink"/>
            <w:color w:val="000000" w:themeColor="text1"/>
            <w:sz w:val="20"/>
            <w:u w:val="none"/>
          </w:rPr>
          <w:t>;</w:t>
        </w:r>
        <w:r w:rsidRPr="00684A9E">
          <w:rPr>
            <w:rStyle w:val="Hyperlink"/>
            <w:color w:val="000000" w:themeColor="text1"/>
            <w:spacing w:val="-6"/>
            <w:sz w:val="20"/>
            <w:u w:val="none"/>
          </w:rPr>
          <w:t xml:space="preserve"> </w:t>
        </w:r>
        <w:r w:rsidRPr="00684A9E">
          <w:rPr>
            <w:rStyle w:val="Hyperlink"/>
            <w:color w:val="000000" w:themeColor="text1"/>
            <w:sz w:val="20"/>
            <w:u w:val="none"/>
          </w:rPr>
          <w:t>AND</w:t>
        </w:r>
        <w:r w:rsidRPr="00684A9E">
          <w:rPr>
            <w:rStyle w:val="Hyperlink"/>
            <w:color w:val="000000" w:themeColor="text1"/>
            <w:spacing w:val="-6"/>
            <w:sz w:val="20"/>
            <w:u w:val="none"/>
          </w:rPr>
          <w:t xml:space="preserve"> </w:t>
        </w:r>
        <w:r w:rsidRPr="00684A9E">
          <w:rPr>
            <w:rStyle w:val="Hyperlink"/>
            <w:color w:val="000000" w:themeColor="text1"/>
            <w:sz w:val="20"/>
            <w:u w:val="none"/>
          </w:rPr>
          <w:t>T</w:t>
        </w:r>
        <w:r w:rsidRPr="00684A9E">
          <w:rPr>
            <w:rStyle w:val="Hyperlink"/>
            <w:color w:val="000000" w:themeColor="text1"/>
            <w:sz w:val="16"/>
            <w:u w:val="none"/>
          </w:rPr>
          <w:t xml:space="preserve">HE </w:t>
        </w:r>
        <w:r w:rsidRPr="00684A9E">
          <w:rPr>
            <w:rStyle w:val="Hyperlink"/>
            <w:color w:val="000000" w:themeColor="text1"/>
            <w:sz w:val="20"/>
            <w:u w:val="none"/>
          </w:rPr>
          <w:t>A</w:t>
        </w:r>
        <w:r w:rsidRPr="00684A9E">
          <w:rPr>
            <w:rStyle w:val="Hyperlink"/>
            <w:color w:val="000000" w:themeColor="text1"/>
            <w:sz w:val="16"/>
            <w:u w:val="none"/>
          </w:rPr>
          <w:t xml:space="preserve">CQUISITION OF THE </w:t>
        </w:r>
        <w:r w:rsidRPr="00684A9E">
          <w:rPr>
            <w:rStyle w:val="Hyperlink"/>
            <w:color w:val="000000" w:themeColor="text1"/>
            <w:sz w:val="20"/>
            <w:u w:val="none"/>
          </w:rPr>
          <w:t>B</w:t>
        </w:r>
        <w:r w:rsidRPr="00684A9E">
          <w:rPr>
            <w:rStyle w:val="Hyperlink"/>
            <w:color w:val="000000" w:themeColor="text1"/>
            <w:sz w:val="16"/>
            <w:u w:val="none"/>
          </w:rPr>
          <w:t xml:space="preserve">ETH </w:t>
        </w:r>
        <w:r w:rsidRPr="00684A9E">
          <w:rPr>
            <w:rStyle w:val="Hyperlink"/>
            <w:color w:val="000000" w:themeColor="text1"/>
            <w:sz w:val="20"/>
            <w:u w:val="none"/>
          </w:rPr>
          <w:t>I</w:t>
        </w:r>
        <w:r w:rsidRPr="00684A9E">
          <w:rPr>
            <w:rStyle w:val="Hyperlink"/>
            <w:color w:val="000000" w:themeColor="text1"/>
            <w:sz w:val="16"/>
            <w:u w:val="none"/>
          </w:rPr>
          <w:t xml:space="preserve">SRAEL </w:t>
        </w:r>
        <w:r w:rsidRPr="00684A9E">
          <w:rPr>
            <w:rStyle w:val="Hyperlink"/>
            <w:color w:val="000000" w:themeColor="text1"/>
            <w:sz w:val="20"/>
            <w:u w:val="none"/>
          </w:rPr>
          <w:t>D</w:t>
        </w:r>
        <w:r w:rsidRPr="00684A9E">
          <w:rPr>
            <w:rStyle w:val="Hyperlink"/>
            <w:color w:val="000000" w:themeColor="text1"/>
            <w:sz w:val="16"/>
            <w:u w:val="none"/>
          </w:rPr>
          <w:t xml:space="preserve">EACONESS </w:t>
        </w:r>
        <w:r w:rsidRPr="00684A9E">
          <w:rPr>
            <w:rStyle w:val="Hyperlink"/>
            <w:color w:val="000000" w:themeColor="text1"/>
            <w:sz w:val="20"/>
            <w:u w:val="none"/>
          </w:rPr>
          <w:t>C</w:t>
        </w:r>
        <w:r w:rsidRPr="00684A9E">
          <w:rPr>
            <w:rStyle w:val="Hyperlink"/>
            <w:color w:val="000000" w:themeColor="text1"/>
            <w:sz w:val="16"/>
            <w:u w:val="none"/>
          </w:rPr>
          <w:t xml:space="preserve">ARE </w:t>
        </w:r>
        <w:r w:rsidRPr="00684A9E">
          <w:rPr>
            <w:rStyle w:val="Hyperlink"/>
            <w:color w:val="000000" w:themeColor="text1"/>
            <w:sz w:val="20"/>
            <w:u w:val="none"/>
          </w:rPr>
          <w:t>O</w:t>
        </w:r>
        <w:r w:rsidRPr="00684A9E">
          <w:rPr>
            <w:rStyle w:val="Hyperlink"/>
            <w:color w:val="000000" w:themeColor="text1"/>
            <w:sz w:val="16"/>
            <w:u w:val="none"/>
          </w:rPr>
          <w:t xml:space="preserve">RGANIZATION BY </w:t>
        </w:r>
        <w:r w:rsidRPr="00684A9E">
          <w:rPr>
            <w:rStyle w:val="Hyperlink"/>
            <w:color w:val="000000" w:themeColor="text1"/>
            <w:sz w:val="20"/>
            <w:u w:val="none"/>
          </w:rPr>
          <w:t>B</w:t>
        </w:r>
        <w:r w:rsidRPr="00684A9E">
          <w:rPr>
            <w:rStyle w:val="Hyperlink"/>
            <w:color w:val="000000" w:themeColor="text1"/>
            <w:sz w:val="16"/>
            <w:u w:val="none"/>
          </w:rPr>
          <w:t xml:space="preserve">ETH </w:t>
        </w:r>
        <w:r w:rsidRPr="00684A9E">
          <w:rPr>
            <w:rStyle w:val="Hyperlink"/>
            <w:color w:val="000000" w:themeColor="text1"/>
            <w:sz w:val="20"/>
            <w:u w:val="none"/>
          </w:rPr>
          <w:t>I</w:t>
        </w:r>
        <w:r w:rsidRPr="00684A9E">
          <w:rPr>
            <w:rStyle w:val="Hyperlink"/>
            <w:color w:val="000000" w:themeColor="text1"/>
            <w:sz w:val="16"/>
            <w:u w:val="none"/>
          </w:rPr>
          <w:t xml:space="preserve">SRAEL </w:t>
        </w:r>
        <w:r w:rsidRPr="00684A9E">
          <w:rPr>
            <w:rStyle w:val="Hyperlink"/>
            <w:color w:val="000000" w:themeColor="text1"/>
            <w:sz w:val="20"/>
            <w:u w:val="none"/>
          </w:rPr>
          <w:t>L</w:t>
        </w:r>
        <w:r w:rsidRPr="00684A9E">
          <w:rPr>
            <w:rStyle w:val="Hyperlink"/>
            <w:color w:val="000000" w:themeColor="text1"/>
            <w:sz w:val="16"/>
            <w:u w:val="none"/>
          </w:rPr>
          <w:t xml:space="preserve">AHEY </w:t>
        </w:r>
        <w:r w:rsidRPr="00684A9E">
          <w:rPr>
            <w:rStyle w:val="Hyperlink"/>
            <w:color w:val="000000" w:themeColor="text1"/>
            <w:sz w:val="20"/>
            <w:u w:val="none"/>
          </w:rPr>
          <w:t>H</w:t>
        </w:r>
        <w:r w:rsidRPr="00684A9E">
          <w:rPr>
            <w:rStyle w:val="Hyperlink"/>
            <w:color w:val="000000" w:themeColor="text1"/>
            <w:sz w:val="16"/>
            <w:u w:val="none"/>
          </w:rPr>
          <w:t>EALTH</w:t>
        </w:r>
        <w:r w:rsidRPr="00684A9E">
          <w:rPr>
            <w:rStyle w:val="Hyperlink"/>
            <w:color w:val="000000" w:themeColor="text1"/>
            <w:sz w:val="20"/>
            <w:u w:val="none"/>
          </w:rPr>
          <w:t>;</w:t>
        </w:r>
        <w:r w:rsidRPr="00684A9E">
          <w:rPr>
            <w:rStyle w:val="Hyperlink"/>
            <w:color w:val="000000" w:themeColor="text1"/>
            <w:spacing w:val="-6"/>
            <w:sz w:val="20"/>
            <w:u w:val="none"/>
          </w:rPr>
          <w:t xml:space="preserve"> </w:t>
        </w:r>
        <w:r w:rsidRPr="00684A9E">
          <w:rPr>
            <w:rStyle w:val="Hyperlink"/>
            <w:color w:val="000000" w:themeColor="text1"/>
            <w:sz w:val="20"/>
            <w:u w:val="none"/>
          </w:rPr>
          <w:t>AND T</w:t>
        </w:r>
        <w:r w:rsidRPr="00684A9E">
          <w:rPr>
            <w:rStyle w:val="Hyperlink"/>
            <w:color w:val="000000" w:themeColor="text1"/>
            <w:sz w:val="16"/>
            <w:u w:val="none"/>
          </w:rPr>
          <w:t xml:space="preserve">HE </w:t>
        </w:r>
        <w:r w:rsidRPr="00684A9E">
          <w:rPr>
            <w:rStyle w:val="Hyperlink"/>
            <w:color w:val="000000" w:themeColor="text1"/>
            <w:sz w:val="20"/>
            <w:u w:val="none"/>
          </w:rPr>
          <w:t>C</w:t>
        </w:r>
        <w:r w:rsidRPr="00684A9E">
          <w:rPr>
            <w:rStyle w:val="Hyperlink"/>
            <w:color w:val="000000" w:themeColor="text1"/>
            <w:sz w:val="16"/>
            <w:u w:val="none"/>
          </w:rPr>
          <w:t xml:space="preserve">ONTRACTING </w:t>
        </w:r>
        <w:r w:rsidRPr="00684A9E">
          <w:rPr>
            <w:rStyle w:val="Hyperlink"/>
            <w:color w:val="000000" w:themeColor="text1"/>
            <w:sz w:val="20"/>
            <w:u w:val="none"/>
          </w:rPr>
          <w:t>A</w:t>
        </w:r>
        <w:r w:rsidRPr="00684A9E">
          <w:rPr>
            <w:rStyle w:val="Hyperlink"/>
            <w:color w:val="000000" w:themeColor="text1"/>
            <w:sz w:val="16"/>
            <w:u w:val="none"/>
          </w:rPr>
          <w:t xml:space="preserve">FFILIATION </w:t>
        </w:r>
        <w:r w:rsidRPr="00684A9E">
          <w:rPr>
            <w:rStyle w:val="Hyperlink"/>
            <w:color w:val="000000" w:themeColor="text1"/>
            <w:sz w:val="20"/>
            <w:u w:val="none"/>
          </w:rPr>
          <w:t>B</w:t>
        </w:r>
        <w:r w:rsidRPr="00684A9E">
          <w:rPr>
            <w:rStyle w:val="Hyperlink"/>
            <w:color w:val="000000" w:themeColor="text1"/>
            <w:sz w:val="16"/>
            <w:u w:val="none"/>
          </w:rPr>
          <w:t xml:space="preserve">ETWEEN </w:t>
        </w:r>
        <w:r w:rsidRPr="00684A9E">
          <w:rPr>
            <w:rStyle w:val="Hyperlink"/>
            <w:color w:val="000000" w:themeColor="text1"/>
            <w:sz w:val="20"/>
            <w:u w:val="none"/>
          </w:rPr>
          <w:t>B</w:t>
        </w:r>
        <w:r w:rsidRPr="00684A9E">
          <w:rPr>
            <w:rStyle w:val="Hyperlink"/>
            <w:color w:val="000000" w:themeColor="text1"/>
            <w:sz w:val="16"/>
            <w:u w:val="none"/>
          </w:rPr>
          <w:t xml:space="preserve">ETH </w:t>
        </w:r>
        <w:r w:rsidRPr="00684A9E">
          <w:rPr>
            <w:rStyle w:val="Hyperlink"/>
            <w:color w:val="000000" w:themeColor="text1"/>
            <w:sz w:val="20"/>
            <w:u w:val="none"/>
          </w:rPr>
          <w:t>I</w:t>
        </w:r>
        <w:r w:rsidRPr="00684A9E">
          <w:rPr>
            <w:rStyle w:val="Hyperlink"/>
            <w:color w:val="000000" w:themeColor="text1"/>
            <w:sz w:val="16"/>
            <w:u w:val="none"/>
          </w:rPr>
          <w:t xml:space="preserve">SRAEL </w:t>
        </w:r>
        <w:r w:rsidRPr="00684A9E">
          <w:rPr>
            <w:rStyle w:val="Hyperlink"/>
            <w:color w:val="000000" w:themeColor="text1"/>
            <w:sz w:val="20"/>
            <w:u w:val="none"/>
          </w:rPr>
          <w:t>L</w:t>
        </w:r>
        <w:r w:rsidRPr="00684A9E">
          <w:rPr>
            <w:rStyle w:val="Hyperlink"/>
            <w:color w:val="000000" w:themeColor="text1"/>
            <w:sz w:val="16"/>
            <w:u w:val="none"/>
          </w:rPr>
          <w:t xml:space="preserve">AHEY </w:t>
        </w:r>
        <w:r w:rsidRPr="00684A9E">
          <w:rPr>
            <w:rStyle w:val="Hyperlink"/>
            <w:color w:val="000000" w:themeColor="text1"/>
            <w:sz w:val="20"/>
            <w:u w:val="none"/>
          </w:rPr>
          <w:t>H</w:t>
        </w:r>
        <w:r w:rsidRPr="00684A9E">
          <w:rPr>
            <w:rStyle w:val="Hyperlink"/>
            <w:color w:val="000000" w:themeColor="text1"/>
            <w:sz w:val="16"/>
            <w:u w:val="none"/>
          </w:rPr>
          <w:t xml:space="preserve">EALTH AND </w:t>
        </w:r>
        <w:r w:rsidRPr="00684A9E">
          <w:rPr>
            <w:rStyle w:val="Hyperlink"/>
            <w:color w:val="000000" w:themeColor="text1"/>
            <w:sz w:val="20"/>
            <w:u w:val="none"/>
          </w:rPr>
          <w:t>M</w:t>
        </w:r>
        <w:r w:rsidRPr="00684A9E">
          <w:rPr>
            <w:rStyle w:val="Hyperlink"/>
            <w:color w:val="000000" w:themeColor="text1"/>
            <w:sz w:val="16"/>
            <w:u w:val="none"/>
          </w:rPr>
          <w:t xml:space="preserve">OUNT </w:t>
        </w:r>
        <w:r w:rsidRPr="00684A9E">
          <w:rPr>
            <w:rStyle w:val="Hyperlink"/>
            <w:color w:val="000000" w:themeColor="text1"/>
            <w:sz w:val="20"/>
            <w:u w:val="none"/>
          </w:rPr>
          <w:t>A</w:t>
        </w:r>
        <w:r w:rsidRPr="00684A9E">
          <w:rPr>
            <w:rStyle w:val="Hyperlink"/>
            <w:color w:val="000000" w:themeColor="text1"/>
            <w:sz w:val="16"/>
            <w:u w:val="none"/>
          </w:rPr>
          <w:t xml:space="preserve">UBURN </w:t>
        </w:r>
        <w:r w:rsidRPr="00684A9E">
          <w:rPr>
            <w:rStyle w:val="Hyperlink"/>
            <w:color w:val="000000" w:themeColor="text1"/>
            <w:sz w:val="20"/>
            <w:u w:val="none"/>
          </w:rPr>
          <w:t>C</w:t>
        </w:r>
        <w:r w:rsidRPr="00684A9E">
          <w:rPr>
            <w:rStyle w:val="Hyperlink"/>
            <w:color w:val="000000" w:themeColor="text1"/>
            <w:sz w:val="16"/>
            <w:u w:val="none"/>
          </w:rPr>
          <w:t xml:space="preserve">AMBRIDGE </w:t>
        </w:r>
        <w:r w:rsidRPr="00684A9E">
          <w:rPr>
            <w:rStyle w:val="Hyperlink"/>
            <w:color w:val="000000" w:themeColor="text1"/>
            <w:sz w:val="20"/>
            <w:u w:val="none"/>
          </w:rPr>
          <w:t>I</w:t>
        </w:r>
        <w:r w:rsidRPr="00684A9E">
          <w:rPr>
            <w:rStyle w:val="Hyperlink"/>
            <w:color w:val="000000" w:themeColor="text1"/>
            <w:sz w:val="16"/>
            <w:u w:val="none"/>
          </w:rPr>
          <w:t>NDEPENDENT</w:t>
        </w:r>
        <w:r w:rsidRPr="00684A9E">
          <w:rPr>
            <w:rStyle w:val="Hyperlink"/>
            <w:color w:val="000000" w:themeColor="text1"/>
            <w:spacing w:val="40"/>
            <w:sz w:val="16"/>
            <w:u w:val="none"/>
          </w:rPr>
          <w:t xml:space="preserve"> </w:t>
        </w:r>
        <w:r w:rsidRPr="00684A9E">
          <w:rPr>
            <w:rStyle w:val="Hyperlink"/>
            <w:color w:val="000000" w:themeColor="text1"/>
            <w:sz w:val="20"/>
            <w:u w:val="none"/>
          </w:rPr>
          <w:t>P</w:t>
        </w:r>
        <w:r w:rsidRPr="00684A9E">
          <w:rPr>
            <w:rStyle w:val="Hyperlink"/>
            <w:color w:val="000000" w:themeColor="text1"/>
            <w:sz w:val="16"/>
            <w:u w:val="none"/>
          </w:rPr>
          <w:t xml:space="preserve">RACTICE </w:t>
        </w:r>
        <w:r w:rsidRPr="00684A9E">
          <w:rPr>
            <w:rStyle w:val="Hyperlink"/>
            <w:color w:val="000000" w:themeColor="text1"/>
            <w:sz w:val="20"/>
            <w:u w:val="none"/>
          </w:rPr>
          <w:t>A</w:t>
        </w:r>
        <w:r w:rsidRPr="00684A9E">
          <w:rPr>
            <w:rStyle w:val="Hyperlink"/>
            <w:color w:val="000000" w:themeColor="text1"/>
            <w:sz w:val="16"/>
            <w:u w:val="none"/>
          </w:rPr>
          <w:t xml:space="preserve">SSOCIATION </w:t>
        </w:r>
        <w:r w:rsidRPr="00684A9E">
          <w:rPr>
            <w:rStyle w:val="Hyperlink"/>
            <w:color w:val="000000" w:themeColor="text1"/>
            <w:sz w:val="20"/>
            <w:u w:val="none"/>
          </w:rPr>
          <w:t>(HPC-CMIR-2017-2) F</w:t>
        </w:r>
        <w:r w:rsidRPr="00684A9E">
          <w:rPr>
            <w:rStyle w:val="Hyperlink"/>
            <w:color w:val="000000" w:themeColor="text1"/>
            <w:sz w:val="16"/>
            <w:u w:val="none"/>
          </w:rPr>
          <w:t xml:space="preserve">INAL </w:t>
        </w:r>
        <w:r w:rsidRPr="00684A9E">
          <w:rPr>
            <w:rStyle w:val="Hyperlink"/>
            <w:color w:val="000000" w:themeColor="text1"/>
            <w:sz w:val="20"/>
            <w:u w:val="none"/>
          </w:rPr>
          <w:t>R</w:t>
        </w:r>
        <w:r w:rsidRPr="00684A9E">
          <w:rPr>
            <w:rStyle w:val="Hyperlink"/>
            <w:color w:val="000000" w:themeColor="text1"/>
            <w:sz w:val="16"/>
            <w:u w:val="none"/>
          </w:rPr>
          <w:t>EPORT</w:t>
        </w:r>
      </w:hyperlink>
      <w:r w:rsidRPr="00684A9E">
        <w:rPr>
          <w:color w:val="000000" w:themeColor="text1"/>
          <w:sz w:val="16"/>
        </w:rPr>
        <w:t xml:space="preserve"> </w:t>
      </w:r>
      <w:r w:rsidRPr="00684A9E">
        <w:rPr>
          <w:color w:val="000000" w:themeColor="text1"/>
          <w:sz w:val="20"/>
        </w:rPr>
        <w:t>(Sept</w:t>
      </w:r>
      <w:r>
        <w:rPr>
          <w:sz w:val="20"/>
        </w:rPr>
        <w:t xml:space="preserve">. 27, 2018), </w:t>
      </w:r>
      <w:r>
        <w:rPr>
          <w:i/>
          <w:sz w:val="20"/>
        </w:rPr>
        <w:t>available at</w:t>
      </w:r>
    </w:p>
    <w:bookmarkStart w:id="58" w:name="_bookmark70"/>
    <w:bookmarkEnd w:id="58"/>
    <w:p w14:paraId="4E5128B6" w14:textId="7FC38D25" w:rsidR="00FF1B34" w:rsidRPr="008828A7" w:rsidRDefault="00FF1B34" w:rsidP="008828A7">
      <w:pPr>
        <w:spacing w:before="1" w:line="226" w:lineRule="exact"/>
        <w:ind w:left="959"/>
        <w:rPr>
          <w:sz w:val="20"/>
        </w:rPr>
      </w:pPr>
      <w:r>
        <w:fldChar w:fldCharType="begin"/>
      </w:r>
      <w:r>
        <w:instrText>HYPERLINK "https://www.mass.gov/doc/final-cmir-report-beth-israel-lahey-health/download" \h</w:instrText>
      </w:r>
      <w:r>
        <w:fldChar w:fldCharType="separate"/>
      </w:r>
      <w:r>
        <w:rPr>
          <w:color w:val="486794"/>
          <w:spacing w:val="-2"/>
          <w:sz w:val="20"/>
          <w:u w:val="single" w:color="486794"/>
        </w:rPr>
        <w:t>https://www.mass.gov/doc/final-cmir-report-beth-israel-lahey-health/download</w:t>
      </w:r>
      <w:r>
        <w:rPr>
          <w:spacing w:val="-2"/>
          <w:sz w:val="20"/>
        </w:rPr>
        <w:t>.</w:t>
      </w:r>
      <w:r>
        <w:fldChar w:fldCharType="end"/>
      </w:r>
    </w:p>
  </w:footnote>
  <w:footnote w:id="55">
    <w:p w14:paraId="4AAD36E0" w14:textId="79328163" w:rsidR="008828A7" w:rsidRDefault="008828A7" w:rsidP="008828A7">
      <w:pPr>
        <w:ind w:left="960" w:right="799"/>
        <w:rPr>
          <w:i/>
          <w:sz w:val="20"/>
        </w:rPr>
      </w:pPr>
      <w:r>
        <w:rPr>
          <w:rStyle w:val="FootnoteReference"/>
        </w:rPr>
        <w:footnoteRef/>
      </w:r>
      <w:r>
        <w:t xml:space="preserve"> </w:t>
      </w:r>
      <w:hyperlink r:id="rId97" w:history="1">
        <w:r w:rsidRPr="00CC0AA3">
          <w:rPr>
            <w:rStyle w:val="Hyperlink"/>
            <w:color w:val="000000" w:themeColor="text1"/>
            <w:sz w:val="20"/>
            <w:u w:val="none"/>
          </w:rPr>
          <w:t>B</w:t>
        </w:r>
        <w:r w:rsidRPr="00CC0AA3">
          <w:rPr>
            <w:rStyle w:val="Hyperlink"/>
            <w:color w:val="000000" w:themeColor="text1"/>
            <w:sz w:val="16"/>
            <w:u w:val="none"/>
          </w:rPr>
          <w:t>ETH</w:t>
        </w:r>
        <w:r w:rsidRPr="00CC0AA3">
          <w:rPr>
            <w:rStyle w:val="Hyperlink"/>
            <w:color w:val="000000" w:themeColor="text1"/>
            <w:spacing w:val="-4"/>
            <w:sz w:val="16"/>
            <w:u w:val="none"/>
          </w:rPr>
          <w:t xml:space="preserve"> </w:t>
        </w:r>
        <w:r w:rsidRPr="00CC0AA3">
          <w:rPr>
            <w:rStyle w:val="Hyperlink"/>
            <w:color w:val="000000" w:themeColor="text1"/>
            <w:sz w:val="20"/>
            <w:u w:val="none"/>
          </w:rPr>
          <w:t>I</w:t>
        </w:r>
        <w:r w:rsidRPr="00CC0AA3">
          <w:rPr>
            <w:rStyle w:val="Hyperlink"/>
            <w:color w:val="000000" w:themeColor="text1"/>
            <w:sz w:val="16"/>
            <w:u w:val="none"/>
          </w:rPr>
          <w:t>SRAEL</w:t>
        </w:r>
        <w:r w:rsidRPr="00CC0AA3">
          <w:rPr>
            <w:rStyle w:val="Hyperlink"/>
            <w:color w:val="000000" w:themeColor="text1"/>
            <w:spacing w:val="-1"/>
            <w:sz w:val="16"/>
            <w:u w:val="none"/>
          </w:rPr>
          <w:t xml:space="preserve"> </w:t>
        </w:r>
        <w:r w:rsidRPr="00CC0AA3">
          <w:rPr>
            <w:rStyle w:val="Hyperlink"/>
            <w:color w:val="000000" w:themeColor="text1"/>
            <w:sz w:val="20"/>
            <w:u w:val="none"/>
          </w:rPr>
          <w:t>L</w:t>
        </w:r>
        <w:r w:rsidRPr="00CC0AA3">
          <w:rPr>
            <w:rStyle w:val="Hyperlink"/>
            <w:color w:val="000000" w:themeColor="text1"/>
            <w:sz w:val="16"/>
            <w:u w:val="none"/>
          </w:rPr>
          <w:t>AHEY</w:t>
        </w:r>
        <w:r w:rsidRPr="00CC0AA3">
          <w:rPr>
            <w:rStyle w:val="Hyperlink"/>
            <w:color w:val="000000" w:themeColor="text1"/>
            <w:spacing w:val="-5"/>
            <w:sz w:val="16"/>
            <w:u w:val="none"/>
          </w:rPr>
          <w:t xml:space="preserve"> </w:t>
        </w:r>
        <w:r w:rsidRPr="00CC0AA3">
          <w:rPr>
            <w:rStyle w:val="Hyperlink"/>
            <w:color w:val="000000" w:themeColor="text1"/>
            <w:sz w:val="20"/>
            <w:u w:val="none"/>
          </w:rPr>
          <w:t>H</w:t>
        </w:r>
        <w:r w:rsidRPr="00CC0AA3">
          <w:rPr>
            <w:rStyle w:val="Hyperlink"/>
            <w:color w:val="000000" w:themeColor="text1"/>
            <w:sz w:val="16"/>
            <w:u w:val="none"/>
          </w:rPr>
          <w:t>EALTH</w:t>
        </w:r>
        <w:r w:rsidRPr="00CC0AA3">
          <w:rPr>
            <w:rStyle w:val="Hyperlink"/>
            <w:color w:val="000000" w:themeColor="text1"/>
            <w:sz w:val="20"/>
            <w:u w:val="none"/>
          </w:rPr>
          <w:t>,</w:t>
        </w:r>
        <w:r w:rsidRPr="00CC0AA3">
          <w:rPr>
            <w:rStyle w:val="Hyperlink"/>
            <w:color w:val="000000" w:themeColor="text1"/>
            <w:spacing w:val="-13"/>
            <w:sz w:val="20"/>
            <w:u w:val="none"/>
          </w:rPr>
          <w:t xml:space="preserve"> </w:t>
        </w:r>
        <w:r w:rsidRPr="00CC0AA3">
          <w:rPr>
            <w:rStyle w:val="Hyperlink"/>
            <w:color w:val="000000" w:themeColor="text1"/>
            <w:sz w:val="16"/>
            <w:u w:val="none"/>
          </w:rPr>
          <w:t>INC</w:t>
        </w:r>
        <w:r w:rsidRPr="00CC0AA3">
          <w:rPr>
            <w:rStyle w:val="Hyperlink"/>
            <w:color w:val="000000" w:themeColor="text1"/>
            <w:sz w:val="20"/>
            <w:u w:val="none"/>
          </w:rPr>
          <w:t>.,</w:t>
        </w:r>
        <w:r w:rsidRPr="00CC0AA3">
          <w:rPr>
            <w:rStyle w:val="Hyperlink"/>
            <w:color w:val="000000" w:themeColor="text1"/>
            <w:spacing w:val="-11"/>
            <w:sz w:val="20"/>
            <w:u w:val="none"/>
          </w:rPr>
          <w:t xml:space="preserve"> </w:t>
        </w:r>
        <w:r w:rsidRPr="00CC0AA3">
          <w:rPr>
            <w:rStyle w:val="Hyperlink"/>
            <w:color w:val="000000" w:themeColor="text1"/>
            <w:sz w:val="20"/>
            <w:u w:val="none"/>
          </w:rPr>
          <w:t>N</w:t>
        </w:r>
        <w:r w:rsidRPr="00CC0AA3">
          <w:rPr>
            <w:rStyle w:val="Hyperlink"/>
            <w:color w:val="000000" w:themeColor="text1"/>
            <w:sz w:val="16"/>
            <w:u w:val="none"/>
          </w:rPr>
          <w:t>OTICE</w:t>
        </w:r>
        <w:r w:rsidRPr="00CC0AA3">
          <w:rPr>
            <w:rStyle w:val="Hyperlink"/>
            <w:color w:val="000000" w:themeColor="text1"/>
            <w:spacing w:val="-3"/>
            <w:sz w:val="16"/>
            <w:u w:val="none"/>
          </w:rPr>
          <w:t xml:space="preserve"> </w:t>
        </w:r>
        <w:r w:rsidRPr="00CC0AA3">
          <w:rPr>
            <w:rStyle w:val="Hyperlink"/>
            <w:color w:val="000000" w:themeColor="text1"/>
            <w:sz w:val="16"/>
            <w:u w:val="none"/>
          </w:rPr>
          <w:t>OF</w:t>
        </w:r>
        <w:r w:rsidRPr="00CC0AA3">
          <w:rPr>
            <w:rStyle w:val="Hyperlink"/>
            <w:color w:val="000000" w:themeColor="text1"/>
            <w:spacing w:val="-2"/>
            <w:sz w:val="16"/>
            <w:u w:val="none"/>
          </w:rPr>
          <w:t xml:space="preserve"> </w:t>
        </w:r>
        <w:r w:rsidRPr="00CC0AA3">
          <w:rPr>
            <w:rStyle w:val="Hyperlink"/>
            <w:color w:val="000000" w:themeColor="text1"/>
            <w:sz w:val="20"/>
            <w:u w:val="none"/>
          </w:rPr>
          <w:t>M</w:t>
        </w:r>
        <w:r w:rsidRPr="00CC0AA3">
          <w:rPr>
            <w:rStyle w:val="Hyperlink"/>
            <w:color w:val="000000" w:themeColor="text1"/>
            <w:sz w:val="16"/>
            <w:u w:val="none"/>
          </w:rPr>
          <w:t>ATERIAL</w:t>
        </w:r>
        <w:r w:rsidRPr="00CC0AA3">
          <w:rPr>
            <w:rStyle w:val="Hyperlink"/>
            <w:color w:val="000000" w:themeColor="text1"/>
            <w:spacing w:val="-4"/>
            <w:sz w:val="16"/>
            <w:u w:val="none"/>
          </w:rPr>
          <w:t xml:space="preserve"> </w:t>
        </w:r>
        <w:r w:rsidRPr="00CC0AA3">
          <w:rPr>
            <w:rStyle w:val="Hyperlink"/>
            <w:color w:val="000000" w:themeColor="text1"/>
            <w:sz w:val="20"/>
            <w:u w:val="none"/>
          </w:rPr>
          <w:t>C</w:t>
        </w:r>
        <w:r w:rsidRPr="00CC0AA3">
          <w:rPr>
            <w:rStyle w:val="Hyperlink"/>
            <w:color w:val="000000" w:themeColor="text1"/>
            <w:sz w:val="16"/>
            <w:u w:val="none"/>
          </w:rPr>
          <w:t>HANGE</w:t>
        </w:r>
        <w:r w:rsidRPr="00CC0AA3">
          <w:rPr>
            <w:rStyle w:val="Hyperlink"/>
            <w:color w:val="000000" w:themeColor="text1"/>
            <w:spacing w:val="-3"/>
            <w:sz w:val="16"/>
            <w:u w:val="none"/>
          </w:rPr>
          <w:t xml:space="preserve"> </w:t>
        </w:r>
        <w:r w:rsidRPr="00CC0AA3">
          <w:rPr>
            <w:rStyle w:val="Hyperlink"/>
            <w:color w:val="000000" w:themeColor="text1"/>
            <w:sz w:val="16"/>
            <w:u w:val="none"/>
          </w:rPr>
          <w:t>TO</w:t>
        </w:r>
        <w:r w:rsidRPr="00CC0AA3">
          <w:rPr>
            <w:rStyle w:val="Hyperlink"/>
            <w:color w:val="000000" w:themeColor="text1"/>
            <w:spacing w:val="-2"/>
            <w:sz w:val="16"/>
            <w:u w:val="none"/>
          </w:rPr>
          <w:t xml:space="preserve"> </w:t>
        </w:r>
        <w:r w:rsidRPr="00CC0AA3">
          <w:rPr>
            <w:rStyle w:val="Hyperlink"/>
            <w:color w:val="000000" w:themeColor="text1"/>
            <w:sz w:val="16"/>
            <w:u w:val="none"/>
          </w:rPr>
          <w:t>THE</w:t>
        </w:r>
        <w:r w:rsidRPr="00CC0AA3">
          <w:rPr>
            <w:rStyle w:val="Hyperlink"/>
            <w:color w:val="000000" w:themeColor="text1"/>
            <w:spacing w:val="-1"/>
            <w:sz w:val="16"/>
            <w:u w:val="none"/>
          </w:rPr>
          <w:t xml:space="preserve"> </w:t>
        </w:r>
        <w:r w:rsidRPr="00CC0AA3">
          <w:rPr>
            <w:rStyle w:val="Hyperlink"/>
            <w:color w:val="000000" w:themeColor="text1"/>
            <w:sz w:val="20"/>
            <w:u w:val="none"/>
          </w:rPr>
          <w:t>H</w:t>
        </w:r>
        <w:r w:rsidRPr="00CC0AA3">
          <w:rPr>
            <w:rStyle w:val="Hyperlink"/>
            <w:color w:val="000000" w:themeColor="text1"/>
            <w:sz w:val="16"/>
            <w:u w:val="none"/>
          </w:rPr>
          <w:t>EALTH</w:t>
        </w:r>
        <w:r w:rsidRPr="00CC0AA3">
          <w:rPr>
            <w:rStyle w:val="Hyperlink"/>
            <w:color w:val="000000" w:themeColor="text1"/>
            <w:spacing w:val="-4"/>
            <w:sz w:val="16"/>
            <w:u w:val="none"/>
          </w:rPr>
          <w:t xml:space="preserve"> </w:t>
        </w:r>
        <w:r w:rsidRPr="00CC0AA3">
          <w:rPr>
            <w:rStyle w:val="Hyperlink"/>
            <w:color w:val="000000" w:themeColor="text1"/>
            <w:sz w:val="20"/>
            <w:u w:val="none"/>
          </w:rPr>
          <w:t>P</w:t>
        </w:r>
        <w:r w:rsidRPr="00CC0AA3">
          <w:rPr>
            <w:rStyle w:val="Hyperlink"/>
            <w:color w:val="000000" w:themeColor="text1"/>
            <w:sz w:val="16"/>
            <w:u w:val="none"/>
          </w:rPr>
          <w:t>OLICY</w:t>
        </w:r>
        <w:r w:rsidRPr="00CC0AA3">
          <w:rPr>
            <w:rStyle w:val="Hyperlink"/>
            <w:color w:val="000000" w:themeColor="text1"/>
            <w:spacing w:val="-2"/>
            <w:sz w:val="16"/>
            <w:u w:val="none"/>
          </w:rPr>
          <w:t xml:space="preserve"> </w:t>
        </w:r>
        <w:r w:rsidRPr="00CC0AA3">
          <w:rPr>
            <w:rStyle w:val="Hyperlink"/>
            <w:color w:val="000000" w:themeColor="text1"/>
            <w:sz w:val="20"/>
            <w:u w:val="none"/>
          </w:rPr>
          <w:t>C</w:t>
        </w:r>
        <w:r w:rsidRPr="00CC0AA3">
          <w:rPr>
            <w:rStyle w:val="Hyperlink"/>
            <w:color w:val="000000" w:themeColor="text1"/>
            <w:sz w:val="16"/>
            <w:u w:val="none"/>
          </w:rPr>
          <w:t>OMM</w:t>
        </w:r>
        <w:r w:rsidRPr="00CC0AA3">
          <w:rPr>
            <w:rStyle w:val="Hyperlink"/>
            <w:color w:val="000000" w:themeColor="text1"/>
            <w:sz w:val="20"/>
            <w:u w:val="none"/>
          </w:rPr>
          <w:t>’</w:t>
        </w:r>
        <w:r w:rsidRPr="00CC0AA3">
          <w:rPr>
            <w:rStyle w:val="Hyperlink"/>
            <w:color w:val="000000" w:themeColor="text1"/>
            <w:sz w:val="16"/>
            <w:u w:val="none"/>
          </w:rPr>
          <w:t>N</w:t>
        </w:r>
      </w:hyperlink>
      <w:r w:rsidRPr="00CC0AA3">
        <w:rPr>
          <w:color w:val="000000" w:themeColor="text1"/>
          <w:spacing w:val="-4"/>
          <w:sz w:val="16"/>
        </w:rPr>
        <w:t xml:space="preserve"> </w:t>
      </w:r>
      <w:r w:rsidRPr="00CC0AA3">
        <w:rPr>
          <w:color w:val="000000" w:themeColor="text1"/>
          <w:sz w:val="20"/>
        </w:rPr>
        <w:t>(</w:t>
      </w:r>
      <w:r>
        <w:rPr>
          <w:sz w:val="20"/>
        </w:rPr>
        <w:t>Jul.</w:t>
      </w:r>
      <w:r>
        <w:rPr>
          <w:spacing w:val="-11"/>
          <w:sz w:val="20"/>
        </w:rPr>
        <w:t xml:space="preserve"> </w:t>
      </w:r>
      <w:r>
        <w:rPr>
          <w:sz w:val="20"/>
        </w:rPr>
        <w:t>2,</w:t>
      </w:r>
      <w:r>
        <w:rPr>
          <w:spacing w:val="-11"/>
          <w:sz w:val="20"/>
        </w:rPr>
        <w:t xml:space="preserve"> </w:t>
      </w:r>
      <w:r>
        <w:rPr>
          <w:sz w:val="20"/>
        </w:rPr>
        <w:t>2021),</w:t>
      </w:r>
      <w:r>
        <w:rPr>
          <w:spacing w:val="-11"/>
          <w:sz w:val="20"/>
        </w:rPr>
        <w:t xml:space="preserve"> </w:t>
      </w:r>
      <w:r>
        <w:rPr>
          <w:sz w:val="20"/>
        </w:rPr>
        <w:t>A</w:t>
      </w:r>
      <w:r>
        <w:rPr>
          <w:sz w:val="16"/>
        </w:rPr>
        <w:t>S</w:t>
      </w:r>
      <w:r>
        <w:rPr>
          <w:spacing w:val="40"/>
          <w:sz w:val="16"/>
        </w:rPr>
        <w:t xml:space="preserve"> </w:t>
      </w:r>
      <w:r>
        <w:rPr>
          <w:sz w:val="20"/>
        </w:rPr>
        <w:t>R</w:t>
      </w:r>
      <w:r>
        <w:rPr>
          <w:sz w:val="16"/>
        </w:rPr>
        <w:t xml:space="preserve">EQUIRED </w:t>
      </w:r>
      <w:r>
        <w:rPr>
          <w:sz w:val="20"/>
        </w:rPr>
        <w:t>U</w:t>
      </w:r>
      <w:r>
        <w:rPr>
          <w:sz w:val="16"/>
        </w:rPr>
        <w:t xml:space="preserve">NDER </w:t>
      </w:r>
      <w:r>
        <w:rPr>
          <w:sz w:val="20"/>
        </w:rPr>
        <w:t>M</w:t>
      </w:r>
      <w:r>
        <w:rPr>
          <w:sz w:val="16"/>
        </w:rPr>
        <w:t>ASS</w:t>
      </w:r>
      <w:r>
        <w:rPr>
          <w:sz w:val="20"/>
        </w:rPr>
        <w:t>. G</w:t>
      </w:r>
      <w:r>
        <w:rPr>
          <w:sz w:val="16"/>
        </w:rPr>
        <w:t>EN</w:t>
      </w:r>
      <w:r>
        <w:rPr>
          <w:sz w:val="20"/>
        </w:rPr>
        <w:t>. L</w:t>
      </w:r>
      <w:r>
        <w:rPr>
          <w:sz w:val="16"/>
        </w:rPr>
        <w:t xml:space="preserve">AWS </w:t>
      </w:r>
      <w:proofErr w:type="spellStart"/>
      <w:r>
        <w:rPr>
          <w:sz w:val="20"/>
        </w:rPr>
        <w:t>ch.</w:t>
      </w:r>
      <w:proofErr w:type="spellEnd"/>
      <w:r>
        <w:rPr>
          <w:sz w:val="20"/>
        </w:rPr>
        <w:t xml:space="preserve"> 6D § 13 (2012), </w:t>
      </w:r>
      <w:r>
        <w:rPr>
          <w:i/>
          <w:sz w:val="20"/>
        </w:rPr>
        <w:t>available at</w:t>
      </w:r>
    </w:p>
    <w:p w14:paraId="721F1281" w14:textId="4F7280DF" w:rsidR="008828A7" w:rsidRDefault="008828A7" w:rsidP="008828A7">
      <w:pPr>
        <w:ind w:left="960" w:right="891" w:hanging="1"/>
        <w:rPr>
          <w:sz w:val="20"/>
        </w:rPr>
      </w:pPr>
      <w:hyperlink r:id="rId98">
        <w:r>
          <w:rPr>
            <w:color w:val="486794"/>
            <w:sz w:val="20"/>
            <w:u w:val="single" w:color="486794"/>
          </w:rPr>
          <w:t>https://masshpc.gov/sites/default/files/2023-02/20210702_bilh_-_joslin_mcn.pdf</w:t>
        </w:r>
        <w:r>
          <w:rPr>
            <w:sz w:val="20"/>
          </w:rPr>
          <w:t>;</w:t>
        </w:r>
      </w:hyperlink>
      <w:r>
        <w:rPr>
          <w:sz w:val="20"/>
        </w:rPr>
        <w:t xml:space="preserve"> </w:t>
      </w:r>
      <w:hyperlink r:id="rId99" w:history="1">
        <w:r w:rsidRPr="009D2F1F">
          <w:rPr>
            <w:rStyle w:val="Hyperlink"/>
            <w:color w:val="000000" w:themeColor="text1"/>
            <w:sz w:val="20"/>
            <w:u w:val="none"/>
          </w:rPr>
          <w:t>B</w:t>
        </w:r>
        <w:r w:rsidRPr="009D2F1F">
          <w:rPr>
            <w:rStyle w:val="Hyperlink"/>
            <w:color w:val="000000" w:themeColor="text1"/>
            <w:sz w:val="16"/>
            <w:u w:val="none"/>
          </w:rPr>
          <w:t xml:space="preserve">ETH </w:t>
        </w:r>
        <w:r w:rsidRPr="009D2F1F">
          <w:rPr>
            <w:rStyle w:val="Hyperlink"/>
            <w:color w:val="000000" w:themeColor="text1"/>
            <w:sz w:val="20"/>
            <w:u w:val="none"/>
          </w:rPr>
          <w:t>I</w:t>
        </w:r>
        <w:r w:rsidRPr="009D2F1F">
          <w:rPr>
            <w:rStyle w:val="Hyperlink"/>
            <w:color w:val="000000" w:themeColor="text1"/>
            <w:sz w:val="16"/>
            <w:u w:val="none"/>
          </w:rPr>
          <w:t xml:space="preserve">SRAEL </w:t>
        </w:r>
        <w:r w:rsidRPr="009D2F1F">
          <w:rPr>
            <w:rStyle w:val="Hyperlink"/>
            <w:color w:val="000000" w:themeColor="text1"/>
            <w:sz w:val="20"/>
            <w:u w:val="none"/>
          </w:rPr>
          <w:t>L</w:t>
        </w:r>
        <w:r w:rsidRPr="009D2F1F">
          <w:rPr>
            <w:rStyle w:val="Hyperlink"/>
            <w:color w:val="000000" w:themeColor="text1"/>
            <w:sz w:val="16"/>
            <w:u w:val="none"/>
          </w:rPr>
          <w:t>AHEY</w:t>
        </w:r>
        <w:r w:rsidRPr="009D2F1F">
          <w:rPr>
            <w:rStyle w:val="Hyperlink"/>
            <w:color w:val="000000" w:themeColor="text1"/>
            <w:spacing w:val="40"/>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EALTH</w:t>
        </w:r>
        <w:r w:rsidRPr="009D2F1F">
          <w:rPr>
            <w:rStyle w:val="Hyperlink"/>
            <w:color w:val="000000" w:themeColor="text1"/>
            <w:sz w:val="20"/>
            <w:u w:val="none"/>
          </w:rPr>
          <w:t>,</w:t>
        </w:r>
        <w:r w:rsidRPr="009D2F1F">
          <w:rPr>
            <w:rStyle w:val="Hyperlink"/>
            <w:color w:val="000000" w:themeColor="text1"/>
            <w:spacing w:val="-12"/>
            <w:sz w:val="20"/>
            <w:u w:val="none"/>
          </w:rPr>
          <w:t xml:space="preserve"> </w:t>
        </w:r>
        <w:r w:rsidRPr="009D2F1F">
          <w:rPr>
            <w:rStyle w:val="Hyperlink"/>
            <w:color w:val="000000" w:themeColor="text1"/>
            <w:sz w:val="16"/>
            <w:u w:val="none"/>
          </w:rPr>
          <w:t>INC</w:t>
        </w:r>
        <w:r w:rsidRPr="009D2F1F">
          <w:rPr>
            <w:rStyle w:val="Hyperlink"/>
            <w:color w:val="000000" w:themeColor="text1"/>
            <w:sz w:val="20"/>
            <w:u w:val="none"/>
          </w:rPr>
          <w:t>.,</w:t>
        </w:r>
        <w:r w:rsidRPr="009D2F1F">
          <w:rPr>
            <w:rStyle w:val="Hyperlink"/>
            <w:color w:val="000000" w:themeColor="text1"/>
            <w:spacing w:val="-13"/>
            <w:sz w:val="20"/>
            <w:u w:val="none"/>
          </w:rPr>
          <w:t xml:space="preserve"> </w:t>
        </w:r>
        <w:r w:rsidRPr="009D2F1F">
          <w:rPr>
            <w:rStyle w:val="Hyperlink"/>
            <w:color w:val="000000" w:themeColor="text1"/>
            <w:sz w:val="20"/>
            <w:u w:val="none"/>
          </w:rPr>
          <w:t>N</w:t>
        </w:r>
        <w:r w:rsidRPr="009D2F1F">
          <w:rPr>
            <w:rStyle w:val="Hyperlink"/>
            <w:color w:val="000000" w:themeColor="text1"/>
            <w:sz w:val="16"/>
            <w:u w:val="none"/>
          </w:rPr>
          <w:t>OTICE</w:t>
        </w:r>
        <w:r w:rsidRPr="009D2F1F">
          <w:rPr>
            <w:rStyle w:val="Hyperlink"/>
            <w:color w:val="000000" w:themeColor="text1"/>
            <w:spacing w:val="-3"/>
            <w:sz w:val="16"/>
            <w:u w:val="none"/>
          </w:rPr>
          <w:t xml:space="preserve"> </w:t>
        </w:r>
        <w:r w:rsidRPr="009D2F1F">
          <w:rPr>
            <w:rStyle w:val="Hyperlink"/>
            <w:color w:val="000000" w:themeColor="text1"/>
            <w:sz w:val="16"/>
            <w:u w:val="none"/>
          </w:rPr>
          <w:t>OF</w:t>
        </w:r>
        <w:r w:rsidRPr="009D2F1F">
          <w:rPr>
            <w:rStyle w:val="Hyperlink"/>
            <w:color w:val="000000" w:themeColor="text1"/>
            <w:spacing w:val="-2"/>
            <w:sz w:val="16"/>
            <w:u w:val="none"/>
          </w:rPr>
          <w:t xml:space="preserve"> </w:t>
        </w:r>
        <w:r w:rsidRPr="009D2F1F">
          <w:rPr>
            <w:rStyle w:val="Hyperlink"/>
            <w:color w:val="000000" w:themeColor="text1"/>
            <w:sz w:val="20"/>
            <w:u w:val="none"/>
          </w:rPr>
          <w:t>M</w:t>
        </w:r>
        <w:r w:rsidRPr="009D2F1F">
          <w:rPr>
            <w:rStyle w:val="Hyperlink"/>
            <w:color w:val="000000" w:themeColor="text1"/>
            <w:sz w:val="16"/>
            <w:u w:val="none"/>
          </w:rPr>
          <w:t>ATERIAL</w:t>
        </w:r>
        <w:r w:rsidRPr="009D2F1F">
          <w:rPr>
            <w:rStyle w:val="Hyperlink"/>
            <w:color w:val="000000" w:themeColor="text1"/>
            <w:spacing w:val="-1"/>
            <w:sz w:val="16"/>
            <w:u w:val="none"/>
          </w:rPr>
          <w:t xml:space="preserve"> </w:t>
        </w:r>
        <w:r w:rsidRPr="009D2F1F">
          <w:rPr>
            <w:rStyle w:val="Hyperlink"/>
            <w:color w:val="000000" w:themeColor="text1"/>
            <w:sz w:val="20"/>
            <w:u w:val="none"/>
          </w:rPr>
          <w:t>C</w:t>
        </w:r>
        <w:r w:rsidRPr="009D2F1F">
          <w:rPr>
            <w:rStyle w:val="Hyperlink"/>
            <w:color w:val="000000" w:themeColor="text1"/>
            <w:sz w:val="16"/>
            <w:u w:val="none"/>
          </w:rPr>
          <w:t>HANGE</w:t>
        </w:r>
        <w:r w:rsidRPr="009D2F1F">
          <w:rPr>
            <w:rStyle w:val="Hyperlink"/>
            <w:color w:val="000000" w:themeColor="text1"/>
            <w:spacing w:val="-3"/>
            <w:sz w:val="16"/>
            <w:u w:val="none"/>
          </w:rPr>
          <w:t xml:space="preserve"> </w:t>
        </w:r>
        <w:r w:rsidRPr="009D2F1F">
          <w:rPr>
            <w:rStyle w:val="Hyperlink"/>
            <w:color w:val="000000" w:themeColor="text1"/>
            <w:sz w:val="16"/>
            <w:u w:val="none"/>
          </w:rPr>
          <w:t>TO</w:t>
        </w:r>
        <w:r w:rsidRPr="009D2F1F">
          <w:rPr>
            <w:rStyle w:val="Hyperlink"/>
            <w:color w:val="000000" w:themeColor="text1"/>
            <w:spacing w:val="-5"/>
            <w:sz w:val="16"/>
            <w:u w:val="none"/>
          </w:rPr>
          <w:t xml:space="preserve"> </w:t>
        </w:r>
        <w:r w:rsidRPr="009D2F1F">
          <w:rPr>
            <w:rStyle w:val="Hyperlink"/>
            <w:color w:val="000000" w:themeColor="text1"/>
            <w:sz w:val="16"/>
            <w:u w:val="none"/>
          </w:rPr>
          <w:t>THE</w:t>
        </w:r>
        <w:r w:rsidRPr="009D2F1F">
          <w:rPr>
            <w:rStyle w:val="Hyperlink"/>
            <w:color w:val="000000" w:themeColor="text1"/>
            <w:spacing w:val="-3"/>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EALTH</w:t>
        </w:r>
        <w:r w:rsidRPr="009D2F1F">
          <w:rPr>
            <w:rStyle w:val="Hyperlink"/>
            <w:color w:val="000000" w:themeColor="text1"/>
            <w:spacing w:val="-2"/>
            <w:sz w:val="16"/>
            <w:u w:val="none"/>
          </w:rPr>
          <w:t xml:space="preserve"> </w:t>
        </w:r>
        <w:r w:rsidRPr="009D2F1F">
          <w:rPr>
            <w:rStyle w:val="Hyperlink"/>
            <w:color w:val="000000" w:themeColor="text1"/>
            <w:sz w:val="20"/>
            <w:u w:val="none"/>
          </w:rPr>
          <w:t>P</w:t>
        </w:r>
        <w:r w:rsidRPr="009D2F1F">
          <w:rPr>
            <w:rStyle w:val="Hyperlink"/>
            <w:color w:val="000000" w:themeColor="text1"/>
            <w:sz w:val="16"/>
            <w:u w:val="none"/>
          </w:rPr>
          <w:t>OLICY</w:t>
        </w:r>
        <w:r w:rsidRPr="009D2F1F">
          <w:rPr>
            <w:rStyle w:val="Hyperlink"/>
            <w:color w:val="000000" w:themeColor="text1"/>
            <w:spacing w:val="-2"/>
            <w:sz w:val="16"/>
            <w:u w:val="none"/>
          </w:rPr>
          <w:t xml:space="preserve"> </w:t>
        </w:r>
        <w:r w:rsidRPr="009D2F1F">
          <w:rPr>
            <w:rStyle w:val="Hyperlink"/>
            <w:color w:val="000000" w:themeColor="text1"/>
            <w:sz w:val="20"/>
            <w:u w:val="none"/>
          </w:rPr>
          <w:t>C</w:t>
        </w:r>
        <w:r w:rsidRPr="009D2F1F">
          <w:rPr>
            <w:rStyle w:val="Hyperlink"/>
            <w:color w:val="000000" w:themeColor="text1"/>
            <w:sz w:val="16"/>
            <w:u w:val="none"/>
          </w:rPr>
          <w:t>OMM</w:t>
        </w:r>
        <w:r w:rsidRPr="009D2F1F">
          <w:rPr>
            <w:rStyle w:val="Hyperlink"/>
            <w:color w:val="000000" w:themeColor="text1"/>
            <w:sz w:val="20"/>
            <w:u w:val="none"/>
          </w:rPr>
          <w:t>’</w:t>
        </w:r>
        <w:r w:rsidRPr="009D2F1F">
          <w:rPr>
            <w:rStyle w:val="Hyperlink"/>
            <w:color w:val="000000" w:themeColor="text1"/>
            <w:sz w:val="16"/>
            <w:u w:val="none"/>
          </w:rPr>
          <w:t>N</w:t>
        </w:r>
      </w:hyperlink>
      <w:r w:rsidRPr="009D2F1F">
        <w:rPr>
          <w:color w:val="000000" w:themeColor="text1"/>
          <w:spacing w:val="-2"/>
          <w:sz w:val="16"/>
        </w:rPr>
        <w:t xml:space="preserve"> </w:t>
      </w:r>
      <w:r w:rsidRPr="009D2F1F">
        <w:rPr>
          <w:color w:val="000000" w:themeColor="text1"/>
          <w:sz w:val="20"/>
        </w:rPr>
        <w:t>(Jul.</w:t>
      </w:r>
      <w:r w:rsidRPr="009D2F1F">
        <w:rPr>
          <w:color w:val="000000" w:themeColor="text1"/>
          <w:spacing w:val="-2"/>
          <w:sz w:val="20"/>
        </w:rPr>
        <w:t xml:space="preserve"> </w:t>
      </w:r>
      <w:r w:rsidRPr="009D2F1F">
        <w:rPr>
          <w:color w:val="000000" w:themeColor="text1"/>
          <w:sz w:val="20"/>
        </w:rPr>
        <w:t>28,</w:t>
      </w:r>
      <w:r w:rsidRPr="009D2F1F">
        <w:rPr>
          <w:color w:val="000000" w:themeColor="text1"/>
          <w:spacing w:val="-2"/>
          <w:sz w:val="20"/>
        </w:rPr>
        <w:t xml:space="preserve"> </w:t>
      </w:r>
      <w:r w:rsidRPr="009D2F1F">
        <w:rPr>
          <w:color w:val="000000" w:themeColor="text1"/>
          <w:sz w:val="20"/>
        </w:rPr>
        <w:t>2022),</w:t>
      </w:r>
      <w:r w:rsidRPr="009D2F1F">
        <w:rPr>
          <w:color w:val="000000" w:themeColor="text1"/>
          <w:spacing w:val="-2"/>
          <w:sz w:val="20"/>
        </w:rPr>
        <w:t xml:space="preserve"> </w:t>
      </w:r>
      <w:r w:rsidRPr="009D2F1F">
        <w:rPr>
          <w:color w:val="000000" w:themeColor="text1"/>
          <w:sz w:val="20"/>
        </w:rPr>
        <w:t>A</w:t>
      </w:r>
      <w:r w:rsidRPr="009D2F1F">
        <w:rPr>
          <w:color w:val="000000" w:themeColor="text1"/>
          <w:sz w:val="16"/>
        </w:rPr>
        <w:t>S</w:t>
      </w:r>
      <w:r w:rsidRPr="009D2F1F">
        <w:rPr>
          <w:color w:val="000000" w:themeColor="text1"/>
          <w:spacing w:val="-4"/>
          <w:sz w:val="16"/>
        </w:rPr>
        <w:t xml:space="preserve"> </w:t>
      </w:r>
      <w:r w:rsidRPr="009D2F1F">
        <w:rPr>
          <w:color w:val="000000" w:themeColor="text1"/>
          <w:sz w:val="20"/>
        </w:rPr>
        <w:t>R</w:t>
      </w:r>
      <w:r w:rsidRPr="009D2F1F">
        <w:rPr>
          <w:color w:val="000000" w:themeColor="text1"/>
          <w:sz w:val="16"/>
        </w:rPr>
        <w:t>EQUIRED</w:t>
      </w:r>
      <w:r w:rsidRPr="009D2F1F">
        <w:rPr>
          <w:color w:val="000000" w:themeColor="text1"/>
          <w:spacing w:val="-2"/>
          <w:sz w:val="16"/>
        </w:rPr>
        <w:t xml:space="preserve"> </w:t>
      </w:r>
      <w:r>
        <w:rPr>
          <w:sz w:val="20"/>
        </w:rPr>
        <w:t>U</w:t>
      </w:r>
      <w:r>
        <w:rPr>
          <w:sz w:val="16"/>
        </w:rPr>
        <w:t>NDER</w:t>
      </w:r>
      <w:r>
        <w:rPr>
          <w:spacing w:val="-4"/>
          <w:sz w:val="16"/>
        </w:rPr>
        <w:t xml:space="preserve"> </w:t>
      </w:r>
      <w:r>
        <w:rPr>
          <w:sz w:val="20"/>
        </w:rPr>
        <w:t>M</w:t>
      </w:r>
      <w:r>
        <w:rPr>
          <w:sz w:val="16"/>
        </w:rPr>
        <w:t>ASS</w:t>
      </w:r>
      <w:r>
        <w:rPr>
          <w:sz w:val="20"/>
        </w:rPr>
        <w:t>.</w:t>
      </w:r>
    </w:p>
    <w:p w14:paraId="17268CD0" w14:textId="3283C50C" w:rsidR="008828A7" w:rsidRPr="0023289C" w:rsidRDefault="008828A7" w:rsidP="0023289C">
      <w:pPr>
        <w:ind w:left="960"/>
        <w:rPr>
          <w:sz w:val="20"/>
        </w:rPr>
      </w:pPr>
      <w:r>
        <w:rPr>
          <w:sz w:val="20"/>
        </w:rPr>
        <w:t>G</w:t>
      </w:r>
      <w:r>
        <w:rPr>
          <w:sz w:val="16"/>
        </w:rPr>
        <w:t>EN</w:t>
      </w:r>
      <w:r>
        <w:rPr>
          <w:sz w:val="20"/>
        </w:rPr>
        <w:t>.</w:t>
      </w:r>
      <w:r>
        <w:rPr>
          <w:spacing w:val="-13"/>
          <w:sz w:val="20"/>
        </w:rPr>
        <w:t xml:space="preserve"> </w:t>
      </w:r>
      <w:r>
        <w:rPr>
          <w:sz w:val="20"/>
        </w:rPr>
        <w:t>L</w:t>
      </w:r>
      <w:r>
        <w:rPr>
          <w:sz w:val="16"/>
        </w:rPr>
        <w:t xml:space="preserve">AWS </w:t>
      </w:r>
      <w:proofErr w:type="spellStart"/>
      <w:r>
        <w:rPr>
          <w:sz w:val="20"/>
        </w:rPr>
        <w:t>ch.</w:t>
      </w:r>
      <w:proofErr w:type="spellEnd"/>
      <w:r>
        <w:rPr>
          <w:spacing w:val="-4"/>
          <w:sz w:val="20"/>
        </w:rPr>
        <w:t xml:space="preserve"> </w:t>
      </w:r>
      <w:r>
        <w:rPr>
          <w:sz w:val="20"/>
        </w:rPr>
        <w:t>6D</w:t>
      </w:r>
      <w:r>
        <w:rPr>
          <w:spacing w:val="-4"/>
          <w:sz w:val="20"/>
        </w:rPr>
        <w:t xml:space="preserve"> </w:t>
      </w:r>
      <w:r>
        <w:rPr>
          <w:sz w:val="20"/>
        </w:rPr>
        <w:t>§</w:t>
      </w:r>
      <w:r>
        <w:rPr>
          <w:spacing w:val="-7"/>
          <w:sz w:val="20"/>
        </w:rPr>
        <w:t xml:space="preserve"> </w:t>
      </w:r>
      <w:r>
        <w:rPr>
          <w:sz w:val="20"/>
        </w:rPr>
        <w:t>13</w:t>
      </w:r>
      <w:r>
        <w:rPr>
          <w:spacing w:val="-4"/>
          <w:sz w:val="20"/>
        </w:rPr>
        <w:t xml:space="preserve"> </w:t>
      </w:r>
      <w:r>
        <w:rPr>
          <w:sz w:val="20"/>
        </w:rPr>
        <w:t>(2012),</w:t>
      </w:r>
      <w:r>
        <w:rPr>
          <w:spacing w:val="-4"/>
          <w:sz w:val="20"/>
        </w:rPr>
        <w:t xml:space="preserve"> </w:t>
      </w:r>
      <w:r>
        <w:rPr>
          <w:i/>
          <w:sz w:val="20"/>
        </w:rPr>
        <w:t>available</w:t>
      </w:r>
      <w:r>
        <w:rPr>
          <w:i/>
          <w:spacing w:val="-3"/>
          <w:sz w:val="20"/>
        </w:rPr>
        <w:t xml:space="preserve"> </w:t>
      </w:r>
      <w:r>
        <w:rPr>
          <w:i/>
          <w:sz w:val="20"/>
        </w:rPr>
        <w:t>at</w:t>
      </w:r>
      <w:r>
        <w:rPr>
          <w:i/>
          <w:spacing w:val="-6"/>
          <w:sz w:val="20"/>
        </w:rPr>
        <w:t xml:space="preserve"> </w:t>
      </w:r>
      <w:hyperlink r:id="rId100">
        <w:r>
          <w:rPr>
            <w:color w:val="486794"/>
            <w:sz w:val="20"/>
            <w:u w:val="single" w:color="486794"/>
          </w:rPr>
          <w:t>https://masshpc.gov/sites/default/files/2023-</w:t>
        </w:r>
      </w:hyperlink>
      <w:r>
        <w:rPr>
          <w:color w:val="486794"/>
          <w:sz w:val="20"/>
        </w:rPr>
        <w:t xml:space="preserve"> </w:t>
      </w:r>
      <w:hyperlink r:id="rId101">
        <w:r>
          <w:rPr>
            <w:color w:val="486794"/>
            <w:spacing w:val="-2"/>
            <w:sz w:val="20"/>
            <w:u w:val="single" w:color="486794"/>
          </w:rPr>
          <w:t>02/20220728_bilh_exeter_mcn.pdf</w:t>
        </w:r>
        <w:r>
          <w:rPr>
            <w:spacing w:val="-2"/>
            <w:sz w:val="20"/>
          </w:rPr>
          <w:t>.</w:t>
        </w:r>
      </w:hyperlink>
    </w:p>
  </w:footnote>
  <w:footnote w:id="56">
    <w:p w14:paraId="042D04EC" w14:textId="00001836" w:rsidR="0023289C" w:rsidRPr="009D2F1F" w:rsidRDefault="0023289C" w:rsidP="0023289C">
      <w:pPr>
        <w:ind w:left="960"/>
        <w:rPr>
          <w:rStyle w:val="Hyperlink"/>
          <w:color w:val="000000" w:themeColor="text1"/>
          <w:sz w:val="20"/>
          <w:u w:val="none"/>
        </w:rPr>
      </w:pPr>
      <w:r>
        <w:rPr>
          <w:rStyle w:val="FootnoteReference"/>
        </w:rPr>
        <w:footnoteRef/>
      </w:r>
      <w:r>
        <w:t xml:space="preserve"> </w:t>
      </w:r>
      <w:r w:rsidR="009D2F1F" w:rsidRPr="009D2F1F">
        <w:rPr>
          <w:color w:val="000000" w:themeColor="text1"/>
          <w:sz w:val="20"/>
        </w:rPr>
        <w:fldChar w:fldCharType="begin"/>
      </w:r>
      <w:r w:rsidR="009D2F1F" w:rsidRPr="009D2F1F">
        <w:rPr>
          <w:color w:val="000000" w:themeColor="text1"/>
          <w:sz w:val="20"/>
        </w:rPr>
        <w:instrText>HYPERLINK "https://www.chiamass.gov/assets/docs/r/hospital-profiles/2023/FY23-Massachusetts-Hospital-Profiles-%20Technical-Appendix.pdf."</w:instrText>
      </w:r>
      <w:r w:rsidR="009D2F1F" w:rsidRPr="009D2F1F">
        <w:rPr>
          <w:color w:val="000000" w:themeColor="text1"/>
          <w:sz w:val="20"/>
        </w:rPr>
      </w:r>
      <w:r w:rsidR="009D2F1F" w:rsidRPr="009D2F1F">
        <w:rPr>
          <w:color w:val="000000" w:themeColor="text1"/>
          <w:sz w:val="20"/>
        </w:rPr>
        <w:fldChar w:fldCharType="separate"/>
      </w:r>
      <w:r w:rsidRPr="009D2F1F">
        <w:rPr>
          <w:rStyle w:val="Hyperlink"/>
          <w:color w:val="000000" w:themeColor="text1"/>
          <w:sz w:val="20"/>
          <w:u w:val="none"/>
        </w:rPr>
        <w:t>C</w:t>
      </w:r>
      <w:r w:rsidRPr="009D2F1F">
        <w:rPr>
          <w:rStyle w:val="Hyperlink"/>
          <w:color w:val="000000" w:themeColor="text1"/>
          <w:sz w:val="16"/>
          <w:u w:val="none"/>
        </w:rPr>
        <w:t>TR</w:t>
      </w:r>
      <w:r w:rsidRPr="009D2F1F">
        <w:rPr>
          <w:rStyle w:val="Hyperlink"/>
          <w:color w:val="000000" w:themeColor="text1"/>
          <w:sz w:val="20"/>
          <w:u w:val="none"/>
        </w:rPr>
        <w:t>.</w:t>
      </w:r>
      <w:r w:rsidRPr="009D2F1F">
        <w:rPr>
          <w:rStyle w:val="Hyperlink"/>
          <w:color w:val="000000" w:themeColor="text1"/>
          <w:spacing w:val="-13"/>
          <w:sz w:val="20"/>
          <w:u w:val="none"/>
        </w:rPr>
        <w:t xml:space="preserve"> </w:t>
      </w:r>
      <w:r w:rsidRPr="009D2F1F">
        <w:rPr>
          <w:rStyle w:val="Hyperlink"/>
          <w:color w:val="000000" w:themeColor="text1"/>
          <w:sz w:val="16"/>
          <w:u w:val="none"/>
        </w:rPr>
        <w:t>FOR</w:t>
      </w:r>
      <w:r w:rsidRPr="009D2F1F">
        <w:rPr>
          <w:rStyle w:val="Hyperlink"/>
          <w:color w:val="000000" w:themeColor="text1"/>
          <w:spacing w:val="-7"/>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EALTH</w:t>
      </w:r>
      <w:r w:rsidRPr="009D2F1F">
        <w:rPr>
          <w:rStyle w:val="Hyperlink"/>
          <w:color w:val="000000" w:themeColor="text1"/>
          <w:spacing w:val="-7"/>
          <w:sz w:val="16"/>
          <w:u w:val="none"/>
        </w:rPr>
        <w:t xml:space="preserve"> </w:t>
      </w:r>
      <w:r w:rsidRPr="009D2F1F">
        <w:rPr>
          <w:rStyle w:val="Hyperlink"/>
          <w:color w:val="000000" w:themeColor="text1"/>
          <w:sz w:val="20"/>
          <w:u w:val="none"/>
        </w:rPr>
        <w:t>I</w:t>
      </w:r>
      <w:r w:rsidRPr="009D2F1F">
        <w:rPr>
          <w:rStyle w:val="Hyperlink"/>
          <w:color w:val="000000" w:themeColor="text1"/>
          <w:sz w:val="16"/>
          <w:u w:val="none"/>
        </w:rPr>
        <w:t>NFO</w:t>
      </w:r>
      <w:r w:rsidRPr="009D2F1F">
        <w:rPr>
          <w:rStyle w:val="Hyperlink"/>
          <w:color w:val="000000" w:themeColor="text1"/>
          <w:sz w:val="20"/>
          <w:u w:val="none"/>
        </w:rPr>
        <w:t>.</w:t>
      </w:r>
      <w:r w:rsidRPr="009D2F1F">
        <w:rPr>
          <w:rStyle w:val="Hyperlink"/>
          <w:color w:val="000000" w:themeColor="text1"/>
          <w:spacing w:val="-12"/>
          <w:sz w:val="20"/>
          <w:u w:val="none"/>
        </w:rPr>
        <w:t xml:space="preserve"> </w:t>
      </w:r>
      <w:r w:rsidRPr="009D2F1F">
        <w:rPr>
          <w:rStyle w:val="Hyperlink"/>
          <w:color w:val="000000" w:themeColor="text1"/>
          <w:sz w:val="20"/>
          <w:u w:val="none"/>
        </w:rPr>
        <w:t>&amp;</w:t>
      </w:r>
      <w:r w:rsidRPr="009D2F1F">
        <w:rPr>
          <w:rStyle w:val="Hyperlink"/>
          <w:color w:val="000000" w:themeColor="text1"/>
          <w:spacing w:val="-13"/>
          <w:sz w:val="20"/>
          <w:u w:val="none"/>
        </w:rPr>
        <w:t xml:space="preserve"> </w:t>
      </w:r>
      <w:r w:rsidRPr="009D2F1F">
        <w:rPr>
          <w:rStyle w:val="Hyperlink"/>
          <w:color w:val="000000" w:themeColor="text1"/>
          <w:sz w:val="20"/>
          <w:u w:val="none"/>
        </w:rPr>
        <w:t>A</w:t>
      </w:r>
      <w:r w:rsidRPr="009D2F1F">
        <w:rPr>
          <w:rStyle w:val="Hyperlink"/>
          <w:color w:val="000000" w:themeColor="text1"/>
          <w:sz w:val="16"/>
          <w:u w:val="none"/>
        </w:rPr>
        <w:t>NALYSIS</w:t>
      </w:r>
      <w:r w:rsidRPr="009D2F1F">
        <w:rPr>
          <w:rStyle w:val="Hyperlink"/>
          <w:color w:val="000000" w:themeColor="text1"/>
          <w:sz w:val="20"/>
          <w:u w:val="none"/>
        </w:rPr>
        <w:t>,</w:t>
      </w:r>
      <w:r w:rsidRPr="009D2F1F">
        <w:rPr>
          <w:rStyle w:val="Hyperlink"/>
          <w:color w:val="000000" w:themeColor="text1"/>
          <w:spacing w:val="-12"/>
          <w:sz w:val="20"/>
          <w:u w:val="none"/>
        </w:rPr>
        <w:t xml:space="preserve"> </w:t>
      </w:r>
      <w:r w:rsidRPr="009D2F1F">
        <w:rPr>
          <w:rStyle w:val="Hyperlink"/>
          <w:color w:val="000000" w:themeColor="text1"/>
          <w:sz w:val="20"/>
          <w:u w:val="none"/>
        </w:rPr>
        <w:t>M</w:t>
      </w:r>
      <w:r w:rsidRPr="009D2F1F">
        <w:rPr>
          <w:rStyle w:val="Hyperlink"/>
          <w:color w:val="000000" w:themeColor="text1"/>
          <w:sz w:val="16"/>
          <w:u w:val="none"/>
        </w:rPr>
        <w:t>ASSACHUSETTS</w:t>
      </w:r>
      <w:r w:rsidRPr="009D2F1F">
        <w:rPr>
          <w:rStyle w:val="Hyperlink"/>
          <w:color w:val="000000" w:themeColor="text1"/>
          <w:spacing w:val="-6"/>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OSPITAL</w:t>
      </w:r>
      <w:r w:rsidRPr="009D2F1F">
        <w:rPr>
          <w:rStyle w:val="Hyperlink"/>
          <w:color w:val="000000" w:themeColor="text1"/>
          <w:spacing w:val="-4"/>
          <w:sz w:val="16"/>
          <w:u w:val="none"/>
        </w:rPr>
        <w:t xml:space="preserve"> </w:t>
      </w:r>
      <w:r w:rsidRPr="009D2F1F">
        <w:rPr>
          <w:rStyle w:val="Hyperlink"/>
          <w:color w:val="000000" w:themeColor="text1"/>
          <w:sz w:val="20"/>
          <w:u w:val="none"/>
        </w:rPr>
        <w:t>P</w:t>
      </w:r>
      <w:r w:rsidRPr="009D2F1F">
        <w:rPr>
          <w:rStyle w:val="Hyperlink"/>
          <w:color w:val="000000" w:themeColor="text1"/>
          <w:sz w:val="16"/>
          <w:u w:val="none"/>
        </w:rPr>
        <w:t>ROFILES</w:t>
      </w:r>
      <w:r w:rsidRPr="009D2F1F">
        <w:rPr>
          <w:rStyle w:val="Hyperlink"/>
          <w:color w:val="000000" w:themeColor="text1"/>
          <w:spacing w:val="-7"/>
          <w:sz w:val="16"/>
          <w:u w:val="none"/>
        </w:rPr>
        <w:t xml:space="preserve"> </w:t>
      </w:r>
      <w:r w:rsidRPr="009D2F1F">
        <w:rPr>
          <w:rStyle w:val="Hyperlink"/>
          <w:color w:val="000000" w:themeColor="text1"/>
          <w:sz w:val="20"/>
          <w:u w:val="none"/>
        </w:rPr>
        <w:t>D</w:t>
      </w:r>
      <w:r w:rsidRPr="009D2F1F">
        <w:rPr>
          <w:rStyle w:val="Hyperlink"/>
          <w:color w:val="000000" w:themeColor="text1"/>
          <w:sz w:val="16"/>
          <w:u w:val="none"/>
        </w:rPr>
        <w:t>ATA</w:t>
      </w:r>
      <w:r w:rsidRPr="009D2F1F">
        <w:rPr>
          <w:rStyle w:val="Hyperlink"/>
          <w:color w:val="000000" w:themeColor="text1"/>
          <w:spacing w:val="-5"/>
          <w:sz w:val="16"/>
          <w:u w:val="none"/>
        </w:rPr>
        <w:t xml:space="preserve"> </w:t>
      </w:r>
      <w:r w:rsidRPr="009D2F1F">
        <w:rPr>
          <w:rStyle w:val="Hyperlink"/>
          <w:color w:val="000000" w:themeColor="text1"/>
          <w:sz w:val="20"/>
          <w:u w:val="none"/>
        </w:rPr>
        <w:t>T</w:t>
      </w:r>
      <w:r w:rsidRPr="009D2F1F">
        <w:rPr>
          <w:rStyle w:val="Hyperlink"/>
          <w:color w:val="000000" w:themeColor="text1"/>
          <w:sz w:val="16"/>
          <w:u w:val="none"/>
        </w:rPr>
        <w:t>HROUGH</w:t>
      </w:r>
      <w:r w:rsidRPr="009D2F1F">
        <w:rPr>
          <w:rStyle w:val="Hyperlink"/>
          <w:color w:val="000000" w:themeColor="text1"/>
          <w:spacing w:val="-5"/>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OSPITAL</w:t>
      </w:r>
      <w:r w:rsidRPr="009D2F1F">
        <w:rPr>
          <w:rStyle w:val="Hyperlink"/>
          <w:color w:val="000000" w:themeColor="text1"/>
          <w:spacing w:val="-5"/>
          <w:sz w:val="16"/>
          <w:u w:val="none"/>
        </w:rPr>
        <w:t xml:space="preserve"> </w:t>
      </w:r>
      <w:r w:rsidRPr="009D2F1F">
        <w:rPr>
          <w:rStyle w:val="Hyperlink"/>
          <w:color w:val="000000" w:themeColor="text1"/>
          <w:sz w:val="20"/>
          <w:u w:val="none"/>
        </w:rPr>
        <w:t>F</w:t>
      </w:r>
      <w:r w:rsidRPr="009D2F1F">
        <w:rPr>
          <w:rStyle w:val="Hyperlink"/>
          <w:color w:val="000000" w:themeColor="text1"/>
          <w:sz w:val="16"/>
          <w:u w:val="none"/>
        </w:rPr>
        <w:t>ISCAL</w:t>
      </w:r>
      <w:r w:rsidRPr="009D2F1F">
        <w:rPr>
          <w:rStyle w:val="Hyperlink"/>
          <w:color w:val="000000" w:themeColor="text1"/>
          <w:spacing w:val="-4"/>
          <w:sz w:val="16"/>
          <w:u w:val="none"/>
        </w:rPr>
        <w:t xml:space="preserve"> </w:t>
      </w:r>
      <w:r w:rsidRPr="009D2F1F">
        <w:rPr>
          <w:rStyle w:val="Hyperlink"/>
          <w:color w:val="000000" w:themeColor="text1"/>
          <w:sz w:val="20"/>
          <w:u w:val="none"/>
        </w:rPr>
        <w:t>Y</w:t>
      </w:r>
      <w:r w:rsidRPr="009D2F1F">
        <w:rPr>
          <w:rStyle w:val="Hyperlink"/>
          <w:color w:val="000000" w:themeColor="text1"/>
          <w:sz w:val="16"/>
          <w:u w:val="none"/>
        </w:rPr>
        <w:t>EAR</w:t>
      </w:r>
      <w:r w:rsidRPr="009D2F1F">
        <w:rPr>
          <w:rStyle w:val="Hyperlink"/>
          <w:color w:val="000000" w:themeColor="text1"/>
          <w:spacing w:val="-7"/>
          <w:sz w:val="16"/>
          <w:u w:val="none"/>
        </w:rPr>
        <w:t xml:space="preserve"> </w:t>
      </w:r>
      <w:r w:rsidRPr="009D2F1F">
        <w:rPr>
          <w:rStyle w:val="Hyperlink"/>
          <w:color w:val="000000" w:themeColor="text1"/>
          <w:spacing w:val="-4"/>
          <w:sz w:val="20"/>
          <w:u w:val="none"/>
        </w:rPr>
        <w:t>2023</w:t>
      </w:r>
    </w:p>
    <w:p w14:paraId="3CE7A4F2" w14:textId="459B4EC8" w:rsidR="0023289C" w:rsidRPr="00980E34" w:rsidRDefault="0023289C" w:rsidP="00980E34">
      <w:pPr>
        <w:spacing w:before="1"/>
        <w:ind w:left="960" w:right="1180"/>
        <w:rPr>
          <w:sz w:val="20"/>
        </w:rPr>
      </w:pPr>
      <w:r w:rsidRPr="009D2F1F">
        <w:rPr>
          <w:rStyle w:val="Hyperlink"/>
          <w:color w:val="000000" w:themeColor="text1"/>
          <w:sz w:val="20"/>
          <w:u w:val="none"/>
        </w:rPr>
        <w:t>D</w:t>
      </w:r>
      <w:r w:rsidRPr="009D2F1F">
        <w:rPr>
          <w:rStyle w:val="Hyperlink"/>
          <w:color w:val="000000" w:themeColor="text1"/>
          <w:sz w:val="16"/>
          <w:u w:val="none"/>
        </w:rPr>
        <w:t>ATABOOK</w:t>
      </w:r>
      <w:r w:rsidR="009D2F1F" w:rsidRPr="009D2F1F">
        <w:rPr>
          <w:color w:val="000000" w:themeColor="text1"/>
          <w:sz w:val="20"/>
        </w:rPr>
        <w:fldChar w:fldCharType="end"/>
      </w:r>
      <w:r w:rsidRPr="009D2F1F">
        <w:rPr>
          <w:color w:val="000000" w:themeColor="text1"/>
          <w:sz w:val="16"/>
        </w:rPr>
        <w:t xml:space="preserve"> </w:t>
      </w:r>
      <w:r>
        <w:rPr>
          <w:sz w:val="20"/>
        </w:rPr>
        <w:t>at Appendix B</w:t>
      </w:r>
      <w:r>
        <w:rPr>
          <w:spacing w:val="40"/>
          <w:sz w:val="20"/>
        </w:rPr>
        <w:t xml:space="preserve"> </w:t>
      </w:r>
      <w:r>
        <w:rPr>
          <w:sz w:val="20"/>
        </w:rPr>
        <w:t>(Jan. 2025)</w:t>
      </w:r>
      <w:r>
        <w:rPr>
          <w:spacing w:val="-3"/>
          <w:sz w:val="20"/>
        </w:rPr>
        <w:t xml:space="preserve"> </w:t>
      </w:r>
      <w:r>
        <w:rPr>
          <w:sz w:val="20"/>
        </w:rPr>
        <w:t>[hereinafter CHIA</w:t>
      </w:r>
      <w:r>
        <w:rPr>
          <w:spacing w:val="-4"/>
          <w:sz w:val="20"/>
        </w:rPr>
        <w:t xml:space="preserve"> </w:t>
      </w:r>
      <w:r>
        <w:rPr>
          <w:sz w:val="20"/>
        </w:rPr>
        <w:t>2023</w:t>
      </w:r>
      <w:r>
        <w:rPr>
          <w:spacing w:val="-2"/>
          <w:sz w:val="20"/>
        </w:rPr>
        <w:t xml:space="preserve"> </w:t>
      </w:r>
      <w:r>
        <w:rPr>
          <w:sz w:val="20"/>
        </w:rPr>
        <w:t>H</w:t>
      </w:r>
      <w:r>
        <w:rPr>
          <w:sz w:val="16"/>
        </w:rPr>
        <w:t xml:space="preserve">OSPITAL </w:t>
      </w:r>
      <w:r>
        <w:rPr>
          <w:sz w:val="20"/>
        </w:rPr>
        <w:t>P</w:t>
      </w:r>
      <w:r>
        <w:rPr>
          <w:sz w:val="16"/>
        </w:rPr>
        <w:t xml:space="preserve">ROFILES </w:t>
      </w:r>
      <w:r>
        <w:rPr>
          <w:sz w:val="20"/>
        </w:rPr>
        <w:t>D</w:t>
      </w:r>
      <w:r>
        <w:rPr>
          <w:sz w:val="16"/>
        </w:rPr>
        <w:t>ATABOOK</w:t>
      </w:r>
      <w:r>
        <w:rPr>
          <w:sz w:val="20"/>
        </w:rPr>
        <w:t xml:space="preserve">], </w:t>
      </w:r>
      <w:r>
        <w:rPr>
          <w:i/>
          <w:sz w:val="20"/>
        </w:rPr>
        <w:t xml:space="preserve">available at </w:t>
      </w:r>
      <w:hyperlink r:id="rId102">
        <w:r>
          <w:rPr>
            <w:color w:val="486794"/>
            <w:spacing w:val="-2"/>
            <w:sz w:val="20"/>
            <w:u w:val="single" w:color="486794"/>
          </w:rPr>
          <w:t>https://www.chiamass.gov/assets/docs/r/hospital-profiles/2023/FY23-Massachusetts-Hospital-Profiles-</w:t>
        </w:r>
      </w:hyperlink>
      <w:r>
        <w:rPr>
          <w:color w:val="486794"/>
          <w:spacing w:val="-2"/>
          <w:sz w:val="20"/>
        </w:rPr>
        <w:t xml:space="preserve"> </w:t>
      </w:r>
      <w:hyperlink r:id="rId103">
        <w:r>
          <w:rPr>
            <w:color w:val="486794"/>
            <w:spacing w:val="-2"/>
            <w:sz w:val="20"/>
            <w:u w:val="single" w:color="486794"/>
          </w:rPr>
          <w:t>Technical-Appendix.pdf</w:t>
        </w:r>
        <w:r>
          <w:rPr>
            <w:spacing w:val="-2"/>
            <w:sz w:val="20"/>
          </w:rPr>
          <w:t>.</w:t>
        </w:r>
      </w:hyperlink>
    </w:p>
  </w:footnote>
  <w:footnote w:id="57">
    <w:p w14:paraId="66875479" w14:textId="5A37E16E" w:rsidR="00980E34" w:rsidRPr="009D2F1F" w:rsidRDefault="00980E34" w:rsidP="00980E34">
      <w:pPr>
        <w:spacing w:line="226" w:lineRule="exact"/>
        <w:ind w:left="960"/>
        <w:rPr>
          <w:rStyle w:val="Hyperlink"/>
          <w:color w:val="000000" w:themeColor="text1"/>
          <w:sz w:val="16"/>
          <w:u w:val="none"/>
        </w:rPr>
      </w:pPr>
      <w:r>
        <w:rPr>
          <w:rStyle w:val="FootnoteReference"/>
        </w:rPr>
        <w:footnoteRef/>
      </w:r>
      <w:r>
        <w:t xml:space="preserve"> </w:t>
      </w:r>
      <w:r w:rsidR="009D2F1F" w:rsidRPr="009D2F1F">
        <w:rPr>
          <w:color w:val="000000" w:themeColor="text1"/>
          <w:sz w:val="20"/>
        </w:rPr>
        <w:fldChar w:fldCharType="begin"/>
      </w:r>
      <w:r w:rsidR="009D2F1F" w:rsidRPr="009D2F1F">
        <w:rPr>
          <w:color w:val="000000" w:themeColor="text1"/>
          <w:sz w:val="20"/>
        </w:rPr>
        <w:instrText>HYPERLINK "https://masshpc.gov/moat/rpo/data."</w:instrText>
      </w:r>
      <w:r w:rsidR="009D2F1F" w:rsidRPr="009D2F1F">
        <w:rPr>
          <w:color w:val="000000" w:themeColor="text1"/>
          <w:sz w:val="20"/>
        </w:rPr>
      </w:r>
      <w:r w:rsidR="009D2F1F" w:rsidRPr="009D2F1F">
        <w:rPr>
          <w:color w:val="000000" w:themeColor="text1"/>
          <w:sz w:val="20"/>
        </w:rPr>
        <w:fldChar w:fldCharType="separate"/>
      </w:r>
      <w:r w:rsidRPr="009D2F1F">
        <w:rPr>
          <w:rStyle w:val="Hyperlink"/>
          <w:color w:val="000000" w:themeColor="text1"/>
          <w:sz w:val="20"/>
          <w:u w:val="none"/>
        </w:rPr>
        <w:t>M</w:t>
      </w:r>
      <w:r w:rsidRPr="009D2F1F">
        <w:rPr>
          <w:rStyle w:val="Hyperlink"/>
          <w:color w:val="000000" w:themeColor="text1"/>
          <w:sz w:val="16"/>
          <w:u w:val="none"/>
        </w:rPr>
        <w:t>ASS</w:t>
      </w:r>
      <w:r w:rsidRPr="009D2F1F">
        <w:rPr>
          <w:rStyle w:val="Hyperlink"/>
          <w:color w:val="000000" w:themeColor="text1"/>
          <w:spacing w:val="-5"/>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EALTH</w:t>
      </w:r>
      <w:r w:rsidRPr="009D2F1F">
        <w:rPr>
          <w:rStyle w:val="Hyperlink"/>
          <w:color w:val="000000" w:themeColor="text1"/>
          <w:spacing w:val="-5"/>
          <w:sz w:val="16"/>
          <w:u w:val="none"/>
        </w:rPr>
        <w:t xml:space="preserve"> </w:t>
      </w:r>
      <w:r w:rsidRPr="009D2F1F">
        <w:rPr>
          <w:rStyle w:val="Hyperlink"/>
          <w:color w:val="000000" w:themeColor="text1"/>
          <w:sz w:val="20"/>
          <w:u w:val="none"/>
        </w:rPr>
        <w:t>P</w:t>
      </w:r>
      <w:r w:rsidRPr="009D2F1F">
        <w:rPr>
          <w:rStyle w:val="Hyperlink"/>
          <w:color w:val="000000" w:themeColor="text1"/>
          <w:sz w:val="16"/>
          <w:u w:val="none"/>
        </w:rPr>
        <w:t>OLICY</w:t>
      </w:r>
      <w:r w:rsidRPr="009D2F1F">
        <w:rPr>
          <w:rStyle w:val="Hyperlink"/>
          <w:color w:val="000000" w:themeColor="text1"/>
          <w:spacing w:val="-7"/>
          <w:sz w:val="16"/>
          <w:u w:val="none"/>
        </w:rPr>
        <w:t xml:space="preserve"> </w:t>
      </w:r>
      <w:r w:rsidRPr="009D2F1F">
        <w:rPr>
          <w:rStyle w:val="Hyperlink"/>
          <w:color w:val="000000" w:themeColor="text1"/>
          <w:sz w:val="20"/>
          <w:u w:val="none"/>
        </w:rPr>
        <w:t>C</w:t>
      </w:r>
      <w:r w:rsidRPr="009D2F1F">
        <w:rPr>
          <w:rStyle w:val="Hyperlink"/>
          <w:color w:val="000000" w:themeColor="text1"/>
          <w:sz w:val="16"/>
          <w:u w:val="none"/>
        </w:rPr>
        <w:t>OMM</w:t>
      </w:r>
      <w:r w:rsidRPr="009D2F1F">
        <w:rPr>
          <w:rStyle w:val="Hyperlink"/>
          <w:color w:val="000000" w:themeColor="text1"/>
          <w:sz w:val="20"/>
          <w:u w:val="none"/>
        </w:rPr>
        <w:t>’</w:t>
      </w:r>
      <w:r w:rsidRPr="009D2F1F">
        <w:rPr>
          <w:rStyle w:val="Hyperlink"/>
          <w:color w:val="000000" w:themeColor="text1"/>
          <w:sz w:val="16"/>
          <w:u w:val="none"/>
        </w:rPr>
        <w:t>N</w:t>
      </w:r>
      <w:r w:rsidRPr="009D2F1F">
        <w:rPr>
          <w:rStyle w:val="Hyperlink"/>
          <w:color w:val="000000" w:themeColor="text1"/>
          <w:sz w:val="20"/>
          <w:u w:val="none"/>
        </w:rPr>
        <w:t>,</w:t>
      </w:r>
      <w:r w:rsidRPr="009D2F1F">
        <w:rPr>
          <w:rStyle w:val="Hyperlink"/>
          <w:color w:val="000000" w:themeColor="text1"/>
          <w:spacing w:val="-12"/>
          <w:sz w:val="20"/>
          <w:u w:val="none"/>
        </w:rPr>
        <w:t xml:space="preserve"> </w:t>
      </w:r>
      <w:r w:rsidRPr="009D2F1F">
        <w:rPr>
          <w:rStyle w:val="Hyperlink"/>
          <w:color w:val="000000" w:themeColor="text1"/>
          <w:sz w:val="20"/>
          <w:u w:val="none"/>
        </w:rPr>
        <w:t>M</w:t>
      </w:r>
      <w:r w:rsidRPr="009D2F1F">
        <w:rPr>
          <w:rStyle w:val="Hyperlink"/>
          <w:color w:val="000000" w:themeColor="text1"/>
          <w:sz w:val="16"/>
          <w:u w:val="none"/>
        </w:rPr>
        <w:t>ASS</w:t>
      </w:r>
      <w:r w:rsidRPr="009D2F1F">
        <w:rPr>
          <w:rStyle w:val="Hyperlink"/>
          <w:color w:val="000000" w:themeColor="text1"/>
          <w:spacing w:val="-5"/>
          <w:sz w:val="16"/>
          <w:u w:val="none"/>
        </w:rPr>
        <w:t xml:space="preserve"> </w:t>
      </w:r>
      <w:r w:rsidRPr="009D2F1F">
        <w:rPr>
          <w:rStyle w:val="Hyperlink"/>
          <w:color w:val="000000" w:themeColor="text1"/>
          <w:sz w:val="20"/>
          <w:u w:val="none"/>
        </w:rPr>
        <w:t>R</w:t>
      </w:r>
      <w:r w:rsidRPr="009D2F1F">
        <w:rPr>
          <w:rStyle w:val="Hyperlink"/>
          <w:color w:val="000000" w:themeColor="text1"/>
          <w:sz w:val="16"/>
          <w:u w:val="none"/>
        </w:rPr>
        <w:t>EGISTRATION</w:t>
      </w:r>
      <w:r w:rsidRPr="009D2F1F">
        <w:rPr>
          <w:rStyle w:val="Hyperlink"/>
          <w:color w:val="000000" w:themeColor="text1"/>
          <w:spacing w:val="-5"/>
          <w:sz w:val="16"/>
          <w:u w:val="none"/>
        </w:rPr>
        <w:t xml:space="preserve"> </w:t>
      </w:r>
      <w:r w:rsidRPr="009D2F1F">
        <w:rPr>
          <w:rStyle w:val="Hyperlink"/>
          <w:color w:val="000000" w:themeColor="text1"/>
          <w:sz w:val="16"/>
          <w:u w:val="none"/>
        </w:rPr>
        <w:t>OF</w:t>
      </w:r>
      <w:r w:rsidRPr="009D2F1F">
        <w:rPr>
          <w:rStyle w:val="Hyperlink"/>
          <w:color w:val="000000" w:themeColor="text1"/>
          <w:spacing w:val="-7"/>
          <w:sz w:val="16"/>
          <w:u w:val="none"/>
        </w:rPr>
        <w:t xml:space="preserve"> </w:t>
      </w:r>
      <w:r w:rsidRPr="009D2F1F">
        <w:rPr>
          <w:rStyle w:val="Hyperlink"/>
          <w:color w:val="000000" w:themeColor="text1"/>
          <w:sz w:val="20"/>
          <w:u w:val="none"/>
        </w:rPr>
        <w:t>P</w:t>
      </w:r>
      <w:r w:rsidRPr="009D2F1F">
        <w:rPr>
          <w:rStyle w:val="Hyperlink"/>
          <w:color w:val="000000" w:themeColor="text1"/>
          <w:sz w:val="16"/>
          <w:u w:val="none"/>
        </w:rPr>
        <w:t>ROVIDER</w:t>
      </w:r>
      <w:r w:rsidRPr="009D2F1F">
        <w:rPr>
          <w:rStyle w:val="Hyperlink"/>
          <w:color w:val="000000" w:themeColor="text1"/>
          <w:spacing w:val="-5"/>
          <w:sz w:val="16"/>
          <w:u w:val="none"/>
        </w:rPr>
        <w:t xml:space="preserve"> </w:t>
      </w:r>
      <w:r w:rsidRPr="009D2F1F">
        <w:rPr>
          <w:rStyle w:val="Hyperlink"/>
          <w:color w:val="000000" w:themeColor="text1"/>
          <w:sz w:val="20"/>
          <w:u w:val="none"/>
        </w:rPr>
        <w:t>O</w:t>
      </w:r>
      <w:r w:rsidRPr="009D2F1F">
        <w:rPr>
          <w:rStyle w:val="Hyperlink"/>
          <w:color w:val="000000" w:themeColor="text1"/>
          <w:sz w:val="16"/>
          <w:u w:val="none"/>
        </w:rPr>
        <w:t>RGANIZATIONS</w:t>
      </w:r>
      <w:r w:rsidRPr="009D2F1F">
        <w:rPr>
          <w:rStyle w:val="Hyperlink"/>
          <w:color w:val="000000" w:themeColor="text1"/>
          <w:spacing w:val="-8"/>
          <w:sz w:val="16"/>
          <w:u w:val="none"/>
        </w:rPr>
        <w:t xml:space="preserve"> </w:t>
      </w:r>
      <w:r w:rsidRPr="009D2F1F">
        <w:rPr>
          <w:rStyle w:val="Hyperlink"/>
          <w:color w:val="000000" w:themeColor="text1"/>
          <w:sz w:val="20"/>
          <w:u w:val="none"/>
        </w:rPr>
        <w:t>2023</w:t>
      </w:r>
      <w:r w:rsidRPr="009D2F1F">
        <w:rPr>
          <w:rStyle w:val="Hyperlink"/>
          <w:color w:val="000000" w:themeColor="text1"/>
          <w:spacing w:val="-12"/>
          <w:sz w:val="20"/>
          <w:u w:val="none"/>
        </w:rPr>
        <w:t xml:space="preserve"> </w:t>
      </w:r>
      <w:r w:rsidRPr="009D2F1F">
        <w:rPr>
          <w:rStyle w:val="Hyperlink"/>
          <w:color w:val="000000" w:themeColor="text1"/>
          <w:sz w:val="20"/>
          <w:u w:val="none"/>
        </w:rPr>
        <w:t>R</w:t>
      </w:r>
      <w:r w:rsidRPr="009D2F1F">
        <w:rPr>
          <w:rStyle w:val="Hyperlink"/>
          <w:color w:val="000000" w:themeColor="text1"/>
          <w:sz w:val="16"/>
          <w:u w:val="none"/>
        </w:rPr>
        <w:t>EGISTRATION</w:t>
      </w:r>
      <w:r w:rsidRPr="009D2F1F">
        <w:rPr>
          <w:rStyle w:val="Hyperlink"/>
          <w:color w:val="000000" w:themeColor="text1"/>
          <w:sz w:val="20"/>
          <w:u w:val="none"/>
        </w:rPr>
        <w:t>:</w:t>
      </w:r>
      <w:r w:rsidRPr="009D2F1F">
        <w:rPr>
          <w:rStyle w:val="Hyperlink"/>
          <w:color w:val="000000" w:themeColor="text1"/>
          <w:spacing w:val="-13"/>
          <w:sz w:val="20"/>
          <w:u w:val="none"/>
        </w:rPr>
        <w:t xml:space="preserve"> </w:t>
      </w:r>
      <w:r w:rsidRPr="009D2F1F">
        <w:rPr>
          <w:rStyle w:val="Hyperlink"/>
          <w:color w:val="000000" w:themeColor="text1"/>
          <w:sz w:val="20"/>
          <w:u w:val="none"/>
        </w:rPr>
        <w:t>B</w:t>
      </w:r>
      <w:r w:rsidRPr="009D2F1F">
        <w:rPr>
          <w:rStyle w:val="Hyperlink"/>
          <w:color w:val="000000" w:themeColor="text1"/>
          <w:sz w:val="16"/>
          <w:u w:val="none"/>
        </w:rPr>
        <w:t>ETH</w:t>
      </w:r>
      <w:r w:rsidRPr="009D2F1F">
        <w:rPr>
          <w:rStyle w:val="Hyperlink"/>
          <w:color w:val="000000" w:themeColor="text1"/>
          <w:spacing w:val="-5"/>
          <w:sz w:val="16"/>
          <w:u w:val="none"/>
        </w:rPr>
        <w:t xml:space="preserve"> </w:t>
      </w:r>
      <w:r w:rsidRPr="009D2F1F">
        <w:rPr>
          <w:rStyle w:val="Hyperlink"/>
          <w:color w:val="000000" w:themeColor="text1"/>
          <w:spacing w:val="-2"/>
          <w:sz w:val="20"/>
          <w:u w:val="none"/>
        </w:rPr>
        <w:t>I</w:t>
      </w:r>
      <w:r w:rsidRPr="009D2F1F">
        <w:rPr>
          <w:rStyle w:val="Hyperlink"/>
          <w:color w:val="000000" w:themeColor="text1"/>
          <w:spacing w:val="-2"/>
          <w:sz w:val="16"/>
          <w:u w:val="none"/>
        </w:rPr>
        <w:t>SRAEL</w:t>
      </w:r>
    </w:p>
    <w:p w14:paraId="70C09FCA" w14:textId="5C47F894" w:rsidR="00980E34" w:rsidRDefault="00980E34" w:rsidP="00980E34">
      <w:pPr>
        <w:spacing w:before="1" w:line="226" w:lineRule="exact"/>
        <w:ind w:left="960"/>
        <w:rPr>
          <w:i/>
          <w:sz w:val="20"/>
        </w:rPr>
      </w:pPr>
      <w:r w:rsidRPr="009D2F1F">
        <w:rPr>
          <w:rStyle w:val="Hyperlink"/>
          <w:color w:val="000000" w:themeColor="text1"/>
          <w:sz w:val="20"/>
          <w:u w:val="none"/>
        </w:rPr>
        <w:t>L</w:t>
      </w:r>
      <w:r w:rsidRPr="009D2F1F">
        <w:rPr>
          <w:rStyle w:val="Hyperlink"/>
          <w:color w:val="000000" w:themeColor="text1"/>
          <w:sz w:val="16"/>
          <w:u w:val="none"/>
        </w:rPr>
        <w:t>AHEY</w:t>
      </w:r>
      <w:r w:rsidRPr="009D2F1F">
        <w:rPr>
          <w:rStyle w:val="Hyperlink"/>
          <w:color w:val="000000" w:themeColor="text1"/>
          <w:spacing w:val="-10"/>
          <w:sz w:val="16"/>
          <w:u w:val="none"/>
        </w:rPr>
        <w:t xml:space="preserve"> </w:t>
      </w:r>
      <w:r w:rsidRPr="009D2F1F">
        <w:rPr>
          <w:rStyle w:val="Hyperlink"/>
          <w:color w:val="000000" w:themeColor="text1"/>
          <w:sz w:val="20"/>
          <w:u w:val="none"/>
        </w:rPr>
        <w:t>H</w:t>
      </w:r>
      <w:r w:rsidRPr="009D2F1F">
        <w:rPr>
          <w:rStyle w:val="Hyperlink"/>
          <w:color w:val="000000" w:themeColor="text1"/>
          <w:sz w:val="16"/>
          <w:u w:val="none"/>
        </w:rPr>
        <w:t>EALTH</w:t>
      </w:r>
      <w:r w:rsidRPr="009D2F1F">
        <w:rPr>
          <w:rStyle w:val="Hyperlink"/>
          <w:color w:val="000000" w:themeColor="text1"/>
          <w:sz w:val="20"/>
          <w:u w:val="none"/>
        </w:rPr>
        <w:t>,</w:t>
      </w:r>
      <w:r w:rsidRPr="009D2F1F">
        <w:rPr>
          <w:rStyle w:val="Hyperlink"/>
          <w:color w:val="000000" w:themeColor="text1"/>
          <w:spacing w:val="-13"/>
          <w:sz w:val="20"/>
          <w:u w:val="none"/>
        </w:rPr>
        <w:t xml:space="preserve"> </w:t>
      </w:r>
      <w:r w:rsidRPr="009D2F1F">
        <w:rPr>
          <w:rStyle w:val="Hyperlink"/>
          <w:color w:val="000000" w:themeColor="text1"/>
          <w:sz w:val="16"/>
          <w:u w:val="none"/>
        </w:rPr>
        <w:t>INC</w:t>
      </w:r>
      <w:r w:rsidRPr="009D2F1F">
        <w:rPr>
          <w:rStyle w:val="Hyperlink"/>
          <w:color w:val="000000" w:themeColor="text1"/>
          <w:sz w:val="20"/>
          <w:u w:val="none"/>
        </w:rPr>
        <w:t>.</w:t>
      </w:r>
      <w:r w:rsidR="009D2F1F" w:rsidRPr="009D2F1F">
        <w:rPr>
          <w:color w:val="000000" w:themeColor="text1"/>
          <w:sz w:val="20"/>
        </w:rPr>
        <w:fldChar w:fldCharType="end"/>
      </w:r>
      <w:r w:rsidRPr="009D2F1F">
        <w:rPr>
          <w:color w:val="000000" w:themeColor="text1"/>
          <w:spacing w:val="-12"/>
          <w:sz w:val="20"/>
        </w:rPr>
        <w:t xml:space="preserve"> </w:t>
      </w:r>
      <w:r w:rsidRPr="009D2F1F">
        <w:rPr>
          <w:color w:val="000000" w:themeColor="text1"/>
          <w:sz w:val="20"/>
        </w:rPr>
        <w:t>(</w:t>
      </w:r>
      <w:r>
        <w:rPr>
          <w:sz w:val="20"/>
        </w:rPr>
        <w:t>Jan.</w:t>
      </w:r>
      <w:r>
        <w:rPr>
          <w:spacing w:val="-8"/>
          <w:sz w:val="20"/>
        </w:rPr>
        <w:t xml:space="preserve"> </w:t>
      </w:r>
      <w:r>
        <w:rPr>
          <w:sz w:val="20"/>
        </w:rPr>
        <w:t>2025)</w:t>
      </w:r>
      <w:r>
        <w:rPr>
          <w:spacing w:val="-7"/>
          <w:sz w:val="20"/>
        </w:rPr>
        <w:t xml:space="preserve"> </w:t>
      </w:r>
      <w:r>
        <w:rPr>
          <w:sz w:val="20"/>
        </w:rPr>
        <w:t>[hereinafter</w:t>
      </w:r>
      <w:r>
        <w:rPr>
          <w:spacing w:val="-8"/>
          <w:sz w:val="20"/>
        </w:rPr>
        <w:t xml:space="preserve"> </w:t>
      </w:r>
      <w:r>
        <w:rPr>
          <w:sz w:val="20"/>
        </w:rPr>
        <w:t>BILH</w:t>
      </w:r>
      <w:r>
        <w:rPr>
          <w:spacing w:val="-13"/>
          <w:sz w:val="20"/>
        </w:rPr>
        <w:t xml:space="preserve"> </w:t>
      </w:r>
      <w:r>
        <w:rPr>
          <w:sz w:val="20"/>
        </w:rPr>
        <w:t>MA-RPO</w:t>
      </w:r>
      <w:r>
        <w:rPr>
          <w:spacing w:val="-12"/>
          <w:sz w:val="20"/>
        </w:rPr>
        <w:t xml:space="preserve"> </w:t>
      </w:r>
      <w:r>
        <w:rPr>
          <w:sz w:val="20"/>
        </w:rPr>
        <w:t>F</w:t>
      </w:r>
      <w:r>
        <w:rPr>
          <w:sz w:val="16"/>
        </w:rPr>
        <w:t>ILING</w:t>
      </w:r>
      <w:r>
        <w:rPr>
          <w:sz w:val="20"/>
        </w:rPr>
        <w:t>],</w:t>
      </w:r>
      <w:r>
        <w:rPr>
          <w:spacing w:val="-7"/>
          <w:sz w:val="20"/>
        </w:rPr>
        <w:t xml:space="preserve"> </w:t>
      </w:r>
      <w:r>
        <w:rPr>
          <w:i/>
          <w:sz w:val="20"/>
        </w:rPr>
        <w:t>available</w:t>
      </w:r>
      <w:r>
        <w:rPr>
          <w:i/>
          <w:spacing w:val="-6"/>
          <w:sz w:val="20"/>
        </w:rPr>
        <w:t xml:space="preserve"> </w:t>
      </w:r>
      <w:r>
        <w:rPr>
          <w:i/>
          <w:spacing w:val="-5"/>
          <w:sz w:val="20"/>
        </w:rPr>
        <w:t>at</w:t>
      </w:r>
    </w:p>
    <w:p w14:paraId="7F85F425" w14:textId="1B2786F5" w:rsidR="00980E34" w:rsidRPr="00B04BF3" w:rsidRDefault="00980E34" w:rsidP="00B04BF3">
      <w:pPr>
        <w:spacing w:line="226" w:lineRule="exact"/>
        <w:ind w:left="959" w:right="940"/>
        <w:rPr>
          <w:sz w:val="20"/>
        </w:rPr>
      </w:pPr>
      <w:hyperlink r:id="rId104">
        <w:r>
          <w:rPr>
            <w:color w:val="486794"/>
            <w:spacing w:val="-2"/>
            <w:sz w:val="20"/>
            <w:u w:val="single" w:color="486794"/>
          </w:rPr>
          <w:t>https://masshpc.gov/moat/rpo/data</w:t>
        </w:r>
        <w:r>
          <w:rPr>
            <w:spacing w:val="-2"/>
            <w:sz w:val="20"/>
          </w:rPr>
          <w:t>.</w:t>
        </w:r>
      </w:hyperlink>
    </w:p>
  </w:footnote>
  <w:footnote w:id="58">
    <w:p w14:paraId="22F4F8F9" w14:textId="6E30E20E" w:rsidR="00B04BF3" w:rsidRDefault="00B04BF3" w:rsidP="00A949B3">
      <w:pPr>
        <w:pStyle w:val="FootnoteText"/>
        <w:ind w:left="959" w:right="940"/>
      </w:pPr>
      <w:r>
        <w:rPr>
          <w:rStyle w:val="FootnoteReference"/>
        </w:rPr>
        <w:footnoteRef/>
      </w:r>
      <w:r>
        <w:t xml:space="preserve"> </w:t>
      </w:r>
      <w:r>
        <w:rPr>
          <w:i/>
        </w:rPr>
        <w:t>See</w:t>
      </w:r>
      <w:r>
        <w:rPr>
          <w:i/>
          <w:spacing w:val="-6"/>
        </w:rPr>
        <w:t xml:space="preserve"> </w:t>
      </w:r>
      <w:r>
        <w:t>CHIA</w:t>
      </w:r>
      <w:r>
        <w:rPr>
          <w:spacing w:val="-4"/>
        </w:rPr>
        <w:t xml:space="preserve"> </w:t>
      </w:r>
      <w:r>
        <w:t>HFY23</w:t>
      </w:r>
      <w:r>
        <w:rPr>
          <w:spacing w:val="-5"/>
        </w:rPr>
        <w:t xml:space="preserve"> </w:t>
      </w:r>
      <w:r>
        <w:t>Financial</w:t>
      </w:r>
      <w:r>
        <w:rPr>
          <w:spacing w:val="-5"/>
        </w:rPr>
        <w:t xml:space="preserve"> </w:t>
      </w:r>
      <w:r>
        <w:t>Databook,</w:t>
      </w:r>
      <w:r>
        <w:rPr>
          <w:spacing w:val="-4"/>
        </w:rPr>
        <w:t xml:space="preserve"> </w:t>
      </w:r>
      <w:r>
        <w:rPr>
          <w:i/>
        </w:rPr>
        <w:t>supra</w:t>
      </w:r>
      <w:r>
        <w:rPr>
          <w:i/>
          <w:spacing w:val="-7"/>
        </w:rPr>
        <w:t xml:space="preserve"> </w:t>
      </w:r>
      <w:r>
        <w:t>note</w:t>
      </w:r>
      <w:r>
        <w:rPr>
          <w:spacing w:val="-5"/>
        </w:rPr>
        <w:t xml:space="preserve"> </w:t>
      </w:r>
      <w:hyperlink w:anchor="_bookmark52" w:history="1">
        <w:r>
          <w:rPr>
            <w:spacing w:val="-5"/>
          </w:rPr>
          <w:t>41.</w:t>
        </w:r>
      </w:hyperlink>
    </w:p>
  </w:footnote>
  <w:footnote w:id="59">
    <w:p w14:paraId="057F0DC0" w14:textId="2C0475E8" w:rsidR="00A949B3" w:rsidRDefault="00A949B3" w:rsidP="00A949B3">
      <w:pPr>
        <w:pStyle w:val="FootnoteText"/>
        <w:ind w:left="959" w:right="940"/>
      </w:pPr>
      <w:r>
        <w:rPr>
          <w:rStyle w:val="FootnoteReference"/>
        </w:rPr>
        <w:footnoteRef/>
      </w:r>
      <w:r>
        <w:t xml:space="preserve"> CHIA</w:t>
      </w:r>
      <w:r>
        <w:rPr>
          <w:spacing w:val="-13"/>
        </w:rPr>
        <w:t xml:space="preserve"> </w:t>
      </w:r>
      <w:r>
        <w:t>2023</w:t>
      </w:r>
      <w:r>
        <w:rPr>
          <w:spacing w:val="-12"/>
        </w:rPr>
        <w:t xml:space="preserve"> </w:t>
      </w:r>
      <w:r>
        <w:t>H</w:t>
      </w:r>
      <w:r>
        <w:rPr>
          <w:sz w:val="16"/>
        </w:rPr>
        <w:t>OSPITAL</w:t>
      </w:r>
      <w:r>
        <w:rPr>
          <w:spacing w:val="-4"/>
          <w:sz w:val="16"/>
        </w:rPr>
        <w:t xml:space="preserve"> </w:t>
      </w:r>
      <w:r>
        <w:t>P</w:t>
      </w:r>
      <w:r>
        <w:rPr>
          <w:sz w:val="16"/>
        </w:rPr>
        <w:t>ROFILES</w:t>
      </w:r>
      <w:r>
        <w:rPr>
          <w:spacing w:val="-7"/>
          <w:sz w:val="16"/>
        </w:rPr>
        <w:t xml:space="preserve"> </w:t>
      </w:r>
      <w:r>
        <w:t>D</w:t>
      </w:r>
      <w:r>
        <w:rPr>
          <w:sz w:val="16"/>
        </w:rPr>
        <w:t>ATABOOK</w:t>
      </w:r>
      <w:r>
        <w:t>,</w:t>
      </w:r>
      <w:r>
        <w:rPr>
          <w:spacing w:val="-13"/>
        </w:rPr>
        <w:t xml:space="preserve"> </w:t>
      </w:r>
      <w:r>
        <w:rPr>
          <w:i/>
        </w:rPr>
        <w:t>supra</w:t>
      </w:r>
      <w:r>
        <w:rPr>
          <w:i/>
          <w:spacing w:val="-6"/>
        </w:rPr>
        <w:t xml:space="preserve"> </w:t>
      </w:r>
      <w:r>
        <w:t>note</w:t>
      </w:r>
      <w:r>
        <w:rPr>
          <w:spacing w:val="-7"/>
        </w:rPr>
        <w:t xml:space="preserve"> </w:t>
      </w:r>
      <w:hyperlink w:anchor="_bookmark66" w:history="1">
        <w:r>
          <w:rPr>
            <w:spacing w:val="-5"/>
          </w:rPr>
          <w:t>56.</w:t>
        </w:r>
      </w:hyperlink>
    </w:p>
  </w:footnote>
  <w:footnote w:id="60">
    <w:p w14:paraId="4F5CCE0A" w14:textId="7F61BA8D" w:rsidR="00A949B3" w:rsidRDefault="00A949B3" w:rsidP="00777009">
      <w:pPr>
        <w:pStyle w:val="FootnoteText"/>
        <w:ind w:left="959" w:right="940"/>
      </w:pPr>
      <w:r>
        <w:rPr>
          <w:rStyle w:val="FootnoteReference"/>
        </w:rPr>
        <w:footnoteRef/>
      </w:r>
      <w:r>
        <w:t xml:space="preserve"> </w:t>
      </w:r>
      <w:hyperlink r:id="rId105" w:history="1">
        <w:r w:rsidRPr="009D2F1F">
          <w:rPr>
            <w:rStyle w:val="Hyperlink"/>
            <w:i/>
            <w:color w:val="000000" w:themeColor="text1"/>
            <w:u w:val="none"/>
          </w:rPr>
          <w:t>About</w:t>
        </w:r>
        <w:r w:rsidRPr="009D2F1F">
          <w:rPr>
            <w:rStyle w:val="Hyperlink"/>
            <w:i/>
            <w:color w:val="000000" w:themeColor="text1"/>
            <w:spacing w:val="-5"/>
            <w:u w:val="none"/>
          </w:rPr>
          <w:t xml:space="preserve"> </w:t>
        </w:r>
        <w:r w:rsidRPr="009D2F1F">
          <w:rPr>
            <w:rStyle w:val="Hyperlink"/>
            <w:i/>
            <w:color w:val="000000" w:themeColor="text1"/>
            <w:u w:val="none"/>
          </w:rPr>
          <w:t>the</w:t>
        </w:r>
        <w:r w:rsidRPr="009D2F1F">
          <w:rPr>
            <w:rStyle w:val="Hyperlink"/>
            <w:i/>
            <w:color w:val="000000" w:themeColor="text1"/>
            <w:spacing w:val="-5"/>
            <w:u w:val="none"/>
          </w:rPr>
          <w:t xml:space="preserve"> </w:t>
        </w:r>
        <w:r w:rsidRPr="009D2F1F">
          <w:rPr>
            <w:rStyle w:val="Hyperlink"/>
            <w:i/>
            <w:color w:val="000000" w:themeColor="text1"/>
            <w:u w:val="none"/>
          </w:rPr>
          <w:t>Cancer</w:t>
        </w:r>
        <w:r w:rsidRPr="009D2F1F">
          <w:rPr>
            <w:rStyle w:val="Hyperlink"/>
            <w:i/>
            <w:color w:val="000000" w:themeColor="text1"/>
            <w:spacing w:val="-5"/>
            <w:u w:val="none"/>
          </w:rPr>
          <w:t xml:space="preserve"> </w:t>
        </w:r>
        <w:r w:rsidRPr="009D2F1F">
          <w:rPr>
            <w:rStyle w:val="Hyperlink"/>
            <w:i/>
            <w:color w:val="000000" w:themeColor="text1"/>
            <w:u w:val="none"/>
          </w:rPr>
          <w:t>Center</w:t>
        </w:r>
        <w:r w:rsidRPr="009D2F1F">
          <w:rPr>
            <w:rStyle w:val="Hyperlink"/>
            <w:color w:val="000000" w:themeColor="text1"/>
            <w:u w:val="none"/>
          </w:rPr>
          <w:t>,</w:t>
        </w:r>
        <w:r w:rsidRPr="009D2F1F">
          <w:rPr>
            <w:rStyle w:val="Hyperlink"/>
            <w:color w:val="000000" w:themeColor="text1"/>
            <w:spacing w:val="-4"/>
            <w:u w:val="none"/>
          </w:rPr>
          <w:t xml:space="preserve"> </w:t>
        </w:r>
        <w:r w:rsidRPr="009D2F1F">
          <w:rPr>
            <w:rStyle w:val="Hyperlink"/>
            <w:color w:val="000000" w:themeColor="text1"/>
            <w:u w:val="none"/>
          </w:rPr>
          <w:t>B</w:t>
        </w:r>
        <w:r w:rsidRPr="009D2F1F">
          <w:rPr>
            <w:rStyle w:val="Hyperlink"/>
            <w:color w:val="000000" w:themeColor="text1"/>
            <w:sz w:val="16"/>
            <w:u w:val="none"/>
          </w:rPr>
          <w:t>ETH</w:t>
        </w:r>
        <w:r w:rsidRPr="009D2F1F">
          <w:rPr>
            <w:rStyle w:val="Hyperlink"/>
            <w:color w:val="000000" w:themeColor="text1"/>
            <w:spacing w:val="-4"/>
            <w:sz w:val="16"/>
            <w:u w:val="none"/>
          </w:rPr>
          <w:t xml:space="preserve"> </w:t>
        </w:r>
        <w:r w:rsidRPr="009D2F1F">
          <w:rPr>
            <w:rStyle w:val="Hyperlink"/>
            <w:color w:val="000000" w:themeColor="text1"/>
            <w:u w:val="none"/>
          </w:rPr>
          <w:t>I</w:t>
        </w:r>
        <w:r w:rsidRPr="009D2F1F">
          <w:rPr>
            <w:rStyle w:val="Hyperlink"/>
            <w:color w:val="000000" w:themeColor="text1"/>
            <w:sz w:val="16"/>
            <w:u w:val="none"/>
          </w:rPr>
          <w:t>SRAEL</w:t>
        </w:r>
        <w:r w:rsidRPr="009D2F1F">
          <w:rPr>
            <w:rStyle w:val="Hyperlink"/>
            <w:color w:val="000000" w:themeColor="text1"/>
            <w:spacing w:val="-3"/>
            <w:sz w:val="16"/>
            <w:u w:val="none"/>
          </w:rPr>
          <w:t xml:space="preserve"> </w:t>
        </w:r>
        <w:r w:rsidRPr="009D2F1F">
          <w:rPr>
            <w:rStyle w:val="Hyperlink"/>
            <w:color w:val="000000" w:themeColor="text1"/>
            <w:u w:val="none"/>
          </w:rPr>
          <w:t>D</w:t>
        </w:r>
        <w:r w:rsidRPr="009D2F1F">
          <w:rPr>
            <w:rStyle w:val="Hyperlink"/>
            <w:color w:val="000000" w:themeColor="text1"/>
            <w:sz w:val="16"/>
            <w:u w:val="none"/>
          </w:rPr>
          <w:t>EACONESS</w:t>
        </w:r>
        <w:r w:rsidRPr="009D2F1F">
          <w:rPr>
            <w:rStyle w:val="Hyperlink"/>
            <w:color w:val="000000" w:themeColor="text1"/>
            <w:spacing w:val="-4"/>
            <w:sz w:val="16"/>
            <w:u w:val="none"/>
          </w:rPr>
          <w:t xml:space="preserve"> </w:t>
        </w:r>
        <w:r w:rsidRPr="009D2F1F">
          <w:rPr>
            <w:rStyle w:val="Hyperlink"/>
            <w:color w:val="000000" w:themeColor="text1"/>
            <w:u w:val="none"/>
          </w:rPr>
          <w:t>M</w:t>
        </w:r>
        <w:r w:rsidRPr="009D2F1F">
          <w:rPr>
            <w:rStyle w:val="Hyperlink"/>
            <w:color w:val="000000" w:themeColor="text1"/>
            <w:sz w:val="16"/>
            <w:u w:val="none"/>
          </w:rPr>
          <w:t>EDICAL</w:t>
        </w:r>
        <w:r w:rsidRPr="009D2F1F">
          <w:rPr>
            <w:rStyle w:val="Hyperlink"/>
            <w:color w:val="000000" w:themeColor="text1"/>
            <w:spacing w:val="-7"/>
            <w:sz w:val="16"/>
            <w:u w:val="none"/>
          </w:rPr>
          <w:t xml:space="preserve"> </w:t>
        </w:r>
        <w:r w:rsidRPr="009D2F1F">
          <w:rPr>
            <w:rStyle w:val="Hyperlink"/>
            <w:color w:val="000000" w:themeColor="text1"/>
            <w:u w:val="none"/>
          </w:rPr>
          <w:t>C</w:t>
        </w:r>
        <w:r w:rsidRPr="009D2F1F">
          <w:rPr>
            <w:rStyle w:val="Hyperlink"/>
            <w:color w:val="000000" w:themeColor="text1"/>
            <w:sz w:val="16"/>
            <w:u w:val="none"/>
          </w:rPr>
          <w:t>ENTER</w:t>
        </w:r>
        <w:r w:rsidRPr="009D2F1F">
          <w:rPr>
            <w:rStyle w:val="Hyperlink"/>
            <w:color w:val="000000" w:themeColor="text1"/>
            <w:u w:val="none"/>
          </w:rPr>
          <w:t>,</w:t>
        </w:r>
      </w:hyperlink>
      <w:r>
        <w:rPr>
          <w:spacing w:val="-4"/>
        </w:rPr>
        <w:t xml:space="preserve"> </w:t>
      </w:r>
      <w:hyperlink r:id="rId106">
        <w:r>
          <w:rPr>
            <w:color w:val="486794"/>
            <w:u w:val="single" w:color="486794"/>
          </w:rPr>
          <w:t>https://www.bidmc.org/centers-and-</w:t>
        </w:r>
      </w:hyperlink>
      <w:r>
        <w:rPr>
          <w:color w:val="486794"/>
        </w:rPr>
        <w:t xml:space="preserve"> </w:t>
      </w:r>
      <w:hyperlink r:id="rId107">
        <w:r>
          <w:rPr>
            <w:color w:val="486794"/>
            <w:u w:val="single" w:color="486794"/>
          </w:rPr>
          <w:t>departments/cancer-center/about-the-cancer-center</w:t>
        </w:r>
      </w:hyperlink>
      <w:r>
        <w:rPr>
          <w:color w:val="486794"/>
        </w:rPr>
        <w:t xml:space="preserve"> </w:t>
      </w:r>
      <w:r>
        <w:t>(last visited February 27, 2025).</w:t>
      </w:r>
    </w:p>
  </w:footnote>
  <w:footnote w:id="61">
    <w:p w14:paraId="12F545CD" w14:textId="594A10C0" w:rsidR="00777009" w:rsidRDefault="00777009" w:rsidP="00777009">
      <w:pPr>
        <w:pStyle w:val="FootnoteText"/>
        <w:ind w:left="959" w:right="940"/>
      </w:pPr>
      <w:r>
        <w:rPr>
          <w:rStyle w:val="FootnoteReference"/>
        </w:rPr>
        <w:footnoteRef/>
      </w:r>
      <w:r>
        <w:t xml:space="preserve"> Based</w:t>
      </w:r>
      <w:r>
        <w:rPr>
          <w:spacing w:val="-5"/>
        </w:rPr>
        <w:t xml:space="preserve"> </w:t>
      </w:r>
      <w:r>
        <w:t>on</w:t>
      </w:r>
      <w:r>
        <w:rPr>
          <w:spacing w:val="-5"/>
        </w:rPr>
        <w:t xml:space="preserve"> </w:t>
      </w:r>
      <w:r>
        <w:t>information</w:t>
      </w:r>
      <w:r>
        <w:rPr>
          <w:spacing w:val="-6"/>
        </w:rPr>
        <w:t xml:space="preserve"> </w:t>
      </w:r>
      <w:r>
        <w:t>provided</w:t>
      </w:r>
      <w:r>
        <w:rPr>
          <w:spacing w:val="-5"/>
        </w:rPr>
        <w:t xml:space="preserve"> </w:t>
      </w:r>
      <w:r>
        <w:t>confidentially</w:t>
      </w:r>
      <w:r>
        <w:rPr>
          <w:spacing w:val="-6"/>
        </w:rPr>
        <w:t xml:space="preserve"> </w:t>
      </w:r>
      <w:r>
        <w:t>to</w:t>
      </w:r>
      <w:r>
        <w:rPr>
          <w:spacing w:val="-6"/>
        </w:rPr>
        <w:t xml:space="preserve"> </w:t>
      </w:r>
      <w:r>
        <w:t>the</w:t>
      </w:r>
      <w:r>
        <w:rPr>
          <w:spacing w:val="-6"/>
        </w:rPr>
        <w:t xml:space="preserve"> </w:t>
      </w:r>
      <w:r>
        <w:rPr>
          <w:spacing w:val="-4"/>
        </w:rPr>
        <w:t>HPC.</w:t>
      </w:r>
    </w:p>
  </w:footnote>
  <w:footnote w:id="62">
    <w:p w14:paraId="276F4717" w14:textId="6E355BD1" w:rsidR="00777009" w:rsidRDefault="00777009" w:rsidP="00777009">
      <w:pPr>
        <w:pStyle w:val="FootnoteText"/>
        <w:ind w:left="959" w:right="940"/>
      </w:pPr>
      <w:r>
        <w:rPr>
          <w:rStyle w:val="FootnoteReference"/>
        </w:rPr>
        <w:footnoteRef/>
      </w:r>
      <w:r>
        <w:t xml:space="preserve"> </w:t>
      </w:r>
      <w:hyperlink r:id="rId108" w:history="1">
        <w:r w:rsidRPr="009D2F1F">
          <w:rPr>
            <w:rStyle w:val="Hyperlink"/>
            <w:i/>
            <w:color w:val="000000" w:themeColor="text1"/>
            <w:u w:val="none"/>
          </w:rPr>
          <w:t>Cancer</w:t>
        </w:r>
        <w:r w:rsidRPr="009D2F1F">
          <w:rPr>
            <w:rStyle w:val="Hyperlink"/>
            <w:i/>
            <w:color w:val="000000" w:themeColor="text1"/>
            <w:spacing w:val="-5"/>
            <w:u w:val="none"/>
          </w:rPr>
          <w:t xml:space="preserve"> </w:t>
        </w:r>
        <w:r w:rsidRPr="009D2F1F">
          <w:rPr>
            <w:rStyle w:val="Hyperlink"/>
            <w:i/>
            <w:color w:val="000000" w:themeColor="text1"/>
            <w:u w:val="none"/>
          </w:rPr>
          <w:t>Care</w:t>
        </w:r>
        <w:r w:rsidRPr="009D2F1F">
          <w:rPr>
            <w:rStyle w:val="Hyperlink"/>
            <w:color w:val="000000" w:themeColor="text1"/>
            <w:u w:val="none"/>
          </w:rPr>
          <w:t>,</w:t>
        </w:r>
        <w:r w:rsidRPr="009D2F1F">
          <w:rPr>
            <w:rStyle w:val="Hyperlink"/>
            <w:color w:val="000000" w:themeColor="text1"/>
            <w:spacing w:val="-4"/>
            <w:u w:val="none"/>
          </w:rPr>
          <w:t xml:space="preserve"> </w:t>
        </w:r>
        <w:r w:rsidRPr="009D2F1F">
          <w:rPr>
            <w:rStyle w:val="Hyperlink"/>
            <w:color w:val="000000" w:themeColor="text1"/>
            <w:u w:val="none"/>
          </w:rPr>
          <w:t>B</w:t>
        </w:r>
        <w:r w:rsidRPr="009D2F1F">
          <w:rPr>
            <w:rStyle w:val="Hyperlink"/>
            <w:color w:val="000000" w:themeColor="text1"/>
            <w:sz w:val="16"/>
            <w:u w:val="none"/>
          </w:rPr>
          <w:t>ETH</w:t>
        </w:r>
        <w:r w:rsidRPr="009D2F1F">
          <w:rPr>
            <w:rStyle w:val="Hyperlink"/>
            <w:color w:val="000000" w:themeColor="text1"/>
            <w:spacing w:val="-4"/>
            <w:sz w:val="16"/>
            <w:u w:val="none"/>
          </w:rPr>
          <w:t xml:space="preserve"> </w:t>
        </w:r>
        <w:r w:rsidRPr="009D2F1F">
          <w:rPr>
            <w:rStyle w:val="Hyperlink"/>
            <w:color w:val="000000" w:themeColor="text1"/>
            <w:u w:val="none"/>
          </w:rPr>
          <w:t>I</w:t>
        </w:r>
        <w:r w:rsidRPr="009D2F1F">
          <w:rPr>
            <w:rStyle w:val="Hyperlink"/>
            <w:color w:val="000000" w:themeColor="text1"/>
            <w:sz w:val="16"/>
            <w:u w:val="none"/>
          </w:rPr>
          <w:t>SRAEL</w:t>
        </w:r>
        <w:r w:rsidRPr="009D2F1F">
          <w:rPr>
            <w:rStyle w:val="Hyperlink"/>
            <w:color w:val="000000" w:themeColor="text1"/>
            <w:spacing w:val="-3"/>
            <w:sz w:val="16"/>
            <w:u w:val="none"/>
          </w:rPr>
          <w:t xml:space="preserve"> </w:t>
        </w:r>
        <w:r w:rsidRPr="009D2F1F">
          <w:rPr>
            <w:rStyle w:val="Hyperlink"/>
            <w:color w:val="000000" w:themeColor="text1"/>
            <w:u w:val="none"/>
          </w:rPr>
          <w:t>L</w:t>
        </w:r>
        <w:r w:rsidRPr="009D2F1F">
          <w:rPr>
            <w:rStyle w:val="Hyperlink"/>
            <w:color w:val="000000" w:themeColor="text1"/>
            <w:sz w:val="16"/>
            <w:u w:val="none"/>
          </w:rPr>
          <w:t>AHEY</w:t>
        </w:r>
        <w:r w:rsidRPr="009D2F1F">
          <w:rPr>
            <w:rStyle w:val="Hyperlink"/>
            <w:color w:val="000000" w:themeColor="text1"/>
            <w:spacing w:val="-4"/>
            <w:sz w:val="16"/>
            <w:u w:val="none"/>
          </w:rPr>
          <w:t xml:space="preserve"> </w:t>
        </w:r>
        <w:r w:rsidRPr="009D2F1F">
          <w:rPr>
            <w:rStyle w:val="Hyperlink"/>
            <w:color w:val="000000" w:themeColor="text1"/>
            <w:u w:val="none"/>
          </w:rPr>
          <w:t>H</w:t>
        </w:r>
        <w:r w:rsidRPr="009D2F1F">
          <w:rPr>
            <w:rStyle w:val="Hyperlink"/>
            <w:color w:val="000000" w:themeColor="text1"/>
            <w:sz w:val="16"/>
            <w:u w:val="none"/>
          </w:rPr>
          <w:t>EALTH</w:t>
        </w:r>
      </w:hyperlink>
      <w:r w:rsidRPr="009D2F1F">
        <w:rPr>
          <w:color w:val="000000" w:themeColor="text1"/>
        </w:rPr>
        <w:t>,</w:t>
      </w:r>
      <w:r w:rsidRPr="009D2F1F">
        <w:rPr>
          <w:color w:val="000000" w:themeColor="text1"/>
          <w:spacing w:val="-4"/>
        </w:rPr>
        <w:t xml:space="preserve"> </w:t>
      </w:r>
      <w:hyperlink r:id="rId109">
        <w:r>
          <w:rPr>
            <w:color w:val="486794"/>
            <w:u w:val="single" w:color="486794"/>
          </w:rPr>
          <w:t>https://bilh.org/care-options/specialty-care/cancer</w:t>
        </w:r>
      </w:hyperlink>
      <w:r>
        <w:rPr>
          <w:color w:val="486794"/>
          <w:spacing w:val="-6"/>
        </w:rPr>
        <w:t xml:space="preserve"> </w:t>
      </w:r>
      <w:r>
        <w:t>(last</w:t>
      </w:r>
      <w:r>
        <w:rPr>
          <w:spacing w:val="-4"/>
        </w:rPr>
        <w:t xml:space="preserve"> </w:t>
      </w:r>
      <w:r>
        <w:t>visited</w:t>
      </w:r>
      <w:r w:rsidR="00131304">
        <w:t xml:space="preserve"> </w:t>
      </w:r>
      <w:r w:rsidR="00131304" w:rsidRPr="00131304">
        <w:t xml:space="preserve">February 27, 2025).  </w:t>
      </w:r>
    </w:p>
  </w:footnote>
  <w:footnote w:id="63">
    <w:p w14:paraId="77D9D62D" w14:textId="2D30EBDF" w:rsidR="002A26CE" w:rsidRDefault="002A26CE" w:rsidP="00F2635C">
      <w:pPr>
        <w:pStyle w:val="FootnoteText"/>
        <w:ind w:left="900" w:right="1120"/>
      </w:pPr>
      <w:r>
        <w:rPr>
          <w:rStyle w:val="FootnoteReference"/>
        </w:rPr>
        <w:footnoteRef/>
      </w:r>
      <w:r>
        <w:t xml:space="preserve"> HMFP</w:t>
      </w:r>
      <w:r>
        <w:rPr>
          <w:spacing w:val="-5"/>
        </w:rPr>
        <w:t xml:space="preserve"> </w:t>
      </w:r>
      <w:r>
        <w:t>MCN,</w:t>
      </w:r>
      <w:r>
        <w:rPr>
          <w:spacing w:val="-3"/>
        </w:rPr>
        <w:t xml:space="preserve"> </w:t>
      </w:r>
      <w:r>
        <w:rPr>
          <w:i/>
        </w:rPr>
        <w:t>supra</w:t>
      </w:r>
      <w:r>
        <w:rPr>
          <w:i/>
          <w:spacing w:val="-5"/>
        </w:rPr>
        <w:t xml:space="preserve"> </w:t>
      </w:r>
      <w:r>
        <w:t>note</w:t>
      </w:r>
      <w:r>
        <w:rPr>
          <w:spacing w:val="-4"/>
        </w:rPr>
        <w:t xml:space="preserve"> </w:t>
      </w:r>
      <w:hyperlink w:anchor="_bookmark6" w:history="1">
        <w:r>
          <w:rPr>
            <w:spacing w:val="-5"/>
          </w:rPr>
          <w:t>3.</w:t>
        </w:r>
      </w:hyperlink>
    </w:p>
  </w:footnote>
  <w:footnote w:id="64">
    <w:p w14:paraId="5D76F6B1" w14:textId="731BAE89" w:rsidR="002A26CE" w:rsidRDefault="002A26CE" w:rsidP="00F2635C">
      <w:pPr>
        <w:pStyle w:val="FootnoteText"/>
        <w:ind w:left="900" w:right="1120"/>
      </w:pPr>
      <w:r>
        <w:rPr>
          <w:rStyle w:val="FootnoteReference"/>
        </w:rPr>
        <w:footnoteRef/>
      </w:r>
      <w:r>
        <w:t xml:space="preserve"> BILH</w:t>
      </w:r>
      <w:r>
        <w:rPr>
          <w:spacing w:val="-12"/>
        </w:rPr>
        <w:t xml:space="preserve"> </w:t>
      </w:r>
      <w:r>
        <w:t>MA-RPO</w:t>
      </w:r>
      <w:r>
        <w:rPr>
          <w:spacing w:val="-13"/>
        </w:rPr>
        <w:t xml:space="preserve"> </w:t>
      </w:r>
      <w:r>
        <w:t>F</w:t>
      </w:r>
      <w:r>
        <w:rPr>
          <w:sz w:val="16"/>
        </w:rPr>
        <w:t>ILING</w:t>
      </w:r>
      <w:r>
        <w:t>,</w:t>
      </w:r>
      <w:r>
        <w:rPr>
          <w:spacing w:val="-4"/>
        </w:rPr>
        <w:t xml:space="preserve"> </w:t>
      </w:r>
      <w:r>
        <w:rPr>
          <w:i/>
        </w:rPr>
        <w:t>supra</w:t>
      </w:r>
      <w:r>
        <w:rPr>
          <w:i/>
          <w:spacing w:val="-6"/>
        </w:rPr>
        <w:t xml:space="preserve"> </w:t>
      </w:r>
      <w:r>
        <w:t>note</w:t>
      </w:r>
      <w:r>
        <w:rPr>
          <w:spacing w:val="-5"/>
        </w:rPr>
        <w:t xml:space="preserve"> </w:t>
      </w:r>
      <w:hyperlink w:anchor="_bookmark67" w:history="1">
        <w:r>
          <w:rPr>
            <w:spacing w:val="-5"/>
          </w:rPr>
          <w:t>57.</w:t>
        </w:r>
      </w:hyperlink>
    </w:p>
  </w:footnote>
  <w:footnote w:id="65">
    <w:p w14:paraId="45029F39" w14:textId="6ADAE8D1" w:rsidR="002A26CE" w:rsidRDefault="002A26CE" w:rsidP="00F2635C">
      <w:pPr>
        <w:pStyle w:val="FootnoteText"/>
        <w:ind w:left="900" w:right="1120"/>
      </w:pPr>
      <w:r>
        <w:rPr>
          <w:rStyle w:val="FootnoteReference"/>
        </w:rPr>
        <w:footnoteRef/>
      </w:r>
      <w:r>
        <w:t xml:space="preserve"> HMFP</w:t>
      </w:r>
      <w:r>
        <w:rPr>
          <w:spacing w:val="-5"/>
        </w:rPr>
        <w:t xml:space="preserve"> </w:t>
      </w:r>
      <w:r>
        <w:t>MCN,</w:t>
      </w:r>
      <w:r>
        <w:rPr>
          <w:spacing w:val="-3"/>
        </w:rPr>
        <w:t xml:space="preserve"> </w:t>
      </w:r>
      <w:r>
        <w:rPr>
          <w:i/>
        </w:rPr>
        <w:t>supra</w:t>
      </w:r>
      <w:r>
        <w:rPr>
          <w:i/>
          <w:spacing w:val="-5"/>
        </w:rPr>
        <w:t xml:space="preserve"> </w:t>
      </w:r>
      <w:r>
        <w:t>note</w:t>
      </w:r>
      <w:r>
        <w:rPr>
          <w:spacing w:val="-4"/>
        </w:rPr>
        <w:t xml:space="preserve"> </w:t>
      </w:r>
      <w:hyperlink w:anchor="_bookmark6" w:history="1">
        <w:r>
          <w:rPr>
            <w:spacing w:val="-5"/>
          </w:rPr>
          <w:t>3.</w:t>
        </w:r>
      </w:hyperlink>
    </w:p>
  </w:footnote>
  <w:footnote w:id="66">
    <w:p w14:paraId="63BE7B0E" w14:textId="04A21EDC" w:rsidR="002A26CE" w:rsidRDefault="002A26CE" w:rsidP="00F2635C">
      <w:pPr>
        <w:pStyle w:val="FootnoteText"/>
        <w:ind w:left="900" w:right="1120"/>
      </w:pPr>
      <w:r>
        <w:rPr>
          <w:rStyle w:val="FootnoteReference"/>
        </w:rPr>
        <w:footnoteRef/>
      </w:r>
      <w:r>
        <w:t xml:space="preserve"> BILH</w:t>
      </w:r>
      <w:r>
        <w:rPr>
          <w:spacing w:val="-12"/>
        </w:rPr>
        <w:t xml:space="preserve"> </w:t>
      </w:r>
      <w:r>
        <w:t>MA-RPO</w:t>
      </w:r>
      <w:r>
        <w:rPr>
          <w:spacing w:val="-13"/>
        </w:rPr>
        <w:t xml:space="preserve"> </w:t>
      </w:r>
      <w:r>
        <w:t>F</w:t>
      </w:r>
      <w:r>
        <w:rPr>
          <w:sz w:val="16"/>
        </w:rPr>
        <w:t>ILING</w:t>
      </w:r>
      <w:r>
        <w:t>,</w:t>
      </w:r>
      <w:r>
        <w:rPr>
          <w:spacing w:val="-4"/>
        </w:rPr>
        <w:t xml:space="preserve"> </w:t>
      </w:r>
      <w:r>
        <w:rPr>
          <w:i/>
        </w:rPr>
        <w:t>supra</w:t>
      </w:r>
      <w:r>
        <w:rPr>
          <w:i/>
          <w:spacing w:val="-6"/>
        </w:rPr>
        <w:t xml:space="preserve"> </w:t>
      </w:r>
      <w:r>
        <w:t>note</w:t>
      </w:r>
      <w:r>
        <w:rPr>
          <w:spacing w:val="-5"/>
        </w:rPr>
        <w:t xml:space="preserve"> </w:t>
      </w:r>
      <w:hyperlink w:anchor="_bookmark67" w:history="1">
        <w:r>
          <w:rPr>
            <w:spacing w:val="-5"/>
          </w:rPr>
          <w:t>57.</w:t>
        </w:r>
      </w:hyperlink>
    </w:p>
  </w:footnote>
  <w:footnote w:id="67">
    <w:p w14:paraId="305AE261" w14:textId="74264877" w:rsidR="00F2635C" w:rsidRDefault="00F2635C" w:rsidP="00F2635C">
      <w:pPr>
        <w:pStyle w:val="FootnoteText"/>
        <w:ind w:left="900" w:right="1120"/>
      </w:pPr>
      <w:r>
        <w:rPr>
          <w:rStyle w:val="FootnoteReference"/>
        </w:rPr>
        <w:footnoteRef/>
      </w:r>
      <w:r>
        <w:t xml:space="preserve"> DFCI</w:t>
      </w:r>
      <w:r>
        <w:rPr>
          <w:spacing w:val="-3"/>
        </w:rPr>
        <w:t xml:space="preserve"> </w:t>
      </w:r>
      <w:r>
        <w:t>MCN,</w:t>
      </w:r>
      <w:r>
        <w:rPr>
          <w:spacing w:val="-4"/>
        </w:rPr>
        <w:t xml:space="preserve"> </w:t>
      </w:r>
      <w:r>
        <w:rPr>
          <w:i/>
        </w:rPr>
        <w:t>supra</w:t>
      </w:r>
      <w:r>
        <w:rPr>
          <w:i/>
          <w:spacing w:val="-5"/>
        </w:rPr>
        <w:t xml:space="preserve"> </w:t>
      </w:r>
      <w:r>
        <w:t>note</w:t>
      </w:r>
      <w:r>
        <w:rPr>
          <w:spacing w:val="-4"/>
        </w:rPr>
        <w:t xml:space="preserve"> </w:t>
      </w:r>
      <w:hyperlink w:anchor="_bookmark6" w:history="1">
        <w:r>
          <w:rPr>
            <w:spacing w:val="-5"/>
          </w:rPr>
          <w:t>3.</w:t>
        </w:r>
      </w:hyperlink>
    </w:p>
  </w:footnote>
  <w:footnote w:id="68">
    <w:p w14:paraId="56E6E067" w14:textId="10FF5242" w:rsidR="00F2635C" w:rsidRDefault="00F2635C" w:rsidP="00F2635C">
      <w:pPr>
        <w:pStyle w:val="FootnoteText"/>
        <w:ind w:left="900" w:right="1120"/>
      </w:pPr>
      <w:r>
        <w:rPr>
          <w:rStyle w:val="FootnoteReference"/>
        </w:rPr>
        <w:footnoteRef/>
      </w:r>
      <w:r>
        <w:t xml:space="preserve"> Based</w:t>
      </w:r>
      <w:r>
        <w:rPr>
          <w:spacing w:val="-2"/>
        </w:rPr>
        <w:t xml:space="preserve"> </w:t>
      </w:r>
      <w:r>
        <w:t>on</w:t>
      </w:r>
      <w:r>
        <w:rPr>
          <w:spacing w:val="-3"/>
        </w:rPr>
        <w:t xml:space="preserve"> </w:t>
      </w:r>
      <w:r>
        <w:t>information</w:t>
      </w:r>
      <w:r>
        <w:rPr>
          <w:spacing w:val="-3"/>
        </w:rPr>
        <w:t xml:space="preserve"> </w:t>
      </w:r>
      <w:r>
        <w:t>provided</w:t>
      </w:r>
      <w:r>
        <w:rPr>
          <w:spacing w:val="-2"/>
        </w:rPr>
        <w:t xml:space="preserve"> </w:t>
      </w:r>
      <w:r>
        <w:t>confidentially</w:t>
      </w:r>
      <w:r>
        <w:rPr>
          <w:spacing w:val="-4"/>
        </w:rPr>
        <w:t xml:space="preserve"> </w:t>
      </w:r>
      <w:r>
        <w:t>to</w:t>
      </w:r>
      <w:r>
        <w:rPr>
          <w:spacing w:val="-3"/>
        </w:rPr>
        <w:t xml:space="preserve"> </w:t>
      </w:r>
      <w:r>
        <w:t>the</w:t>
      </w:r>
      <w:r>
        <w:rPr>
          <w:spacing w:val="-4"/>
        </w:rPr>
        <w:t xml:space="preserve"> </w:t>
      </w:r>
      <w:r>
        <w:t>HPC.</w:t>
      </w:r>
      <w:r>
        <w:rPr>
          <w:spacing w:val="-2"/>
        </w:rPr>
        <w:t xml:space="preserve"> </w:t>
      </w:r>
      <w:r>
        <w:t>BIDMC</w:t>
      </w:r>
      <w:r>
        <w:rPr>
          <w:spacing w:val="-3"/>
        </w:rPr>
        <w:t xml:space="preserve"> </w:t>
      </w:r>
      <w:r>
        <w:t>and</w:t>
      </w:r>
      <w:r>
        <w:rPr>
          <w:spacing w:val="-2"/>
        </w:rPr>
        <w:t xml:space="preserve"> </w:t>
      </w:r>
      <w:r>
        <w:t>HMFP</w:t>
      </w:r>
      <w:r>
        <w:rPr>
          <w:spacing w:val="-4"/>
        </w:rPr>
        <w:t xml:space="preserve"> </w:t>
      </w:r>
      <w:r>
        <w:t>have</w:t>
      </w:r>
      <w:r>
        <w:rPr>
          <w:spacing w:val="-4"/>
        </w:rPr>
        <w:t xml:space="preserve"> </w:t>
      </w:r>
      <w:r>
        <w:t>indicated</w:t>
      </w:r>
      <w:r>
        <w:rPr>
          <w:spacing w:val="-2"/>
        </w:rPr>
        <w:t xml:space="preserve"> </w:t>
      </w:r>
      <w:r>
        <w:t>that</w:t>
      </w:r>
      <w:r>
        <w:rPr>
          <w:spacing w:val="-2"/>
        </w:rPr>
        <w:t xml:space="preserve"> </w:t>
      </w:r>
      <w:r>
        <w:t>HMFP physicians will still provide some medical oncology care at other BILH sites.</w:t>
      </w:r>
    </w:p>
  </w:footnote>
  <w:footnote w:id="69">
    <w:p w14:paraId="53ADDDDF" w14:textId="77B529E0" w:rsidR="00F2635C" w:rsidRDefault="00F2635C" w:rsidP="00F2635C">
      <w:pPr>
        <w:pStyle w:val="FootnoteText"/>
        <w:ind w:left="900" w:right="1120"/>
      </w:pPr>
      <w:r>
        <w:rPr>
          <w:rStyle w:val="FootnoteReference"/>
        </w:rPr>
        <w:footnoteRef/>
      </w:r>
      <w:r>
        <w:t xml:space="preserve"> DFCI</w:t>
      </w:r>
      <w:r>
        <w:rPr>
          <w:spacing w:val="-3"/>
        </w:rPr>
        <w:t xml:space="preserve"> </w:t>
      </w:r>
      <w:r>
        <w:t>MCN,</w:t>
      </w:r>
      <w:r>
        <w:rPr>
          <w:spacing w:val="-4"/>
        </w:rPr>
        <w:t xml:space="preserve"> </w:t>
      </w:r>
      <w:r>
        <w:rPr>
          <w:i/>
        </w:rPr>
        <w:t>supra</w:t>
      </w:r>
      <w:r>
        <w:rPr>
          <w:i/>
          <w:spacing w:val="-5"/>
        </w:rPr>
        <w:t xml:space="preserve"> </w:t>
      </w:r>
      <w:r>
        <w:t>note</w:t>
      </w:r>
      <w:r>
        <w:rPr>
          <w:spacing w:val="-4"/>
        </w:rPr>
        <w:t xml:space="preserve"> </w:t>
      </w:r>
      <w:hyperlink w:anchor="_bookmark6" w:history="1">
        <w:r>
          <w:rPr>
            <w:spacing w:val="-5"/>
          </w:rPr>
          <w:t>3.</w:t>
        </w:r>
      </w:hyperlink>
    </w:p>
  </w:footnote>
  <w:footnote w:id="70">
    <w:p w14:paraId="0C5D5AA8" w14:textId="54D03D3D" w:rsidR="00F2635C" w:rsidRDefault="00F2635C" w:rsidP="00F2635C">
      <w:pPr>
        <w:pStyle w:val="FootnoteText"/>
        <w:ind w:left="900" w:right="1120"/>
      </w:pPr>
      <w:r>
        <w:rPr>
          <w:rStyle w:val="FootnoteReference"/>
        </w:rPr>
        <w:footnoteRef/>
      </w:r>
      <w:r>
        <w:t xml:space="preserve"> </w:t>
      </w:r>
      <w:r>
        <w:rPr>
          <w:i/>
          <w:spacing w:val="-5"/>
        </w:rPr>
        <w:t>Id</w:t>
      </w:r>
      <w:r>
        <w:rPr>
          <w:spacing w:val="-5"/>
        </w:rPr>
        <w:t>.</w:t>
      </w:r>
    </w:p>
  </w:footnote>
  <w:footnote w:id="71">
    <w:p w14:paraId="4BA140C7" w14:textId="275DEA6D" w:rsidR="003B1FDF" w:rsidRDefault="003B1FDF" w:rsidP="00667CC6">
      <w:pPr>
        <w:pStyle w:val="FootnoteText"/>
        <w:ind w:left="900" w:right="940"/>
      </w:pPr>
      <w:r>
        <w:rPr>
          <w:rStyle w:val="FootnoteReference"/>
        </w:rPr>
        <w:footnoteRef/>
      </w:r>
      <w:r>
        <w:t xml:space="preserve"> </w:t>
      </w:r>
      <w:r>
        <w:rPr>
          <w:i/>
          <w:spacing w:val="-5"/>
        </w:rPr>
        <w:t>Id</w:t>
      </w:r>
      <w:r>
        <w:rPr>
          <w:spacing w:val="-5"/>
        </w:rPr>
        <w:t>.</w:t>
      </w:r>
    </w:p>
  </w:footnote>
  <w:footnote w:id="72">
    <w:p w14:paraId="7AD915C3" w14:textId="782C3DA0" w:rsidR="00D00F15" w:rsidRDefault="00D00F15" w:rsidP="00667CC6">
      <w:pPr>
        <w:pStyle w:val="FootnoteText"/>
        <w:ind w:left="900" w:right="940"/>
      </w:pPr>
      <w:r>
        <w:rPr>
          <w:rStyle w:val="FootnoteReference"/>
        </w:rPr>
        <w:footnoteRef/>
      </w:r>
      <w:r>
        <w:t xml:space="preserve"> Based</w:t>
      </w:r>
      <w:r>
        <w:rPr>
          <w:spacing w:val="-5"/>
        </w:rPr>
        <w:t xml:space="preserve"> </w:t>
      </w:r>
      <w:r>
        <w:t>on</w:t>
      </w:r>
      <w:r>
        <w:rPr>
          <w:spacing w:val="-5"/>
        </w:rPr>
        <w:t xml:space="preserve"> </w:t>
      </w:r>
      <w:r>
        <w:t>information</w:t>
      </w:r>
      <w:r>
        <w:rPr>
          <w:spacing w:val="-6"/>
        </w:rPr>
        <w:t xml:space="preserve"> </w:t>
      </w:r>
      <w:r>
        <w:t>provided</w:t>
      </w:r>
      <w:r>
        <w:rPr>
          <w:spacing w:val="-5"/>
        </w:rPr>
        <w:t xml:space="preserve"> </w:t>
      </w:r>
      <w:r>
        <w:t>confidentially</w:t>
      </w:r>
      <w:r>
        <w:rPr>
          <w:spacing w:val="-6"/>
        </w:rPr>
        <w:t xml:space="preserve"> </w:t>
      </w:r>
      <w:r>
        <w:t>to</w:t>
      </w:r>
      <w:r>
        <w:rPr>
          <w:spacing w:val="-6"/>
        </w:rPr>
        <w:t xml:space="preserve"> </w:t>
      </w:r>
      <w:r>
        <w:t>the</w:t>
      </w:r>
      <w:r>
        <w:rPr>
          <w:spacing w:val="-6"/>
        </w:rPr>
        <w:t xml:space="preserve"> </w:t>
      </w:r>
      <w:r>
        <w:rPr>
          <w:spacing w:val="-4"/>
        </w:rPr>
        <w:t>HPC.</w:t>
      </w:r>
    </w:p>
  </w:footnote>
  <w:footnote w:id="73">
    <w:p w14:paraId="07519FCA" w14:textId="6ADBB1FA" w:rsidR="00D00F15" w:rsidRDefault="00D00F15" w:rsidP="00667CC6">
      <w:pPr>
        <w:pStyle w:val="FootnoteText"/>
        <w:ind w:left="900" w:right="940"/>
      </w:pPr>
      <w:r>
        <w:rPr>
          <w:rStyle w:val="FootnoteReference"/>
        </w:rPr>
        <w:footnoteRef/>
      </w:r>
      <w:r>
        <w:t xml:space="preserve"> DFCI MCN, </w:t>
      </w:r>
      <w:r>
        <w:rPr>
          <w:i/>
        </w:rPr>
        <w:t xml:space="preserve">supra </w:t>
      </w:r>
      <w:r>
        <w:t xml:space="preserve">note </w:t>
      </w:r>
      <w:hyperlink w:anchor="_bookmark6" w:history="1">
        <w:r>
          <w:t>3;</w:t>
        </w:r>
      </w:hyperlink>
      <w:r>
        <w:t xml:space="preserve"> DFCI</w:t>
      </w:r>
      <w:r>
        <w:rPr>
          <w:spacing w:val="-4"/>
        </w:rPr>
        <w:t xml:space="preserve"> </w:t>
      </w:r>
      <w:r>
        <w:t>D</w:t>
      </w:r>
      <w:r>
        <w:rPr>
          <w:sz w:val="16"/>
        </w:rPr>
        <w:t>O</w:t>
      </w:r>
      <w:r>
        <w:t>N</w:t>
      </w:r>
      <w:r>
        <w:rPr>
          <w:spacing w:val="-4"/>
        </w:rPr>
        <w:t xml:space="preserve"> </w:t>
      </w:r>
      <w:r>
        <w:t>N</w:t>
      </w:r>
      <w:r>
        <w:rPr>
          <w:sz w:val="16"/>
        </w:rPr>
        <w:t>ARRATIVE</w:t>
      </w:r>
      <w:r>
        <w:t xml:space="preserve">, </w:t>
      </w:r>
      <w:r>
        <w:rPr>
          <w:i/>
        </w:rPr>
        <w:t xml:space="preserve">supra </w:t>
      </w:r>
      <w:r>
        <w:t xml:space="preserve">note </w:t>
      </w:r>
      <w:hyperlink w:anchor="_bookmark7" w:history="1">
        <w:r>
          <w:t>8;</w:t>
        </w:r>
      </w:hyperlink>
      <w:r>
        <w:t xml:space="preserve"> Laurie Glimcher</w:t>
      </w:r>
      <w:r w:rsidRPr="00667CC6">
        <w:rPr>
          <w:color w:val="000000" w:themeColor="text1"/>
        </w:rPr>
        <w:t xml:space="preserve"> and Kevin Tabb, </w:t>
      </w:r>
      <w:hyperlink r:id="rId110" w:history="1">
        <w:r w:rsidRPr="00667CC6">
          <w:rPr>
            <w:rStyle w:val="Hyperlink"/>
            <w:i/>
            <w:color w:val="000000" w:themeColor="text1"/>
            <w:u w:val="none"/>
          </w:rPr>
          <w:t>Boston needs</w:t>
        </w:r>
        <w:r w:rsidRPr="00667CC6">
          <w:rPr>
            <w:rStyle w:val="Hyperlink"/>
            <w:i/>
            <w:color w:val="000000" w:themeColor="text1"/>
            <w:spacing w:val="-4"/>
            <w:u w:val="none"/>
          </w:rPr>
          <w:t xml:space="preserve"> </w:t>
        </w:r>
        <w:r w:rsidRPr="00667CC6">
          <w:rPr>
            <w:rStyle w:val="Hyperlink"/>
            <w:i/>
            <w:color w:val="000000" w:themeColor="text1"/>
            <w:u w:val="none"/>
          </w:rPr>
          <w:t>its</w:t>
        </w:r>
        <w:r w:rsidRPr="00667CC6">
          <w:rPr>
            <w:rStyle w:val="Hyperlink"/>
            <w:i/>
            <w:color w:val="000000" w:themeColor="text1"/>
            <w:spacing w:val="-4"/>
            <w:u w:val="none"/>
          </w:rPr>
          <w:t xml:space="preserve"> </w:t>
        </w:r>
        <w:r w:rsidRPr="00667CC6">
          <w:rPr>
            <w:rStyle w:val="Hyperlink"/>
            <w:i/>
            <w:color w:val="000000" w:themeColor="text1"/>
            <w:u w:val="none"/>
          </w:rPr>
          <w:t>own</w:t>
        </w:r>
        <w:r w:rsidRPr="00667CC6">
          <w:rPr>
            <w:rStyle w:val="Hyperlink"/>
            <w:i/>
            <w:color w:val="000000" w:themeColor="text1"/>
            <w:spacing w:val="-2"/>
            <w:u w:val="none"/>
          </w:rPr>
          <w:t xml:space="preserve"> </w:t>
        </w:r>
        <w:r w:rsidRPr="00667CC6">
          <w:rPr>
            <w:rStyle w:val="Hyperlink"/>
            <w:i/>
            <w:color w:val="000000" w:themeColor="text1"/>
            <w:u w:val="none"/>
          </w:rPr>
          <w:t>cancer</w:t>
        </w:r>
        <w:r w:rsidRPr="00667CC6">
          <w:rPr>
            <w:rStyle w:val="Hyperlink"/>
            <w:i/>
            <w:color w:val="000000" w:themeColor="text1"/>
            <w:spacing w:val="-1"/>
            <w:u w:val="none"/>
          </w:rPr>
          <w:t xml:space="preserve"> </w:t>
        </w:r>
        <w:r w:rsidRPr="00667CC6">
          <w:rPr>
            <w:rStyle w:val="Hyperlink"/>
            <w:i/>
            <w:color w:val="000000" w:themeColor="text1"/>
            <w:u w:val="none"/>
          </w:rPr>
          <w:t>center. Dana-Farber,</w:t>
        </w:r>
        <w:r w:rsidRPr="00667CC6">
          <w:rPr>
            <w:rStyle w:val="Hyperlink"/>
            <w:i/>
            <w:color w:val="000000" w:themeColor="text1"/>
            <w:spacing w:val="-2"/>
            <w:u w:val="none"/>
          </w:rPr>
          <w:t xml:space="preserve"> </w:t>
        </w:r>
        <w:r w:rsidRPr="00667CC6">
          <w:rPr>
            <w:rStyle w:val="Hyperlink"/>
            <w:i/>
            <w:color w:val="000000" w:themeColor="text1"/>
            <w:u w:val="none"/>
          </w:rPr>
          <w:t>BIDMC</w:t>
        </w:r>
        <w:r w:rsidRPr="00667CC6">
          <w:rPr>
            <w:rStyle w:val="Hyperlink"/>
            <w:i/>
            <w:color w:val="000000" w:themeColor="text1"/>
            <w:spacing w:val="-3"/>
            <w:u w:val="none"/>
          </w:rPr>
          <w:t xml:space="preserve"> </w:t>
        </w:r>
        <w:r w:rsidRPr="00667CC6">
          <w:rPr>
            <w:rStyle w:val="Hyperlink"/>
            <w:i/>
            <w:color w:val="000000" w:themeColor="text1"/>
            <w:u w:val="none"/>
          </w:rPr>
          <w:t>will</w:t>
        </w:r>
        <w:r w:rsidRPr="00667CC6">
          <w:rPr>
            <w:rStyle w:val="Hyperlink"/>
            <w:i/>
            <w:color w:val="000000" w:themeColor="text1"/>
            <w:spacing w:val="-3"/>
            <w:u w:val="none"/>
          </w:rPr>
          <w:t xml:space="preserve"> </w:t>
        </w:r>
        <w:r w:rsidRPr="00667CC6">
          <w:rPr>
            <w:rStyle w:val="Hyperlink"/>
            <w:i/>
            <w:color w:val="000000" w:themeColor="text1"/>
            <w:u w:val="none"/>
          </w:rPr>
          <w:t>create</w:t>
        </w:r>
        <w:r w:rsidRPr="00667CC6">
          <w:rPr>
            <w:rStyle w:val="Hyperlink"/>
            <w:i/>
            <w:color w:val="000000" w:themeColor="text1"/>
            <w:spacing w:val="-3"/>
            <w:u w:val="none"/>
          </w:rPr>
          <w:t xml:space="preserve"> </w:t>
        </w:r>
        <w:r w:rsidRPr="00667CC6">
          <w:rPr>
            <w:rStyle w:val="Hyperlink"/>
            <w:i/>
            <w:color w:val="000000" w:themeColor="text1"/>
            <w:u w:val="none"/>
          </w:rPr>
          <w:t>it</w:t>
        </w:r>
        <w:r w:rsidRPr="00667CC6">
          <w:rPr>
            <w:rStyle w:val="Hyperlink"/>
            <w:color w:val="000000" w:themeColor="text1"/>
            <w:u w:val="none"/>
          </w:rPr>
          <w:t>,</w:t>
        </w:r>
      </w:hyperlink>
      <w:r w:rsidRPr="00667CC6">
        <w:rPr>
          <w:color w:val="000000" w:themeColor="text1"/>
          <w:spacing w:val="-2"/>
        </w:rPr>
        <w:t xml:space="preserve"> </w:t>
      </w:r>
      <w:r w:rsidRPr="00667CC6">
        <w:rPr>
          <w:color w:val="000000" w:themeColor="text1"/>
        </w:rPr>
        <w:t>B</w:t>
      </w:r>
      <w:r w:rsidRPr="00667CC6">
        <w:rPr>
          <w:color w:val="000000" w:themeColor="text1"/>
          <w:sz w:val="16"/>
        </w:rPr>
        <w:t>OSTON</w:t>
      </w:r>
      <w:r w:rsidRPr="00667CC6">
        <w:rPr>
          <w:color w:val="000000" w:themeColor="text1"/>
          <w:spacing w:val="-3"/>
          <w:sz w:val="16"/>
        </w:rPr>
        <w:t xml:space="preserve"> </w:t>
      </w:r>
      <w:r>
        <w:t>G</w:t>
      </w:r>
      <w:r>
        <w:rPr>
          <w:sz w:val="16"/>
        </w:rPr>
        <w:t>LOBE</w:t>
      </w:r>
      <w:r>
        <w:t>,</w:t>
      </w:r>
      <w:r>
        <w:rPr>
          <w:spacing w:val="-2"/>
        </w:rPr>
        <w:t xml:space="preserve"> </w:t>
      </w:r>
      <w:r>
        <w:t>(Oct.</w:t>
      </w:r>
      <w:r>
        <w:rPr>
          <w:spacing w:val="-2"/>
        </w:rPr>
        <w:t xml:space="preserve"> </w:t>
      </w:r>
      <w:r>
        <w:t>15,</w:t>
      </w:r>
      <w:r>
        <w:rPr>
          <w:spacing w:val="-2"/>
        </w:rPr>
        <w:t xml:space="preserve"> </w:t>
      </w:r>
      <w:r>
        <w:t>2023),</w:t>
      </w:r>
      <w:r>
        <w:rPr>
          <w:spacing w:val="-2"/>
        </w:rPr>
        <w:t xml:space="preserve"> </w:t>
      </w:r>
      <w:r>
        <w:rPr>
          <w:i/>
        </w:rPr>
        <w:t>available</w:t>
      </w:r>
      <w:r>
        <w:rPr>
          <w:i/>
          <w:spacing w:val="-3"/>
        </w:rPr>
        <w:t xml:space="preserve"> </w:t>
      </w:r>
      <w:r>
        <w:rPr>
          <w:i/>
        </w:rPr>
        <w:t xml:space="preserve">at </w:t>
      </w:r>
      <w:hyperlink r:id="rId111">
        <w:r>
          <w:rPr>
            <w:color w:val="486794"/>
            <w:spacing w:val="-2"/>
            <w:u w:val="single" w:color="486794"/>
          </w:rPr>
          <w:t>https://www.bostonglobe.com/2023/10/16/opinion/cancer-dana-farber-beth-israel-mass-general-</w:t>
        </w:r>
      </w:hyperlink>
      <w:r>
        <w:rPr>
          <w:color w:val="486794"/>
          <w:spacing w:val="-2"/>
        </w:rPr>
        <w:t xml:space="preserve"> </w:t>
      </w:r>
      <w:hyperlink r:id="rId112">
        <w:r>
          <w:rPr>
            <w:color w:val="486794"/>
            <w:u w:val="single" w:color="486794"/>
          </w:rPr>
          <w:t>brigham/</w:t>
        </w:r>
        <w:r>
          <w:t>;</w:t>
        </w:r>
      </w:hyperlink>
      <w:r>
        <w:t xml:space="preserve"> Jessica Bart</w:t>
      </w:r>
      <w:r w:rsidRPr="00667CC6">
        <w:rPr>
          <w:color w:val="000000" w:themeColor="text1"/>
        </w:rPr>
        <w:t xml:space="preserve">lett, </w:t>
      </w:r>
      <w:hyperlink r:id="rId113" w:history="1">
        <w:r w:rsidRPr="00667CC6">
          <w:rPr>
            <w:rStyle w:val="Hyperlink"/>
            <w:i/>
            <w:color w:val="000000" w:themeColor="text1"/>
            <w:u w:val="none"/>
          </w:rPr>
          <w:t>Dana-Farber, in break with</w:t>
        </w:r>
        <w:r w:rsidRPr="00667CC6">
          <w:rPr>
            <w:rStyle w:val="Hyperlink"/>
            <w:i/>
            <w:color w:val="000000" w:themeColor="text1"/>
            <w:spacing w:val="-1"/>
            <w:u w:val="none"/>
          </w:rPr>
          <w:t xml:space="preserve"> </w:t>
        </w:r>
        <w:r w:rsidRPr="00667CC6">
          <w:rPr>
            <w:rStyle w:val="Hyperlink"/>
            <w:i/>
            <w:color w:val="000000" w:themeColor="text1"/>
            <w:u w:val="none"/>
          </w:rPr>
          <w:t>Brigham and Women’s, will build new cancer center with Beth Israel</w:t>
        </w:r>
        <w:r w:rsidRPr="00667CC6">
          <w:rPr>
            <w:rStyle w:val="Hyperlink"/>
            <w:color w:val="000000" w:themeColor="text1"/>
            <w:u w:val="none"/>
          </w:rPr>
          <w:t>,</w:t>
        </w:r>
      </w:hyperlink>
      <w:r w:rsidRPr="00667CC6">
        <w:rPr>
          <w:color w:val="000000" w:themeColor="text1"/>
        </w:rPr>
        <w:t xml:space="preserve"> B</w:t>
      </w:r>
      <w:r w:rsidRPr="00667CC6">
        <w:rPr>
          <w:color w:val="000000" w:themeColor="text1"/>
          <w:sz w:val="16"/>
        </w:rPr>
        <w:t xml:space="preserve">OSTON </w:t>
      </w:r>
      <w:r>
        <w:t>G</w:t>
      </w:r>
      <w:r>
        <w:rPr>
          <w:sz w:val="16"/>
        </w:rPr>
        <w:t>LOBE</w:t>
      </w:r>
      <w:r>
        <w:t xml:space="preserve">, (Sept. 14, 2023), </w:t>
      </w:r>
      <w:r>
        <w:rPr>
          <w:i/>
        </w:rPr>
        <w:t xml:space="preserve">available at </w:t>
      </w:r>
      <w:hyperlink r:id="rId114">
        <w:r>
          <w:rPr>
            <w:color w:val="486794"/>
            <w:u w:val="single" w:color="486794"/>
          </w:rPr>
          <w:t>https://www.bostonglobe.com/2023/09/14/metro/dana-farber-brigham-beth-israel-cancer/</w:t>
        </w:r>
        <w:r>
          <w:t>;</w:t>
        </w:r>
      </w:hyperlink>
      <w:r>
        <w:t xml:space="preserve"> and Dave Muoio, </w:t>
      </w:r>
      <w:hyperlink r:id="rId115" w:history="1">
        <w:r w:rsidRPr="008B6DD0">
          <w:rPr>
            <w:rStyle w:val="Hyperlink"/>
            <w:i/>
            <w:color w:val="000000" w:themeColor="text1"/>
            <w:u w:val="none"/>
          </w:rPr>
          <w:t>Dana-Farber, Beth Israel Deaconess collaborating on standalone cancer center</w:t>
        </w:r>
        <w:r w:rsidRPr="008B6DD0">
          <w:rPr>
            <w:rStyle w:val="Hyperlink"/>
            <w:color w:val="000000" w:themeColor="text1"/>
            <w:u w:val="none"/>
          </w:rPr>
          <w:t>,</w:t>
        </w:r>
      </w:hyperlink>
      <w:r w:rsidRPr="008B6DD0">
        <w:rPr>
          <w:color w:val="000000" w:themeColor="text1"/>
        </w:rPr>
        <w:t xml:space="preserve"> F</w:t>
      </w:r>
      <w:r w:rsidRPr="008B6DD0">
        <w:rPr>
          <w:color w:val="000000" w:themeColor="text1"/>
          <w:sz w:val="16"/>
        </w:rPr>
        <w:t xml:space="preserve">IERCE </w:t>
      </w:r>
      <w:r>
        <w:t>H</w:t>
      </w:r>
      <w:r>
        <w:rPr>
          <w:sz w:val="16"/>
        </w:rPr>
        <w:t>EALTHCARE</w:t>
      </w:r>
      <w:r>
        <w:t xml:space="preserve">, (Sept. 15, 2023), </w:t>
      </w:r>
      <w:r>
        <w:rPr>
          <w:i/>
        </w:rPr>
        <w:t xml:space="preserve">available at </w:t>
      </w:r>
      <w:hyperlink r:id="rId116">
        <w:r>
          <w:rPr>
            <w:color w:val="486794"/>
            <w:u w:val="single" w:color="486794"/>
          </w:rPr>
          <w:t>https://www.fiercehealthcare.com/providers/dana-farber-beth-israel-</w:t>
        </w:r>
      </w:hyperlink>
      <w:r>
        <w:rPr>
          <w:color w:val="486794"/>
        </w:rPr>
        <w:t xml:space="preserve"> </w:t>
      </w:r>
      <w:hyperlink r:id="rId117">
        <w:r>
          <w:rPr>
            <w:color w:val="486794"/>
            <w:u w:val="single" w:color="486794"/>
          </w:rPr>
          <w:t>deaconess-collaborating-stand-alone-cancer-center</w:t>
        </w:r>
        <w:r>
          <w:t>.</w:t>
        </w:r>
      </w:hyperlink>
      <w:r>
        <w:t xml:space="preserve"> Additional information provided by the parties to the </w:t>
      </w:r>
      <w:r>
        <w:rPr>
          <w:spacing w:val="-4"/>
        </w:rPr>
        <w:t>HPC.</w:t>
      </w:r>
    </w:p>
  </w:footnote>
  <w:footnote w:id="74">
    <w:p w14:paraId="233970CB" w14:textId="3BB1ADB4" w:rsidR="005E0EB0" w:rsidRDefault="005E0EB0" w:rsidP="008900B7">
      <w:pPr>
        <w:pStyle w:val="FootnoteText"/>
        <w:ind w:left="900" w:right="940"/>
      </w:pPr>
      <w:r>
        <w:rPr>
          <w:rStyle w:val="FootnoteReference"/>
        </w:rPr>
        <w:footnoteRef/>
      </w:r>
      <w:r>
        <w:t xml:space="preserve"> </w:t>
      </w:r>
      <w:r>
        <w:rPr>
          <w:i/>
        </w:rPr>
        <w:t>See</w:t>
      </w:r>
      <w:r>
        <w:rPr>
          <w:i/>
          <w:spacing w:val="-3"/>
        </w:rPr>
        <w:t xml:space="preserve"> </w:t>
      </w:r>
      <w:r>
        <w:rPr>
          <w:i/>
        </w:rPr>
        <w:t>supra</w:t>
      </w:r>
      <w:r>
        <w:rPr>
          <w:i/>
          <w:spacing w:val="-3"/>
        </w:rPr>
        <w:t xml:space="preserve"> </w:t>
      </w:r>
      <w:r>
        <w:t>note</w:t>
      </w:r>
      <w:r>
        <w:rPr>
          <w:spacing w:val="-2"/>
        </w:rPr>
        <w:t xml:space="preserve"> </w:t>
      </w:r>
      <w:hyperlink w:anchor="_bookmark68" w:history="1">
        <w:r>
          <w:t>55.</w:t>
        </w:r>
      </w:hyperlink>
      <w:r>
        <w:rPr>
          <w:spacing w:val="-1"/>
        </w:rPr>
        <w:t xml:space="preserve"> </w:t>
      </w:r>
      <w:r>
        <w:t>The</w:t>
      </w:r>
      <w:r>
        <w:rPr>
          <w:spacing w:val="-3"/>
        </w:rPr>
        <w:t xml:space="preserve"> </w:t>
      </w:r>
      <w:r>
        <w:t>Joslin</w:t>
      </w:r>
      <w:r>
        <w:rPr>
          <w:spacing w:val="-2"/>
        </w:rPr>
        <w:t xml:space="preserve"> </w:t>
      </w:r>
      <w:r>
        <w:t>Diabetes</w:t>
      </w:r>
      <w:r>
        <w:rPr>
          <w:spacing w:val="-1"/>
        </w:rPr>
        <w:t xml:space="preserve"> </w:t>
      </w:r>
      <w:r>
        <w:t>Center</w:t>
      </w:r>
      <w:r>
        <w:rPr>
          <w:spacing w:val="-3"/>
        </w:rPr>
        <w:t xml:space="preserve"> </w:t>
      </w:r>
      <w:r>
        <w:t>expects</w:t>
      </w:r>
      <w:r>
        <w:rPr>
          <w:spacing w:val="-1"/>
        </w:rPr>
        <w:t xml:space="preserve"> </w:t>
      </w:r>
      <w:r>
        <w:t>to</w:t>
      </w:r>
      <w:r>
        <w:rPr>
          <w:spacing w:val="-2"/>
        </w:rPr>
        <w:t xml:space="preserve"> </w:t>
      </w:r>
      <w:r>
        <w:t>move</w:t>
      </w:r>
      <w:r>
        <w:rPr>
          <w:spacing w:val="-3"/>
        </w:rPr>
        <w:t xml:space="preserve"> </w:t>
      </w:r>
      <w:r>
        <w:t>to</w:t>
      </w:r>
      <w:r>
        <w:rPr>
          <w:spacing w:val="-2"/>
        </w:rPr>
        <w:t xml:space="preserve"> </w:t>
      </w:r>
      <w:r>
        <w:t>a</w:t>
      </w:r>
      <w:r>
        <w:rPr>
          <w:spacing w:val="-2"/>
        </w:rPr>
        <w:t xml:space="preserve"> </w:t>
      </w:r>
      <w:r>
        <w:t>new</w:t>
      </w:r>
      <w:r>
        <w:rPr>
          <w:spacing w:val="-2"/>
        </w:rPr>
        <w:t xml:space="preserve"> </w:t>
      </w:r>
      <w:r>
        <w:t>location,</w:t>
      </w:r>
      <w:r>
        <w:rPr>
          <w:spacing w:val="-1"/>
        </w:rPr>
        <w:t xml:space="preserve"> </w:t>
      </w:r>
      <w:r>
        <w:t>which</w:t>
      </w:r>
      <w:r>
        <w:rPr>
          <w:spacing w:val="-2"/>
        </w:rPr>
        <w:t xml:space="preserve"> </w:t>
      </w:r>
      <w:r>
        <w:t>BILH</w:t>
      </w:r>
      <w:r>
        <w:rPr>
          <w:spacing w:val="-3"/>
        </w:rPr>
        <w:t xml:space="preserve"> </w:t>
      </w:r>
      <w:r>
        <w:t>has</w:t>
      </w:r>
      <w:r>
        <w:rPr>
          <w:spacing w:val="-1"/>
        </w:rPr>
        <w:t xml:space="preserve"> </w:t>
      </w:r>
      <w:r>
        <w:t>not</w:t>
      </w:r>
      <w:r>
        <w:rPr>
          <w:spacing w:val="-1"/>
        </w:rPr>
        <w:t xml:space="preserve"> </w:t>
      </w:r>
      <w:r>
        <w:t xml:space="preserve">yet identified. Joslin Diabetes Ctr, </w:t>
      </w:r>
      <w:hyperlink r:id="rId118" w:history="1">
        <w:r w:rsidRPr="008B7615">
          <w:rPr>
            <w:rStyle w:val="Hyperlink"/>
            <w:i/>
            <w:color w:val="000000" w:themeColor="text1"/>
            <w:u w:val="none"/>
          </w:rPr>
          <w:t>Important News from Joslin Diabetes Center</w:t>
        </w:r>
      </w:hyperlink>
      <w:r w:rsidRPr="008B7615">
        <w:rPr>
          <w:color w:val="000000" w:themeColor="text1"/>
        </w:rPr>
        <w:t xml:space="preserve">, </w:t>
      </w:r>
      <w:hyperlink r:id="rId119">
        <w:r>
          <w:rPr>
            <w:color w:val="486794"/>
            <w:u w:val="single" w:color="486794"/>
          </w:rPr>
          <w:t>https://www.joslin.org/about/news-media/important-news-joslin-diabetes-center</w:t>
        </w:r>
      </w:hyperlink>
      <w:r>
        <w:rPr>
          <w:color w:val="486794"/>
        </w:rPr>
        <w:t xml:space="preserve"> </w:t>
      </w:r>
      <w:r>
        <w:t xml:space="preserve">(last visited February 27, </w:t>
      </w:r>
      <w:r>
        <w:rPr>
          <w:spacing w:val="-2"/>
        </w:rPr>
        <w:t>2025).</w:t>
      </w:r>
    </w:p>
  </w:footnote>
  <w:footnote w:id="75">
    <w:p w14:paraId="274829B7" w14:textId="39DA8EDC" w:rsidR="005E0EB0" w:rsidRDefault="005E0EB0" w:rsidP="008900B7">
      <w:pPr>
        <w:pStyle w:val="FootnoteText"/>
        <w:ind w:left="900" w:right="940"/>
      </w:pPr>
      <w:r>
        <w:rPr>
          <w:rStyle w:val="FootnoteReference"/>
        </w:rPr>
        <w:footnoteRef/>
      </w:r>
      <w:r>
        <w:t xml:space="preserve"> Additional information about the proposed physical plant can be found in materials submitted to the Boston Planning &amp; Development Agency, which approved DFCI’s institutional master plan proposal on October 10, 2024. </w:t>
      </w:r>
      <w:r>
        <w:rPr>
          <w:i/>
        </w:rPr>
        <w:t xml:space="preserve">See </w:t>
      </w:r>
      <w:hyperlink r:id="rId120" w:history="1">
        <w:r w:rsidRPr="008B7615">
          <w:rPr>
            <w:rStyle w:val="Hyperlink"/>
            <w:color w:val="000000" w:themeColor="text1"/>
            <w:u w:val="none"/>
          </w:rPr>
          <w:t xml:space="preserve">City of Boston Planning Department, </w:t>
        </w:r>
        <w:r w:rsidRPr="008B7615">
          <w:rPr>
            <w:rStyle w:val="Hyperlink"/>
            <w:i/>
            <w:color w:val="000000" w:themeColor="text1"/>
            <w:u w:val="none"/>
          </w:rPr>
          <w:t>Dana-Farber Cancer Institute</w:t>
        </w:r>
        <w:r w:rsidRPr="008B7615">
          <w:rPr>
            <w:rStyle w:val="Hyperlink"/>
            <w:color w:val="000000" w:themeColor="text1"/>
            <w:u w:val="none"/>
          </w:rPr>
          <w:t>,</w:t>
        </w:r>
      </w:hyperlink>
      <w:r w:rsidRPr="008B7615">
        <w:rPr>
          <w:color w:val="000000" w:themeColor="text1"/>
        </w:rPr>
        <w:t xml:space="preserve"> </w:t>
      </w:r>
      <w:hyperlink r:id="rId121">
        <w:r>
          <w:rPr>
            <w:color w:val="486794"/>
            <w:u w:val="single" w:color="486794"/>
          </w:rPr>
          <w:t>http://www.bostonplans.org/projects/institutional-master-plans/hospitals/dana-farber-cancer-institute</w:t>
        </w:r>
      </w:hyperlink>
      <w:r>
        <w:rPr>
          <w:color w:val="486794"/>
          <w:spacing w:val="-13"/>
        </w:rPr>
        <w:t xml:space="preserve"> </w:t>
      </w:r>
      <w:r>
        <w:t>(last visited February 27, 2025).</w:t>
      </w:r>
    </w:p>
  </w:footnote>
  <w:footnote w:id="76">
    <w:p w14:paraId="6FAF87C7" w14:textId="7FC3CE70" w:rsidR="005E0EB0" w:rsidRPr="00292ADD" w:rsidRDefault="005E0EB0" w:rsidP="008900B7">
      <w:pPr>
        <w:spacing w:line="226" w:lineRule="exact"/>
        <w:ind w:left="900" w:right="940"/>
        <w:rPr>
          <w:rStyle w:val="Hyperlink"/>
          <w:color w:val="000000" w:themeColor="text1"/>
          <w:sz w:val="16"/>
          <w:u w:val="none"/>
        </w:rPr>
      </w:pPr>
      <w:r>
        <w:rPr>
          <w:rStyle w:val="FootnoteReference"/>
        </w:rPr>
        <w:footnoteRef/>
      </w:r>
      <w:r>
        <w:t xml:space="preserve"> </w:t>
      </w:r>
      <w:r w:rsidR="00292ADD" w:rsidRPr="00292ADD">
        <w:rPr>
          <w:color w:val="000000" w:themeColor="text1"/>
          <w:sz w:val="20"/>
        </w:rPr>
        <w:fldChar w:fldCharType="begin"/>
      </w:r>
      <w:r w:rsidR="00292ADD" w:rsidRPr="00292ADD">
        <w:rPr>
          <w:color w:val="000000" w:themeColor="text1"/>
          <w:sz w:val="20"/>
        </w:rPr>
        <w:instrText>HYPERLINK "https://www.mass.gov/doc/change-in-service-pdf-dana-farber-cancer-institute-inc-expenditure/download."</w:instrText>
      </w:r>
      <w:r w:rsidR="00292ADD" w:rsidRPr="00292ADD">
        <w:rPr>
          <w:color w:val="000000" w:themeColor="text1"/>
          <w:sz w:val="20"/>
        </w:rPr>
      </w:r>
      <w:r w:rsidR="00292ADD" w:rsidRPr="00292ADD">
        <w:rPr>
          <w:color w:val="000000" w:themeColor="text1"/>
          <w:sz w:val="20"/>
        </w:rPr>
        <w:fldChar w:fldCharType="separate"/>
      </w:r>
      <w:r w:rsidRPr="00292ADD">
        <w:rPr>
          <w:rStyle w:val="Hyperlink"/>
          <w:color w:val="000000" w:themeColor="text1"/>
          <w:sz w:val="20"/>
          <w:u w:val="none"/>
        </w:rPr>
        <w:t>D</w:t>
      </w:r>
      <w:r w:rsidRPr="00292ADD">
        <w:rPr>
          <w:rStyle w:val="Hyperlink"/>
          <w:color w:val="000000" w:themeColor="text1"/>
          <w:sz w:val="16"/>
          <w:u w:val="none"/>
        </w:rPr>
        <w:t>ANA</w:t>
      </w:r>
      <w:r w:rsidRPr="00292ADD">
        <w:rPr>
          <w:rStyle w:val="Hyperlink"/>
          <w:color w:val="000000" w:themeColor="text1"/>
          <w:sz w:val="20"/>
          <w:u w:val="none"/>
        </w:rPr>
        <w:t>-F</w:t>
      </w:r>
      <w:r w:rsidRPr="00292ADD">
        <w:rPr>
          <w:rStyle w:val="Hyperlink"/>
          <w:color w:val="000000" w:themeColor="text1"/>
          <w:sz w:val="16"/>
          <w:u w:val="none"/>
        </w:rPr>
        <w:t>ARBER</w:t>
      </w:r>
      <w:r w:rsidRPr="00292ADD">
        <w:rPr>
          <w:rStyle w:val="Hyperlink"/>
          <w:color w:val="000000" w:themeColor="text1"/>
          <w:spacing w:val="-10"/>
          <w:sz w:val="16"/>
          <w:u w:val="none"/>
        </w:rPr>
        <w:t xml:space="preserve"> </w:t>
      </w:r>
      <w:r w:rsidRPr="00292ADD">
        <w:rPr>
          <w:rStyle w:val="Hyperlink"/>
          <w:color w:val="000000" w:themeColor="text1"/>
          <w:sz w:val="20"/>
          <w:u w:val="none"/>
        </w:rPr>
        <w:t>C</w:t>
      </w:r>
      <w:r w:rsidRPr="00292ADD">
        <w:rPr>
          <w:rStyle w:val="Hyperlink"/>
          <w:color w:val="000000" w:themeColor="text1"/>
          <w:sz w:val="16"/>
          <w:u w:val="none"/>
        </w:rPr>
        <w:t>ANCER</w:t>
      </w:r>
      <w:r w:rsidRPr="00292ADD">
        <w:rPr>
          <w:rStyle w:val="Hyperlink"/>
          <w:color w:val="000000" w:themeColor="text1"/>
          <w:spacing w:val="-10"/>
          <w:sz w:val="16"/>
          <w:u w:val="none"/>
        </w:rPr>
        <w:t xml:space="preserve"> </w:t>
      </w:r>
      <w:r w:rsidRPr="00292ADD">
        <w:rPr>
          <w:rStyle w:val="Hyperlink"/>
          <w:color w:val="000000" w:themeColor="text1"/>
          <w:sz w:val="20"/>
          <w:u w:val="none"/>
        </w:rPr>
        <w:t>I</w:t>
      </w:r>
      <w:r w:rsidRPr="00292ADD">
        <w:rPr>
          <w:rStyle w:val="Hyperlink"/>
          <w:color w:val="000000" w:themeColor="text1"/>
          <w:sz w:val="16"/>
          <w:u w:val="none"/>
        </w:rPr>
        <w:t>NSTITUTE</w:t>
      </w:r>
      <w:r w:rsidRPr="00292ADD">
        <w:rPr>
          <w:rStyle w:val="Hyperlink"/>
          <w:color w:val="000000" w:themeColor="text1"/>
          <w:sz w:val="20"/>
          <w:u w:val="none"/>
        </w:rPr>
        <w:t>,</w:t>
      </w:r>
      <w:r w:rsidRPr="00292ADD">
        <w:rPr>
          <w:rStyle w:val="Hyperlink"/>
          <w:color w:val="000000" w:themeColor="text1"/>
          <w:spacing w:val="-13"/>
          <w:sz w:val="20"/>
          <w:u w:val="none"/>
        </w:rPr>
        <w:t xml:space="preserve"> </w:t>
      </w:r>
      <w:r w:rsidRPr="00292ADD">
        <w:rPr>
          <w:rStyle w:val="Hyperlink"/>
          <w:color w:val="000000" w:themeColor="text1"/>
          <w:sz w:val="20"/>
          <w:u w:val="none"/>
        </w:rPr>
        <w:t>D</w:t>
      </w:r>
      <w:r w:rsidRPr="00292ADD">
        <w:rPr>
          <w:rStyle w:val="Hyperlink"/>
          <w:color w:val="000000" w:themeColor="text1"/>
          <w:sz w:val="16"/>
          <w:u w:val="none"/>
        </w:rPr>
        <w:t>ETERMINATION</w:t>
      </w:r>
      <w:r w:rsidRPr="00292ADD">
        <w:rPr>
          <w:rStyle w:val="Hyperlink"/>
          <w:color w:val="000000" w:themeColor="text1"/>
          <w:spacing w:val="-10"/>
          <w:sz w:val="16"/>
          <w:u w:val="none"/>
        </w:rPr>
        <w:t xml:space="preserve"> </w:t>
      </w:r>
      <w:r w:rsidRPr="00292ADD">
        <w:rPr>
          <w:rStyle w:val="Hyperlink"/>
          <w:color w:val="000000" w:themeColor="text1"/>
          <w:sz w:val="16"/>
          <w:u w:val="none"/>
        </w:rPr>
        <w:t>OF</w:t>
      </w:r>
      <w:r w:rsidRPr="00292ADD">
        <w:rPr>
          <w:rStyle w:val="Hyperlink"/>
          <w:color w:val="000000" w:themeColor="text1"/>
          <w:spacing w:val="-10"/>
          <w:sz w:val="16"/>
          <w:u w:val="none"/>
        </w:rPr>
        <w:t xml:space="preserve"> </w:t>
      </w:r>
      <w:r w:rsidRPr="00292ADD">
        <w:rPr>
          <w:rStyle w:val="Hyperlink"/>
          <w:color w:val="000000" w:themeColor="text1"/>
          <w:sz w:val="20"/>
          <w:u w:val="none"/>
        </w:rPr>
        <w:t>N</w:t>
      </w:r>
      <w:r w:rsidRPr="00292ADD">
        <w:rPr>
          <w:rStyle w:val="Hyperlink"/>
          <w:color w:val="000000" w:themeColor="text1"/>
          <w:sz w:val="16"/>
          <w:u w:val="none"/>
        </w:rPr>
        <w:t>EED</w:t>
      </w:r>
      <w:r w:rsidRPr="00292ADD">
        <w:rPr>
          <w:rStyle w:val="Hyperlink"/>
          <w:color w:val="000000" w:themeColor="text1"/>
          <w:spacing w:val="-8"/>
          <w:sz w:val="16"/>
          <w:u w:val="none"/>
        </w:rPr>
        <w:t xml:space="preserve"> </w:t>
      </w:r>
      <w:r w:rsidRPr="00292ADD">
        <w:rPr>
          <w:rStyle w:val="Hyperlink"/>
          <w:color w:val="000000" w:themeColor="text1"/>
          <w:sz w:val="20"/>
          <w:u w:val="none"/>
        </w:rPr>
        <w:t>A</w:t>
      </w:r>
      <w:r w:rsidRPr="00292ADD">
        <w:rPr>
          <w:rStyle w:val="Hyperlink"/>
          <w:color w:val="000000" w:themeColor="text1"/>
          <w:sz w:val="16"/>
          <w:u w:val="none"/>
        </w:rPr>
        <w:t>PPLICATION</w:t>
      </w:r>
      <w:r w:rsidRPr="00292ADD">
        <w:rPr>
          <w:rStyle w:val="Hyperlink"/>
          <w:color w:val="000000" w:themeColor="text1"/>
          <w:spacing w:val="-7"/>
          <w:sz w:val="16"/>
          <w:u w:val="none"/>
        </w:rPr>
        <w:t xml:space="preserve"> </w:t>
      </w:r>
      <w:r w:rsidRPr="00292ADD">
        <w:rPr>
          <w:rStyle w:val="Hyperlink"/>
          <w:color w:val="000000" w:themeColor="text1"/>
          <w:sz w:val="20"/>
          <w:u w:val="none"/>
        </w:rPr>
        <w:t>DFCI-23040915-HE</w:t>
      </w:r>
      <w:r w:rsidRPr="00292ADD">
        <w:rPr>
          <w:rStyle w:val="Hyperlink"/>
          <w:color w:val="000000" w:themeColor="text1"/>
          <w:spacing w:val="-13"/>
          <w:sz w:val="20"/>
          <w:u w:val="none"/>
        </w:rPr>
        <w:t xml:space="preserve"> </w:t>
      </w:r>
      <w:r w:rsidRPr="00292ADD">
        <w:rPr>
          <w:rStyle w:val="Hyperlink"/>
          <w:color w:val="000000" w:themeColor="text1"/>
          <w:sz w:val="20"/>
          <w:u w:val="none"/>
        </w:rPr>
        <w:t>A</w:t>
      </w:r>
      <w:r w:rsidRPr="00292ADD">
        <w:rPr>
          <w:rStyle w:val="Hyperlink"/>
          <w:color w:val="000000" w:themeColor="text1"/>
          <w:sz w:val="16"/>
          <w:u w:val="none"/>
        </w:rPr>
        <w:t>TTACHMENT</w:t>
      </w:r>
      <w:r w:rsidRPr="00292ADD">
        <w:rPr>
          <w:rStyle w:val="Hyperlink"/>
          <w:color w:val="000000" w:themeColor="text1"/>
          <w:spacing w:val="-7"/>
          <w:sz w:val="16"/>
          <w:u w:val="none"/>
        </w:rPr>
        <w:t xml:space="preserve"> </w:t>
      </w:r>
      <w:r w:rsidRPr="00292ADD">
        <w:rPr>
          <w:rStyle w:val="Hyperlink"/>
          <w:color w:val="000000" w:themeColor="text1"/>
          <w:sz w:val="20"/>
          <w:u w:val="none"/>
        </w:rPr>
        <w:t>6:</w:t>
      </w:r>
      <w:r w:rsidRPr="00292ADD">
        <w:rPr>
          <w:rStyle w:val="Hyperlink"/>
          <w:color w:val="000000" w:themeColor="text1"/>
          <w:spacing w:val="-12"/>
          <w:sz w:val="20"/>
          <w:u w:val="none"/>
        </w:rPr>
        <w:t xml:space="preserve"> </w:t>
      </w:r>
      <w:r w:rsidRPr="00292ADD">
        <w:rPr>
          <w:rStyle w:val="Hyperlink"/>
          <w:color w:val="000000" w:themeColor="text1"/>
          <w:spacing w:val="-2"/>
          <w:sz w:val="20"/>
          <w:u w:val="none"/>
        </w:rPr>
        <w:t>C</w:t>
      </w:r>
      <w:r w:rsidRPr="00292ADD">
        <w:rPr>
          <w:rStyle w:val="Hyperlink"/>
          <w:color w:val="000000" w:themeColor="text1"/>
          <w:spacing w:val="-2"/>
          <w:sz w:val="16"/>
          <w:u w:val="none"/>
        </w:rPr>
        <w:t>HANGE</w:t>
      </w:r>
    </w:p>
    <w:p w14:paraId="63D011C2" w14:textId="19A7A35F" w:rsidR="005E0EB0" w:rsidRDefault="005E0EB0" w:rsidP="008900B7">
      <w:pPr>
        <w:pStyle w:val="FootnoteText"/>
        <w:ind w:left="900" w:right="940"/>
      </w:pPr>
      <w:r w:rsidRPr="00292ADD">
        <w:rPr>
          <w:rStyle w:val="Hyperlink"/>
          <w:color w:val="000000" w:themeColor="text1"/>
          <w:sz w:val="16"/>
          <w:u w:val="none"/>
        </w:rPr>
        <w:t xml:space="preserve">IN </w:t>
      </w:r>
      <w:r w:rsidRPr="00292ADD">
        <w:rPr>
          <w:rStyle w:val="Hyperlink"/>
          <w:color w:val="000000" w:themeColor="text1"/>
          <w:u w:val="none"/>
        </w:rPr>
        <w:t>S</w:t>
      </w:r>
      <w:r w:rsidRPr="00292ADD">
        <w:rPr>
          <w:rStyle w:val="Hyperlink"/>
          <w:color w:val="000000" w:themeColor="text1"/>
          <w:sz w:val="16"/>
          <w:u w:val="none"/>
        </w:rPr>
        <w:t xml:space="preserve">ERVICE </w:t>
      </w:r>
      <w:r w:rsidRPr="00292ADD">
        <w:rPr>
          <w:rStyle w:val="Hyperlink"/>
          <w:color w:val="000000" w:themeColor="text1"/>
          <w:u w:val="none"/>
        </w:rPr>
        <w:t>T</w:t>
      </w:r>
      <w:r w:rsidRPr="00292ADD">
        <w:rPr>
          <w:rStyle w:val="Hyperlink"/>
          <w:color w:val="000000" w:themeColor="text1"/>
          <w:sz w:val="16"/>
          <w:u w:val="none"/>
        </w:rPr>
        <w:t>ABLE</w:t>
      </w:r>
      <w:r w:rsidR="00292ADD" w:rsidRPr="00292ADD">
        <w:rPr>
          <w:color w:val="000000" w:themeColor="text1"/>
          <w:szCs w:val="22"/>
        </w:rPr>
        <w:fldChar w:fldCharType="end"/>
      </w:r>
      <w:r w:rsidRPr="00292ADD">
        <w:rPr>
          <w:color w:val="000000" w:themeColor="text1"/>
          <w:sz w:val="16"/>
        </w:rPr>
        <w:t xml:space="preserve"> </w:t>
      </w:r>
      <w:r>
        <w:t>[hereinafter DFCI D</w:t>
      </w:r>
      <w:r>
        <w:rPr>
          <w:sz w:val="16"/>
        </w:rPr>
        <w:t>O</w:t>
      </w:r>
      <w:r>
        <w:t>N C</w:t>
      </w:r>
      <w:r>
        <w:rPr>
          <w:sz w:val="16"/>
        </w:rPr>
        <w:t xml:space="preserve">HANGE IN </w:t>
      </w:r>
      <w:r>
        <w:t>S</w:t>
      </w:r>
      <w:r>
        <w:rPr>
          <w:sz w:val="16"/>
        </w:rPr>
        <w:t xml:space="preserve">ERVICE </w:t>
      </w:r>
      <w:r>
        <w:t>F</w:t>
      </w:r>
      <w:r>
        <w:rPr>
          <w:sz w:val="16"/>
        </w:rPr>
        <w:t>ORM</w:t>
      </w:r>
      <w:r>
        <w:t xml:space="preserve">], </w:t>
      </w:r>
      <w:r>
        <w:rPr>
          <w:i/>
        </w:rPr>
        <w:t xml:space="preserve">available at </w:t>
      </w:r>
      <w:hyperlink r:id="rId122">
        <w:r>
          <w:rPr>
            <w:color w:val="486794"/>
            <w:spacing w:val="-2"/>
            <w:u w:val="single" w:color="486794"/>
          </w:rPr>
          <w:t>https://www.mass.gov/doc/change-in-service-pdf-dana-farber-cancer-institute-inc-expenditure/download</w:t>
        </w:r>
        <w:r>
          <w:rPr>
            <w:spacing w:val="-2"/>
          </w:rPr>
          <w:t>.</w:t>
        </w:r>
      </w:hyperlink>
    </w:p>
  </w:footnote>
  <w:footnote w:id="77">
    <w:p w14:paraId="54B7444B" w14:textId="58FE799D" w:rsidR="008900B7" w:rsidRDefault="008900B7" w:rsidP="008900B7">
      <w:pPr>
        <w:spacing w:before="1"/>
        <w:ind w:left="900" w:right="940"/>
        <w:rPr>
          <w:sz w:val="20"/>
        </w:rPr>
      </w:pPr>
      <w:r>
        <w:rPr>
          <w:rStyle w:val="FootnoteReference"/>
        </w:rPr>
        <w:footnoteRef/>
      </w:r>
      <w:r>
        <w:t xml:space="preserve"> </w:t>
      </w:r>
      <w:hyperlink r:id="rId123" w:history="1">
        <w:r w:rsidRPr="00E92CD0">
          <w:rPr>
            <w:rStyle w:val="Hyperlink"/>
            <w:color w:val="000000" w:themeColor="text1"/>
            <w:sz w:val="20"/>
            <w:u w:val="none"/>
          </w:rPr>
          <w:t>D</w:t>
        </w:r>
        <w:r w:rsidRPr="00E92CD0">
          <w:rPr>
            <w:rStyle w:val="Hyperlink"/>
            <w:color w:val="000000" w:themeColor="text1"/>
            <w:sz w:val="16"/>
            <w:u w:val="none"/>
          </w:rPr>
          <w:t>ANA</w:t>
        </w:r>
        <w:r w:rsidRPr="00E92CD0">
          <w:rPr>
            <w:rStyle w:val="Hyperlink"/>
            <w:color w:val="000000" w:themeColor="text1"/>
            <w:sz w:val="20"/>
            <w:u w:val="none"/>
          </w:rPr>
          <w:t>-F</w:t>
        </w:r>
        <w:r w:rsidRPr="00E92CD0">
          <w:rPr>
            <w:rStyle w:val="Hyperlink"/>
            <w:color w:val="000000" w:themeColor="text1"/>
            <w:sz w:val="16"/>
            <w:u w:val="none"/>
          </w:rPr>
          <w:t xml:space="preserve">ARBER </w:t>
        </w:r>
        <w:r w:rsidRPr="00E92CD0">
          <w:rPr>
            <w:rStyle w:val="Hyperlink"/>
            <w:color w:val="000000" w:themeColor="text1"/>
            <w:sz w:val="20"/>
            <w:u w:val="none"/>
          </w:rPr>
          <w:t>C</w:t>
        </w:r>
        <w:r w:rsidRPr="00E92CD0">
          <w:rPr>
            <w:rStyle w:val="Hyperlink"/>
            <w:color w:val="000000" w:themeColor="text1"/>
            <w:sz w:val="16"/>
            <w:u w:val="none"/>
          </w:rPr>
          <w:t xml:space="preserve">ANCER </w:t>
        </w:r>
        <w:r w:rsidRPr="00E92CD0">
          <w:rPr>
            <w:rStyle w:val="Hyperlink"/>
            <w:color w:val="000000" w:themeColor="text1"/>
            <w:sz w:val="20"/>
            <w:u w:val="none"/>
          </w:rPr>
          <w:t>I</w:t>
        </w:r>
        <w:r w:rsidRPr="00E92CD0">
          <w:rPr>
            <w:rStyle w:val="Hyperlink"/>
            <w:color w:val="000000" w:themeColor="text1"/>
            <w:sz w:val="16"/>
            <w:u w:val="none"/>
          </w:rPr>
          <w:t>NSTITUTE</w:t>
        </w:r>
        <w:r w:rsidRPr="00E92CD0">
          <w:rPr>
            <w:rStyle w:val="Hyperlink"/>
            <w:color w:val="000000" w:themeColor="text1"/>
            <w:sz w:val="20"/>
            <w:u w:val="none"/>
          </w:rPr>
          <w:t>, R</w:t>
        </w:r>
        <w:r w:rsidRPr="00E92CD0">
          <w:rPr>
            <w:rStyle w:val="Hyperlink"/>
            <w:color w:val="000000" w:themeColor="text1"/>
            <w:sz w:val="16"/>
            <w:u w:val="none"/>
          </w:rPr>
          <w:t xml:space="preserve">ESPONSE TO </w:t>
        </w:r>
        <w:r w:rsidRPr="00E92CD0">
          <w:rPr>
            <w:rStyle w:val="Hyperlink"/>
            <w:color w:val="000000" w:themeColor="text1"/>
            <w:sz w:val="20"/>
            <w:u w:val="none"/>
          </w:rPr>
          <w:t>A</w:t>
        </w:r>
        <w:r w:rsidRPr="00E92CD0">
          <w:rPr>
            <w:rStyle w:val="Hyperlink"/>
            <w:color w:val="000000" w:themeColor="text1"/>
            <w:sz w:val="16"/>
            <w:u w:val="none"/>
          </w:rPr>
          <w:t xml:space="preserve">PPLICANT </w:t>
        </w:r>
        <w:r w:rsidRPr="00E92CD0">
          <w:rPr>
            <w:rStyle w:val="Hyperlink"/>
            <w:color w:val="000000" w:themeColor="text1"/>
            <w:sz w:val="20"/>
            <w:u w:val="none"/>
          </w:rPr>
          <w:t>Q</w:t>
        </w:r>
        <w:r w:rsidRPr="00E92CD0">
          <w:rPr>
            <w:rStyle w:val="Hyperlink"/>
            <w:color w:val="000000" w:themeColor="text1"/>
            <w:sz w:val="16"/>
            <w:u w:val="none"/>
          </w:rPr>
          <w:t xml:space="preserve">UESTIONS </w:t>
        </w:r>
        <w:r w:rsidRPr="00E92CD0">
          <w:rPr>
            <w:rStyle w:val="Hyperlink"/>
            <w:color w:val="000000" w:themeColor="text1"/>
            <w:sz w:val="20"/>
            <w:u w:val="none"/>
          </w:rPr>
          <w:t>#2</w:t>
        </w:r>
      </w:hyperlink>
      <w:r w:rsidRPr="00E92CD0">
        <w:rPr>
          <w:color w:val="000000" w:themeColor="text1"/>
          <w:sz w:val="20"/>
        </w:rPr>
        <w:t xml:space="preserve"> </w:t>
      </w:r>
      <w:r>
        <w:rPr>
          <w:sz w:val="20"/>
        </w:rPr>
        <w:t>at Question 21 [hereinafter DFCI</w:t>
      </w:r>
    </w:p>
    <w:p w14:paraId="713DB09B" w14:textId="6D0C2188" w:rsidR="008900B7" w:rsidRPr="00882F66" w:rsidRDefault="008900B7" w:rsidP="00882F66">
      <w:pPr>
        <w:ind w:left="900" w:right="940"/>
        <w:rPr>
          <w:sz w:val="20"/>
        </w:rPr>
      </w:pPr>
      <w:r>
        <w:rPr>
          <w:sz w:val="20"/>
        </w:rPr>
        <w:t>Response</w:t>
      </w:r>
      <w:r>
        <w:rPr>
          <w:spacing w:val="-6"/>
          <w:sz w:val="20"/>
        </w:rPr>
        <w:t xml:space="preserve"> </w:t>
      </w:r>
      <w:r>
        <w:rPr>
          <w:sz w:val="20"/>
        </w:rPr>
        <w:t>to</w:t>
      </w:r>
      <w:r>
        <w:rPr>
          <w:spacing w:val="-6"/>
          <w:sz w:val="20"/>
        </w:rPr>
        <w:t xml:space="preserve"> </w:t>
      </w:r>
      <w:r>
        <w:rPr>
          <w:sz w:val="20"/>
        </w:rPr>
        <w:t>Applicant</w:t>
      </w:r>
      <w:r>
        <w:rPr>
          <w:spacing w:val="-5"/>
          <w:sz w:val="20"/>
        </w:rPr>
        <w:t xml:space="preserve"> </w:t>
      </w:r>
      <w:r>
        <w:rPr>
          <w:sz w:val="20"/>
        </w:rPr>
        <w:t>Questions</w:t>
      </w:r>
      <w:r>
        <w:rPr>
          <w:spacing w:val="-5"/>
          <w:sz w:val="20"/>
        </w:rPr>
        <w:t xml:space="preserve"> </w:t>
      </w:r>
      <w:r>
        <w:rPr>
          <w:sz w:val="20"/>
        </w:rPr>
        <w:t>#2],</w:t>
      </w:r>
      <w:r>
        <w:rPr>
          <w:spacing w:val="-5"/>
          <w:sz w:val="20"/>
        </w:rPr>
        <w:t xml:space="preserve"> </w:t>
      </w:r>
      <w:r>
        <w:rPr>
          <w:i/>
          <w:sz w:val="20"/>
        </w:rPr>
        <w:t>available</w:t>
      </w:r>
      <w:r>
        <w:rPr>
          <w:i/>
          <w:spacing w:val="-4"/>
          <w:sz w:val="20"/>
        </w:rPr>
        <w:t xml:space="preserve"> </w:t>
      </w:r>
      <w:r>
        <w:rPr>
          <w:i/>
          <w:sz w:val="20"/>
        </w:rPr>
        <w:t>at</w:t>
      </w:r>
      <w:r>
        <w:rPr>
          <w:i/>
          <w:spacing w:val="-7"/>
          <w:sz w:val="20"/>
        </w:rPr>
        <w:t xml:space="preserve"> </w:t>
      </w:r>
      <w:hyperlink r:id="rId124">
        <w:r>
          <w:rPr>
            <w:color w:val="486794"/>
            <w:sz w:val="20"/>
            <w:u w:val="single" w:color="486794"/>
          </w:rPr>
          <w:t>https://www.mass.gov/doc/responses-to-don-questions-</w:t>
        </w:r>
      </w:hyperlink>
      <w:r>
        <w:rPr>
          <w:color w:val="486794"/>
          <w:sz w:val="20"/>
        </w:rPr>
        <w:t xml:space="preserve"> </w:t>
      </w:r>
      <w:hyperlink r:id="rId125">
        <w:r>
          <w:rPr>
            <w:color w:val="486794"/>
            <w:sz w:val="20"/>
            <w:u w:val="single" w:color="486794"/>
          </w:rPr>
          <w:t>2-pdf-dana-farber-cancer-institute-inc-hospitalclinic/download</w:t>
        </w:r>
        <w:r>
          <w:rPr>
            <w:sz w:val="20"/>
          </w:rPr>
          <w:t>;</w:t>
        </w:r>
      </w:hyperlink>
      <w:r>
        <w:rPr>
          <w:sz w:val="20"/>
        </w:rPr>
        <w:t xml:space="preserve"> </w:t>
      </w:r>
      <w:hyperlink r:id="rId126" w:history="1">
        <w:r w:rsidRPr="00E92CD0">
          <w:rPr>
            <w:rStyle w:val="Hyperlink"/>
            <w:color w:val="000000" w:themeColor="text1"/>
            <w:sz w:val="20"/>
            <w:u w:val="none"/>
          </w:rPr>
          <w:t>D</w:t>
        </w:r>
        <w:r w:rsidRPr="00E92CD0">
          <w:rPr>
            <w:rStyle w:val="Hyperlink"/>
            <w:color w:val="000000" w:themeColor="text1"/>
            <w:sz w:val="16"/>
            <w:u w:val="none"/>
          </w:rPr>
          <w:t>ANA</w:t>
        </w:r>
        <w:r w:rsidRPr="00E92CD0">
          <w:rPr>
            <w:rStyle w:val="Hyperlink"/>
            <w:color w:val="000000" w:themeColor="text1"/>
            <w:sz w:val="20"/>
            <w:u w:val="none"/>
          </w:rPr>
          <w:t>-F</w:t>
        </w:r>
        <w:r w:rsidRPr="00E92CD0">
          <w:rPr>
            <w:rStyle w:val="Hyperlink"/>
            <w:color w:val="000000" w:themeColor="text1"/>
            <w:sz w:val="16"/>
            <w:u w:val="none"/>
          </w:rPr>
          <w:t xml:space="preserve">ARBER </w:t>
        </w:r>
        <w:r w:rsidRPr="00E92CD0">
          <w:rPr>
            <w:rStyle w:val="Hyperlink"/>
            <w:color w:val="000000" w:themeColor="text1"/>
            <w:sz w:val="20"/>
            <w:u w:val="none"/>
          </w:rPr>
          <w:t>C</w:t>
        </w:r>
        <w:r w:rsidRPr="00E92CD0">
          <w:rPr>
            <w:rStyle w:val="Hyperlink"/>
            <w:color w:val="000000" w:themeColor="text1"/>
            <w:sz w:val="16"/>
            <w:u w:val="none"/>
          </w:rPr>
          <w:t xml:space="preserve">ANCER </w:t>
        </w:r>
        <w:r w:rsidRPr="00E92CD0">
          <w:rPr>
            <w:rStyle w:val="Hyperlink"/>
            <w:color w:val="000000" w:themeColor="text1"/>
            <w:sz w:val="20"/>
            <w:u w:val="none"/>
          </w:rPr>
          <w:t>I</w:t>
        </w:r>
        <w:r w:rsidRPr="00E92CD0">
          <w:rPr>
            <w:rStyle w:val="Hyperlink"/>
            <w:color w:val="000000" w:themeColor="text1"/>
            <w:sz w:val="16"/>
            <w:u w:val="none"/>
          </w:rPr>
          <w:t>NSTITUTE</w:t>
        </w:r>
        <w:r w:rsidRPr="00E92CD0">
          <w:rPr>
            <w:rStyle w:val="Hyperlink"/>
            <w:color w:val="000000" w:themeColor="text1"/>
            <w:sz w:val="20"/>
            <w:u w:val="none"/>
          </w:rPr>
          <w:t>, R</w:t>
        </w:r>
        <w:r w:rsidRPr="00E92CD0">
          <w:rPr>
            <w:rStyle w:val="Hyperlink"/>
            <w:color w:val="000000" w:themeColor="text1"/>
            <w:sz w:val="16"/>
            <w:u w:val="none"/>
          </w:rPr>
          <w:t>ESPONSE TO</w:t>
        </w:r>
        <w:r w:rsidRPr="00E92CD0">
          <w:rPr>
            <w:rStyle w:val="Hyperlink"/>
            <w:color w:val="000000" w:themeColor="text1"/>
            <w:spacing w:val="40"/>
            <w:sz w:val="16"/>
            <w:u w:val="none"/>
          </w:rPr>
          <w:t xml:space="preserve"> </w:t>
        </w:r>
        <w:r w:rsidRPr="00E92CD0">
          <w:rPr>
            <w:rStyle w:val="Hyperlink"/>
            <w:color w:val="000000" w:themeColor="text1"/>
            <w:sz w:val="20"/>
            <w:u w:val="none"/>
          </w:rPr>
          <w:t>A</w:t>
        </w:r>
        <w:r w:rsidRPr="00E92CD0">
          <w:rPr>
            <w:rStyle w:val="Hyperlink"/>
            <w:color w:val="000000" w:themeColor="text1"/>
            <w:sz w:val="16"/>
            <w:u w:val="none"/>
          </w:rPr>
          <w:t xml:space="preserve">PPLICANT </w:t>
        </w:r>
        <w:r w:rsidRPr="00E92CD0">
          <w:rPr>
            <w:rStyle w:val="Hyperlink"/>
            <w:color w:val="000000" w:themeColor="text1"/>
            <w:sz w:val="20"/>
            <w:u w:val="none"/>
          </w:rPr>
          <w:t>Q</w:t>
        </w:r>
        <w:r w:rsidRPr="00E92CD0">
          <w:rPr>
            <w:rStyle w:val="Hyperlink"/>
            <w:color w:val="000000" w:themeColor="text1"/>
            <w:sz w:val="16"/>
            <w:u w:val="none"/>
          </w:rPr>
          <w:t xml:space="preserve">UESTIONS </w:t>
        </w:r>
        <w:r w:rsidRPr="00E92CD0">
          <w:rPr>
            <w:rStyle w:val="Hyperlink"/>
            <w:color w:val="000000" w:themeColor="text1"/>
            <w:sz w:val="20"/>
            <w:u w:val="none"/>
          </w:rPr>
          <w:t>#4</w:t>
        </w:r>
      </w:hyperlink>
      <w:r w:rsidRPr="00E92CD0">
        <w:rPr>
          <w:color w:val="000000" w:themeColor="text1"/>
          <w:sz w:val="20"/>
        </w:rPr>
        <w:t xml:space="preserve"> at </w:t>
      </w:r>
      <w:r>
        <w:rPr>
          <w:sz w:val="20"/>
        </w:rPr>
        <w:t xml:space="preserve">Question 7 [hereinafter DFCI Response to Applicant Questions #4], </w:t>
      </w:r>
      <w:r>
        <w:rPr>
          <w:i/>
          <w:sz w:val="20"/>
        </w:rPr>
        <w:t xml:space="preserve">available at </w:t>
      </w:r>
      <w:hyperlink r:id="rId127">
        <w:r>
          <w:rPr>
            <w:color w:val="486794"/>
            <w:spacing w:val="-2"/>
            <w:sz w:val="20"/>
            <w:u w:val="single" w:color="486794"/>
          </w:rPr>
          <w:t>https://www.mass.gov/doc/responses-to-don-questions-4-pdf-dana-farber-cancer-institute-inc-</w:t>
        </w:r>
      </w:hyperlink>
      <w:r>
        <w:rPr>
          <w:color w:val="486794"/>
          <w:spacing w:val="-2"/>
          <w:sz w:val="20"/>
        </w:rPr>
        <w:t xml:space="preserve"> </w:t>
      </w:r>
      <w:hyperlink r:id="rId128">
        <w:r>
          <w:rPr>
            <w:color w:val="486794"/>
            <w:sz w:val="20"/>
            <w:u w:val="single" w:color="486794"/>
          </w:rPr>
          <w:t>hospitalclinic/download</w:t>
        </w:r>
        <w:r>
          <w:rPr>
            <w:sz w:val="20"/>
          </w:rPr>
          <w:t>;</w:t>
        </w:r>
      </w:hyperlink>
      <w:r>
        <w:rPr>
          <w:sz w:val="20"/>
        </w:rPr>
        <w:t xml:space="preserve"> </w:t>
      </w:r>
      <w:hyperlink r:id="rId129" w:history="1">
        <w:r w:rsidRPr="00455745">
          <w:rPr>
            <w:rStyle w:val="Hyperlink"/>
            <w:color w:val="000000" w:themeColor="text1"/>
            <w:sz w:val="20"/>
            <w:u w:val="none"/>
          </w:rPr>
          <w:t>D</w:t>
        </w:r>
        <w:r w:rsidRPr="00455745">
          <w:rPr>
            <w:rStyle w:val="Hyperlink"/>
            <w:color w:val="000000" w:themeColor="text1"/>
            <w:sz w:val="16"/>
            <w:u w:val="none"/>
          </w:rPr>
          <w:t>ANA</w:t>
        </w:r>
        <w:r w:rsidRPr="00455745">
          <w:rPr>
            <w:rStyle w:val="Hyperlink"/>
            <w:color w:val="000000" w:themeColor="text1"/>
            <w:sz w:val="20"/>
            <w:u w:val="none"/>
          </w:rPr>
          <w:t>-F</w:t>
        </w:r>
        <w:r w:rsidRPr="00455745">
          <w:rPr>
            <w:rStyle w:val="Hyperlink"/>
            <w:color w:val="000000" w:themeColor="text1"/>
            <w:sz w:val="16"/>
            <w:u w:val="none"/>
          </w:rPr>
          <w:t>ARBER</w:t>
        </w:r>
        <w:r w:rsidRPr="00455745">
          <w:rPr>
            <w:rStyle w:val="Hyperlink"/>
            <w:color w:val="000000" w:themeColor="text1"/>
            <w:spacing w:val="-1"/>
            <w:sz w:val="16"/>
            <w:u w:val="none"/>
          </w:rPr>
          <w:t xml:space="preserve"> </w:t>
        </w:r>
        <w:r w:rsidRPr="00455745">
          <w:rPr>
            <w:rStyle w:val="Hyperlink"/>
            <w:color w:val="000000" w:themeColor="text1"/>
            <w:sz w:val="20"/>
            <w:u w:val="none"/>
          </w:rPr>
          <w:t>C</w:t>
        </w:r>
        <w:r w:rsidRPr="00455745">
          <w:rPr>
            <w:rStyle w:val="Hyperlink"/>
            <w:color w:val="000000" w:themeColor="text1"/>
            <w:sz w:val="16"/>
            <w:u w:val="none"/>
          </w:rPr>
          <w:t>ANCER</w:t>
        </w:r>
        <w:r w:rsidRPr="00455745">
          <w:rPr>
            <w:rStyle w:val="Hyperlink"/>
            <w:color w:val="000000" w:themeColor="text1"/>
            <w:spacing w:val="-3"/>
            <w:sz w:val="16"/>
            <w:u w:val="none"/>
          </w:rPr>
          <w:t xml:space="preserve"> </w:t>
        </w:r>
        <w:r w:rsidRPr="00455745">
          <w:rPr>
            <w:rStyle w:val="Hyperlink"/>
            <w:color w:val="000000" w:themeColor="text1"/>
            <w:sz w:val="20"/>
            <w:u w:val="none"/>
          </w:rPr>
          <w:t>I</w:t>
        </w:r>
        <w:r w:rsidRPr="00455745">
          <w:rPr>
            <w:rStyle w:val="Hyperlink"/>
            <w:color w:val="000000" w:themeColor="text1"/>
            <w:sz w:val="16"/>
            <w:u w:val="none"/>
          </w:rPr>
          <w:t>NSTITUTE</w:t>
        </w:r>
        <w:r w:rsidRPr="00455745">
          <w:rPr>
            <w:rStyle w:val="Hyperlink"/>
            <w:color w:val="000000" w:themeColor="text1"/>
            <w:sz w:val="20"/>
            <w:u w:val="none"/>
          </w:rPr>
          <w:t>, R</w:t>
        </w:r>
        <w:r w:rsidRPr="00455745">
          <w:rPr>
            <w:rStyle w:val="Hyperlink"/>
            <w:color w:val="000000" w:themeColor="text1"/>
            <w:sz w:val="16"/>
            <w:u w:val="none"/>
          </w:rPr>
          <w:t>ESPONSE TO</w:t>
        </w:r>
        <w:r w:rsidRPr="00455745">
          <w:rPr>
            <w:rStyle w:val="Hyperlink"/>
            <w:color w:val="000000" w:themeColor="text1"/>
            <w:spacing w:val="-4"/>
            <w:sz w:val="16"/>
            <w:u w:val="none"/>
          </w:rPr>
          <w:t xml:space="preserve"> </w:t>
        </w:r>
        <w:r w:rsidRPr="00455745">
          <w:rPr>
            <w:rStyle w:val="Hyperlink"/>
            <w:color w:val="000000" w:themeColor="text1"/>
            <w:sz w:val="20"/>
            <w:u w:val="none"/>
          </w:rPr>
          <w:t>A</w:t>
        </w:r>
        <w:r w:rsidRPr="00455745">
          <w:rPr>
            <w:rStyle w:val="Hyperlink"/>
            <w:color w:val="000000" w:themeColor="text1"/>
            <w:sz w:val="16"/>
            <w:u w:val="none"/>
          </w:rPr>
          <w:t xml:space="preserve">PPLICANT </w:t>
        </w:r>
        <w:r w:rsidRPr="00455745">
          <w:rPr>
            <w:rStyle w:val="Hyperlink"/>
            <w:color w:val="000000" w:themeColor="text1"/>
            <w:sz w:val="20"/>
            <w:u w:val="none"/>
          </w:rPr>
          <w:t>Q</w:t>
        </w:r>
        <w:r w:rsidRPr="00455745">
          <w:rPr>
            <w:rStyle w:val="Hyperlink"/>
            <w:color w:val="000000" w:themeColor="text1"/>
            <w:sz w:val="16"/>
            <w:u w:val="none"/>
          </w:rPr>
          <w:t>UESTIONS</w:t>
        </w:r>
        <w:r w:rsidRPr="00455745">
          <w:rPr>
            <w:rStyle w:val="Hyperlink"/>
            <w:color w:val="000000" w:themeColor="text1"/>
            <w:spacing w:val="-3"/>
            <w:sz w:val="16"/>
            <w:u w:val="none"/>
          </w:rPr>
          <w:t xml:space="preserve"> </w:t>
        </w:r>
        <w:r w:rsidRPr="00455745">
          <w:rPr>
            <w:rStyle w:val="Hyperlink"/>
            <w:color w:val="000000" w:themeColor="text1"/>
            <w:sz w:val="20"/>
            <w:u w:val="none"/>
          </w:rPr>
          <w:t>#6</w:t>
        </w:r>
      </w:hyperlink>
      <w:r w:rsidRPr="00455745">
        <w:rPr>
          <w:color w:val="000000" w:themeColor="text1"/>
          <w:sz w:val="20"/>
        </w:rPr>
        <w:t xml:space="preserve"> at </w:t>
      </w:r>
      <w:r>
        <w:rPr>
          <w:sz w:val="20"/>
        </w:rPr>
        <w:t>Question</w:t>
      </w:r>
      <w:r>
        <w:rPr>
          <w:spacing w:val="-1"/>
          <w:sz w:val="20"/>
        </w:rPr>
        <w:t xml:space="preserve"> </w:t>
      </w:r>
      <w:r>
        <w:rPr>
          <w:sz w:val="20"/>
        </w:rPr>
        <w:t xml:space="preserve">1(a), </w:t>
      </w:r>
      <w:r>
        <w:rPr>
          <w:i/>
          <w:sz w:val="20"/>
        </w:rPr>
        <w:t xml:space="preserve">available at </w:t>
      </w:r>
      <w:hyperlink r:id="rId130">
        <w:r>
          <w:rPr>
            <w:color w:val="486794"/>
            <w:sz w:val="20"/>
            <w:u w:val="single" w:color="486794"/>
          </w:rPr>
          <w:t>https://www.mass.gov/doc/dana-farber-cancer-institute-responses-to-don-questions-6-</w:t>
        </w:r>
      </w:hyperlink>
      <w:r>
        <w:rPr>
          <w:color w:val="486794"/>
          <w:sz w:val="20"/>
        </w:rPr>
        <w:t xml:space="preserve"> </w:t>
      </w:r>
      <w:hyperlink r:id="rId131">
        <w:r>
          <w:rPr>
            <w:color w:val="486794"/>
            <w:spacing w:val="-2"/>
            <w:sz w:val="20"/>
            <w:u w:val="single" w:color="486794"/>
          </w:rPr>
          <w:t>pdf/download</w:t>
        </w:r>
        <w:r>
          <w:rPr>
            <w:spacing w:val="-2"/>
            <w:sz w:val="20"/>
          </w:rPr>
          <w:t>.</w:t>
        </w:r>
      </w:hyperlink>
    </w:p>
  </w:footnote>
  <w:footnote w:id="78">
    <w:p w14:paraId="634E777A" w14:textId="22DEC6AB" w:rsidR="008900B7" w:rsidRDefault="008900B7" w:rsidP="008900B7">
      <w:pPr>
        <w:pStyle w:val="FootnoteText"/>
        <w:ind w:left="900" w:right="940"/>
      </w:pPr>
      <w:r>
        <w:rPr>
          <w:rStyle w:val="FootnoteReference"/>
        </w:rPr>
        <w:footnoteRef/>
      </w:r>
      <w:r>
        <w:t xml:space="preserve"> DFCI</w:t>
      </w:r>
      <w:r>
        <w:rPr>
          <w:spacing w:val="-12"/>
        </w:rPr>
        <w:t xml:space="preserve"> </w:t>
      </w:r>
      <w:r>
        <w:t>D</w:t>
      </w:r>
      <w:r>
        <w:rPr>
          <w:sz w:val="16"/>
        </w:rPr>
        <w:t>O</w:t>
      </w:r>
      <w:r>
        <w:t>N</w:t>
      </w:r>
      <w:r>
        <w:rPr>
          <w:spacing w:val="-13"/>
        </w:rPr>
        <w:t xml:space="preserve"> </w:t>
      </w:r>
      <w:r>
        <w:t>N</w:t>
      </w:r>
      <w:r>
        <w:rPr>
          <w:sz w:val="16"/>
        </w:rPr>
        <w:t>ARRATIVE</w:t>
      </w:r>
      <w:r>
        <w:t>,</w:t>
      </w:r>
      <w:r>
        <w:rPr>
          <w:spacing w:val="-3"/>
        </w:rPr>
        <w:t xml:space="preserve"> </w:t>
      </w:r>
      <w:r>
        <w:rPr>
          <w:i/>
        </w:rPr>
        <w:t>supra</w:t>
      </w:r>
      <w:r>
        <w:rPr>
          <w:i/>
          <w:spacing w:val="-5"/>
        </w:rPr>
        <w:t xml:space="preserve"> </w:t>
      </w:r>
      <w:r>
        <w:t>note</w:t>
      </w:r>
      <w:r>
        <w:rPr>
          <w:spacing w:val="-4"/>
        </w:rPr>
        <w:t xml:space="preserve"> </w:t>
      </w:r>
      <w:hyperlink w:anchor="_bookmark7" w:history="1">
        <w:r>
          <w:t>8,</w:t>
        </w:r>
      </w:hyperlink>
      <w:r>
        <w:rPr>
          <w:spacing w:val="-3"/>
        </w:rPr>
        <w:t xml:space="preserve"> </w:t>
      </w:r>
      <w:r>
        <w:t>at</w:t>
      </w:r>
      <w:r>
        <w:rPr>
          <w:spacing w:val="-3"/>
        </w:rPr>
        <w:t xml:space="preserve"> </w:t>
      </w:r>
      <w:r>
        <w:t>18</w:t>
      </w:r>
      <w:r>
        <w:rPr>
          <w:spacing w:val="-4"/>
        </w:rPr>
        <w:t xml:space="preserve"> </w:t>
      </w:r>
      <w:r>
        <w:t>and</w:t>
      </w:r>
      <w:r>
        <w:rPr>
          <w:spacing w:val="-3"/>
        </w:rPr>
        <w:t xml:space="preserve"> </w:t>
      </w:r>
      <w:r>
        <w:rPr>
          <w:spacing w:val="-5"/>
        </w:rPr>
        <w:t>28.</w:t>
      </w:r>
    </w:p>
  </w:footnote>
  <w:footnote w:id="79">
    <w:p w14:paraId="07225F22" w14:textId="16D1D278" w:rsidR="005150E2" w:rsidRDefault="005150E2" w:rsidP="004F7C2B">
      <w:pPr>
        <w:pStyle w:val="FootnoteText"/>
        <w:ind w:left="900" w:right="940"/>
      </w:pPr>
      <w:r>
        <w:rPr>
          <w:rStyle w:val="FootnoteReference"/>
        </w:rPr>
        <w:footnoteRef/>
      </w:r>
      <w:r>
        <w:t xml:space="preserve"> </w:t>
      </w:r>
      <w:r>
        <w:rPr>
          <w:i/>
        </w:rPr>
        <w:t>Id.</w:t>
      </w:r>
      <w:r>
        <w:rPr>
          <w:i/>
          <w:spacing w:val="-1"/>
        </w:rPr>
        <w:t xml:space="preserve"> </w:t>
      </w:r>
      <w:r>
        <w:t>at</w:t>
      </w:r>
      <w:r>
        <w:rPr>
          <w:spacing w:val="-3"/>
        </w:rPr>
        <w:t xml:space="preserve"> </w:t>
      </w:r>
      <w:r>
        <w:rPr>
          <w:spacing w:val="-5"/>
        </w:rPr>
        <w:t>28.</w:t>
      </w:r>
    </w:p>
  </w:footnote>
  <w:footnote w:id="80">
    <w:p w14:paraId="77104094" w14:textId="56619DE0" w:rsidR="00B2401B" w:rsidRDefault="00B2401B" w:rsidP="004F7C2B">
      <w:pPr>
        <w:pStyle w:val="FootnoteText"/>
        <w:ind w:left="900" w:right="940"/>
      </w:pPr>
      <w:r>
        <w:rPr>
          <w:rStyle w:val="FootnoteReference"/>
        </w:rPr>
        <w:footnoteRef/>
      </w:r>
      <w:r>
        <w:t xml:space="preserve"> </w:t>
      </w:r>
      <w:r w:rsidR="004F7C2B">
        <w:rPr>
          <w:i/>
          <w:spacing w:val="-5"/>
        </w:rPr>
        <w:t>Id</w:t>
      </w:r>
      <w:r w:rsidR="004F7C2B">
        <w:rPr>
          <w:spacing w:val="-5"/>
        </w:rPr>
        <w:t>.</w:t>
      </w:r>
    </w:p>
  </w:footnote>
  <w:footnote w:id="81">
    <w:p w14:paraId="046DDFE7" w14:textId="326BCF81" w:rsidR="004F7C2B" w:rsidRDefault="004F7C2B" w:rsidP="00FC0C1F">
      <w:pPr>
        <w:pStyle w:val="FootnoteText"/>
        <w:ind w:left="900" w:right="940"/>
      </w:pPr>
      <w:r>
        <w:rPr>
          <w:rStyle w:val="FootnoteReference"/>
        </w:rPr>
        <w:footnoteRef/>
      </w:r>
      <w:r>
        <w:t xml:space="preserve"> MGB has expressed an expectation that notwithstanding the parties’ plans it will retain a majority of oncology care at BWH given its implementation of a unified Mass General Brigham Cancer service, its stated intention to maintain a medical oncology care program at BWH, and its expansion of oncology services at MGH as part of a new clinical tower currently under construction. </w:t>
      </w:r>
      <w:hyperlink r:id="rId132" w:history="1">
        <w:r w:rsidRPr="003605FB">
          <w:rPr>
            <w:rStyle w:val="Hyperlink"/>
            <w:color w:val="000000" w:themeColor="text1"/>
            <w:u w:val="none"/>
          </w:rPr>
          <w:t>Mass General Brigham, Comment</w:t>
        </w:r>
        <w:r w:rsidRPr="003605FB">
          <w:rPr>
            <w:rStyle w:val="Hyperlink"/>
            <w:color w:val="000000" w:themeColor="text1"/>
            <w:spacing w:val="-3"/>
            <w:u w:val="none"/>
          </w:rPr>
          <w:t xml:space="preserve"> </w:t>
        </w:r>
        <w:r w:rsidRPr="003605FB">
          <w:rPr>
            <w:rStyle w:val="Hyperlink"/>
            <w:color w:val="000000" w:themeColor="text1"/>
            <w:u w:val="none"/>
          </w:rPr>
          <w:t>Re:</w:t>
        </w:r>
        <w:r w:rsidRPr="003605FB">
          <w:rPr>
            <w:rStyle w:val="Hyperlink"/>
            <w:color w:val="000000" w:themeColor="text1"/>
            <w:spacing w:val="-3"/>
            <w:u w:val="none"/>
          </w:rPr>
          <w:t xml:space="preserve"> </w:t>
        </w:r>
        <w:r w:rsidRPr="003605FB">
          <w:rPr>
            <w:rStyle w:val="Hyperlink"/>
            <w:color w:val="000000" w:themeColor="text1"/>
            <w:u w:val="none"/>
          </w:rPr>
          <w:t>Application</w:t>
        </w:r>
        <w:r w:rsidRPr="003605FB">
          <w:rPr>
            <w:rStyle w:val="Hyperlink"/>
            <w:color w:val="000000" w:themeColor="text1"/>
            <w:spacing w:val="-4"/>
            <w:u w:val="none"/>
          </w:rPr>
          <w:t xml:space="preserve"> </w:t>
        </w:r>
        <w:r w:rsidRPr="003605FB">
          <w:rPr>
            <w:rStyle w:val="Hyperlink"/>
            <w:color w:val="000000" w:themeColor="text1"/>
            <w:u w:val="none"/>
          </w:rPr>
          <w:t>#DFCI-2304915-HE</w:t>
        </w:r>
      </w:hyperlink>
      <w:r w:rsidRPr="003605FB">
        <w:rPr>
          <w:color w:val="000000" w:themeColor="text1"/>
          <w:spacing w:val="-3"/>
        </w:rPr>
        <w:t xml:space="preserve"> </w:t>
      </w:r>
      <w:r w:rsidRPr="003605FB">
        <w:rPr>
          <w:color w:val="000000" w:themeColor="text1"/>
        </w:rPr>
        <w:t>(Feb.</w:t>
      </w:r>
      <w:r w:rsidRPr="003605FB">
        <w:rPr>
          <w:color w:val="000000" w:themeColor="text1"/>
          <w:spacing w:val="-3"/>
        </w:rPr>
        <w:t xml:space="preserve"> </w:t>
      </w:r>
      <w:r w:rsidRPr="003605FB">
        <w:rPr>
          <w:color w:val="000000" w:themeColor="text1"/>
        </w:rPr>
        <w:t>13,</w:t>
      </w:r>
      <w:r w:rsidRPr="003605FB">
        <w:rPr>
          <w:color w:val="000000" w:themeColor="text1"/>
          <w:spacing w:val="-3"/>
        </w:rPr>
        <w:t xml:space="preserve"> </w:t>
      </w:r>
      <w:r w:rsidRPr="003605FB">
        <w:rPr>
          <w:color w:val="000000" w:themeColor="text1"/>
        </w:rPr>
        <w:t>2025)</w:t>
      </w:r>
      <w:r w:rsidRPr="003605FB">
        <w:rPr>
          <w:color w:val="000000" w:themeColor="text1"/>
          <w:spacing w:val="-5"/>
        </w:rPr>
        <w:t xml:space="preserve"> </w:t>
      </w:r>
      <w:r w:rsidRPr="003605FB">
        <w:rPr>
          <w:color w:val="000000" w:themeColor="text1"/>
        </w:rPr>
        <w:t>[hereinafter</w:t>
      </w:r>
      <w:r w:rsidRPr="003605FB">
        <w:rPr>
          <w:color w:val="000000" w:themeColor="text1"/>
          <w:spacing w:val="-3"/>
        </w:rPr>
        <w:t xml:space="preserve"> </w:t>
      </w:r>
      <w:r w:rsidRPr="003605FB">
        <w:rPr>
          <w:color w:val="000000" w:themeColor="text1"/>
        </w:rPr>
        <w:t>MGB</w:t>
      </w:r>
      <w:r w:rsidRPr="003605FB">
        <w:rPr>
          <w:color w:val="000000" w:themeColor="text1"/>
          <w:spacing w:val="-5"/>
        </w:rPr>
        <w:t xml:space="preserve"> </w:t>
      </w:r>
      <w:r w:rsidRPr="003605FB">
        <w:rPr>
          <w:color w:val="000000" w:themeColor="text1"/>
        </w:rPr>
        <w:t>ICA</w:t>
      </w:r>
      <w:r w:rsidRPr="003605FB">
        <w:rPr>
          <w:color w:val="000000" w:themeColor="text1"/>
          <w:spacing w:val="-5"/>
        </w:rPr>
        <w:t xml:space="preserve"> </w:t>
      </w:r>
      <w:r w:rsidRPr="003605FB">
        <w:rPr>
          <w:color w:val="000000" w:themeColor="text1"/>
        </w:rPr>
        <w:t>Comment</w:t>
      </w:r>
      <w:r>
        <w:t>],</w:t>
      </w:r>
      <w:r>
        <w:rPr>
          <w:spacing w:val="-3"/>
        </w:rPr>
        <w:t xml:space="preserve"> </w:t>
      </w:r>
      <w:r>
        <w:rPr>
          <w:i/>
        </w:rPr>
        <w:t>available</w:t>
      </w:r>
      <w:r>
        <w:rPr>
          <w:i/>
          <w:spacing w:val="-4"/>
        </w:rPr>
        <w:t xml:space="preserve"> </w:t>
      </w:r>
      <w:r>
        <w:rPr>
          <w:i/>
        </w:rPr>
        <w:t xml:space="preserve">at </w:t>
      </w:r>
      <w:hyperlink r:id="rId133">
        <w:r>
          <w:rPr>
            <w:color w:val="486794"/>
            <w:spacing w:val="-2"/>
            <w:u w:val="single" w:color="486794"/>
          </w:rPr>
          <w:t>https://www.mass.gov/doc/comments-on-ica-mass-general-brigham-pdf-dana-farber-cancer-institute-inc-</w:t>
        </w:r>
      </w:hyperlink>
      <w:r>
        <w:rPr>
          <w:color w:val="486794"/>
          <w:spacing w:val="-2"/>
        </w:rPr>
        <w:t xml:space="preserve"> </w:t>
      </w:r>
      <w:hyperlink r:id="rId134">
        <w:r>
          <w:rPr>
            <w:color w:val="486794"/>
            <w:u w:val="single" w:color="486794"/>
          </w:rPr>
          <w:t>expenditure/download</w:t>
        </w:r>
        <w:r>
          <w:t>;</w:t>
        </w:r>
      </w:hyperlink>
      <w:r>
        <w:t xml:space="preserve"> Jonathan Saltzman, </w:t>
      </w:r>
      <w:hyperlink r:id="rId135" w:history="1">
        <w:r w:rsidRPr="003605FB">
          <w:rPr>
            <w:rStyle w:val="Hyperlink"/>
            <w:i/>
            <w:color w:val="000000" w:themeColor="text1"/>
            <w:u w:val="none"/>
          </w:rPr>
          <w:t>Amid divorce with Dana-Farber, Mass General Brigham touts</w:t>
        </w:r>
        <w:r w:rsidRPr="003605FB">
          <w:rPr>
            <w:rStyle w:val="Hyperlink"/>
            <w:i/>
            <w:color w:val="000000" w:themeColor="text1"/>
            <w:spacing w:val="40"/>
            <w:u w:val="none"/>
          </w:rPr>
          <w:t xml:space="preserve"> </w:t>
        </w:r>
        <w:r w:rsidRPr="003605FB">
          <w:rPr>
            <w:rStyle w:val="Hyperlink"/>
            <w:i/>
            <w:color w:val="000000" w:themeColor="text1"/>
            <w:u w:val="none"/>
          </w:rPr>
          <w:t>its own cancer institute</w:t>
        </w:r>
        <w:r w:rsidRPr="003605FB">
          <w:rPr>
            <w:rStyle w:val="Hyperlink"/>
            <w:color w:val="000000" w:themeColor="text1"/>
            <w:u w:val="none"/>
          </w:rPr>
          <w:t>,</w:t>
        </w:r>
      </w:hyperlink>
      <w:r w:rsidRPr="003605FB">
        <w:rPr>
          <w:color w:val="000000" w:themeColor="text1"/>
        </w:rPr>
        <w:t xml:space="preserve"> B</w:t>
      </w:r>
      <w:r w:rsidRPr="003605FB">
        <w:rPr>
          <w:color w:val="000000" w:themeColor="text1"/>
          <w:sz w:val="16"/>
        </w:rPr>
        <w:t xml:space="preserve">OSTON </w:t>
      </w:r>
      <w:r w:rsidRPr="003605FB">
        <w:rPr>
          <w:color w:val="000000" w:themeColor="text1"/>
        </w:rPr>
        <w:t>G</w:t>
      </w:r>
      <w:r w:rsidRPr="003605FB">
        <w:rPr>
          <w:color w:val="000000" w:themeColor="text1"/>
          <w:sz w:val="16"/>
        </w:rPr>
        <w:t>LOBE</w:t>
      </w:r>
      <w:r w:rsidRPr="003605FB">
        <w:rPr>
          <w:color w:val="000000" w:themeColor="text1"/>
        </w:rPr>
        <w:t>, (Oct. 28</w:t>
      </w:r>
      <w:r>
        <w:t xml:space="preserve">, 2024), </w:t>
      </w:r>
      <w:r>
        <w:rPr>
          <w:i/>
        </w:rPr>
        <w:t xml:space="preserve">available at </w:t>
      </w:r>
      <w:hyperlink r:id="rId136">
        <w:r>
          <w:rPr>
            <w:color w:val="486794"/>
            <w:spacing w:val="-2"/>
            <w:u w:val="single" w:color="486794"/>
          </w:rPr>
          <w:t>https://www.bostonglobe.com/2024/10/28/business/mass-general-brigham-cancer-dana-farber/</w:t>
        </w:r>
        <w:r>
          <w:rPr>
            <w:spacing w:val="-2"/>
          </w:rPr>
          <w:t>.</w:t>
        </w:r>
      </w:hyperlink>
    </w:p>
  </w:footnote>
  <w:footnote w:id="82">
    <w:p w14:paraId="1F2759A7" w14:textId="26EC60D8" w:rsidR="00230B40" w:rsidRDefault="00230B40" w:rsidP="00FC0C1F">
      <w:pPr>
        <w:pStyle w:val="FootnoteText"/>
        <w:ind w:left="900" w:right="940"/>
      </w:pPr>
      <w:r>
        <w:rPr>
          <w:rStyle w:val="FootnoteReference"/>
        </w:rPr>
        <w:footnoteRef/>
      </w:r>
      <w:r>
        <w:t xml:space="preserve"> </w:t>
      </w:r>
      <w:r w:rsidR="00B935C5">
        <w:t>DFCI</w:t>
      </w:r>
      <w:r w:rsidR="00B935C5">
        <w:rPr>
          <w:spacing w:val="-3"/>
        </w:rPr>
        <w:t xml:space="preserve"> </w:t>
      </w:r>
      <w:r w:rsidR="00B935C5">
        <w:t>MCN,</w:t>
      </w:r>
      <w:r w:rsidR="00B935C5">
        <w:rPr>
          <w:spacing w:val="-4"/>
        </w:rPr>
        <w:t xml:space="preserve"> </w:t>
      </w:r>
      <w:r w:rsidR="00B935C5">
        <w:rPr>
          <w:i/>
        </w:rPr>
        <w:t>supra</w:t>
      </w:r>
      <w:r w:rsidR="00B935C5">
        <w:rPr>
          <w:i/>
          <w:spacing w:val="-5"/>
        </w:rPr>
        <w:t xml:space="preserve"> </w:t>
      </w:r>
      <w:r w:rsidR="00B935C5">
        <w:t>note</w:t>
      </w:r>
      <w:r w:rsidR="00B935C5">
        <w:rPr>
          <w:spacing w:val="-4"/>
        </w:rPr>
        <w:t xml:space="preserve"> </w:t>
      </w:r>
      <w:hyperlink w:anchor="_bookmark6" w:history="1">
        <w:r w:rsidR="00B935C5">
          <w:rPr>
            <w:spacing w:val="-5"/>
          </w:rPr>
          <w:t>3.</w:t>
        </w:r>
      </w:hyperlink>
    </w:p>
  </w:footnote>
  <w:footnote w:id="83">
    <w:p w14:paraId="6E5929D7" w14:textId="7BD2E9F4" w:rsidR="00B935C5" w:rsidRDefault="00B935C5" w:rsidP="00FC0C1F">
      <w:pPr>
        <w:pStyle w:val="FootnoteText"/>
        <w:ind w:left="900" w:right="940"/>
      </w:pPr>
      <w:r>
        <w:rPr>
          <w:rStyle w:val="FootnoteReference"/>
        </w:rPr>
        <w:footnoteRef/>
      </w:r>
      <w:r>
        <w:t xml:space="preserve"> DFCI</w:t>
      </w:r>
      <w:r>
        <w:rPr>
          <w:spacing w:val="-12"/>
        </w:rPr>
        <w:t xml:space="preserve"> </w:t>
      </w:r>
      <w:r>
        <w:t>D</w:t>
      </w:r>
      <w:r>
        <w:rPr>
          <w:sz w:val="16"/>
        </w:rPr>
        <w:t>O</w:t>
      </w:r>
      <w:r>
        <w:t>N</w:t>
      </w:r>
      <w:r>
        <w:rPr>
          <w:spacing w:val="-13"/>
        </w:rPr>
        <w:t xml:space="preserve"> </w:t>
      </w:r>
      <w:r>
        <w:t>N</w:t>
      </w:r>
      <w:r>
        <w:rPr>
          <w:sz w:val="16"/>
        </w:rPr>
        <w:t>ARRATIVE</w:t>
      </w:r>
      <w:r>
        <w:t>,</w:t>
      </w:r>
      <w:r>
        <w:rPr>
          <w:spacing w:val="-3"/>
        </w:rPr>
        <w:t xml:space="preserve"> </w:t>
      </w:r>
      <w:r>
        <w:rPr>
          <w:i/>
        </w:rPr>
        <w:t>supra</w:t>
      </w:r>
      <w:r>
        <w:rPr>
          <w:i/>
          <w:spacing w:val="-6"/>
        </w:rPr>
        <w:t xml:space="preserve"> </w:t>
      </w:r>
      <w:r>
        <w:t>note</w:t>
      </w:r>
      <w:r>
        <w:rPr>
          <w:spacing w:val="-4"/>
        </w:rPr>
        <w:t xml:space="preserve"> </w:t>
      </w:r>
      <w:hyperlink w:anchor="_bookmark7" w:history="1">
        <w:r>
          <w:t>8,</w:t>
        </w:r>
      </w:hyperlink>
      <w:r>
        <w:rPr>
          <w:spacing w:val="-4"/>
        </w:rPr>
        <w:t xml:space="preserve"> </w:t>
      </w:r>
      <w:r>
        <w:t>at</w:t>
      </w:r>
      <w:r>
        <w:rPr>
          <w:spacing w:val="-3"/>
        </w:rPr>
        <w:t xml:space="preserve"> </w:t>
      </w:r>
      <w:r>
        <w:rPr>
          <w:spacing w:val="-5"/>
        </w:rPr>
        <w:t>23.</w:t>
      </w:r>
    </w:p>
  </w:footnote>
  <w:footnote w:id="84">
    <w:p w14:paraId="668484A5" w14:textId="51515A6B" w:rsidR="00DB6230" w:rsidRDefault="00DB6230" w:rsidP="00FC0C1F">
      <w:pPr>
        <w:pStyle w:val="FootnoteText"/>
        <w:ind w:left="900" w:right="940"/>
      </w:pPr>
      <w:r>
        <w:rPr>
          <w:rStyle w:val="FootnoteReference"/>
        </w:rPr>
        <w:footnoteRef/>
      </w:r>
      <w:r>
        <w:t xml:space="preserve"> </w:t>
      </w:r>
      <w:r>
        <w:rPr>
          <w:i/>
        </w:rPr>
        <w:t>Id</w:t>
      </w:r>
      <w:r>
        <w:t>. at</w:t>
      </w:r>
      <w:r>
        <w:rPr>
          <w:spacing w:val="-3"/>
        </w:rPr>
        <w:t xml:space="preserve"> </w:t>
      </w:r>
      <w:r>
        <w:rPr>
          <w:spacing w:val="-5"/>
        </w:rPr>
        <w:t>29.</w:t>
      </w:r>
    </w:p>
  </w:footnote>
  <w:footnote w:id="85">
    <w:p w14:paraId="2A37F955" w14:textId="3D403F33" w:rsidR="00DB6230" w:rsidRDefault="00DB6230" w:rsidP="00FC0C1F">
      <w:pPr>
        <w:pStyle w:val="FootnoteText"/>
        <w:ind w:left="900" w:right="940"/>
      </w:pPr>
      <w:r>
        <w:rPr>
          <w:rStyle w:val="FootnoteReference"/>
        </w:rPr>
        <w:footnoteRef/>
      </w:r>
      <w:r>
        <w:t xml:space="preserve"> </w:t>
      </w:r>
      <w:r>
        <w:rPr>
          <w:i/>
        </w:rPr>
        <w:t>Id</w:t>
      </w:r>
      <w:r>
        <w:t>. at</w:t>
      </w:r>
      <w:r>
        <w:rPr>
          <w:spacing w:val="-3"/>
        </w:rPr>
        <w:t xml:space="preserve"> </w:t>
      </w:r>
      <w:r>
        <w:rPr>
          <w:spacing w:val="-5"/>
        </w:rPr>
        <w:t>29.</w:t>
      </w:r>
    </w:p>
  </w:footnote>
  <w:footnote w:id="86">
    <w:p w14:paraId="787D8F28" w14:textId="47F9208D" w:rsidR="00DB6230" w:rsidRDefault="00DB6230" w:rsidP="00FC0C1F">
      <w:pPr>
        <w:pStyle w:val="FootnoteText"/>
        <w:ind w:left="900" w:right="940"/>
      </w:pPr>
      <w:r>
        <w:rPr>
          <w:rStyle w:val="FootnoteReference"/>
        </w:rPr>
        <w:footnoteRef/>
      </w:r>
      <w:r>
        <w:t xml:space="preserve"> </w:t>
      </w:r>
      <w:r>
        <w:rPr>
          <w:i/>
        </w:rPr>
        <w:t>Id</w:t>
      </w:r>
      <w:r>
        <w:t>. at</w:t>
      </w:r>
      <w:r>
        <w:rPr>
          <w:spacing w:val="-3"/>
        </w:rPr>
        <w:t xml:space="preserve"> </w:t>
      </w:r>
      <w:r>
        <w:rPr>
          <w:spacing w:val="-5"/>
        </w:rPr>
        <w:t>30.</w:t>
      </w:r>
    </w:p>
  </w:footnote>
  <w:footnote w:id="87">
    <w:p w14:paraId="22CC8399" w14:textId="15EC2709" w:rsidR="00FC0C1F" w:rsidRDefault="00FC0C1F" w:rsidP="00FC0C1F">
      <w:pPr>
        <w:pStyle w:val="FootnoteText"/>
        <w:ind w:left="900" w:right="940"/>
      </w:pPr>
      <w:r>
        <w:rPr>
          <w:rStyle w:val="FootnoteReference"/>
        </w:rPr>
        <w:footnoteRef/>
      </w:r>
      <w:r>
        <w:t xml:space="preserve"> </w:t>
      </w:r>
      <w:r>
        <w:rPr>
          <w:i/>
        </w:rPr>
        <w:t>See</w:t>
      </w:r>
      <w:r>
        <w:rPr>
          <w:i/>
          <w:spacing w:val="-4"/>
        </w:rPr>
        <w:t xml:space="preserve"> </w:t>
      </w:r>
      <w:r>
        <w:rPr>
          <w:i/>
        </w:rPr>
        <w:t>supra</w:t>
      </w:r>
      <w:r>
        <w:rPr>
          <w:i/>
          <w:spacing w:val="-5"/>
        </w:rPr>
        <w:t xml:space="preserve"> </w:t>
      </w:r>
      <w:r>
        <w:t>note</w:t>
      </w:r>
      <w:r>
        <w:rPr>
          <w:spacing w:val="-4"/>
        </w:rPr>
        <w:t xml:space="preserve"> </w:t>
      </w:r>
      <w:hyperlink w:anchor="_bookmark96" w:history="1">
        <w:r>
          <w:rPr>
            <w:spacing w:val="-5"/>
          </w:rPr>
          <w:t>81.</w:t>
        </w:r>
      </w:hyperlink>
    </w:p>
  </w:footnote>
  <w:footnote w:id="88">
    <w:p w14:paraId="4714464F" w14:textId="676E50B1" w:rsidR="006A5380" w:rsidRDefault="006A5380" w:rsidP="00FE050D">
      <w:pPr>
        <w:pStyle w:val="FootnoteText"/>
        <w:ind w:left="900" w:right="940"/>
      </w:pPr>
      <w:r>
        <w:rPr>
          <w:rStyle w:val="FootnoteReference"/>
        </w:rPr>
        <w:footnoteRef/>
      </w:r>
      <w:r>
        <w:t xml:space="preserve"> </w:t>
      </w:r>
      <w:hyperlink r:id="rId137" w:history="1">
        <w:r w:rsidRPr="00B03557">
          <w:rPr>
            <w:rStyle w:val="Hyperlink"/>
            <w:i/>
            <w:color w:val="000000" w:themeColor="text1"/>
            <w:u w:val="none"/>
          </w:rPr>
          <w:t>Dana-Farber Beth Israel Deaconess Cancer Collaboration</w:t>
        </w:r>
        <w:r w:rsidRPr="00B03557">
          <w:rPr>
            <w:rStyle w:val="Hyperlink"/>
            <w:color w:val="000000" w:themeColor="text1"/>
            <w:u w:val="none"/>
          </w:rPr>
          <w:t>,</w:t>
        </w:r>
      </w:hyperlink>
      <w:r w:rsidRPr="00B03557">
        <w:rPr>
          <w:color w:val="000000" w:themeColor="text1"/>
        </w:rPr>
        <w:t xml:space="preserve"> </w:t>
      </w:r>
      <w:r>
        <w:t>D</w:t>
      </w:r>
      <w:r>
        <w:rPr>
          <w:sz w:val="16"/>
        </w:rPr>
        <w:t>ANA</w:t>
      </w:r>
      <w:r>
        <w:t>-F</w:t>
      </w:r>
      <w:r>
        <w:rPr>
          <w:sz w:val="16"/>
        </w:rPr>
        <w:t xml:space="preserve">ARBER </w:t>
      </w:r>
      <w:r>
        <w:t>C</w:t>
      </w:r>
      <w:r>
        <w:rPr>
          <w:sz w:val="16"/>
        </w:rPr>
        <w:t xml:space="preserve">ANCER </w:t>
      </w:r>
      <w:r>
        <w:t>I</w:t>
      </w:r>
      <w:r>
        <w:rPr>
          <w:sz w:val="16"/>
        </w:rPr>
        <w:t>NSTITUTE</w:t>
      </w:r>
      <w:r>
        <w:t xml:space="preserve">, </w:t>
      </w:r>
      <w:hyperlink r:id="rId138">
        <w:r>
          <w:rPr>
            <w:color w:val="486794"/>
            <w:u w:val="single" w:color="486794"/>
          </w:rPr>
          <w:t>https://www.dana-farber.org/about/dana-farber-beth-israel-deaconess-cancer-collaboration</w:t>
        </w:r>
      </w:hyperlink>
      <w:r>
        <w:rPr>
          <w:color w:val="486794"/>
          <w:spacing w:val="-13"/>
        </w:rPr>
        <w:t xml:space="preserve"> </w:t>
      </w:r>
      <w:r>
        <w:t>(last</w:t>
      </w:r>
      <w:r>
        <w:rPr>
          <w:spacing w:val="-12"/>
        </w:rPr>
        <w:t xml:space="preserve"> </w:t>
      </w:r>
      <w:r>
        <w:t>visited February 27, 2025).</w:t>
      </w:r>
    </w:p>
  </w:footnote>
  <w:footnote w:id="89">
    <w:p w14:paraId="548482F2" w14:textId="17D6A84F" w:rsidR="0043081E" w:rsidRDefault="0043081E" w:rsidP="009E3BB0">
      <w:pPr>
        <w:pStyle w:val="FootnoteText"/>
        <w:ind w:left="900" w:right="940"/>
      </w:pPr>
      <w:r>
        <w:rPr>
          <w:rStyle w:val="FootnoteReference"/>
        </w:rPr>
        <w:footnoteRef/>
      </w:r>
      <w:r>
        <w:t xml:space="preserve"> DFCI</w:t>
      </w:r>
      <w:r>
        <w:rPr>
          <w:spacing w:val="-12"/>
        </w:rPr>
        <w:t xml:space="preserve"> </w:t>
      </w:r>
      <w:r>
        <w:t>S</w:t>
      </w:r>
      <w:r>
        <w:rPr>
          <w:sz w:val="16"/>
        </w:rPr>
        <w:t>TAFF</w:t>
      </w:r>
      <w:r>
        <w:rPr>
          <w:spacing w:val="-4"/>
          <w:sz w:val="16"/>
        </w:rPr>
        <w:t xml:space="preserve"> </w:t>
      </w:r>
      <w:r>
        <w:t>R</w:t>
      </w:r>
      <w:r>
        <w:rPr>
          <w:sz w:val="16"/>
        </w:rPr>
        <w:t>EPORT</w:t>
      </w:r>
      <w:r>
        <w:t>,</w:t>
      </w:r>
      <w:r>
        <w:rPr>
          <w:spacing w:val="-3"/>
        </w:rPr>
        <w:t xml:space="preserve"> </w:t>
      </w:r>
      <w:r>
        <w:rPr>
          <w:i/>
        </w:rPr>
        <w:t>supra</w:t>
      </w:r>
      <w:r>
        <w:rPr>
          <w:i/>
          <w:spacing w:val="-6"/>
        </w:rPr>
        <w:t xml:space="preserve"> </w:t>
      </w:r>
      <w:r>
        <w:t>note</w:t>
      </w:r>
      <w:r>
        <w:rPr>
          <w:spacing w:val="-4"/>
        </w:rPr>
        <w:t xml:space="preserve"> </w:t>
      </w:r>
      <w:r>
        <w:t>16,</w:t>
      </w:r>
      <w:r>
        <w:rPr>
          <w:spacing w:val="-4"/>
        </w:rPr>
        <w:t xml:space="preserve"> </w:t>
      </w:r>
      <w:r>
        <w:t>at</w:t>
      </w:r>
      <w:r>
        <w:rPr>
          <w:spacing w:val="-3"/>
        </w:rPr>
        <w:t xml:space="preserve"> </w:t>
      </w:r>
      <w:r>
        <w:rPr>
          <w:spacing w:val="-5"/>
        </w:rPr>
        <w:t>27.</w:t>
      </w:r>
    </w:p>
  </w:footnote>
  <w:footnote w:id="90">
    <w:p w14:paraId="1DEDC7BA" w14:textId="4684A1B6" w:rsidR="00FE050D" w:rsidRDefault="00FE050D" w:rsidP="009E3BB0">
      <w:pPr>
        <w:pStyle w:val="FootnoteText"/>
        <w:ind w:left="900" w:right="940"/>
      </w:pPr>
      <w:r>
        <w:rPr>
          <w:rStyle w:val="FootnoteReference"/>
        </w:rPr>
        <w:footnoteRef/>
      </w:r>
      <w:r>
        <w:t xml:space="preserve"> </w:t>
      </w:r>
      <w:r>
        <w:rPr>
          <w:i/>
        </w:rPr>
        <w:t>See</w:t>
      </w:r>
      <w:r>
        <w:rPr>
          <w:i/>
          <w:spacing w:val="-6"/>
        </w:rPr>
        <w:t xml:space="preserve"> </w:t>
      </w:r>
      <w:r>
        <w:t>105</w:t>
      </w:r>
      <w:r>
        <w:rPr>
          <w:spacing w:val="-4"/>
        </w:rPr>
        <w:t xml:space="preserve"> </w:t>
      </w:r>
      <w:r>
        <w:t>C.M.R.</w:t>
      </w:r>
      <w:r>
        <w:rPr>
          <w:spacing w:val="-3"/>
        </w:rPr>
        <w:t xml:space="preserve"> </w:t>
      </w:r>
      <w:r>
        <w:rPr>
          <w:spacing w:val="-2"/>
        </w:rPr>
        <w:t>100.210.</w:t>
      </w:r>
    </w:p>
  </w:footnote>
  <w:footnote w:id="91">
    <w:p w14:paraId="0829CC71" w14:textId="46B5BA87" w:rsidR="00181A07" w:rsidRDefault="00181A07" w:rsidP="009E3BB0">
      <w:pPr>
        <w:pStyle w:val="FootnoteText"/>
        <w:ind w:left="900" w:right="940"/>
      </w:pPr>
      <w:r>
        <w:rPr>
          <w:rStyle w:val="FootnoteReference"/>
        </w:rPr>
        <w:footnoteRef/>
      </w:r>
      <w:r>
        <w:t xml:space="preserve"> </w:t>
      </w:r>
      <w:r w:rsidR="006220B0">
        <w:t>Mass.</w:t>
      </w:r>
      <w:r w:rsidR="006220B0">
        <w:rPr>
          <w:spacing w:val="-3"/>
        </w:rPr>
        <w:t xml:space="preserve"> </w:t>
      </w:r>
      <w:r w:rsidR="006220B0">
        <w:t>Gen.</w:t>
      </w:r>
      <w:r w:rsidR="006220B0">
        <w:rPr>
          <w:spacing w:val="-3"/>
        </w:rPr>
        <w:t xml:space="preserve"> </w:t>
      </w:r>
      <w:r w:rsidR="006220B0">
        <w:t>Laws</w:t>
      </w:r>
      <w:r w:rsidR="006220B0">
        <w:rPr>
          <w:spacing w:val="-3"/>
        </w:rPr>
        <w:t xml:space="preserve"> </w:t>
      </w:r>
      <w:r w:rsidR="006220B0">
        <w:t>c.</w:t>
      </w:r>
      <w:r w:rsidR="006220B0">
        <w:rPr>
          <w:spacing w:val="-3"/>
        </w:rPr>
        <w:t xml:space="preserve"> </w:t>
      </w:r>
      <w:r w:rsidR="006220B0">
        <w:t>111,</w:t>
      </w:r>
      <w:r w:rsidR="006220B0">
        <w:rPr>
          <w:spacing w:val="-3"/>
        </w:rPr>
        <w:t xml:space="preserve"> </w:t>
      </w:r>
      <w:r w:rsidR="006220B0">
        <w:rPr>
          <w:spacing w:val="-2"/>
        </w:rPr>
        <w:t>§25C(h).</w:t>
      </w:r>
    </w:p>
  </w:footnote>
  <w:footnote w:id="92">
    <w:p w14:paraId="0FE4AEF2" w14:textId="73FC8AB5" w:rsidR="002F4486" w:rsidRDefault="002F4486" w:rsidP="009E3BB0">
      <w:pPr>
        <w:pStyle w:val="FootnoteText"/>
        <w:ind w:left="900" w:right="940"/>
      </w:pPr>
      <w:r>
        <w:rPr>
          <w:rStyle w:val="FootnoteReference"/>
        </w:rPr>
        <w:footnoteRef/>
      </w:r>
      <w:r>
        <w:t xml:space="preserve"> </w:t>
      </w:r>
      <w:r w:rsidR="009E3BB0">
        <w:t>The</w:t>
      </w:r>
      <w:r w:rsidR="009E3BB0">
        <w:rPr>
          <w:spacing w:val="-4"/>
        </w:rPr>
        <w:t xml:space="preserve"> </w:t>
      </w:r>
      <w:r w:rsidR="009E3BB0">
        <w:t>ICA</w:t>
      </w:r>
      <w:r w:rsidR="009E3BB0">
        <w:rPr>
          <w:spacing w:val="-5"/>
        </w:rPr>
        <w:t xml:space="preserve"> </w:t>
      </w:r>
      <w:r w:rsidR="009E3BB0">
        <w:t>was</w:t>
      </w:r>
      <w:r w:rsidR="009E3BB0">
        <w:rPr>
          <w:spacing w:val="-3"/>
        </w:rPr>
        <w:t xml:space="preserve"> </w:t>
      </w:r>
      <w:r w:rsidR="009E3BB0">
        <w:t>conducted</w:t>
      </w:r>
      <w:r w:rsidR="009E3BB0">
        <w:rPr>
          <w:spacing w:val="-4"/>
        </w:rPr>
        <w:t xml:space="preserve"> </w:t>
      </w:r>
      <w:r w:rsidR="009E3BB0">
        <w:t>by</w:t>
      </w:r>
      <w:r w:rsidR="009E3BB0">
        <w:rPr>
          <w:spacing w:val="-4"/>
        </w:rPr>
        <w:t xml:space="preserve"> </w:t>
      </w:r>
      <w:r w:rsidR="009E3BB0">
        <w:t>a</w:t>
      </w:r>
      <w:r w:rsidR="009E3BB0">
        <w:rPr>
          <w:spacing w:val="-2"/>
        </w:rPr>
        <w:t xml:space="preserve"> </w:t>
      </w:r>
      <w:r w:rsidR="009E3BB0">
        <w:t>team</w:t>
      </w:r>
      <w:r w:rsidR="009E3BB0">
        <w:rPr>
          <w:spacing w:val="-3"/>
        </w:rPr>
        <w:t xml:space="preserve"> </w:t>
      </w:r>
      <w:r w:rsidR="009E3BB0">
        <w:t>lead</w:t>
      </w:r>
      <w:r w:rsidR="009E3BB0">
        <w:rPr>
          <w:spacing w:val="-3"/>
        </w:rPr>
        <w:t xml:space="preserve"> </w:t>
      </w:r>
      <w:r w:rsidR="009E3BB0">
        <w:t>by</w:t>
      </w:r>
      <w:r w:rsidR="009E3BB0">
        <w:rPr>
          <w:spacing w:val="-5"/>
        </w:rPr>
        <w:t xml:space="preserve"> </w:t>
      </w:r>
      <w:r w:rsidR="009E3BB0">
        <w:t>Bryan</w:t>
      </w:r>
      <w:r w:rsidR="009E3BB0">
        <w:rPr>
          <w:spacing w:val="-4"/>
        </w:rPr>
        <w:t xml:space="preserve"> </w:t>
      </w:r>
      <w:r w:rsidR="009E3BB0">
        <w:t>Perry,</w:t>
      </w:r>
      <w:r w:rsidR="009E3BB0">
        <w:rPr>
          <w:spacing w:val="-1"/>
        </w:rPr>
        <w:t xml:space="preserve"> </w:t>
      </w:r>
      <w:r w:rsidR="009E3BB0">
        <w:t>PhD.,</w:t>
      </w:r>
      <w:r w:rsidR="009E3BB0">
        <w:rPr>
          <w:spacing w:val="-3"/>
        </w:rPr>
        <w:t xml:space="preserve"> </w:t>
      </w:r>
      <w:r w:rsidR="009E3BB0">
        <w:t>of</w:t>
      </w:r>
      <w:r w:rsidR="009E3BB0">
        <w:rPr>
          <w:spacing w:val="-4"/>
        </w:rPr>
        <w:t xml:space="preserve"> </w:t>
      </w:r>
      <w:r w:rsidR="009E3BB0">
        <w:t>FTI</w:t>
      </w:r>
      <w:r w:rsidR="009E3BB0">
        <w:rPr>
          <w:spacing w:val="-3"/>
        </w:rPr>
        <w:t xml:space="preserve"> </w:t>
      </w:r>
      <w:r w:rsidR="009E3BB0">
        <w:rPr>
          <w:spacing w:val="-2"/>
        </w:rPr>
        <w:t>Consulting.</w:t>
      </w:r>
    </w:p>
  </w:footnote>
  <w:footnote w:id="93">
    <w:p w14:paraId="5A01EC0A" w14:textId="31F666BB" w:rsidR="009E3BB0" w:rsidRDefault="009E3BB0" w:rsidP="009E3BB0">
      <w:pPr>
        <w:pStyle w:val="FootnoteText"/>
        <w:ind w:left="900" w:right="940"/>
      </w:pPr>
      <w:r>
        <w:rPr>
          <w:rStyle w:val="FootnoteReference"/>
        </w:rPr>
        <w:footnoteRef/>
      </w:r>
      <w:r>
        <w:t xml:space="preserve"> </w:t>
      </w:r>
      <w:r>
        <w:rPr>
          <w:i/>
        </w:rPr>
        <w:t>Supra</w:t>
      </w:r>
      <w:r>
        <w:rPr>
          <w:i/>
          <w:spacing w:val="-5"/>
        </w:rPr>
        <w:t xml:space="preserve"> </w:t>
      </w:r>
      <w:r>
        <w:t>note</w:t>
      </w:r>
      <w:r>
        <w:rPr>
          <w:spacing w:val="-5"/>
        </w:rPr>
        <w:t xml:space="preserve"> </w:t>
      </w:r>
      <w:hyperlink w:anchor="_bookmark14" w:history="1">
        <w:r>
          <w:rPr>
            <w:spacing w:val="-5"/>
          </w:rPr>
          <w:t>14.</w:t>
        </w:r>
      </w:hyperlink>
    </w:p>
  </w:footnote>
  <w:footnote w:id="94">
    <w:p w14:paraId="09C1BBB9" w14:textId="72597DD1" w:rsidR="009E3BB0" w:rsidRDefault="009E3BB0" w:rsidP="009E3BB0">
      <w:pPr>
        <w:pStyle w:val="FootnoteText"/>
        <w:ind w:left="900" w:right="940"/>
      </w:pPr>
      <w:r>
        <w:rPr>
          <w:rStyle w:val="FootnoteReference"/>
        </w:rPr>
        <w:footnoteRef/>
      </w:r>
      <w:r>
        <w:t xml:space="preserve"> MGB</w:t>
      </w:r>
      <w:r>
        <w:rPr>
          <w:spacing w:val="-5"/>
        </w:rPr>
        <w:t xml:space="preserve"> </w:t>
      </w:r>
      <w:r>
        <w:t>ICA</w:t>
      </w:r>
      <w:r>
        <w:rPr>
          <w:spacing w:val="-5"/>
        </w:rPr>
        <w:t xml:space="preserve"> </w:t>
      </w:r>
      <w:r>
        <w:t>comment,</w:t>
      </w:r>
      <w:r>
        <w:rPr>
          <w:spacing w:val="-3"/>
        </w:rPr>
        <w:t xml:space="preserve"> </w:t>
      </w:r>
      <w:r>
        <w:rPr>
          <w:i/>
        </w:rPr>
        <w:t>supra</w:t>
      </w:r>
      <w:r>
        <w:rPr>
          <w:i/>
          <w:spacing w:val="-5"/>
        </w:rPr>
        <w:t xml:space="preserve"> </w:t>
      </w:r>
      <w:r>
        <w:t>note</w:t>
      </w:r>
      <w:r>
        <w:rPr>
          <w:spacing w:val="-4"/>
        </w:rPr>
        <w:t xml:space="preserve"> </w:t>
      </w:r>
      <w:hyperlink w:anchor="_bookmark96" w:history="1">
        <w:r>
          <w:rPr>
            <w:spacing w:val="-5"/>
          </w:rPr>
          <w:t>81.</w:t>
        </w:r>
      </w:hyperlink>
    </w:p>
  </w:footnote>
  <w:footnote w:id="95">
    <w:p w14:paraId="2BE964F1" w14:textId="5CC7AF18" w:rsidR="009562E3" w:rsidRDefault="009562E3" w:rsidP="00F80BDA">
      <w:pPr>
        <w:pStyle w:val="FootnoteText"/>
        <w:ind w:left="990" w:right="940"/>
      </w:pPr>
      <w:r>
        <w:rPr>
          <w:rStyle w:val="FootnoteReference"/>
        </w:rPr>
        <w:footnoteRef/>
      </w:r>
      <w:r>
        <w:t xml:space="preserve"> </w:t>
      </w:r>
      <w:r w:rsidR="004D2BE8">
        <w:t>DFCI</w:t>
      </w:r>
      <w:r w:rsidR="004D2BE8">
        <w:rPr>
          <w:spacing w:val="-13"/>
        </w:rPr>
        <w:t xml:space="preserve"> </w:t>
      </w:r>
      <w:r w:rsidR="004D2BE8">
        <w:t>S</w:t>
      </w:r>
      <w:r w:rsidR="004D2BE8">
        <w:rPr>
          <w:sz w:val="16"/>
        </w:rPr>
        <w:t>TAFF</w:t>
      </w:r>
      <w:r w:rsidR="004D2BE8">
        <w:rPr>
          <w:spacing w:val="-4"/>
          <w:sz w:val="16"/>
        </w:rPr>
        <w:t xml:space="preserve"> </w:t>
      </w:r>
      <w:r w:rsidR="004D2BE8">
        <w:t>R</w:t>
      </w:r>
      <w:r w:rsidR="004D2BE8">
        <w:rPr>
          <w:sz w:val="16"/>
        </w:rPr>
        <w:t>EPORT</w:t>
      </w:r>
      <w:r w:rsidR="004D2BE8">
        <w:t>,</w:t>
      </w:r>
      <w:r w:rsidR="004D2BE8">
        <w:rPr>
          <w:spacing w:val="-4"/>
        </w:rPr>
        <w:t xml:space="preserve"> </w:t>
      </w:r>
      <w:r w:rsidR="004D2BE8">
        <w:rPr>
          <w:i/>
        </w:rPr>
        <w:t>supra</w:t>
      </w:r>
      <w:r w:rsidR="004D2BE8">
        <w:rPr>
          <w:i/>
          <w:spacing w:val="-6"/>
        </w:rPr>
        <w:t xml:space="preserve"> </w:t>
      </w:r>
      <w:r w:rsidR="004D2BE8">
        <w:t>note</w:t>
      </w:r>
      <w:r w:rsidR="004D2BE8">
        <w:rPr>
          <w:spacing w:val="-6"/>
        </w:rPr>
        <w:t xml:space="preserve"> </w:t>
      </w:r>
      <w:r w:rsidR="004D2BE8">
        <w:rPr>
          <w:spacing w:val="-5"/>
        </w:rPr>
        <w:t>16.</w:t>
      </w:r>
    </w:p>
  </w:footnote>
  <w:footnote w:id="96">
    <w:p w14:paraId="39D1DF0D" w14:textId="532071EF" w:rsidR="000D12C4" w:rsidRDefault="000D12C4" w:rsidP="00F80BDA">
      <w:pPr>
        <w:pStyle w:val="FootnoteText"/>
        <w:ind w:left="990" w:right="940"/>
      </w:pPr>
      <w:r>
        <w:rPr>
          <w:rStyle w:val="FootnoteReference"/>
        </w:rPr>
        <w:footnoteRef/>
      </w:r>
      <w:r>
        <w:t xml:space="preserve"> </w:t>
      </w:r>
      <w:r w:rsidR="00A21BE8">
        <w:rPr>
          <w:i/>
        </w:rPr>
        <w:t>Id</w:t>
      </w:r>
      <w:r w:rsidR="00A21BE8">
        <w:t>.</w:t>
      </w:r>
      <w:r w:rsidR="00A21BE8">
        <w:rPr>
          <w:spacing w:val="-2"/>
        </w:rPr>
        <w:t xml:space="preserve"> </w:t>
      </w:r>
      <w:r w:rsidR="00A21BE8">
        <w:t>at</w:t>
      </w:r>
      <w:r w:rsidR="00A21BE8">
        <w:rPr>
          <w:spacing w:val="-5"/>
        </w:rPr>
        <w:t xml:space="preserve"> </w:t>
      </w:r>
      <w:r w:rsidR="00A21BE8">
        <w:t>84</w:t>
      </w:r>
      <w:r w:rsidR="00A21BE8">
        <w:rPr>
          <w:spacing w:val="-2"/>
        </w:rPr>
        <w:t xml:space="preserve"> </w:t>
      </w:r>
      <w:r w:rsidR="00A21BE8">
        <w:t>and</w:t>
      </w:r>
      <w:r w:rsidR="00A21BE8">
        <w:rPr>
          <w:spacing w:val="-3"/>
        </w:rPr>
        <w:t xml:space="preserve"> </w:t>
      </w:r>
      <w:r w:rsidR="00A21BE8">
        <w:t>Appendix</w:t>
      </w:r>
      <w:r w:rsidR="00A21BE8">
        <w:rPr>
          <w:spacing w:val="-4"/>
        </w:rPr>
        <w:t xml:space="preserve"> </w:t>
      </w:r>
      <w:r w:rsidR="00A21BE8">
        <w:rPr>
          <w:spacing w:val="-5"/>
        </w:rPr>
        <w:t>I.</w:t>
      </w:r>
    </w:p>
  </w:footnote>
  <w:footnote w:id="97">
    <w:p w14:paraId="6D0DD03F" w14:textId="6317ED03" w:rsidR="00F80BDA" w:rsidRDefault="00F80BDA" w:rsidP="00F80BDA">
      <w:pPr>
        <w:pStyle w:val="FootnoteText"/>
        <w:ind w:left="990" w:right="940"/>
      </w:pPr>
      <w:r>
        <w:rPr>
          <w:rStyle w:val="FootnoteReference"/>
        </w:rPr>
        <w:footnoteRef/>
      </w:r>
      <w:r>
        <w:t xml:space="preserve"> </w:t>
      </w:r>
      <w:r>
        <w:rPr>
          <w:i/>
        </w:rPr>
        <w:t>Id</w:t>
      </w:r>
      <w:r>
        <w:t xml:space="preserve">. at 84-85. Under the recommended condition, if the </w:t>
      </w:r>
      <w:proofErr w:type="spellStart"/>
      <w:r>
        <w:t>DoN</w:t>
      </w:r>
      <w:proofErr w:type="spellEnd"/>
      <w:r>
        <w:t xml:space="preserve"> program identifies increases substantial enough to raise concerns regarding cost containment, DPH would be able to require DFCI to explain the reasons for this growth to the Public Health Council. If DFCI’s year-over-year growth in inpatient revenue per case mix adjusted discharge exceeds the level of that year’s statewide health care cost growth benchmark, DFCI would have to explain this growth to DPH. If the Council were to determine the increase was not attributable</w:t>
      </w:r>
      <w:r>
        <w:rPr>
          <w:spacing w:val="-4"/>
        </w:rPr>
        <w:t xml:space="preserve"> </w:t>
      </w:r>
      <w:r>
        <w:t>to</w:t>
      </w:r>
      <w:r>
        <w:rPr>
          <w:spacing w:val="-3"/>
        </w:rPr>
        <w:t xml:space="preserve"> </w:t>
      </w:r>
      <w:r>
        <w:t>innovative</w:t>
      </w:r>
      <w:r>
        <w:rPr>
          <w:spacing w:val="-4"/>
        </w:rPr>
        <w:t xml:space="preserve"> </w:t>
      </w:r>
      <w:r>
        <w:t>treatments</w:t>
      </w:r>
      <w:r>
        <w:rPr>
          <w:spacing w:val="-2"/>
        </w:rPr>
        <w:t xml:space="preserve"> </w:t>
      </w:r>
      <w:r>
        <w:t>or</w:t>
      </w:r>
      <w:r>
        <w:rPr>
          <w:spacing w:val="-4"/>
        </w:rPr>
        <w:t xml:space="preserve"> </w:t>
      </w:r>
      <w:r>
        <w:t>forces</w:t>
      </w:r>
      <w:r>
        <w:rPr>
          <w:spacing w:val="-2"/>
        </w:rPr>
        <w:t xml:space="preserve"> </w:t>
      </w:r>
      <w:r>
        <w:t>beyond</w:t>
      </w:r>
      <w:r>
        <w:rPr>
          <w:spacing w:val="-2"/>
        </w:rPr>
        <w:t xml:space="preserve"> </w:t>
      </w:r>
      <w:r>
        <w:t>DFCI’s</w:t>
      </w:r>
      <w:r>
        <w:rPr>
          <w:spacing w:val="-2"/>
        </w:rPr>
        <w:t xml:space="preserve"> </w:t>
      </w:r>
      <w:r>
        <w:t>control,</w:t>
      </w:r>
      <w:r>
        <w:rPr>
          <w:spacing w:val="-2"/>
        </w:rPr>
        <w:t xml:space="preserve"> </w:t>
      </w:r>
      <w:r>
        <w:t>it</w:t>
      </w:r>
      <w:r>
        <w:rPr>
          <w:spacing w:val="-2"/>
        </w:rPr>
        <w:t xml:space="preserve"> </w:t>
      </w:r>
      <w:r>
        <w:t>could</w:t>
      </w:r>
      <w:r>
        <w:rPr>
          <w:spacing w:val="-2"/>
        </w:rPr>
        <w:t xml:space="preserve"> </w:t>
      </w:r>
      <w:r>
        <w:t>require</w:t>
      </w:r>
      <w:r>
        <w:rPr>
          <w:spacing w:val="-1"/>
        </w:rPr>
        <w:t xml:space="preserve"> </w:t>
      </w:r>
      <w:r>
        <w:t>DFCI</w:t>
      </w:r>
      <w:r>
        <w:rPr>
          <w:spacing w:val="-2"/>
        </w:rPr>
        <w:t xml:space="preserve"> </w:t>
      </w:r>
      <w:r>
        <w:t>to</w:t>
      </w:r>
      <w:r>
        <w:rPr>
          <w:spacing w:val="-3"/>
        </w:rPr>
        <w:t xml:space="preserve"> </w:t>
      </w:r>
      <w:r>
        <w:t>develop</w:t>
      </w:r>
      <w:r>
        <w:rPr>
          <w:spacing w:val="-4"/>
        </w:rPr>
        <w:t xml:space="preserve"> </w:t>
      </w:r>
      <w:r>
        <w:t>a</w:t>
      </w:r>
      <w:r>
        <w:rPr>
          <w:spacing w:val="-3"/>
        </w:rPr>
        <w:t xml:space="preserve"> </w:t>
      </w:r>
      <w:r>
        <w:t>plan to make additional investments in its own health equity programs not greater than the amount by which inpatient</w:t>
      </w:r>
      <w:r>
        <w:rPr>
          <w:spacing w:val="-3"/>
        </w:rPr>
        <w:t xml:space="preserve"> </w:t>
      </w:r>
      <w:r>
        <w:t>spending</w:t>
      </w:r>
      <w:r>
        <w:rPr>
          <w:spacing w:val="-4"/>
        </w:rPr>
        <w:t xml:space="preserve"> </w:t>
      </w:r>
      <w:r>
        <w:t>exceeded</w:t>
      </w:r>
      <w:r>
        <w:rPr>
          <w:spacing w:val="-1"/>
        </w:rPr>
        <w:t xml:space="preserve"> </w:t>
      </w:r>
      <w:r>
        <w:t>the</w:t>
      </w:r>
      <w:r>
        <w:rPr>
          <w:spacing w:val="-5"/>
        </w:rPr>
        <w:t xml:space="preserve"> </w:t>
      </w:r>
      <w:r>
        <w:t>cost</w:t>
      </w:r>
      <w:r>
        <w:rPr>
          <w:spacing w:val="-3"/>
        </w:rPr>
        <w:t xml:space="preserve"> </w:t>
      </w:r>
      <w:r>
        <w:t>growth</w:t>
      </w:r>
      <w:r>
        <w:rPr>
          <w:spacing w:val="-4"/>
        </w:rPr>
        <w:t xml:space="preserve"> </w:t>
      </w:r>
      <w:r>
        <w:t>benchmark</w:t>
      </w:r>
      <w:r>
        <w:rPr>
          <w:spacing w:val="-3"/>
        </w:rPr>
        <w:t xml:space="preserve"> </w:t>
      </w:r>
      <w:r>
        <w:t>percentage.</w:t>
      </w:r>
      <w:r>
        <w:rPr>
          <w:spacing w:val="-3"/>
        </w:rPr>
        <w:t xml:space="preserve"> </w:t>
      </w:r>
      <w:r>
        <w:t>The</w:t>
      </w:r>
      <w:r>
        <w:rPr>
          <w:spacing w:val="-2"/>
        </w:rPr>
        <w:t xml:space="preserve"> </w:t>
      </w:r>
      <w:r>
        <w:t>HPC</w:t>
      </w:r>
      <w:r>
        <w:rPr>
          <w:spacing w:val="-4"/>
        </w:rPr>
        <w:t xml:space="preserve"> </w:t>
      </w:r>
      <w:r>
        <w:t>notes</w:t>
      </w:r>
      <w:r>
        <w:rPr>
          <w:spacing w:val="-3"/>
        </w:rPr>
        <w:t xml:space="preserve"> </w:t>
      </w:r>
      <w:r>
        <w:t>this</w:t>
      </w:r>
      <w:r>
        <w:rPr>
          <w:spacing w:val="-3"/>
        </w:rPr>
        <w:t xml:space="preserve"> </w:t>
      </w:r>
      <w:r>
        <w:t>condition</w:t>
      </w:r>
      <w:r>
        <w:rPr>
          <w:spacing w:val="-4"/>
        </w:rPr>
        <w:t xml:space="preserve"> </w:t>
      </w:r>
      <w:r>
        <w:t>does</w:t>
      </w:r>
      <w:r>
        <w:rPr>
          <w:spacing w:val="-3"/>
        </w:rPr>
        <w:t xml:space="preserve"> </w:t>
      </w:r>
      <w:r>
        <w:t>not address</w:t>
      </w:r>
      <w:r>
        <w:rPr>
          <w:spacing w:val="-2"/>
        </w:rPr>
        <w:t xml:space="preserve"> </w:t>
      </w:r>
      <w:r>
        <w:t>other</w:t>
      </w:r>
      <w:r>
        <w:rPr>
          <w:spacing w:val="-4"/>
        </w:rPr>
        <w:t xml:space="preserve"> </w:t>
      </w:r>
      <w:r>
        <w:t>potential</w:t>
      </w:r>
      <w:r>
        <w:rPr>
          <w:spacing w:val="-3"/>
        </w:rPr>
        <w:t xml:space="preserve"> </w:t>
      </w:r>
      <w:r>
        <w:t>spending</w:t>
      </w:r>
      <w:r>
        <w:rPr>
          <w:spacing w:val="-3"/>
        </w:rPr>
        <w:t xml:space="preserve"> </w:t>
      </w:r>
      <w:r>
        <w:t>increases</w:t>
      </w:r>
      <w:r>
        <w:rPr>
          <w:spacing w:val="-2"/>
        </w:rPr>
        <w:t xml:space="preserve"> </w:t>
      </w:r>
      <w:r>
        <w:t>that</w:t>
      </w:r>
      <w:r>
        <w:rPr>
          <w:spacing w:val="-2"/>
        </w:rPr>
        <w:t xml:space="preserve"> </w:t>
      </w:r>
      <w:r>
        <w:t>impact</w:t>
      </w:r>
      <w:r>
        <w:rPr>
          <w:spacing w:val="-2"/>
        </w:rPr>
        <w:t xml:space="preserve"> </w:t>
      </w:r>
      <w:r>
        <w:t>total</w:t>
      </w:r>
      <w:r>
        <w:rPr>
          <w:spacing w:val="-3"/>
        </w:rPr>
        <w:t xml:space="preserve"> </w:t>
      </w:r>
      <w:r>
        <w:t>health</w:t>
      </w:r>
      <w:r>
        <w:rPr>
          <w:spacing w:val="-3"/>
        </w:rPr>
        <w:t xml:space="preserve"> </w:t>
      </w:r>
      <w:r>
        <w:t>care</w:t>
      </w:r>
      <w:r>
        <w:rPr>
          <w:spacing w:val="-4"/>
        </w:rPr>
        <w:t xml:space="preserve"> </w:t>
      </w:r>
      <w:r>
        <w:t>spending,</w:t>
      </w:r>
      <w:r>
        <w:rPr>
          <w:spacing w:val="-2"/>
        </w:rPr>
        <w:t xml:space="preserve"> </w:t>
      </w:r>
      <w:r>
        <w:t>including</w:t>
      </w:r>
      <w:r>
        <w:rPr>
          <w:spacing w:val="-3"/>
        </w:rPr>
        <w:t xml:space="preserve"> </w:t>
      </w:r>
      <w:r>
        <w:t>those</w:t>
      </w:r>
      <w:r>
        <w:rPr>
          <w:spacing w:val="-4"/>
        </w:rPr>
        <w:t xml:space="preserve"> </w:t>
      </w:r>
      <w:r>
        <w:t>that</w:t>
      </w:r>
      <w:r>
        <w:rPr>
          <w:spacing w:val="-2"/>
        </w:rPr>
        <w:t xml:space="preserve"> </w:t>
      </w:r>
      <w:r>
        <w:t>may result from shifts of patients from other providers to DFCI, or potential changes in outpatient unit prices for outpatient services. This may create an incentive to disproportionately allocate future price increases to DFCI's already high-priced outpatient services. We also note that the condition would require DFCI to use</w:t>
      </w:r>
      <w:r>
        <w:rPr>
          <w:spacing w:val="40"/>
        </w:rPr>
        <w:t xml:space="preserve"> </w:t>
      </w:r>
      <w:r>
        <w:t>any</w:t>
      </w:r>
      <w:r>
        <w:rPr>
          <w:spacing w:val="-3"/>
        </w:rPr>
        <w:t xml:space="preserve"> </w:t>
      </w:r>
      <w:r>
        <w:t>excess</w:t>
      </w:r>
      <w:r>
        <w:rPr>
          <w:spacing w:val="-1"/>
        </w:rPr>
        <w:t xml:space="preserve"> </w:t>
      </w:r>
      <w:r>
        <w:t>revenue</w:t>
      </w:r>
      <w:r>
        <w:rPr>
          <w:spacing w:val="-3"/>
        </w:rPr>
        <w:t xml:space="preserve"> </w:t>
      </w:r>
      <w:r>
        <w:t>for</w:t>
      </w:r>
      <w:r>
        <w:rPr>
          <w:spacing w:val="-3"/>
        </w:rPr>
        <w:t xml:space="preserve"> </w:t>
      </w:r>
      <w:r>
        <w:t>its</w:t>
      </w:r>
      <w:r>
        <w:rPr>
          <w:spacing w:val="-1"/>
        </w:rPr>
        <w:t xml:space="preserve"> </w:t>
      </w:r>
      <w:r>
        <w:t>own</w:t>
      </w:r>
      <w:r>
        <w:rPr>
          <w:spacing w:val="-2"/>
        </w:rPr>
        <w:t xml:space="preserve"> </w:t>
      </w:r>
      <w:r>
        <w:t>equity</w:t>
      </w:r>
      <w:r>
        <w:rPr>
          <w:spacing w:val="-3"/>
        </w:rPr>
        <w:t xml:space="preserve"> </w:t>
      </w:r>
      <w:r>
        <w:t>programs</w:t>
      </w:r>
      <w:r>
        <w:rPr>
          <w:spacing w:val="-1"/>
        </w:rPr>
        <w:t xml:space="preserve"> </w:t>
      </w:r>
      <w:r>
        <w:t>rather</w:t>
      </w:r>
      <w:r>
        <w:rPr>
          <w:spacing w:val="-3"/>
        </w:rPr>
        <w:t xml:space="preserve"> </w:t>
      </w:r>
      <w:r>
        <w:t>than</w:t>
      </w:r>
      <w:r>
        <w:rPr>
          <w:spacing w:val="-2"/>
        </w:rPr>
        <w:t xml:space="preserve"> </w:t>
      </w:r>
      <w:r>
        <w:t>returning</w:t>
      </w:r>
      <w:r>
        <w:rPr>
          <w:spacing w:val="-2"/>
        </w:rPr>
        <w:t xml:space="preserve"> </w:t>
      </w:r>
      <w:r>
        <w:t>excess</w:t>
      </w:r>
      <w:r>
        <w:rPr>
          <w:spacing w:val="-1"/>
        </w:rPr>
        <w:t xml:space="preserve"> </w:t>
      </w:r>
      <w:r>
        <w:t>spending</w:t>
      </w:r>
      <w:r>
        <w:rPr>
          <w:spacing w:val="-2"/>
        </w:rPr>
        <w:t xml:space="preserve"> </w:t>
      </w:r>
      <w:r>
        <w:t>to</w:t>
      </w:r>
      <w:r>
        <w:rPr>
          <w:spacing w:val="-2"/>
        </w:rPr>
        <w:t xml:space="preserve"> </w:t>
      </w:r>
      <w:r>
        <w:t>health</w:t>
      </w:r>
      <w:r>
        <w:rPr>
          <w:spacing w:val="-2"/>
        </w:rPr>
        <w:t xml:space="preserve"> </w:t>
      </w:r>
      <w:r>
        <w:t>care</w:t>
      </w:r>
      <w:r>
        <w:rPr>
          <w:spacing w:val="-3"/>
        </w:rPr>
        <w:t xml:space="preserve"> </w:t>
      </w:r>
      <w:r>
        <w:t>payers and consumers.</w:t>
      </w:r>
    </w:p>
  </w:footnote>
  <w:footnote w:id="98">
    <w:p w14:paraId="41B3E1D3" w14:textId="4CF5260A" w:rsidR="00F80BDA" w:rsidRDefault="00F80BDA" w:rsidP="00F80BDA">
      <w:pPr>
        <w:pStyle w:val="FootnoteText"/>
        <w:ind w:left="990" w:right="940"/>
      </w:pPr>
      <w:r>
        <w:rPr>
          <w:rStyle w:val="FootnoteReference"/>
        </w:rPr>
        <w:footnoteRef/>
      </w:r>
      <w:r>
        <w:t xml:space="preserve"> 105</w:t>
      </w:r>
      <w:r>
        <w:rPr>
          <w:spacing w:val="-3"/>
        </w:rPr>
        <w:t xml:space="preserve"> </w:t>
      </w:r>
      <w:r>
        <w:t>CMR</w:t>
      </w:r>
      <w:r>
        <w:rPr>
          <w:spacing w:val="-4"/>
        </w:rPr>
        <w:t xml:space="preserve"> </w:t>
      </w:r>
      <w:r>
        <w:rPr>
          <w:spacing w:val="-2"/>
        </w:rPr>
        <w:t>100.360(D).</w:t>
      </w:r>
    </w:p>
  </w:footnote>
  <w:footnote w:id="99">
    <w:p w14:paraId="3514EB86" w14:textId="41A86AD4" w:rsidR="002F5AFE" w:rsidRPr="003F5452" w:rsidRDefault="002F5AFE" w:rsidP="003F5452">
      <w:pPr>
        <w:spacing w:before="92"/>
        <w:ind w:left="959" w:right="1009"/>
        <w:rPr>
          <w:sz w:val="20"/>
        </w:rPr>
      </w:pPr>
      <w:r>
        <w:rPr>
          <w:rStyle w:val="FootnoteReference"/>
        </w:rPr>
        <w:footnoteRef/>
      </w:r>
      <w:r>
        <w:t xml:space="preserve"> </w:t>
      </w:r>
      <w:r w:rsidR="001964DE">
        <w:rPr>
          <w:i/>
          <w:sz w:val="20"/>
        </w:rPr>
        <w:t xml:space="preserve">See </w:t>
      </w:r>
      <w:r w:rsidR="001964DE">
        <w:rPr>
          <w:sz w:val="20"/>
        </w:rPr>
        <w:t>Section I. Because provider organizations primarily negotiate with commercial, not government, payers for prices, commercial market share is more relevant for assessing the competitive impact of a transaction. Our assessments of market shares for provider organizations or contracting networks are based</w:t>
      </w:r>
      <w:r w:rsidR="001964DE">
        <w:rPr>
          <w:spacing w:val="-2"/>
          <w:sz w:val="20"/>
        </w:rPr>
        <w:t xml:space="preserve"> </w:t>
      </w:r>
      <w:r w:rsidR="001964DE">
        <w:rPr>
          <w:sz w:val="20"/>
        </w:rPr>
        <w:t>on</w:t>
      </w:r>
      <w:r w:rsidR="001964DE">
        <w:rPr>
          <w:spacing w:val="-3"/>
          <w:sz w:val="20"/>
        </w:rPr>
        <w:t xml:space="preserve"> </w:t>
      </w:r>
      <w:r w:rsidR="001964DE">
        <w:rPr>
          <w:sz w:val="20"/>
        </w:rPr>
        <w:t>the</w:t>
      </w:r>
      <w:r w:rsidR="001964DE">
        <w:rPr>
          <w:spacing w:val="-4"/>
          <w:sz w:val="20"/>
        </w:rPr>
        <w:t xml:space="preserve"> </w:t>
      </w:r>
      <w:r w:rsidR="001964DE">
        <w:rPr>
          <w:sz w:val="20"/>
        </w:rPr>
        <w:t>share</w:t>
      </w:r>
      <w:r w:rsidR="001964DE">
        <w:rPr>
          <w:spacing w:val="-4"/>
          <w:sz w:val="20"/>
        </w:rPr>
        <w:t xml:space="preserve"> </w:t>
      </w:r>
      <w:r w:rsidR="001964DE">
        <w:rPr>
          <w:sz w:val="20"/>
        </w:rPr>
        <w:t>of</w:t>
      </w:r>
      <w:r w:rsidR="001964DE">
        <w:rPr>
          <w:spacing w:val="-3"/>
          <w:sz w:val="20"/>
        </w:rPr>
        <w:t xml:space="preserve"> </w:t>
      </w:r>
      <w:r w:rsidR="001964DE">
        <w:rPr>
          <w:sz w:val="20"/>
        </w:rPr>
        <w:t>services</w:t>
      </w:r>
      <w:r w:rsidR="001964DE">
        <w:rPr>
          <w:spacing w:val="-2"/>
          <w:sz w:val="20"/>
        </w:rPr>
        <w:t xml:space="preserve"> </w:t>
      </w:r>
      <w:r w:rsidR="001964DE">
        <w:rPr>
          <w:sz w:val="20"/>
        </w:rPr>
        <w:t>of</w:t>
      </w:r>
      <w:r w:rsidR="001964DE">
        <w:rPr>
          <w:spacing w:val="-3"/>
          <w:sz w:val="20"/>
        </w:rPr>
        <w:t xml:space="preserve"> </w:t>
      </w:r>
      <w:r w:rsidR="001964DE">
        <w:rPr>
          <w:sz w:val="20"/>
        </w:rPr>
        <w:t>hospitals</w:t>
      </w:r>
      <w:r w:rsidR="001964DE">
        <w:rPr>
          <w:spacing w:val="-2"/>
          <w:sz w:val="20"/>
        </w:rPr>
        <w:t xml:space="preserve"> </w:t>
      </w:r>
      <w:r w:rsidR="001964DE">
        <w:rPr>
          <w:sz w:val="20"/>
        </w:rPr>
        <w:t>or</w:t>
      </w:r>
      <w:r w:rsidR="001964DE">
        <w:rPr>
          <w:spacing w:val="-4"/>
          <w:sz w:val="20"/>
        </w:rPr>
        <w:t xml:space="preserve"> </w:t>
      </w:r>
      <w:r w:rsidR="001964DE">
        <w:rPr>
          <w:sz w:val="20"/>
        </w:rPr>
        <w:t>physicians</w:t>
      </w:r>
      <w:r w:rsidR="001964DE">
        <w:rPr>
          <w:spacing w:val="-2"/>
          <w:sz w:val="20"/>
        </w:rPr>
        <w:t xml:space="preserve"> </w:t>
      </w:r>
      <w:r w:rsidR="001964DE">
        <w:rPr>
          <w:sz w:val="20"/>
        </w:rPr>
        <w:t>for</w:t>
      </w:r>
      <w:r w:rsidR="001964DE">
        <w:rPr>
          <w:spacing w:val="-4"/>
          <w:sz w:val="20"/>
        </w:rPr>
        <w:t xml:space="preserve"> </w:t>
      </w:r>
      <w:r w:rsidR="001964DE">
        <w:rPr>
          <w:sz w:val="20"/>
        </w:rPr>
        <w:t>which</w:t>
      </w:r>
      <w:r w:rsidR="001964DE">
        <w:rPr>
          <w:spacing w:val="-3"/>
          <w:sz w:val="20"/>
        </w:rPr>
        <w:t xml:space="preserve"> </w:t>
      </w:r>
      <w:r w:rsidR="001964DE">
        <w:rPr>
          <w:sz w:val="20"/>
        </w:rPr>
        <w:t>the</w:t>
      </w:r>
      <w:r w:rsidR="001964DE">
        <w:rPr>
          <w:spacing w:val="-4"/>
          <w:sz w:val="20"/>
        </w:rPr>
        <w:t xml:space="preserve"> </w:t>
      </w:r>
      <w:r w:rsidR="001964DE">
        <w:rPr>
          <w:sz w:val="20"/>
        </w:rPr>
        <w:t>organization</w:t>
      </w:r>
      <w:r w:rsidR="001964DE">
        <w:rPr>
          <w:spacing w:val="-3"/>
          <w:sz w:val="20"/>
        </w:rPr>
        <w:t xml:space="preserve"> </w:t>
      </w:r>
      <w:r w:rsidR="001964DE">
        <w:rPr>
          <w:sz w:val="20"/>
        </w:rPr>
        <w:t>establishes</w:t>
      </w:r>
      <w:r w:rsidR="001964DE">
        <w:rPr>
          <w:spacing w:val="-2"/>
          <w:sz w:val="20"/>
        </w:rPr>
        <w:t xml:space="preserve"> </w:t>
      </w:r>
      <w:r w:rsidR="001964DE">
        <w:rPr>
          <w:sz w:val="20"/>
        </w:rPr>
        <w:t>commercial contracts, as well as any providers from which a provider organization receives patient service revenue.</w:t>
      </w:r>
      <w:bookmarkStart w:id="91" w:name="_bookmark120"/>
      <w:bookmarkEnd w:id="91"/>
    </w:p>
  </w:footnote>
  <w:footnote w:id="100">
    <w:p w14:paraId="5DF74CDF" w14:textId="289EF3A0" w:rsidR="001A72CF" w:rsidRDefault="001A72CF" w:rsidP="003F5452">
      <w:pPr>
        <w:pStyle w:val="FootnoteText"/>
        <w:ind w:left="959" w:right="1009"/>
      </w:pPr>
      <w:r>
        <w:rPr>
          <w:rStyle w:val="FootnoteReference"/>
        </w:rPr>
        <w:footnoteRef/>
      </w:r>
      <w:r>
        <w:t xml:space="preserve"> </w:t>
      </w:r>
      <w:r w:rsidR="003F5452">
        <w:t>One of the HPC’s central responsibilities is to monitor health care spending to ensure that the Commonwealth can successfully meet the health care cost growth benchmark set forth in Chapter 224 of the Acts of 2012, and one mechanism through which we meet this responsibility is to conduct cost and market</w:t>
      </w:r>
      <w:r w:rsidR="003F5452">
        <w:rPr>
          <w:spacing w:val="-2"/>
        </w:rPr>
        <w:t xml:space="preserve"> </w:t>
      </w:r>
      <w:r w:rsidR="003F5452">
        <w:t>impact</w:t>
      </w:r>
      <w:r w:rsidR="003F5452">
        <w:rPr>
          <w:spacing w:val="-2"/>
        </w:rPr>
        <w:t xml:space="preserve"> </w:t>
      </w:r>
      <w:r w:rsidR="003F5452">
        <w:t>reviews.</w:t>
      </w:r>
      <w:r w:rsidR="003F5452">
        <w:rPr>
          <w:spacing w:val="-2"/>
        </w:rPr>
        <w:t xml:space="preserve"> </w:t>
      </w:r>
      <w:r w:rsidR="003F5452">
        <w:t>Mass.</w:t>
      </w:r>
      <w:r w:rsidR="003F5452">
        <w:rPr>
          <w:spacing w:val="-2"/>
        </w:rPr>
        <w:t xml:space="preserve"> </w:t>
      </w:r>
      <w:r w:rsidR="003F5452">
        <w:t>Gen.</w:t>
      </w:r>
      <w:r w:rsidR="003F5452">
        <w:rPr>
          <w:spacing w:val="-2"/>
        </w:rPr>
        <w:t xml:space="preserve"> </w:t>
      </w:r>
      <w:r w:rsidR="003F5452">
        <w:t>Laws</w:t>
      </w:r>
      <w:r w:rsidR="003F5452">
        <w:rPr>
          <w:spacing w:val="-2"/>
        </w:rPr>
        <w:t xml:space="preserve"> </w:t>
      </w:r>
      <w:proofErr w:type="spellStart"/>
      <w:r w:rsidR="003F5452">
        <w:t>ch.</w:t>
      </w:r>
      <w:proofErr w:type="spellEnd"/>
      <w:r w:rsidR="003F5452">
        <w:rPr>
          <w:spacing w:val="-2"/>
        </w:rPr>
        <w:t xml:space="preserve"> </w:t>
      </w:r>
      <w:r w:rsidR="003F5452">
        <w:t>6D,</w:t>
      </w:r>
      <w:r w:rsidR="003F5452">
        <w:rPr>
          <w:spacing w:val="-2"/>
        </w:rPr>
        <w:t xml:space="preserve"> </w:t>
      </w:r>
      <w:r w:rsidR="003F5452">
        <w:t>§</w:t>
      </w:r>
      <w:r w:rsidR="003F5452">
        <w:rPr>
          <w:spacing w:val="-2"/>
        </w:rPr>
        <w:t xml:space="preserve"> </w:t>
      </w:r>
      <w:r w:rsidR="003F5452">
        <w:t>9</w:t>
      </w:r>
      <w:r w:rsidR="003F5452">
        <w:rPr>
          <w:spacing w:val="-2"/>
        </w:rPr>
        <w:t xml:space="preserve"> </w:t>
      </w:r>
      <w:r w:rsidR="003F5452">
        <w:t>(requiring</w:t>
      </w:r>
      <w:r w:rsidR="003F5452">
        <w:rPr>
          <w:spacing w:val="-3"/>
        </w:rPr>
        <w:t xml:space="preserve"> </w:t>
      </w:r>
      <w:r w:rsidR="003F5452">
        <w:t>the</w:t>
      </w:r>
      <w:r w:rsidR="003F5452">
        <w:rPr>
          <w:spacing w:val="-4"/>
        </w:rPr>
        <w:t xml:space="preserve"> </w:t>
      </w:r>
      <w:r w:rsidR="003F5452">
        <w:t>HPC</w:t>
      </w:r>
      <w:r w:rsidR="003F5452">
        <w:rPr>
          <w:spacing w:val="-3"/>
        </w:rPr>
        <w:t xml:space="preserve"> </w:t>
      </w:r>
      <w:r w:rsidR="003F5452">
        <w:t>to</w:t>
      </w:r>
      <w:r w:rsidR="003F5452">
        <w:rPr>
          <w:spacing w:val="-3"/>
        </w:rPr>
        <w:t xml:space="preserve"> </w:t>
      </w:r>
      <w:r w:rsidR="003F5452">
        <w:t>establish</w:t>
      </w:r>
      <w:r w:rsidR="003F5452">
        <w:rPr>
          <w:spacing w:val="-3"/>
        </w:rPr>
        <w:t xml:space="preserve"> </w:t>
      </w:r>
      <w:r w:rsidR="003F5452">
        <w:t>annually</w:t>
      </w:r>
      <w:r w:rsidR="003F5452">
        <w:rPr>
          <w:spacing w:val="-2"/>
        </w:rPr>
        <w:t xml:space="preserve"> </w:t>
      </w:r>
      <w:r w:rsidR="003F5452">
        <w:t>“a</w:t>
      </w:r>
      <w:r w:rsidR="003F5452">
        <w:rPr>
          <w:spacing w:val="-3"/>
        </w:rPr>
        <w:t xml:space="preserve"> </w:t>
      </w:r>
      <w:r w:rsidR="003F5452">
        <w:t>health</w:t>
      </w:r>
      <w:r w:rsidR="003F5452">
        <w:rPr>
          <w:spacing w:val="-3"/>
        </w:rPr>
        <w:t xml:space="preserve"> </w:t>
      </w:r>
      <w:r w:rsidR="003F5452">
        <w:t>care cost growth benchmark for the average growth in total health care expenditures in the commonwealth,” pegged to the growth rate of the gross state product).</w:t>
      </w:r>
    </w:p>
  </w:footnote>
  <w:footnote w:id="101">
    <w:p w14:paraId="6C4826F6" w14:textId="77777777" w:rsidR="00342C97" w:rsidRDefault="00342C97" w:rsidP="00342C97">
      <w:pPr>
        <w:spacing w:before="92"/>
        <w:ind w:left="959" w:right="1092"/>
        <w:rPr>
          <w:sz w:val="20"/>
        </w:rPr>
      </w:pPr>
      <w:r>
        <w:rPr>
          <w:rStyle w:val="FootnoteReference"/>
        </w:rPr>
        <w:footnoteRef/>
      </w:r>
      <w:r>
        <w:t xml:space="preserve"> </w:t>
      </w:r>
      <w:r>
        <w:rPr>
          <w:sz w:val="20"/>
        </w:rPr>
        <w:t>The</w:t>
      </w:r>
      <w:r>
        <w:rPr>
          <w:spacing w:val="-3"/>
          <w:sz w:val="20"/>
        </w:rPr>
        <w:t xml:space="preserve"> </w:t>
      </w:r>
      <w:r>
        <w:rPr>
          <w:sz w:val="20"/>
        </w:rPr>
        <w:t>CMIR</w:t>
      </w:r>
      <w:r>
        <w:rPr>
          <w:spacing w:val="-3"/>
          <w:sz w:val="20"/>
        </w:rPr>
        <w:t xml:space="preserve"> </w:t>
      </w:r>
      <w:r>
        <w:rPr>
          <w:sz w:val="20"/>
        </w:rPr>
        <w:t>statute</w:t>
      </w:r>
      <w:r>
        <w:rPr>
          <w:spacing w:val="-3"/>
          <w:sz w:val="20"/>
        </w:rPr>
        <w:t xml:space="preserve"> </w:t>
      </w:r>
      <w:r>
        <w:rPr>
          <w:sz w:val="20"/>
        </w:rPr>
        <w:t>directs</w:t>
      </w:r>
      <w:r>
        <w:rPr>
          <w:spacing w:val="-2"/>
          <w:sz w:val="20"/>
        </w:rPr>
        <w:t xml:space="preserve"> </w:t>
      </w:r>
      <w:r>
        <w:rPr>
          <w:sz w:val="20"/>
        </w:rPr>
        <w:t>the</w:t>
      </w:r>
      <w:r>
        <w:rPr>
          <w:spacing w:val="-3"/>
          <w:sz w:val="20"/>
        </w:rPr>
        <w:t xml:space="preserve"> </w:t>
      </w:r>
      <w:r>
        <w:rPr>
          <w:sz w:val="20"/>
        </w:rPr>
        <w:t>HPC</w:t>
      </w:r>
      <w:r>
        <w:rPr>
          <w:spacing w:val="-3"/>
          <w:sz w:val="20"/>
        </w:rPr>
        <w:t xml:space="preserve"> </w:t>
      </w:r>
      <w:r>
        <w:rPr>
          <w:sz w:val="20"/>
        </w:rPr>
        <w:t>to</w:t>
      </w:r>
      <w:r>
        <w:rPr>
          <w:spacing w:val="-3"/>
          <w:sz w:val="20"/>
        </w:rPr>
        <w:t xml:space="preserve"> </w:t>
      </w:r>
      <w:r>
        <w:rPr>
          <w:sz w:val="20"/>
        </w:rPr>
        <w:t>“examine</w:t>
      </w:r>
      <w:r>
        <w:rPr>
          <w:spacing w:val="-3"/>
          <w:sz w:val="20"/>
        </w:rPr>
        <w:t xml:space="preserve"> </w:t>
      </w:r>
      <w:r>
        <w:rPr>
          <w:sz w:val="20"/>
        </w:rPr>
        <w:t>factors</w:t>
      </w:r>
      <w:r>
        <w:rPr>
          <w:spacing w:val="-2"/>
          <w:sz w:val="20"/>
        </w:rPr>
        <w:t xml:space="preserve"> </w:t>
      </w:r>
      <w:r>
        <w:rPr>
          <w:sz w:val="20"/>
        </w:rPr>
        <w:t>relating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provider</w:t>
      </w:r>
      <w:r>
        <w:rPr>
          <w:spacing w:val="-3"/>
          <w:sz w:val="20"/>
        </w:rPr>
        <w:t xml:space="preserve"> </w:t>
      </w:r>
      <w:r>
        <w:rPr>
          <w:sz w:val="20"/>
        </w:rPr>
        <w:t>or</w:t>
      </w:r>
      <w:r>
        <w:rPr>
          <w:spacing w:val="-3"/>
          <w:sz w:val="20"/>
        </w:rPr>
        <w:t xml:space="preserve"> </w:t>
      </w:r>
      <w:r>
        <w:rPr>
          <w:sz w:val="20"/>
        </w:rPr>
        <w:t>provider</w:t>
      </w:r>
      <w:r>
        <w:rPr>
          <w:spacing w:val="-3"/>
          <w:sz w:val="20"/>
        </w:rPr>
        <w:t xml:space="preserve"> </w:t>
      </w:r>
      <w:r>
        <w:rPr>
          <w:sz w:val="20"/>
        </w:rPr>
        <w:t xml:space="preserve">organization’s business and its relative market position,” including “the provider or provider organization’s size and market share within its </w:t>
      </w:r>
      <w:r>
        <w:rPr>
          <w:i/>
          <w:sz w:val="20"/>
        </w:rPr>
        <w:t>primary service areas</w:t>
      </w:r>
      <w:r>
        <w:rPr>
          <w:sz w:val="20"/>
        </w:rPr>
        <w:t xml:space="preserve">” and “the provider or provider organization’s impact on competing options for the delivery of health care services within its </w:t>
      </w:r>
      <w:r>
        <w:rPr>
          <w:i/>
          <w:sz w:val="20"/>
        </w:rPr>
        <w:t>primary service areas</w:t>
      </w:r>
      <w:r>
        <w:rPr>
          <w:sz w:val="20"/>
        </w:rPr>
        <w:t>.” Mass. Gen.</w:t>
      </w:r>
    </w:p>
    <w:p w14:paraId="270BAD4B" w14:textId="27B96541" w:rsidR="00342C97" w:rsidRDefault="00342C97" w:rsidP="00342C97">
      <w:pPr>
        <w:spacing w:before="1"/>
        <w:ind w:left="959" w:right="991"/>
        <w:rPr>
          <w:i/>
          <w:sz w:val="20"/>
        </w:rPr>
      </w:pPr>
      <w:r>
        <w:rPr>
          <w:sz w:val="20"/>
        </w:rPr>
        <w:t xml:space="preserve">Laws </w:t>
      </w:r>
      <w:proofErr w:type="spellStart"/>
      <w:r>
        <w:rPr>
          <w:sz w:val="20"/>
        </w:rPr>
        <w:t>ch.</w:t>
      </w:r>
      <w:proofErr w:type="spellEnd"/>
      <w:r>
        <w:rPr>
          <w:sz w:val="20"/>
        </w:rPr>
        <w:t xml:space="preserve"> 6D, § 13(d) (emphasis added). The HPC defines a hospital’s inpatient and outpatient primary service areas or PSAs as the areas from which a hospital draws 75% of its inpatient and outpatient commercial patients, respectively. For details regarding the HPC’s methodology for defining an inpatient PSA,</w:t>
      </w:r>
      <w:r>
        <w:rPr>
          <w:spacing w:val="-3"/>
          <w:sz w:val="20"/>
        </w:rPr>
        <w:t xml:space="preserve"> </w:t>
      </w:r>
      <w:r>
        <w:rPr>
          <w:sz w:val="20"/>
        </w:rPr>
        <w:t>see</w:t>
      </w:r>
      <w:r>
        <w:rPr>
          <w:spacing w:val="-4"/>
          <w:sz w:val="20"/>
        </w:rPr>
        <w:t xml:space="preserve"> </w:t>
      </w:r>
      <w:hyperlink r:id="rId139" w:history="1">
        <w:r w:rsidRPr="007328A9">
          <w:rPr>
            <w:rStyle w:val="Hyperlink"/>
            <w:color w:val="000000" w:themeColor="text1"/>
            <w:sz w:val="20"/>
            <w:u w:val="none"/>
          </w:rPr>
          <w:t>M</w:t>
        </w:r>
        <w:r w:rsidRPr="007328A9">
          <w:rPr>
            <w:rStyle w:val="Hyperlink"/>
            <w:color w:val="000000" w:themeColor="text1"/>
            <w:sz w:val="16"/>
            <w:u w:val="none"/>
          </w:rPr>
          <w:t>ASS</w:t>
        </w:r>
        <w:r w:rsidRPr="007328A9">
          <w:rPr>
            <w:rStyle w:val="Hyperlink"/>
            <w:color w:val="000000" w:themeColor="text1"/>
            <w:sz w:val="20"/>
            <w:u w:val="none"/>
          </w:rPr>
          <w:t>.</w:t>
        </w:r>
        <w:r w:rsidRPr="007328A9">
          <w:rPr>
            <w:rStyle w:val="Hyperlink"/>
            <w:color w:val="000000" w:themeColor="text1"/>
            <w:spacing w:val="-11"/>
            <w:sz w:val="20"/>
            <w:u w:val="none"/>
          </w:rPr>
          <w:t xml:space="preserve"> </w:t>
        </w:r>
        <w:r w:rsidRPr="007328A9">
          <w:rPr>
            <w:rStyle w:val="Hyperlink"/>
            <w:color w:val="000000" w:themeColor="text1"/>
            <w:sz w:val="20"/>
            <w:u w:val="none"/>
          </w:rPr>
          <w:t>H</w:t>
        </w:r>
        <w:r w:rsidRPr="007328A9">
          <w:rPr>
            <w:rStyle w:val="Hyperlink"/>
            <w:color w:val="000000" w:themeColor="text1"/>
            <w:sz w:val="16"/>
            <w:u w:val="none"/>
          </w:rPr>
          <w:t>EALTH</w:t>
        </w:r>
        <w:r w:rsidRPr="007328A9">
          <w:rPr>
            <w:rStyle w:val="Hyperlink"/>
            <w:color w:val="000000" w:themeColor="text1"/>
            <w:spacing w:val="-2"/>
            <w:sz w:val="16"/>
            <w:u w:val="none"/>
          </w:rPr>
          <w:t xml:space="preserve"> </w:t>
        </w:r>
        <w:r w:rsidRPr="007328A9">
          <w:rPr>
            <w:rStyle w:val="Hyperlink"/>
            <w:color w:val="000000" w:themeColor="text1"/>
            <w:sz w:val="20"/>
            <w:u w:val="none"/>
          </w:rPr>
          <w:t>P</w:t>
        </w:r>
        <w:r w:rsidRPr="007328A9">
          <w:rPr>
            <w:rStyle w:val="Hyperlink"/>
            <w:color w:val="000000" w:themeColor="text1"/>
            <w:sz w:val="16"/>
            <w:u w:val="none"/>
          </w:rPr>
          <w:t>OLICY</w:t>
        </w:r>
        <w:r w:rsidRPr="007328A9">
          <w:rPr>
            <w:rStyle w:val="Hyperlink"/>
            <w:color w:val="000000" w:themeColor="text1"/>
            <w:spacing w:val="-4"/>
            <w:sz w:val="16"/>
            <w:u w:val="none"/>
          </w:rPr>
          <w:t xml:space="preserve"> </w:t>
        </w:r>
        <w:r w:rsidRPr="007328A9">
          <w:rPr>
            <w:rStyle w:val="Hyperlink"/>
            <w:color w:val="000000" w:themeColor="text1"/>
            <w:sz w:val="20"/>
            <w:u w:val="none"/>
          </w:rPr>
          <w:t>C</w:t>
        </w:r>
        <w:r w:rsidRPr="007328A9">
          <w:rPr>
            <w:rStyle w:val="Hyperlink"/>
            <w:color w:val="000000" w:themeColor="text1"/>
            <w:sz w:val="16"/>
            <w:u w:val="none"/>
          </w:rPr>
          <w:t>OMM</w:t>
        </w:r>
        <w:r w:rsidRPr="007328A9">
          <w:rPr>
            <w:rStyle w:val="Hyperlink"/>
            <w:color w:val="000000" w:themeColor="text1"/>
            <w:sz w:val="20"/>
            <w:u w:val="none"/>
          </w:rPr>
          <w:t>’</w:t>
        </w:r>
        <w:r w:rsidRPr="007328A9">
          <w:rPr>
            <w:rStyle w:val="Hyperlink"/>
            <w:color w:val="000000" w:themeColor="text1"/>
            <w:sz w:val="16"/>
            <w:u w:val="none"/>
          </w:rPr>
          <w:t>N</w:t>
        </w:r>
        <w:r w:rsidRPr="007328A9">
          <w:rPr>
            <w:rStyle w:val="Hyperlink"/>
            <w:color w:val="000000" w:themeColor="text1"/>
            <w:sz w:val="20"/>
            <w:u w:val="none"/>
          </w:rPr>
          <w:t>,</w:t>
        </w:r>
        <w:r w:rsidRPr="007328A9">
          <w:rPr>
            <w:rStyle w:val="Hyperlink"/>
            <w:color w:val="000000" w:themeColor="text1"/>
            <w:spacing w:val="-11"/>
            <w:sz w:val="20"/>
            <w:u w:val="none"/>
          </w:rPr>
          <w:t xml:space="preserve"> </w:t>
        </w:r>
        <w:r w:rsidRPr="007328A9">
          <w:rPr>
            <w:rStyle w:val="Hyperlink"/>
            <w:color w:val="000000" w:themeColor="text1"/>
            <w:sz w:val="20"/>
            <w:u w:val="none"/>
          </w:rPr>
          <w:t>T</w:t>
        </w:r>
        <w:r w:rsidRPr="007328A9">
          <w:rPr>
            <w:rStyle w:val="Hyperlink"/>
            <w:color w:val="000000" w:themeColor="text1"/>
            <w:sz w:val="16"/>
            <w:u w:val="none"/>
          </w:rPr>
          <w:t>ECHNICAL</w:t>
        </w:r>
        <w:r w:rsidRPr="007328A9">
          <w:rPr>
            <w:rStyle w:val="Hyperlink"/>
            <w:color w:val="000000" w:themeColor="text1"/>
            <w:spacing w:val="-1"/>
            <w:sz w:val="16"/>
            <w:u w:val="none"/>
          </w:rPr>
          <w:t xml:space="preserve"> </w:t>
        </w:r>
        <w:r w:rsidRPr="007328A9">
          <w:rPr>
            <w:rStyle w:val="Hyperlink"/>
            <w:color w:val="000000" w:themeColor="text1"/>
            <w:sz w:val="20"/>
            <w:u w:val="none"/>
          </w:rPr>
          <w:t>B</w:t>
        </w:r>
        <w:r w:rsidRPr="007328A9">
          <w:rPr>
            <w:rStyle w:val="Hyperlink"/>
            <w:color w:val="000000" w:themeColor="text1"/>
            <w:sz w:val="16"/>
            <w:u w:val="none"/>
          </w:rPr>
          <w:t>ULLETIN</w:t>
        </w:r>
        <w:r w:rsidRPr="007328A9">
          <w:rPr>
            <w:rStyle w:val="Hyperlink"/>
            <w:color w:val="000000" w:themeColor="text1"/>
            <w:spacing w:val="-4"/>
            <w:sz w:val="16"/>
            <w:u w:val="none"/>
          </w:rPr>
          <w:t xml:space="preserve"> </w:t>
        </w:r>
        <w:r w:rsidRPr="007328A9">
          <w:rPr>
            <w:rStyle w:val="Hyperlink"/>
            <w:color w:val="000000" w:themeColor="text1"/>
            <w:sz w:val="16"/>
            <w:u w:val="none"/>
          </w:rPr>
          <w:t>FOR</w:t>
        </w:r>
        <w:r w:rsidRPr="007328A9">
          <w:rPr>
            <w:rStyle w:val="Hyperlink"/>
            <w:color w:val="000000" w:themeColor="text1"/>
            <w:spacing w:val="-2"/>
            <w:sz w:val="16"/>
            <w:u w:val="none"/>
          </w:rPr>
          <w:t xml:space="preserve"> </w:t>
        </w:r>
        <w:r w:rsidRPr="007328A9">
          <w:rPr>
            <w:rStyle w:val="Hyperlink"/>
            <w:color w:val="000000" w:themeColor="text1"/>
            <w:sz w:val="20"/>
            <w:u w:val="none"/>
          </w:rPr>
          <w:t>958</w:t>
        </w:r>
        <w:r w:rsidRPr="007328A9">
          <w:rPr>
            <w:rStyle w:val="Hyperlink"/>
            <w:color w:val="000000" w:themeColor="text1"/>
            <w:spacing w:val="-11"/>
            <w:sz w:val="20"/>
            <w:u w:val="none"/>
          </w:rPr>
          <w:t xml:space="preserve"> </w:t>
        </w:r>
        <w:r w:rsidRPr="007328A9">
          <w:rPr>
            <w:rStyle w:val="Hyperlink"/>
            <w:color w:val="000000" w:themeColor="text1"/>
            <w:sz w:val="20"/>
            <w:u w:val="none"/>
          </w:rPr>
          <w:t>CMR</w:t>
        </w:r>
        <w:r w:rsidRPr="007328A9">
          <w:rPr>
            <w:rStyle w:val="Hyperlink"/>
            <w:color w:val="000000" w:themeColor="text1"/>
            <w:spacing w:val="-11"/>
            <w:sz w:val="20"/>
            <w:u w:val="none"/>
          </w:rPr>
          <w:t xml:space="preserve"> </w:t>
        </w:r>
        <w:r w:rsidRPr="007328A9">
          <w:rPr>
            <w:rStyle w:val="Hyperlink"/>
            <w:color w:val="000000" w:themeColor="text1"/>
            <w:sz w:val="20"/>
            <w:u w:val="none"/>
          </w:rPr>
          <w:t>7.00:</w:t>
        </w:r>
        <w:r w:rsidRPr="007328A9">
          <w:rPr>
            <w:rStyle w:val="Hyperlink"/>
            <w:color w:val="000000" w:themeColor="text1"/>
            <w:spacing w:val="-13"/>
            <w:sz w:val="20"/>
            <w:u w:val="none"/>
          </w:rPr>
          <w:t xml:space="preserve"> </w:t>
        </w:r>
        <w:r w:rsidRPr="007328A9">
          <w:rPr>
            <w:rStyle w:val="Hyperlink"/>
            <w:color w:val="000000" w:themeColor="text1"/>
            <w:sz w:val="20"/>
            <w:u w:val="none"/>
          </w:rPr>
          <w:t>N</w:t>
        </w:r>
        <w:r w:rsidRPr="007328A9">
          <w:rPr>
            <w:rStyle w:val="Hyperlink"/>
            <w:color w:val="000000" w:themeColor="text1"/>
            <w:sz w:val="16"/>
            <w:u w:val="none"/>
          </w:rPr>
          <w:t>OTICES</w:t>
        </w:r>
        <w:r w:rsidRPr="007328A9">
          <w:rPr>
            <w:rStyle w:val="Hyperlink"/>
            <w:color w:val="000000" w:themeColor="text1"/>
            <w:spacing w:val="-2"/>
            <w:sz w:val="16"/>
            <w:u w:val="none"/>
          </w:rPr>
          <w:t xml:space="preserve"> </w:t>
        </w:r>
        <w:r w:rsidRPr="007328A9">
          <w:rPr>
            <w:rStyle w:val="Hyperlink"/>
            <w:color w:val="000000" w:themeColor="text1"/>
            <w:sz w:val="16"/>
            <w:u w:val="none"/>
          </w:rPr>
          <w:t>OF</w:t>
        </w:r>
        <w:r w:rsidRPr="007328A9">
          <w:rPr>
            <w:rStyle w:val="Hyperlink"/>
            <w:color w:val="000000" w:themeColor="text1"/>
            <w:spacing w:val="-7"/>
            <w:sz w:val="16"/>
            <w:u w:val="none"/>
          </w:rPr>
          <w:t xml:space="preserve"> </w:t>
        </w:r>
        <w:r w:rsidRPr="007328A9">
          <w:rPr>
            <w:rStyle w:val="Hyperlink"/>
            <w:color w:val="000000" w:themeColor="text1"/>
            <w:sz w:val="20"/>
            <w:u w:val="none"/>
          </w:rPr>
          <w:t>M</w:t>
        </w:r>
        <w:r w:rsidRPr="007328A9">
          <w:rPr>
            <w:rStyle w:val="Hyperlink"/>
            <w:color w:val="000000" w:themeColor="text1"/>
            <w:sz w:val="16"/>
            <w:u w:val="none"/>
          </w:rPr>
          <w:t>ATERIAL</w:t>
        </w:r>
        <w:r w:rsidRPr="007328A9">
          <w:rPr>
            <w:rStyle w:val="Hyperlink"/>
            <w:color w:val="000000" w:themeColor="text1"/>
            <w:spacing w:val="-1"/>
            <w:sz w:val="16"/>
            <w:u w:val="none"/>
          </w:rPr>
          <w:t xml:space="preserve"> </w:t>
        </w:r>
        <w:r w:rsidRPr="007328A9">
          <w:rPr>
            <w:rStyle w:val="Hyperlink"/>
            <w:color w:val="000000" w:themeColor="text1"/>
            <w:sz w:val="20"/>
            <w:u w:val="none"/>
          </w:rPr>
          <w:t>C</w:t>
        </w:r>
        <w:r w:rsidRPr="007328A9">
          <w:rPr>
            <w:rStyle w:val="Hyperlink"/>
            <w:color w:val="000000" w:themeColor="text1"/>
            <w:sz w:val="16"/>
            <w:u w:val="none"/>
          </w:rPr>
          <w:t>HANGE</w:t>
        </w:r>
        <w:r w:rsidRPr="007328A9">
          <w:rPr>
            <w:rStyle w:val="Hyperlink"/>
            <w:color w:val="000000" w:themeColor="text1"/>
            <w:spacing w:val="-3"/>
            <w:sz w:val="16"/>
            <w:u w:val="none"/>
          </w:rPr>
          <w:t xml:space="preserve"> </w:t>
        </w:r>
        <w:r w:rsidRPr="007328A9">
          <w:rPr>
            <w:rStyle w:val="Hyperlink"/>
            <w:color w:val="000000" w:themeColor="text1"/>
            <w:sz w:val="16"/>
            <w:u w:val="none"/>
          </w:rPr>
          <w:t>AND</w:t>
        </w:r>
        <w:r w:rsidRPr="007328A9">
          <w:rPr>
            <w:rStyle w:val="Hyperlink"/>
            <w:color w:val="000000" w:themeColor="text1"/>
            <w:spacing w:val="40"/>
            <w:sz w:val="16"/>
            <w:u w:val="none"/>
          </w:rPr>
          <w:t xml:space="preserve"> </w:t>
        </w:r>
        <w:r w:rsidRPr="007328A9">
          <w:rPr>
            <w:rStyle w:val="Hyperlink"/>
            <w:color w:val="000000" w:themeColor="text1"/>
            <w:sz w:val="20"/>
            <w:u w:val="none"/>
          </w:rPr>
          <w:t>C</w:t>
        </w:r>
        <w:r w:rsidRPr="007328A9">
          <w:rPr>
            <w:rStyle w:val="Hyperlink"/>
            <w:color w:val="000000" w:themeColor="text1"/>
            <w:sz w:val="16"/>
            <w:u w:val="none"/>
          </w:rPr>
          <w:t xml:space="preserve">OST AND </w:t>
        </w:r>
        <w:r w:rsidRPr="007328A9">
          <w:rPr>
            <w:rStyle w:val="Hyperlink"/>
            <w:color w:val="000000" w:themeColor="text1"/>
            <w:sz w:val="20"/>
            <w:u w:val="none"/>
          </w:rPr>
          <w:t>M</w:t>
        </w:r>
        <w:r w:rsidRPr="007328A9">
          <w:rPr>
            <w:rStyle w:val="Hyperlink"/>
            <w:color w:val="000000" w:themeColor="text1"/>
            <w:sz w:val="16"/>
            <w:u w:val="none"/>
          </w:rPr>
          <w:t xml:space="preserve">ARKET </w:t>
        </w:r>
        <w:r w:rsidRPr="007328A9">
          <w:rPr>
            <w:rStyle w:val="Hyperlink"/>
            <w:color w:val="000000" w:themeColor="text1"/>
            <w:sz w:val="20"/>
            <w:u w:val="none"/>
          </w:rPr>
          <w:t>I</w:t>
        </w:r>
        <w:r w:rsidRPr="007328A9">
          <w:rPr>
            <w:rStyle w:val="Hyperlink"/>
            <w:color w:val="000000" w:themeColor="text1"/>
            <w:sz w:val="16"/>
            <w:u w:val="none"/>
          </w:rPr>
          <w:t xml:space="preserve">MPACT </w:t>
        </w:r>
        <w:r w:rsidRPr="007328A9">
          <w:rPr>
            <w:rStyle w:val="Hyperlink"/>
            <w:color w:val="000000" w:themeColor="text1"/>
            <w:sz w:val="20"/>
            <w:u w:val="none"/>
          </w:rPr>
          <w:t>R</w:t>
        </w:r>
        <w:r w:rsidRPr="007328A9">
          <w:rPr>
            <w:rStyle w:val="Hyperlink"/>
            <w:color w:val="000000" w:themeColor="text1"/>
            <w:sz w:val="16"/>
            <w:u w:val="none"/>
          </w:rPr>
          <w:t xml:space="preserve">EVIEWS </w:t>
        </w:r>
        <w:r w:rsidRPr="007328A9">
          <w:rPr>
            <w:rStyle w:val="Hyperlink"/>
            <w:color w:val="000000" w:themeColor="text1"/>
            <w:sz w:val="20"/>
            <w:u w:val="none"/>
          </w:rPr>
          <w:t>at 5-6</w:t>
        </w:r>
      </w:hyperlink>
      <w:r w:rsidRPr="007328A9">
        <w:rPr>
          <w:color w:val="000000" w:themeColor="text1"/>
          <w:sz w:val="20"/>
        </w:rPr>
        <w:t xml:space="preserve"> (Aug</w:t>
      </w:r>
      <w:r>
        <w:rPr>
          <w:sz w:val="20"/>
        </w:rPr>
        <w:t xml:space="preserve">. 6, 2014), </w:t>
      </w:r>
      <w:r>
        <w:rPr>
          <w:i/>
          <w:sz w:val="20"/>
        </w:rPr>
        <w:t>available at</w:t>
      </w:r>
    </w:p>
    <w:p w14:paraId="0603EEE4" w14:textId="34732BCC" w:rsidR="00342C97" w:rsidRDefault="00342C97" w:rsidP="00342C97">
      <w:pPr>
        <w:spacing w:before="1"/>
        <w:ind w:left="959" w:right="891" w:hanging="1"/>
        <w:rPr>
          <w:i/>
          <w:sz w:val="20"/>
        </w:rPr>
      </w:pPr>
      <w:hyperlink r:id="rId140">
        <w:r>
          <w:rPr>
            <w:color w:val="486794"/>
            <w:sz w:val="20"/>
            <w:u w:val="single" w:color="486794"/>
          </w:rPr>
          <w:t>https://masshpc.gov/sites/default/files/2023-04/958cmr7.00-technicalbulletin.pdf</w:t>
        </w:r>
      </w:hyperlink>
      <w:r>
        <w:rPr>
          <w:color w:val="486794"/>
          <w:sz w:val="20"/>
        </w:rPr>
        <w:t xml:space="preserve"> </w:t>
      </w:r>
      <w:r>
        <w:rPr>
          <w:sz w:val="20"/>
        </w:rPr>
        <w:t>(last visited February 27, 2025). As articulated by the Federal Trade Commission and Department of Justice, “[a]</w:t>
      </w:r>
      <w:proofErr w:type="spellStart"/>
      <w:r>
        <w:rPr>
          <w:sz w:val="20"/>
        </w:rPr>
        <w:t>lthough</w:t>
      </w:r>
      <w:proofErr w:type="spellEnd"/>
      <w:r>
        <w:rPr>
          <w:sz w:val="20"/>
        </w:rPr>
        <w:t xml:space="preserve"> a PSA does not necessarily constitute a relevant geographic market, it nonetheless serves as a useful screen for evaluating</w:t>
      </w:r>
      <w:r>
        <w:rPr>
          <w:spacing w:val="-2"/>
          <w:sz w:val="20"/>
        </w:rPr>
        <w:t xml:space="preserve"> </w:t>
      </w:r>
      <w:r>
        <w:rPr>
          <w:sz w:val="20"/>
        </w:rPr>
        <w:t>potential</w:t>
      </w:r>
      <w:r>
        <w:rPr>
          <w:spacing w:val="-5"/>
          <w:sz w:val="20"/>
        </w:rPr>
        <w:t xml:space="preserve"> </w:t>
      </w:r>
      <w:r>
        <w:rPr>
          <w:sz w:val="20"/>
        </w:rPr>
        <w:t>competitive</w:t>
      </w:r>
      <w:r>
        <w:rPr>
          <w:spacing w:val="-6"/>
          <w:sz w:val="20"/>
        </w:rPr>
        <w:t xml:space="preserve"> </w:t>
      </w:r>
      <w:r>
        <w:rPr>
          <w:sz w:val="20"/>
        </w:rPr>
        <w:t>effects.”</w:t>
      </w:r>
      <w:r>
        <w:rPr>
          <w:spacing w:val="-6"/>
          <w:sz w:val="20"/>
        </w:rPr>
        <w:t xml:space="preserve"> </w:t>
      </w:r>
      <w:hyperlink r:id="rId141" w:history="1">
        <w:r w:rsidRPr="00577E3D">
          <w:rPr>
            <w:rStyle w:val="Hyperlink"/>
            <w:color w:val="000000" w:themeColor="text1"/>
            <w:sz w:val="20"/>
            <w:u w:val="none"/>
          </w:rPr>
          <w:t>Statement</w:t>
        </w:r>
        <w:r w:rsidRPr="00577E3D">
          <w:rPr>
            <w:rStyle w:val="Hyperlink"/>
            <w:color w:val="000000" w:themeColor="text1"/>
            <w:spacing w:val="-4"/>
            <w:sz w:val="20"/>
            <w:u w:val="none"/>
          </w:rPr>
          <w:t xml:space="preserve"> </w:t>
        </w:r>
        <w:r w:rsidRPr="00577E3D">
          <w:rPr>
            <w:rStyle w:val="Hyperlink"/>
            <w:color w:val="000000" w:themeColor="text1"/>
            <w:sz w:val="20"/>
            <w:u w:val="none"/>
          </w:rPr>
          <w:t>of</w:t>
        </w:r>
        <w:r w:rsidRPr="00577E3D">
          <w:rPr>
            <w:rStyle w:val="Hyperlink"/>
            <w:color w:val="000000" w:themeColor="text1"/>
            <w:spacing w:val="-5"/>
            <w:sz w:val="20"/>
            <w:u w:val="none"/>
          </w:rPr>
          <w:t xml:space="preserve"> </w:t>
        </w:r>
        <w:r w:rsidRPr="00577E3D">
          <w:rPr>
            <w:rStyle w:val="Hyperlink"/>
            <w:color w:val="000000" w:themeColor="text1"/>
            <w:sz w:val="20"/>
            <w:u w:val="none"/>
          </w:rPr>
          <w:t>Antitrust</w:t>
        </w:r>
        <w:r w:rsidRPr="00577E3D">
          <w:rPr>
            <w:rStyle w:val="Hyperlink"/>
            <w:color w:val="000000" w:themeColor="text1"/>
            <w:spacing w:val="-4"/>
            <w:sz w:val="20"/>
            <w:u w:val="none"/>
          </w:rPr>
          <w:t xml:space="preserve"> </w:t>
        </w:r>
        <w:r w:rsidRPr="00577E3D">
          <w:rPr>
            <w:rStyle w:val="Hyperlink"/>
            <w:color w:val="000000" w:themeColor="text1"/>
            <w:sz w:val="20"/>
            <w:u w:val="none"/>
          </w:rPr>
          <w:t>Enforcement</w:t>
        </w:r>
        <w:r w:rsidRPr="00577E3D">
          <w:rPr>
            <w:rStyle w:val="Hyperlink"/>
            <w:color w:val="000000" w:themeColor="text1"/>
            <w:spacing w:val="-4"/>
            <w:sz w:val="20"/>
            <w:u w:val="none"/>
          </w:rPr>
          <w:t xml:space="preserve"> </w:t>
        </w:r>
        <w:r w:rsidRPr="00577E3D">
          <w:rPr>
            <w:rStyle w:val="Hyperlink"/>
            <w:color w:val="000000" w:themeColor="text1"/>
            <w:sz w:val="20"/>
            <w:u w:val="none"/>
          </w:rPr>
          <w:t>Policy</w:t>
        </w:r>
        <w:r w:rsidRPr="00577E3D">
          <w:rPr>
            <w:rStyle w:val="Hyperlink"/>
            <w:color w:val="000000" w:themeColor="text1"/>
            <w:spacing w:val="-6"/>
            <w:sz w:val="20"/>
            <w:u w:val="none"/>
          </w:rPr>
          <w:t xml:space="preserve"> </w:t>
        </w:r>
        <w:r w:rsidRPr="00577E3D">
          <w:rPr>
            <w:rStyle w:val="Hyperlink"/>
            <w:color w:val="000000" w:themeColor="text1"/>
            <w:sz w:val="20"/>
            <w:u w:val="none"/>
          </w:rPr>
          <w:t>Regarding</w:t>
        </w:r>
        <w:r w:rsidRPr="00577E3D">
          <w:rPr>
            <w:rStyle w:val="Hyperlink"/>
            <w:color w:val="000000" w:themeColor="text1"/>
            <w:spacing w:val="-5"/>
            <w:sz w:val="20"/>
            <w:u w:val="none"/>
          </w:rPr>
          <w:t xml:space="preserve"> </w:t>
        </w:r>
        <w:r w:rsidRPr="00577E3D">
          <w:rPr>
            <w:rStyle w:val="Hyperlink"/>
            <w:color w:val="000000" w:themeColor="text1"/>
            <w:sz w:val="20"/>
            <w:u w:val="none"/>
          </w:rPr>
          <w:t>Accountable Care Organizations (ACO),</w:t>
        </w:r>
      </w:hyperlink>
      <w:r w:rsidRPr="00577E3D">
        <w:rPr>
          <w:color w:val="000000" w:themeColor="text1"/>
          <w:sz w:val="20"/>
        </w:rPr>
        <w:t xml:space="preserve"> 76 Fed. Reg</w:t>
      </w:r>
      <w:r>
        <w:rPr>
          <w:sz w:val="20"/>
        </w:rPr>
        <w:t xml:space="preserve">. 67026, 67028 at 3 (Oct. 28, 2011), </w:t>
      </w:r>
      <w:r>
        <w:rPr>
          <w:i/>
          <w:sz w:val="20"/>
        </w:rPr>
        <w:t>available at</w:t>
      </w:r>
    </w:p>
    <w:p w14:paraId="655BC6CE" w14:textId="5FF04FBB" w:rsidR="00342C97" w:rsidRDefault="00342C97" w:rsidP="00342C97">
      <w:pPr>
        <w:pStyle w:val="FootnoteText"/>
        <w:ind w:left="959" w:right="891" w:hanging="1"/>
      </w:pPr>
      <w:hyperlink r:id="rId142">
        <w:r>
          <w:rPr>
            <w:color w:val="486794"/>
            <w:u w:val="single" w:color="486794"/>
          </w:rPr>
          <w:t>http://www.gpo.gov/fdsys/pkg/FR-2011-10-28/pdf/2011-27944.pdf</w:t>
        </w:r>
      </w:hyperlink>
      <w:r>
        <w:rPr>
          <w:color w:val="486794"/>
        </w:rPr>
        <w:t xml:space="preserve"> </w:t>
      </w:r>
      <w:r>
        <w:t>(last visited February 27, 2025).</w:t>
      </w:r>
    </w:p>
  </w:footnote>
  <w:footnote w:id="102">
    <w:p w14:paraId="4AEC2F26" w14:textId="77777777" w:rsidR="007E3035" w:rsidRDefault="007E3035" w:rsidP="007E3035">
      <w:pPr>
        <w:ind w:left="960" w:right="1249"/>
        <w:rPr>
          <w:sz w:val="20"/>
        </w:rPr>
      </w:pPr>
      <w:r>
        <w:rPr>
          <w:rStyle w:val="FootnoteReference"/>
        </w:rPr>
        <w:footnoteRef/>
      </w:r>
      <w:r>
        <w:t xml:space="preserve"> </w:t>
      </w:r>
      <w:r>
        <w:rPr>
          <w:sz w:val="20"/>
        </w:rPr>
        <w:t>HPC analysis of 2022 CHIA hospital discharge data show that out-of-state patients made up 21% of discharges from DFCI’s licensed beds and 23.6% of medical oncology discharges for DFCI and BWH combined.</w:t>
      </w:r>
      <w:r>
        <w:rPr>
          <w:spacing w:val="-3"/>
          <w:sz w:val="20"/>
        </w:rPr>
        <w:t xml:space="preserve"> </w:t>
      </w:r>
      <w:r>
        <w:rPr>
          <w:sz w:val="20"/>
        </w:rPr>
        <w:t>Out-of-state</w:t>
      </w:r>
      <w:r>
        <w:rPr>
          <w:spacing w:val="-4"/>
          <w:sz w:val="20"/>
        </w:rPr>
        <w:t xml:space="preserve"> </w:t>
      </w:r>
      <w:r>
        <w:rPr>
          <w:sz w:val="20"/>
        </w:rPr>
        <w:t>patients</w:t>
      </w:r>
      <w:r>
        <w:rPr>
          <w:spacing w:val="-3"/>
          <w:sz w:val="20"/>
        </w:rPr>
        <w:t xml:space="preserve"> </w:t>
      </w:r>
      <w:r>
        <w:rPr>
          <w:sz w:val="20"/>
        </w:rPr>
        <w:t>made</w:t>
      </w:r>
      <w:r>
        <w:rPr>
          <w:spacing w:val="-4"/>
          <w:sz w:val="20"/>
        </w:rPr>
        <w:t xml:space="preserve"> </w:t>
      </w:r>
      <w:r>
        <w:rPr>
          <w:sz w:val="20"/>
        </w:rPr>
        <w:t>up</w:t>
      </w:r>
      <w:r>
        <w:rPr>
          <w:spacing w:val="-4"/>
          <w:sz w:val="20"/>
        </w:rPr>
        <w:t xml:space="preserve"> </w:t>
      </w:r>
      <w:r>
        <w:rPr>
          <w:sz w:val="20"/>
        </w:rPr>
        <w:t>4.4%</w:t>
      </w:r>
      <w:r>
        <w:rPr>
          <w:spacing w:val="-3"/>
          <w:sz w:val="20"/>
        </w:rPr>
        <w:t xml:space="preserve"> </w:t>
      </w:r>
      <w:r>
        <w:rPr>
          <w:sz w:val="20"/>
        </w:rPr>
        <w:t>of</w:t>
      </w:r>
      <w:r>
        <w:rPr>
          <w:spacing w:val="-3"/>
          <w:sz w:val="20"/>
        </w:rPr>
        <w:t xml:space="preserve"> </w:t>
      </w:r>
      <w:r>
        <w:rPr>
          <w:sz w:val="20"/>
        </w:rPr>
        <w:t>BIDMC</w:t>
      </w:r>
      <w:r>
        <w:rPr>
          <w:spacing w:val="-3"/>
          <w:sz w:val="20"/>
        </w:rPr>
        <w:t xml:space="preserve"> </w:t>
      </w:r>
      <w:r>
        <w:rPr>
          <w:sz w:val="20"/>
        </w:rPr>
        <w:t>medical</w:t>
      </w:r>
      <w:r>
        <w:rPr>
          <w:spacing w:val="-3"/>
          <w:sz w:val="20"/>
        </w:rPr>
        <w:t xml:space="preserve"> </w:t>
      </w:r>
      <w:r>
        <w:rPr>
          <w:sz w:val="20"/>
        </w:rPr>
        <w:t>oncology</w:t>
      </w:r>
      <w:r>
        <w:rPr>
          <w:spacing w:val="-4"/>
          <w:sz w:val="20"/>
        </w:rPr>
        <w:t xml:space="preserve"> </w:t>
      </w:r>
      <w:r>
        <w:rPr>
          <w:sz w:val="20"/>
        </w:rPr>
        <w:t>discharges</w:t>
      </w:r>
      <w:r>
        <w:rPr>
          <w:spacing w:val="-1"/>
          <w:sz w:val="20"/>
        </w:rPr>
        <w:t xml:space="preserve"> </w:t>
      </w:r>
      <w:r>
        <w:rPr>
          <w:sz w:val="20"/>
        </w:rPr>
        <w:t>in</w:t>
      </w:r>
      <w:r>
        <w:rPr>
          <w:spacing w:val="-3"/>
          <w:sz w:val="20"/>
        </w:rPr>
        <w:t xml:space="preserve"> </w:t>
      </w:r>
      <w:r>
        <w:rPr>
          <w:sz w:val="20"/>
        </w:rPr>
        <w:t>that</w:t>
      </w:r>
      <w:r>
        <w:rPr>
          <w:spacing w:val="-3"/>
          <w:sz w:val="20"/>
        </w:rPr>
        <w:t xml:space="preserve"> </w:t>
      </w:r>
      <w:r>
        <w:rPr>
          <w:sz w:val="20"/>
        </w:rPr>
        <w:t>year.</w:t>
      </w:r>
      <w:r>
        <w:rPr>
          <w:spacing w:val="-3"/>
          <w:sz w:val="20"/>
        </w:rPr>
        <w:t xml:space="preserve"> </w:t>
      </w:r>
      <w:r>
        <w:rPr>
          <w:sz w:val="20"/>
        </w:rPr>
        <w:t>While out-of-state</w:t>
      </w:r>
      <w:r>
        <w:rPr>
          <w:spacing w:val="-1"/>
          <w:sz w:val="20"/>
        </w:rPr>
        <w:t xml:space="preserve"> </w:t>
      </w:r>
      <w:r>
        <w:rPr>
          <w:sz w:val="20"/>
        </w:rPr>
        <w:t>patients are</w:t>
      </w:r>
      <w:r>
        <w:rPr>
          <w:spacing w:val="-1"/>
          <w:sz w:val="20"/>
        </w:rPr>
        <w:t xml:space="preserve"> </w:t>
      </w:r>
      <w:r>
        <w:rPr>
          <w:sz w:val="20"/>
        </w:rPr>
        <w:t>a substantial component of DFCI’s patient base</w:t>
      </w:r>
      <w:r>
        <w:rPr>
          <w:spacing w:val="-1"/>
          <w:sz w:val="20"/>
        </w:rPr>
        <w:t xml:space="preserve"> </w:t>
      </w:r>
      <w:r>
        <w:rPr>
          <w:sz w:val="20"/>
        </w:rPr>
        <w:t>and the</w:t>
      </w:r>
      <w:r>
        <w:rPr>
          <w:spacing w:val="-1"/>
          <w:sz w:val="20"/>
        </w:rPr>
        <w:t xml:space="preserve"> </w:t>
      </w:r>
      <w:r>
        <w:rPr>
          <w:sz w:val="20"/>
        </w:rPr>
        <w:t>HPC assumes DFCI will</w:t>
      </w:r>
    </w:p>
    <w:p w14:paraId="61D9B233" w14:textId="77777777" w:rsidR="007E3035" w:rsidRDefault="007E3035" w:rsidP="007E3035">
      <w:pPr>
        <w:spacing w:before="1"/>
        <w:ind w:left="959" w:right="752"/>
        <w:rPr>
          <w:sz w:val="20"/>
        </w:rPr>
      </w:pPr>
      <w:r>
        <w:rPr>
          <w:sz w:val="20"/>
        </w:rPr>
        <w:t>continue</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an</w:t>
      </w:r>
      <w:r>
        <w:rPr>
          <w:spacing w:val="-3"/>
          <w:sz w:val="20"/>
        </w:rPr>
        <w:t xml:space="preserve"> </w:t>
      </w:r>
      <w:r>
        <w:rPr>
          <w:sz w:val="20"/>
        </w:rPr>
        <w:t>important</w:t>
      </w:r>
      <w:r>
        <w:rPr>
          <w:spacing w:val="-2"/>
          <w:sz w:val="20"/>
        </w:rPr>
        <w:t xml:space="preserve"> </w:t>
      </w:r>
      <w:r>
        <w:rPr>
          <w:sz w:val="20"/>
        </w:rPr>
        <w:t>resource</w:t>
      </w:r>
      <w:r>
        <w:rPr>
          <w:spacing w:val="-4"/>
          <w:sz w:val="20"/>
        </w:rPr>
        <w:t xml:space="preserve"> </w:t>
      </w:r>
      <w:r>
        <w:rPr>
          <w:sz w:val="20"/>
        </w:rPr>
        <w:t>for</w:t>
      </w:r>
      <w:r>
        <w:rPr>
          <w:spacing w:val="-4"/>
          <w:sz w:val="20"/>
        </w:rPr>
        <w:t xml:space="preserve"> </w:t>
      </w:r>
      <w:r>
        <w:rPr>
          <w:sz w:val="20"/>
        </w:rPr>
        <w:t>non-Massachusetts</w:t>
      </w:r>
      <w:r>
        <w:rPr>
          <w:spacing w:val="-2"/>
          <w:sz w:val="20"/>
        </w:rPr>
        <w:t xml:space="preserve"> </w:t>
      </w:r>
      <w:r>
        <w:rPr>
          <w:sz w:val="20"/>
        </w:rPr>
        <w:t>residents</w:t>
      </w:r>
      <w:r>
        <w:rPr>
          <w:spacing w:val="-2"/>
          <w:sz w:val="20"/>
        </w:rPr>
        <w:t xml:space="preserve"> </w:t>
      </w:r>
      <w:r>
        <w:rPr>
          <w:sz w:val="20"/>
        </w:rPr>
        <w:t>seeking</w:t>
      </w:r>
      <w:r>
        <w:rPr>
          <w:spacing w:val="-3"/>
          <w:sz w:val="20"/>
        </w:rPr>
        <w:t xml:space="preserve"> </w:t>
      </w:r>
      <w:r>
        <w:rPr>
          <w:sz w:val="20"/>
        </w:rPr>
        <w:t>world-class</w:t>
      </w:r>
      <w:r>
        <w:rPr>
          <w:spacing w:val="-2"/>
          <w:sz w:val="20"/>
        </w:rPr>
        <w:t xml:space="preserve"> </w:t>
      </w:r>
      <w:r>
        <w:rPr>
          <w:sz w:val="20"/>
        </w:rPr>
        <w:t>cancer</w:t>
      </w:r>
      <w:r>
        <w:rPr>
          <w:spacing w:val="-4"/>
          <w:sz w:val="20"/>
        </w:rPr>
        <w:t xml:space="preserve"> </w:t>
      </w:r>
      <w:r>
        <w:rPr>
          <w:sz w:val="20"/>
        </w:rPr>
        <w:t>care,</w:t>
      </w:r>
      <w:r>
        <w:rPr>
          <w:spacing w:val="-2"/>
          <w:sz w:val="20"/>
        </w:rPr>
        <w:t xml:space="preserve"> </w:t>
      </w:r>
      <w:r>
        <w:rPr>
          <w:sz w:val="20"/>
        </w:rPr>
        <w:t xml:space="preserve">our analyses focus on market share, spending, quality, and access implications for residents of the </w:t>
      </w:r>
      <w:r>
        <w:rPr>
          <w:spacing w:val="-2"/>
          <w:sz w:val="20"/>
        </w:rPr>
        <w:t>Commonwealth.</w:t>
      </w:r>
    </w:p>
    <w:p w14:paraId="5F03D9F9" w14:textId="77962FDB" w:rsidR="007E3035" w:rsidRDefault="007E3035">
      <w:pPr>
        <w:pStyle w:val="FootnoteText"/>
      </w:pPr>
    </w:p>
  </w:footnote>
  <w:footnote w:id="103">
    <w:p w14:paraId="31194CDF" w14:textId="54FA4A71" w:rsidR="006E5ECA" w:rsidRDefault="006E5ECA" w:rsidP="006E5ECA">
      <w:pPr>
        <w:pStyle w:val="FootnoteText"/>
        <w:ind w:left="900" w:right="940"/>
      </w:pPr>
      <w:r>
        <w:rPr>
          <w:rStyle w:val="FootnoteReference"/>
        </w:rPr>
        <w:footnoteRef/>
      </w:r>
      <w:r>
        <w:t xml:space="preserve"> The HPC found that DFCI alone had too few commercial discharges to form a reasonably contiguous inpatient PSA. The HPC also found little difference between the geography of a combined DFCI/BWH inpatient</w:t>
      </w:r>
      <w:r>
        <w:rPr>
          <w:spacing w:val="-2"/>
        </w:rPr>
        <w:t xml:space="preserve"> </w:t>
      </w:r>
      <w:r>
        <w:t>PSA</w:t>
      </w:r>
      <w:r>
        <w:rPr>
          <w:spacing w:val="-4"/>
        </w:rPr>
        <w:t xml:space="preserve"> </w:t>
      </w:r>
      <w:r>
        <w:t>using</w:t>
      </w:r>
      <w:r>
        <w:rPr>
          <w:spacing w:val="-3"/>
        </w:rPr>
        <w:t xml:space="preserve"> </w:t>
      </w:r>
      <w:r>
        <w:t>medical,</w:t>
      </w:r>
      <w:r>
        <w:rPr>
          <w:spacing w:val="-1"/>
        </w:rPr>
        <w:t xml:space="preserve"> </w:t>
      </w:r>
      <w:r>
        <w:t>surgical,</w:t>
      </w:r>
      <w:r>
        <w:rPr>
          <w:spacing w:val="-2"/>
        </w:rPr>
        <w:t xml:space="preserve"> </w:t>
      </w:r>
      <w:r>
        <w:t>or</w:t>
      </w:r>
      <w:r>
        <w:rPr>
          <w:spacing w:val="-4"/>
        </w:rPr>
        <w:t xml:space="preserve"> </w:t>
      </w:r>
      <w:r>
        <w:t>combined</w:t>
      </w:r>
      <w:r>
        <w:rPr>
          <w:spacing w:val="-2"/>
        </w:rPr>
        <w:t xml:space="preserve"> </w:t>
      </w:r>
      <w:r>
        <w:t>oncology</w:t>
      </w:r>
      <w:r>
        <w:rPr>
          <w:spacing w:val="-4"/>
        </w:rPr>
        <w:t xml:space="preserve"> </w:t>
      </w:r>
      <w:r>
        <w:t>discharges;</w:t>
      </w:r>
      <w:r>
        <w:rPr>
          <w:spacing w:val="-2"/>
        </w:rPr>
        <w:t xml:space="preserve"> </w:t>
      </w:r>
      <w:r>
        <w:t>Figure</w:t>
      </w:r>
      <w:r>
        <w:rPr>
          <w:spacing w:val="-4"/>
        </w:rPr>
        <w:t xml:space="preserve"> </w:t>
      </w:r>
      <w:r>
        <w:t>III.A.1</w:t>
      </w:r>
      <w:r>
        <w:rPr>
          <w:spacing w:val="-2"/>
        </w:rPr>
        <w:t xml:space="preserve"> </w:t>
      </w:r>
      <w:r>
        <w:t>shows</w:t>
      </w:r>
      <w:r>
        <w:rPr>
          <w:spacing w:val="-2"/>
        </w:rPr>
        <w:t xml:space="preserve"> </w:t>
      </w:r>
      <w:r>
        <w:t>the</w:t>
      </w:r>
      <w:r>
        <w:rPr>
          <w:spacing w:val="-4"/>
        </w:rPr>
        <w:t xml:space="preserve"> </w:t>
      </w:r>
      <w:r>
        <w:t>PSA</w:t>
      </w:r>
      <w:r>
        <w:rPr>
          <w:spacing w:val="-4"/>
        </w:rPr>
        <w:t xml:space="preserve"> </w:t>
      </w:r>
      <w:r>
        <w:t>based on all oncology discharges for comparison to BIDMC’s PSA.</w:t>
      </w:r>
    </w:p>
  </w:footnote>
  <w:footnote w:id="104">
    <w:p w14:paraId="0666A570" w14:textId="18D37447" w:rsidR="006D4E93" w:rsidRDefault="006D4E93" w:rsidP="00EC4F46">
      <w:pPr>
        <w:pStyle w:val="FootnoteText"/>
        <w:ind w:left="900" w:right="940"/>
      </w:pPr>
      <w:r>
        <w:rPr>
          <w:rStyle w:val="FootnoteReference"/>
        </w:rPr>
        <w:footnoteRef/>
      </w:r>
      <w:r>
        <w:t xml:space="preserve"> The</w:t>
      </w:r>
      <w:r>
        <w:rPr>
          <w:spacing w:val="-4"/>
        </w:rPr>
        <w:t xml:space="preserve"> </w:t>
      </w:r>
      <w:r>
        <w:t>HPC</w:t>
      </w:r>
      <w:r>
        <w:rPr>
          <w:spacing w:val="-3"/>
        </w:rPr>
        <w:t xml:space="preserve"> </w:t>
      </w:r>
      <w:r>
        <w:t>examined</w:t>
      </w:r>
      <w:r>
        <w:rPr>
          <w:spacing w:val="-2"/>
        </w:rPr>
        <w:t xml:space="preserve"> </w:t>
      </w:r>
      <w:r>
        <w:t>shares</w:t>
      </w:r>
      <w:r>
        <w:rPr>
          <w:spacing w:val="-2"/>
        </w:rPr>
        <w:t xml:space="preserve"> </w:t>
      </w:r>
      <w:r>
        <w:t>in</w:t>
      </w:r>
      <w:r>
        <w:rPr>
          <w:spacing w:val="-3"/>
        </w:rPr>
        <w:t xml:space="preserve"> </w:t>
      </w:r>
      <w:r>
        <w:t>PSAs</w:t>
      </w:r>
      <w:r>
        <w:rPr>
          <w:spacing w:val="-2"/>
        </w:rPr>
        <w:t xml:space="preserve"> </w:t>
      </w:r>
      <w:r>
        <w:t>specific</w:t>
      </w:r>
      <w:r>
        <w:rPr>
          <w:spacing w:val="-2"/>
        </w:rPr>
        <w:t xml:space="preserve"> </w:t>
      </w:r>
      <w:r>
        <w:t>to</w:t>
      </w:r>
      <w:r>
        <w:rPr>
          <w:spacing w:val="-3"/>
        </w:rPr>
        <w:t xml:space="preserve"> </w:t>
      </w:r>
      <w:r>
        <w:t>medical</w:t>
      </w:r>
      <w:r>
        <w:rPr>
          <w:spacing w:val="-3"/>
        </w:rPr>
        <w:t xml:space="preserve"> </w:t>
      </w:r>
      <w:r>
        <w:t>oncology</w:t>
      </w:r>
      <w:r>
        <w:rPr>
          <w:spacing w:val="-4"/>
        </w:rPr>
        <w:t xml:space="preserve"> </w:t>
      </w:r>
      <w:r>
        <w:t>and</w:t>
      </w:r>
      <w:r>
        <w:rPr>
          <w:spacing w:val="-2"/>
        </w:rPr>
        <w:t xml:space="preserve"> </w:t>
      </w:r>
      <w:r>
        <w:t>surgical</w:t>
      </w:r>
      <w:r>
        <w:rPr>
          <w:spacing w:val="-1"/>
        </w:rPr>
        <w:t xml:space="preserve"> </w:t>
      </w:r>
      <w:r>
        <w:t>oncology</w:t>
      </w:r>
      <w:r>
        <w:rPr>
          <w:spacing w:val="-4"/>
        </w:rPr>
        <w:t xml:space="preserve"> </w:t>
      </w:r>
      <w:r>
        <w:t>and</w:t>
      </w:r>
      <w:r>
        <w:rPr>
          <w:spacing w:val="-2"/>
        </w:rPr>
        <w:t xml:space="preserve"> </w:t>
      </w:r>
      <w:r>
        <w:t>found</w:t>
      </w:r>
      <w:r>
        <w:rPr>
          <w:spacing w:val="-2"/>
        </w:rPr>
        <w:t xml:space="preserve"> </w:t>
      </w:r>
      <w:r>
        <w:t>little difference in these shares as compared to those in the party PSAs for all oncology services.</w:t>
      </w:r>
    </w:p>
  </w:footnote>
  <w:footnote w:id="105">
    <w:p w14:paraId="3133C160" w14:textId="098C9E57" w:rsidR="00EC4F46" w:rsidRDefault="00EC4F46" w:rsidP="00EC4F46">
      <w:pPr>
        <w:pStyle w:val="FootnoteText"/>
        <w:ind w:left="900" w:right="940"/>
      </w:pPr>
      <w:r>
        <w:rPr>
          <w:rStyle w:val="FootnoteReference"/>
        </w:rPr>
        <w:footnoteRef/>
      </w:r>
      <w:r>
        <w:t xml:space="preserve"> See the Data Appendix, Figure A2, for a table showing all-payer oncology discharge shares. At the hospital level, BIDMC, DFCI, and BWH all have higher shares of commercial discharges than they have of all-payer</w:t>
      </w:r>
      <w:r>
        <w:rPr>
          <w:spacing w:val="-4"/>
        </w:rPr>
        <w:t xml:space="preserve"> </w:t>
      </w:r>
      <w:r>
        <w:t>discharges.</w:t>
      </w:r>
      <w:r>
        <w:rPr>
          <w:spacing w:val="-2"/>
        </w:rPr>
        <w:t xml:space="preserve"> </w:t>
      </w:r>
      <w:r>
        <w:t>At</w:t>
      </w:r>
      <w:r>
        <w:rPr>
          <w:spacing w:val="-2"/>
        </w:rPr>
        <w:t xml:space="preserve"> </w:t>
      </w:r>
      <w:r>
        <w:t>the</w:t>
      </w:r>
      <w:r>
        <w:rPr>
          <w:spacing w:val="-4"/>
        </w:rPr>
        <w:t xml:space="preserve"> </w:t>
      </w:r>
      <w:r>
        <w:t>system</w:t>
      </w:r>
      <w:r>
        <w:rPr>
          <w:spacing w:val="-2"/>
        </w:rPr>
        <w:t xml:space="preserve"> </w:t>
      </w:r>
      <w:r>
        <w:t>level,</w:t>
      </w:r>
      <w:r>
        <w:rPr>
          <w:spacing w:val="-2"/>
        </w:rPr>
        <w:t xml:space="preserve"> </w:t>
      </w:r>
      <w:r>
        <w:t>MGB’s</w:t>
      </w:r>
      <w:r>
        <w:rPr>
          <w:spacing w:val="-2"/>
        </w:rPr>
        <w:t xml:space="preserve"> </w:t>
      </w:r>
      <w:r>
        <w:t>share</w:t>
      </w:r>
      <w:r>
        <w:rPr>
          <w:spacing w:val="-4"/>
        </w:rPr>
        <w:t xml:space="preserve"> </w:t>
      </w:r>
      <w:r>
        <w:t>of commercial</w:t>
      </w:r>
      <w:r>
        <w:rPr>
          <w:spacing w:val="-3"/>
        </w:rPr>
        <w:t xml:space="preserve"> </w:t>
      </w:r>
      <w:r>
        <w:t>discharges</w:t>
      </w:r>
      <w:r>
        <w:rPr>
          <w:spacing w:val="-2"/>
        </w:rPr>
        <w:t xml:space="preserve"> </w:t>
      </w:r>
      <w:r>
        <w:t>is</w:t>
      </w:r>
      <w:r>
        <w:rPr>
          <w:spacing w:val="-2"/>
        </w:rPr>
        <w:t xml:space="preserve"> </w:t>
      </w:r>
      <w:r>
        <w:t>higher</w:t>
      </w:r>
      <w:r>
        <w:rPr>
          <w:spacing w:val="-4"/>
        </w:rPr>
        <w:t xml:space="preserve"> </w:t>
      </w:r>
      <w:r>
        <w:t>than</w:t>
      </w:r>
      <w:r>
        <w:rPr>
          <w:spacing w:val="-3"/>
        </w:rPr>
        <w:t xml:space="preserve"> </w:t>
      </w:r>
      <w:r>
        <w:t>its</w:t>
      </w:r>
      <w:r>
        <w:rPr>
          <w:spacing w:val="-2"/>
        </w:rPr>
        <w:t xml:space="preserve"> </w:t>
      </w:r>
      <w:r>
        <w:t>share</w:t>
      </w:r>
      <w:r>
        <w:rPr>
          <w:spacing w:val="-4"/>
        </w:rPr>
        <w:t xml:space="preserve"> </w:t>
      </w:r>
      <w:r>
        <w:t>of</w:t>
      </w:r>
      <w:r w:rsidRPr="00EC4F46">
        <w:t xml:space="preserve"> </w:t>
      </w:r>
      <w:r>
        <w:t>all discharges, while BILH’s share of commercial discharges is lower than its share of all discharges.</w:t>
      </w:r>
    </w:p>
  </w:footnote>
  <w:footnote w:id="106">
    <w:p w14:paraId="45D757A4" w14:textId="0EF8B007" w:rsidR="009E4567" w:rsidRDefault="009E4567" w:rsidP="00935779">
      <w:pPr>
        <w:pStyle w:val="FootnoteText"/>
        <w:ind w:left="900" w:right="940"/>
      </w:pPr>
      <w:r>
        <w:rPr>
          <w:rStyle w:val="FootnoteReference"/>
        </w:rPr>
        <w:footnoteRef/>
      </w:r>
      <w:r>
        <w:t xml:space="preserve"> MGB provides oncology care at its community hospitals, including Newton-Wellesley, Cooley Dickinson, Martha’s Vineyard, and Nantucket Cottage hospitals, as well as through clinical affiliations with Emerson Hospital, South Shore Hospital, and with provider systems in Maine and New Hampshire. </w:t>
      </w:r>
      <w:r>
        <w:rPr>
          <w:i/>
        </w:rPr>
        <w:t>Community Locations</w:t>
      </w:r>
      <w:r>
        <w:t>,</w:t>
      </w:r>
      <w:r>
        <w:rPr>
          <w:spacing w:val="-10"/>
        </w:rPr>
        <w:t xml:space="preserve"> </w:t>
      </w:r>
      <w:r>
        <w:t>M</w:t>
      </w:r>
      <w:r>
        <w:rPr>
          <w:sz w:val="16"/>
        </w:rPr>
        <w:t>ASS</w:t>
      </w:r>
      <w:r>
        <w:rPr>
          <w:spacing w:val="-9"/>
          <w:sz w:val="16"/>
        </w:rPr>
        <w:t xml:space="preserve"> </w:t>
      </w:r>
      <w:r>
        <w:t>G</w:t>
      </w:r>
      <w:r>
        <w:rPr>
          <w:sz w:val="16"/>
        </w:rPr>
        <w:t>ENERAL</w:t>
      </w:r>
      <w:r>
        <w:rPr>
          <w:spacing w:val="-10"/>
          <w:sz w:val="16"/>
        </w:rPr>
        <w:t xml:space="preserve"> </w:t>
      </w:r>
      <w:r>
        <w:t>B</w:t>
      </w:r>
      <w:r>
        <w:rPr>
          <w:sz w:val="16"/>
        </w:rPr>
        <w:t>RIGHAM</w:t>
      </w:r>
      <w:r>
        <w:t>,</w:t>
      </w:r>
      <w:r>
        <w:rPr>
          <w:spacing w:val="-10"/>
        </w:rPr>
        <w:t xml:space="preserve"> </w:t>
      </w:r>
      <w:hyperlink r:id="rId143">
        <w:r>
          <w:rPr>
            <w:color w:val="486794"/>
            <w:u w:val="single" w:color="486794"/>
          </w:rPr>
          <w:t>https://www.massgeneral.org/cancer-center/about/community-locations</w:t>
        </w:r>
      </w:hyperlink>
      <w:r>
        <w:rPr>
          <w:color w:val="486794"/>
        </w:rPr>
        <w:t xml:space="preserve"> </w:t>
      </w:r>
      <w:r>
        <w:t>(last visited February 27, 2025).</w:t>
      </w:r>
    </w:p>
  </w:footnote>
  <w:footnote w:id="107">
    <w:p w14:paraId="4632828C" w14:textId="3DBC1A4A" w:rsidR="00935779" w:rsidRDefault="00935779" w:rsidP="00935779">
      <w:pPr>
        <w:pStyle w:val="FootnoteText"/>
        <w:ind w:left="900" w:right="940"/>
      </w:pPr>
      <w:r>
        <w:rPr>
          <w:rStyle w:val="FootnoteReference"/>
        </w:rPr>
        <w:footnoteRef/>
      </w:r>
      <w:r>
        <w:t xml:space="preserve"> For outpatient market share analysis, we focus on service lines for which most services billed are expected</w:t>
      </w:r>
      <w:r>
        <w:rPr>
          <w:spacing w:val="-3"/>
        </w:rPr>
        <w:t xml:space="preserve"> </w:t>
      </w:r>
      <w:r>
        <w:t>to</w:t>
      </w:r>
      <w:r>
        <w:rPr>
          <w:spacing w:val="-4"/>
        </w:rPr>
        <w:t xml:space="preserve"> </w:t>
      </w:r>
      <w:r>
        <w:t>be</w:t>
      </w:r>
      <w:r>
        <w:rPr>
          <w:spacing w:val="-5"/>
        </w:rPr>
        <w:t xml:space="preserve"> </w:t>
      </w:r>
      <w:r>
        <w:t>oncology-related,</w:t>
      </w:r>
      <w:r>
        <w:rPr>
          <w:spacing w:val="-3"/>
        </w:rPr>
        <w:t xml:space="preserve"> </w:t>
      </w:r>
      <w:r>
        <w:t>including</w:t>
      </w:r>
      <w:r>
        <w:rPr>
          <w:spacing w:val="-4"/>
        </w:rPr>
        <w:t xml:space="preserve"> </w:t>
      </w:r>
      <w:r>
        <w:t>administration</w:t>
      </w:r>
      <w:r>
        <w:rPr>
          <w:spacing w:val="-4"/>
        </w:rPr>
        <w:t xml:space="preserve"> </w:t>
      </w:r>
      <w:r>
        <w:t>of</w:t>
      </w:r>
      <w:r>
        <w:rPr>
          <w:spacing w:val="-4"/>
        </w:rPr>
        <w:t xml:space="preserve"> </w:t>
      </w:r>
      <w:r>
        <w:t>infusion</w:t>
      </w:r>
      <w:r>
        <w:rPr>
          <w:spacing w:val="-4"/>
        </w:rPr>
        <w:t xml:space="preserve"> </w:t>
      </w:r>
      <w:r>
        <w:t>and</w:t>
      </w:r>
      <w:r>
        <w:rPr>
          <w:spacing w:val="-3"/>
        </w:rPr>
        <w:t xml:space="preserve"> </w:t>
      </w:r>
      <w:r>
        <w:t>oncologic</w:t>
      </w:r>
      <w:r>
        <w:rPr>
          <w:spacing w:val="-3"/>
        </w:rPr>
        <w:t xml:space="preserve"> </w:t>
      </w:r>
      <w:r>
        <w:t>drugs</w:t>
      </w:r>
      <w:r>
        <w:rPr>
          <w:spacing w:val="-3"/>
        </w:rPr>
        <w:t xml:space="preserve"> </w:t>
      </w:r>
      <w:r>
        <w:t>(together,</w:t>
      </w:r>
      <w:r>
        <w:rPr>
          <w:spacing w:val="-3"/>
        </w:rPr>
        <w:t xml:space="preserve"> </w:t>
      </w:r>
      <w:r>
        <w:t>medical oncology), radiation oncology (LINAC and radiation therapy preparation with CT simulators), and mammography. To further ensure that shares reflect only oncology-related services, the analysis is limited</w:t>
      </w:r>
      <w:r>
        <w:rPr>
          <w:spacing w:val="40"/>
        </w:rPr>
        <w:t xml:space="preserve"> </w:t>
      </w:r>
      <w:r>
        <w:t>to visits that include at least one claim billed with a cancer diagnosis code. The HPC defined outpatient service clusters for outpatient services as described in Section B of the Data Appendix. While the HPC examined several other relevant outpatient service lines for price and spending analyses, including diagnostic radiology, laboratory/pathology, and outpatient surgery, claims in these service lines did not reliably include cancer-related diagnosis codes that distinguish oncology from non-oncology care for the purpose of market share analysis (e.g., not all diagnostic imaging related to oncology includes a known cancer diagnosis before imaging occurs).</w:t>
      </w:r>
    </w:p>
  </w:footnote>
  <w:footnote w:id="108">
    <w:p w14:paraId="5CD4F9E1" w14:textId="4DC7E919" w:rsidR="00840DDE" w:rsidRDefault="00840DDE" w:rsidP="00840DDE">
      <w:pPr>
        <w:spacing w:before="92"/>
        <w:ind w:left="959" w:right="752"/>
        <w:rPr>
          <w:sz w:val="20"/>
        </w:rPr>
      </w:pPr>
      <w:r>
        <w:rPr>
          <w:rStyle w:val="FootnoteReference"/>
        </w:rPr>
        <w:footnoteRef/>
      </w:r>
      <w:r>
        <w:t xml:space="preserve"> </w:t>
      </w:r>
      <w:r>
        <w:rPr>
          <w:sz w:val="20"/>
        </w:rPr>
        <w:t>Because CHIA inpatient relative prices are based on the network-wide total of discharges across all general acute care hospitals in the Commonwealth, they may not accurately provide a comparison of prices between</w:t>
      </w:r>
      <w:r>
        <w:rPr>
          <w:spacing w:val="-3"/>
          <w:sz w:val="20"/>
        </w:rPr>
        <w:t xml:space="preserve"> </w:t>
      </w:r>
      <w:r>
        <w:rPr>
          <w:sz w:val="20"/>
        </w:rPr>
        <w:t>DFCI</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specialty</w:t>
      </w:r>
      <w:r>
        <w:rPr>
          <w:spacing w:val="-2"/>
          <w:sz w:val="20"/>
        </w:rPr>
        <w:t xml:space="preserve"> </w:t>
      </w:r>
      <w:r>
        <w:rPr>
          <w:sz w:val="20"/>
        </w:rPr>
        <w:t>oncology</w:t>
      </w:r>
      <w:r>
        <w:rPr>
          <w:spacing w:val="-4"/>
          <w:sz w:val="20"/>
        </w:rPr>
        <w:t xml:space="preserve"> </w:t>
      </w:r>
      <w:r>
        <w:rPr>
          <w:sz w:val="20"/>
        </w:rPr>
        <w:t>hospital</w:t>
      </w:r>
      <w:r>
        <w:rPr>
          <w:spacing w:val="-3"/>
          <w:sz w:val="20"/>
        </w:rPr>
        <w:t xml:space="preserve"> </w:t>
      </w:r>
      <w:r>
        <w:rPr>
          <w:sz w:val="20"/>
        </w:rPr>
        <w:t>and</w:t>
      </w:r>
      <w:r>
        <w:rPr>
          <w:spacing w:val="-2"/>
          <w:sz w:val="20"/>
        </w:rPr>
        <w:t xml:space="preserve"> </w:t>
      </w:r>
      <w:r>
        <w:rPr>
          <w:sz w:val="20"/>
        </w:rPr>
        <w:t>other</w:t>
      </w:r>
      <w:r>
        <w:rPr>
          <w:spacing w:val="-2"/>
          <w:sz w:val="20"/>
        </w:rPr>
        <w:t xml:space="preserve"> </w:t>
      </w:r>
      <w:r>
        <w:rPr>
          <w:sz w:val="20"/>
        </w:rPr>
        <w:t>hospitals</w:t>
      </w:r>
      <w:r>
        <w:rPr>
          <w:spacing w:val="-2"/>
          <w:sz w:val="20"/>
        </w:rPr>
        <w:t xml:space="preserve"> </w:t>
      </w:r>
      <w:r>
        <w:rPr>
          <w:sz w:val="20"/>
        </w:rPr>
        <w:t>that</w:t>
      </w:r>
      <w:r>
        <w:rPr>
          <w:spacing w:val="-2"/>
          <w:sz w:val="20"/>
        </w:rPr>
        <w:t xml:space="preserve"> </w:t>
      </w:r>
      <w:r>
        <w:rPr>
          <w:sz w:val="20"/>
        </w:rPr>
        <w:t>provide</w:t>
      </w:r>
      <w:r>
        <w:rPr>
          <w:spacing w:val="-4"/>
          <w:sz w:val="20"/>
        </w:rPr>
        <w:t xml:space="preserve"> </w:t>
      </w:r>
      <w:r>
        <w:rPr>
          <w:sz w:val="20"/>
        </w:rPr>
        <w:t>other</w:t>
      </w:r>
      <w:r>
        <w:rPr>
          <w:spacing w:val="-4"/>
          <w:sz w:val="20"/>
        </w:rPr>
        <w:t xml:space="preserve"> </w:t>
      </w:r>
      <w:r>
        <w:rPr>
          <w:sz w:val="20"/>
        </w:rPr>
        <w:t>types</w:t>
      </w:r>
      <w:r>
        <w:rPr>
          <w:spacing w:val="-2"/>
          <w:sz w:val="20"/>
        </w:rPr>
        <w:t xml:space="preserve"> </w:t>
      </w:r>
      <w:r>
        <w:rPr>
          <w:sz w:val="20"/>
        </w:rPr>
        <w:t>of</w:t>
      </w:r>
      <w:r>
        <w:rPr>
          <w:spacing w:val="-3"/>
          <w:sz w:val="20"/>
        </w:rPr>
        <w:t xml:space="preserve"> </w:t>
      </w:r>
      <w:r>
        <w:rPr>
          <w:sz w:val="20"/>
        </w:rPr>
        <w:t>inpatient</w:t>
      </w:r>
      <w:r>
        <w:rPr>
          <w:spacing w:val="-2"/>
          <w:sz w:val="20"/>
        </w:rPr>
        <w:t xml:space="preserve"> </w:t>
      </w:r>
      <w:r>
        <w:rPr>
          <w:sz w:val="20"/>
        </w:rPr>
        <w:t xml:space="preserve">care. The HPC used 2022 commercial facility claims data for BCBS, HPHC, THP, HNE, MGBHP, and Anthem from CHIA’s 2022 All-Payer Claims database to calculate an average inpatient price per discharge for each hospital, separately for medical oncology and surgical oncology services as defined in Section I. Hospitals’ average prices were then adjusted for patient acuity using the average MS-DRG case weight for discharges at each hospital. Because a providers’ prices vary by payer, we first calculated price per case mix adjusted discharge for each payer/hospital combination. This approach appears </w:t>
      </w:r>
      <w:proofErr w:type="gramStart"/>
      <w:r>
        <w:rPr>
          <w:sz w:val="20"/>
        </w:rPr>
        <w:t>similar to</w:t>
      </w:r>
      <w:proofErr w:type="gramEnd"/>
      <w:r>
        <w:rPr>
          <w:sz w:val="20"/>
        </w:rPr>
        <w:t xml:space="preserve"> the methodology used in Section XI of the ICA. The HPC then further weighted each provider’s average price per discharge by the average mix of commercial payers across all providers for oncology services. The HPC then divided each hospital’s adjusted price by the average adjusted price among all hospitals in the sample with at least 11 medical or surgical oncology discharges (respectively, for each service line) to arrive at a relative inpatient</w:t>
      </w:r>
      <w:r w:rsidRPr="00840DDE">
        <w:rPr>
          <w:sz w:val="20"/>
        </w:rPr>
        <w:t xml:space="preserve"> </w:t>
      </w:r>
      <w:r>
        <w:rPr>
          <w:sz w:val="20"/>
        </w:rPr>
        <w:t>medical</w:t>
      </w:r>
      <w:r>
        <w:rPr>
          <w:spacing w:val="-3"/>
          <w:sz w:val="20"/>
        </w:rPr>
        <w:t xml:space="preserve"> </w:t>
      </w:r>
      <w:r>
        <w:rPr>
          <w:sz w:val="20"/>
        </w:rPr>
        <w:t>or</w:t>
      </w:r>
      <w:r>
        <w:rPr>
          <w:spacing w:val="-4"/>
          <w:sz w:val="20"/>
        </w:rPr>
        <w:t xml:space="preserve"> </w:t>
      </w:r>
      <w:r>
        <w:rPr>
          <w:sz w:val="20"/>
        </w:rPr>
        <w:t>surgical</w:t>
      </w:r>
      <w:r>
        <w:rPr>
          <w:spacing w:val="-3"/>
          <w:sz w:val="20"/>
        </w:rPr>
        <w:t xml:space="preserve"> </w:t>
      </w:r>
      <w:r>
        <w:rPr>
          <w:sz w:val="20"/>
        </w:rPr>
        <w:t>oncology</w:t>
      </w:r>
      <w:r>
        <w:rPr>
          <w:spacing w:val="-4"/>
          <w:sz w:val="20"/>
        </w:rPr>
        <w:t xml:space="preserve"> </w:t>
      </w:r>
      <w:r>
        <w:rPr>
          <w:sz w:val="20"/>
        </w:rPr>
        <w:t>price.</w:t>
      </w:r>
      <w:r>
        <w:rPr>
          <w:spacing w:val="-3"/>
          <w:sz w:val="20"/>
        </w:rPr>
        <w:t xml:space="preserve"> </w:t>
      </w:r>
      <w:r>
        <w:rPr>
          <w:sz w:val="20"/>
        </w:rPr>
        <w:t>Section</w:t>
      </w:r>
      <w:r>
        <w:rPr>
          <w:spacing w:val="-3"/>
          <w:sz w:val="20"/>
        </w:rPr>
        <w:t xml:space="preserve"> </w:t>
      </w:r>
      <w:r>
        <w:rPr>
          <w:sz w:val="20"/>
        </w:rPr>
        <w:t>A</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Data</w:t>
      </w:r>
      <w:r>
        <w:rPr>
          <w:spacing w:val="-3"/>
          <w:sz w:val="20"/>
        </w:rPr>
        <w:t xml:space="preserve"> </w:t>
      </w:r>
      <w:r>
        <w:rPr>
          <w:sz w:val="20"/>
        </w:rPr>
        <w:t>Appendix</w:t>
      </w:r>
      <w:r>
        <w:rPr>
          <w:spacing w:val="-4"/>
          <w:sz w:val="20"/>
        </w:rPr>
        <w:t xml:space="preserve"> </w:t>
      </w:r>
      <w:r>
        <w:rPr>
          <w:sz w:val="20"/>
        </w:rPr>
        <w:t>provides</w:t>
      </w:r>
      <w:r>
        <w:rPr>
          <w:spacing w:val="-2"/>
          <w:sz w:val="20"/>
        </w:rPr>
        <w:t xml:space="preserve"> </w:t>
      </w:r>
      <w:r>
        <w:rPr>
          <w:sz w:val="20"/>
        </w:rPr>
        <w:t>additional</w:t>
      </w:r>
      <w:r>
        <w:rPr>
          <w:spacing w:val="-1"/>
          <w:sz w:val="20"/>
        </w:rPr>
        <w:t xml:space="preserve"> </w:t>
      </w:r>
      <w:r>
        <w:rPr>
          <w:sz w:val="20"/>
        </w:rPr>
        <w:t>detail</w:t>
      </w:r>
      <w:r>
        <w:rPr>
          <w:spacing w:val="-3"/>
          <w:sz w:val="20"/>
        </w:rPr>
        <w:t xml:space="preserve"> </w:t>
      </w:r>
      <w:r>
        <w:rPr>
          <w:sz w:val="20"/>
        </w:rPr>
        <w:t>regarding</w:t>
      </w:r>
      <w:r>
        <w:rPr>
          <w:spacing w:val="-3"/>
          <w:sz w:val="20"/>
        </w:rPr>
        <w:t xml:space="preserve"> </w:t>
      </w:r>
      <w:r>
        <w:rPr>
          <w:sz w:val="20"/>
        </w:rPr>
        <w:t>the HPC’s inpatient price methodology.</w:t>
      </w:r>
    </w:p>
    <w:p w14:paraId="1A31AE96" w14:textId="71831BA1" w:rsidR="00840DDE" w:rsidRDefault="00840DDE" w:rsidP="00840DDE">
      <w:pPr>
        <w:pStyle w:val="FootnoteText"/>
        <w:ind w:left="990" w:right="940"/>
      </w:pPr>
    </w:p>
  </w:footnote>
  <w:footnote w:id="109">
    <w:p w14:paraId="0FE62B86" w14:textId="19E81CFB" w:rsidR="000D3307" w:rsidRDefault="000D3307" w:rsidP="00F33717">
      <w:pPr>
        <w:pStyle w:val="FootnoteText"/>
        <w:ind w:left="900" w:right="940"/>
      </w:pPr>
      <w:r>
        <w:rPr>
          <w:rStyle w:val="FootnoteReference"/>
        </w:rPr>
        <w:footnoteRef/>
      </w:r>
      <w:r>
        <w:t xml:space="preserve"> DFCI states that it expects an estimated increase of $360 million in annual operating expenses </w:t>
      </w:r>
      <w:proofErr w:type="gramStart"/>
      <w:r>
        <w:t>as a result</w:t>
      </w:r>
      <w:r>
        <w:rPr>
          <w:spacing w:val="-2"/>
        </w:rPr>
        <w:t xml:space="preserve"> </w:t>
      </w:r>
      <w:r>
        <w:t>of</w:t>
      </w:r>
      <w:proofErr w:type="gramEnd"/>
      <w:r>
        <w:rPr>
          <w:spacing w:val="-3"/>
        </w:rPr>
        <w:t xml:space="preserve"> </w:t>
      </w:r>
      <w:r>
        <w:t>the</w:t>
      </w:r>
      <w:r>
        <w:rPr>
          <w:spacing w:val="-4"/>
        </w:rPr>
        <w:t xml:space="preserve"> </w:t>
      </w:r>
      <w:r>
        <w:t>proposed project.</w:t>
      </w:r>
      <w:r>
        <w:rPr>
          <w:spacing w:val="-2"/>
        </w:rPr>
        <w:t xml:space="preserve"> </w:t>
      </w:r>
      <w:r>
        <w:t>DFCI</w:t>
      </w:r>
      <w:r>
        <w:rPr>
          <w:spacing w:val="-12"/>
        </w:rPr>
        <w:t xml:space="preserve"> </w:t>
      </w:r>
      <w:r>
        <w:t>D</w:t>
      </w:r>
      <w:r>
        <w:rPr>
          <w:sz w:val="16"/>
        </w:rPr>
        <w:t>O</w:t>
      </w:r>
      <w:r>
        <w:t>N</w:t>
      </w:r>
      <w:r>
        <w:rPr>
          <w:spacing w:val="-12"/>
        </w:rPr>
        <w:t xml:space="preserve"> </w:t>
      </w:r>
      <w:r>
        <w:t>N</w:t>
      </w:r>
      <w:r>
        <w:rPr>
          <w:sz w:val="16"/>
        </w:rPr>
        <w:t>ARRATIVE</w:t>
      </w:r>
      <w:r>
        <w:t>,</w:t>
      </w:r>
      <w:r>
        <w:rPr>
          <w:spacing w:val="-2"/>
        </w:rPr>
        <w:t xml:space="preserve"> </w:t>
      </w:r>
      <w:r>
        <w:rPr>
          <w:i/>
        </w:rPr>
        <w:t>supra</w:t>
      </w:r>
      <w:r>
        <w:rPr>
          <w:i/>
          <w:spacing w:val="-2"/>
        </w:rPr>
        <w:t xml:space="preserve"> </w:t>
      </w:r>
      <w:r>
        <w:t>note</w:t>
      </w:r>
      <w:r>
        <w:rPr>
          <w:spacing w:val="-3"/>
        </w:rPr>
        <w:t xml:space="preserve"> </w:t>
      </w:r>
      <w:hyperlink w:anchor="_bookmark7" w:history="1">
        <w:r>
          <w:t>8,</w:t>
        </w:r>
      </w:hyperlink>
      <w:r>
        <w:rPr>
          <w:spacing w:val="-2"/>
        </w:rPr>
        <w:t xml:space="preserve"> </w:t>
      </w:r>
      <w:r>
        <w:t>at</w:t>
      </w:r>
      <w:r>
        <w:rPr>
          <w:spacing w:val="-2"/>
        </w:rPr>
        <w:t xml:space="preserve"> </w:t>
      </w:r>
      <w:r>
        <w:t>51.</w:t>
      </w:r>
      <w:r>
        <w:rPr>
          <w:spacing w:val="-2"/>
        </w:rPr>
        <w:t xml:space="preserve"> </w:t>
      </w:r>
      <w:r>
        <w:t>While</w:t>
      </w:r>
      <w:r>
        <w:rPr>
          <w:spacing w:val="-4"/>
        </w:rPr>
        <w:t xml:space="preserve"> </w:t>
      </w:r>
      <w:r>
        <w:t>its</w:t>
      </w:r>
      <w:r>
        <w:rPr>
          <w:spacing w:val="-2"/>
        </w:rPr>
        <w:t xml:space="preserve"> </w:t>
      </w:r>
      <w:r>
        <w:t>increased</w:t>
      </w:r>
      <w:r>
        <w:rPr>
          <w:spacing w:val="-2"/>
        </w:rPr>
        <w:t xml:space="preserve"> </w:t>
      </w:r>
      <w:r>
        <w:t>operating</w:t>
      </w:r>
      <w:r>
        <w:rPr>
          <w:spacing w:val="-3"/>
        </w:rPr>
        <w:t xml:space="preserve"> </w:t>
      </w:r>
      <w:r>
        <w:t>costs are anticipated to be spread across a larger patient base, it is nonetheless possible that DFCI will see an increase in its costs per patient and, as a result, its cost-based reimbursement from Medicare.</w:t>
      </w:r>
    </w:p>
  </w:footnote>
  <w:footnote w:id="110">
    <w:p w14:paraId="26ED4B74" w14:textId="3400ABD4" w:rsidR="00C35D44" w:rsidRDefault="00C35D44" w:rsidP="00F33717">
      <w:pPr>
        <w:pStyle w:val="FootnoteText"/>
        <w:ind w:left="900" w:right="940"/>
      </w:pPr>
      <w:r>
        <w:rPr>
          <w:rStyle w:val="FootnoteReference"/>
        </w:rPr>
        <w:footnoteRef/>
      </w:r>
      <w:r>
        <w:t xml:space="preserve"> To estimate a price per </w:t>
      </w:r>
      <w:proofErr w:type="gramStart"/>
      <w:r>
        <w:t>case</w:t>
      </w:r>
      <w:proofErr w:type="gramEnd"/>
      <w:r>
        <w:t xml:space="preserve"> mix adjusted Medicare fee-for-service (FFS) discharge at DFCI, the HPC divided DFCI’s reported Medicare FFS payments by its reported Medicare FFS discharges from its 2022 hospital</w:t>
      </w:r>
      <w:r>
        <w:rPr>
          <w:spacing w:val="-3"/>
        </w:rPr>
        <w:t xml:space="preserve"> </w:t>
      </w:r>
      <w:r>
        <w:t>cost</w:t>
      </w:r>
      <w:r>
        <w:rPr>
          <w:spacing w:val="-2"/>
        </w:rPr>
        <w:t xml:space="preserve"> </w:t>
      </w:r>
      <w:r>
        <w:t>report.</w:t>
      </w:r>
      <w:r>
        <w:rPr>
          <w:spacing w:val="-2"/>
        </w:rPr>
        <w:t xml:space="preserve"> </w:t>
      </w:r>
      <w:r>
        <w:t>We</w:t>
      </w:r>
      <w:r>
        <w:rPr>
          <w:spacing w:val="-4"/>
        </w:rPr>
        <w:t xml:space="preserve"> </w:t>
      </w:r>
      <w:r>
        <w:t>then</w:t>
      </w:r>
      <w:r>
        <w:rPr>
          <w:spacing w:val="-1"/>
        </w:rPr>
        <w:t xml:space="preserve"> </w:t>
      </w:r>
      <w:r>
        <w:t>divided</w:t>
      </w:r>
      <w:r>
        <w:rPr>
          <w:spacing w:val="-2"/>
        </w:rPr>
        <w:t xml:space="preserve"> </w:t>
      </w:r>
      <w:r>
        <w:t>by</w:t>
      </w:r>
      <w:r>
        <w:rPr>
          <w:spacing w:val="-4"/>
        </w:rPr>
        <w:t xml:space="preserve"> </w:t>
      </w:r>
      <w:r>
        <w:t>the</w:t>
      </w:r>
      <w:r>
        <w:rPr>
          <w:spacing w:val="-4"/>
        </w:rPr>
        <w:t xml:space="preserve"> </w:t>
      </w:r>
      <w:r>
        <w:t>average</w:t>
      </w:r>
      <w:r>
        <w:rPr>
          <w:spacing w:val="-4"/>
        </w:rPr>
        <w:t xml:space="preserve"> </w:t>
      </w:r>
      <w:r>
        <w:t>case</w:t>
      </w:r>
      <w:r>
        <w:rPr>
          <w:spacing w:val="-1"/>
        </w:rPr>
        <w:t xml:space="preserve"> </w:t>
      </w:r>
      <w:r>
        <w:t>mix</w:t>
      </w:r>
      <w:r>
        <w:rPr>
          <w:spacing w:val="-3"/>
        </w:rPr>
        <w:t xml:space="preserve"> </w:t>
      </w:r>
      <w:r>
        <w:t>index</w:t>
      </w:r>
      <w:r>
        <w:rPr>
          <w:spacing w:val="-3"/>
        </w:rPr>
        <w:t xml:space="preserve"> </w:t>
      </w:r>
      <w:r>
        <w:t>of</w:t>
      </w:r>
      <w:r>
        <w:rPr>
          <w:spacing w:val="-3"/>
        </w:rPr>
        <w:t xml:space="preserve"> </w:t>
      </w:r>
      <w:r>
        <w:t>Medicare</w:t>
      </w:r>
      <w:r>
        <w:rPr>
          <w:spacing w:val="-4"/>
        </w:rPr>
        <w:t xml:space="preserve"> </w:t>
      </w:r>
      <w:r>
        <w:t>FFS</w:t>
      </w:r>
      <w:r>
        <w:rPr>
          <w:spacing w:val="-4"/>
        </w:rPr>
        <w:t xml:space="preserve"> </w:t>
      </w:r>
      <w:r>
        <w:t>discharges</w:t>
      </w:r>
      <w:r>
        <w:rPr>
          <w:spacing w:val="-2"/>
        </w:rPr>
        <w:t xml:space="preserve"> </w:t>
      </w:r>
      <w:r>
        <w:t>reported</w:t>
      </w:r>
      <w:r>
        <w:rPr>
          <w:spacing w:val="-2"/>
        </w:rPr>
        <w:t xml:space="preserve"> </w:t>
      </w:r>
      <w:r>
        <w:t>by DFCI in CHIA’s 2022 hospital discharge database.</w:t>
      </w:r>
    </w:p>
  </w:footnote>
  <w:footnote w:id="111">
    <w:p w14:paraId="74AE7689" w14:textId="407813CB" w:rsidR="00F33717" w:rsidRDefault="00F33717" w:rsidP="00F33717">
      <w:pPr>
        <w:pStyle w:val="FootnoteText"/>
        <w:ind w:left="900" w:right="940"/>
      </w:pPr>
      <w:r>
        <w:rPr>
          <w:rStyle w:val="FootnoteReference"/>
        </w:rPr>
        <w:footnoteRef/>
      </w:r>
      <w:r>
        <w:t xml:space="preserve"> For PPS hospitals, the HPC calculated a Medicare facility payment based on each discharge’s MS-DRG and hospital</w:t>
      </w:r>
      <w:r>
        <w:rPr>
          <w:spacing w:val="-1"/>
        </w:rPr>
        <w:t xml:space="preserve"> </w:t>
      </w:r>
      <w:r>
        <w:t>specific payments according</w:t>
      </w:r>
      <w:r>
        <w:rPr>
          <w:spacing w:val="-1"/>
        </w:rPr>
        <w:t xml:space="preserve"> </w:t>
      </w:r>
      <w:r>
        <w:t>to</w:t>
      </w:r>
      <w:r>
        <w:rPr>
          <w:spacing w:val="-1"/>
        </w:rPr>
        <w:t xml:space="preserve"> </w:t>
      </w:r>
      <w:r>
        <w:t>Medicare</w:t>
      </w:r>
      <w:r>
        <w:rPr>
          <w:spacing w:val="-2"/>
        </w:rPr>
        <w:t xml:space="preserve"> </w:t>
      </w:r>
      <w:r>
        <w:t>inpatient PPS payment rules, including</w:t>
      </w:r>
      <w:r>
        <w:rPr>
          <w:spacing w:val="-1"/>
        </w:rPr>
        <w:t xml:space="preserve"> </w:t>
      </w:r>
      <w:r>
        <w:t>the</w:t>
      </w:r>
      <w:r>
        <w:rPr>
          <w:spacing w:val="-2"/>
        </w:rPr>
        <w:t xml:space="preserve"> </w:t>
      </w:r>
      <w:r>
        <w:t>Medicare base payment (with DRG adjustment and wage and capital geographic adjustments) as well as teaching and</w:t>
      </w:r>
      <w:r>
        <w:rPr>
          <w:spacing w:val="-3"/>
        </w:rPr>
        <w:t xml:space="preserve"> </w:t>
      </w:r>
      <w:r>
        <w:t>DSH</w:t>
      </w:r>
      <w:r>
        <w:rPr>
          <w:spacing w:val="-4"/>
        </w:rPr>
        <w:t xml:space="preserve"> </w:t>
      </w:r>
      <w:r>
        <w:t>payments,</w:t>
      </w:r>
      <w:r>
        <w:rPr>
          <w:spacing w:val="-3"/>
        </w:rPr>
        <w:t xml:space="preserve"> </w:t>
      </w:r>
      <w:r>
        <w:t>special</w:t>
      </w:r>
      <w:r>
        <w:rPr>
          <w:spacing w:val="-2"/>
        </w:rPr>
        <w:t xml:space="preserve"> </w:t>
      </w:r>
      <w:r>
        <w:t>payment</w:t>
      </w:r>
      <w:r>
        <w:rPr>
          <w:spacing w:val="-3"/>
        </w:rPr>
        <w:t xml:space="preserve"> </w:t>
      </w:r>
      <w:r>
        <w:t>rates</w:t>
      </w:r>
      <w:r>
        <w:rPr>
          <w:spacing w:val="-3"/>
        </w:rPr>
        <w:t xml:space="preserve"> </w:t>
      </w:r>
      <w:r>
        <w:t>for</w:t>
      </w:r>
      <w:r>
        <w:rPr>
          <w:spacing w:val="-4"/>
        </w:rPr>
        <w:t xml:space="preserve"> </w:t>
      </w:r>
      <w:r>
        <w:t>sole</w:t>
      </w:r>
      <w:r>
        <w:rPr>
          <w:spacing w:val="-4"/>
        </w:rPr>
        <w:t xml:space="preserve"> </w:t>
      </w:r>
      <w:r>
        <w:t>community</w:t>
      </w:r>
      <w:r>
        <w:rPr>
          <w:spacing w:val="-4"/>
        </w:rPr>
        <w:t xml:space="preserve"> </w:t>
      </w:r>
      <w:r>
        <w:t>providers,</w:t>
      </w:r>
      <w:r>
        <w:rPr>
          <w:spacing w:val="-3"/>
        </w:rPr>
        <w:t xml:space="preserve"> </w:t>
      </w:r>
      <w:r>
        <w:t>and</w:t>
      </w:r>
      <w:r>
        <w:rPr>
          <w:spacing w:val="-3"/>
        </w:rPr>
        <w:t xml:space="preserve"> </w:t>
      </w:r>
      <w:r>
        <w:t>uncompensated</w:t>
      </w:r>
      <w:r>
        <w:rPr>
          <w:spacing w:val="-3"/>
        </w:rPr>
        <w:t xml:space="preserve"> </w:t>
      </w:r>
      <w:r>
        <w:t>care</w:t>
      </w:r>
      <w:r>
        <w:rPr>
          <w:spacing w:val="-4"/>
        </w:rPr>
        <w:t xml:space="preserve"> </w:t>
      </w:r>
      <w:r>
        <w:t>amount per Medicare</w:t>
      </w:r>
      <w:r>
        <w:rPr>
          <w:spacing w:val="-1"/>
        </w:rPr>
        <w:t xml:space="preserve"> </w:t>
      </w:r>
      <w:r>
        <w:t>claim. We</w:t>
      </w:r>
      <w:r>
        <w:rPr>
          <w:spacing w:val="-1"/>
        </w:rPr>
        <w:t xml:space="preserve"> </w:t>
      </w:r>
      <w:r>
        <w:t>then divided each hospital’s average</w:t>
      </w:r>
      <w:r>
        <w:rPr>
          <w:spacing w:val="-1"/>
        </w:rPr>
        <w:t xml:space="preserve"> </w:t>
      </w:r>
      <w:r>
        <w:t>Medicare</w:t>
      </w:r>
      <w:r>
        <w:rPr>
          <w:spacing w:val="-1"/>
        </w:rPr>
        <w:t xml:space="preserve"> </w:t>
      </w:r>
      <w:r>
        <w:t>payment per</w:t>
      </w:r>
      <w:r>
        <w:rPr>
          <w:spacing w:val="-1"/>
        </w:rPr>
        <w:t xml:space="preserve"> </w:t>
      </w:r>
      <w:r>
        <w:t>oncology</w:t>
      </w:r>
      <w:r>
        <w:rPr>
          <w:spacing w:val="-1"/>
        </w:rPr>
        <w:t xml:space="preserve"> </w:t>
      </w:r>
      <w:r>
        <w:t>discharge</w:t>
      </w:r>
      <w:r>
        <w:rPr>
          <w:spacing w:val="-1"/>
        </w:rPr>
        <w:t xml:space="preserve"> </w:t>
      </w:r>
      <w:r>
        <w:t xml:space="preserve">by the average case mix index of its discharges to estimate a case mix adjusted price per discharge. </w:t>
      </w:r>
      <w:r>
        <w:rPr>
          <w:i/>
        </w:rPr>
        <w:t xml:space="preserve">See </w:t>
      </w:r>
      <w:hyperlink r:id="rId144" w:history="1">
        <w:r w:rsidRPr="009A4409">
          <w:rPr>
            <w:rStyle w:val="Hyperlink"/>
            <w:i/>
            <w:color w:val="000000" w:themeColor="text1"/>
            <w:u w:val="none"/>
          </w:rPr>
          <w:t>FY2022 Impact File (final rule)</w:t>
        </w:r>
        <w:r w:rsidRPr="009A4409">
          <w:rPr>
            <w:rStyle w:val="Hyperlink"/>
            <w:color w:val="000000" w:themeColor="text1"/>
            <w:u w:val="none"/>
          </w:rPr>
          <w:t>, C</w:t>
        </w:r>
        <w:r w:rsidRPr="009A4409">
          <w:rPr>
            <w:rStyle w:val="Hyperlink"/>
            <w:color w:val="000000" w:themeColor="text1"/>
            <w:sz w:val="16"/>
            <w:u w:val="none"/>
          </w:rPr>
          <w:t>TRS</w:t>
        </w:r>
        <w:r w:rsidRPr="009A4409">
          <w:rPr>
            <w:rStyle w:val="Hyperlink"/>
            <w:color w:val="000000" w:themeColor="text1"/>
            <w:u w:val="none"/>
          </w:rPr>
          <w:t xml:space="preserve">. </w:t>
        </w:r>
        <w:r w:rsidRPr="009A4409">
          <w:rPr>
            <w:rStyle w:val="Hyperlink"/>
            <w:color w:val="000000" w:themeColor="text1"/>
            <w:sz w:val="16"/>
            <w:u w:val="none"/>
          </w:rPr>
          <w:t xml:space="preserve">FOR </w:t>
        </w:r>
        <w:r w:rsidRPr="009A4409">
          <w:rPr>
            <w:rStyle w:val="Hyperlink"/>
            <w:color w:val="000000" w:themeColor="text1"/>
            <w:u w:val="none"/>
          </w:rPr>
          <w:t>M</w:t>
        </w:r>
        <w:r w:rsidRPr="009A4409">
          <w:rPr>
            <w:rStyle w:val="Hyperlink"/>
            <w:color w:val="000000" w:themeColor="text1"/>
            <w:sz w:val="16"/>
            <w:u w:val="none"/>
          </w:rPr>
          <w:t xml:space="preserve">EDICARE </w:t>
        </w:r>
        <w:r w:rsidRPr="009A4409">
          <w:rPr>
            <w:rStyle w:val="Hyperlink"/>
            <w:color w:val="000000" w:themeColor="text1"/>
            <w:u w:val="none"/>
          </w:rPr>
          <w:t>&amp; M</w:t>
        </w:r>
        <w:r w:rsidRPr="009A4409">
          <w:rPr>
            <w:rStyle w:val="Hyperlink"/>
            <w:color w:val="000000" w:themeColor="text1"/>
            <w:sz w:val="16"/>
            <w:u w:val="none"/>
          </w:rPr>
          <w:t xml:space="preserve">EDICAID </w:t>
        </w:r>
        <w:r w:rsidRPr="009A4409">
          <w:rPr>
            <w:rStyle w:val="Hyperlink"/>
            <w:color w:val="000000" w:themeColor="text1"/>
            <w:u w:val="none"/>
          </w:rPr>
          <w:t>S</w:t>
        </w:r>
        <w:r w:rsidRPr="009A4409">
          <w:rPr>
            <w:rStyle w:val="Hyperlink"/>
            <w:color w:val="000000" w:themeColor="text1"/>
            <w:sz w:val="16"/>
            <w:u w:val="none"/>
          </w:rPr>
          <w:t>ERVS</w:t>
        </w:r>
      </w:hyperlink>
      <w:r w:rsidRPr="009A4409">
        <w:rPr>
          <w:color w:val="000000" w:themeColor="text1"/>
        </w:rPr>
        <w:t xml:space="preserve">., </w:t>
      </w:r>
      <w:hyperlink r:id="rId145">
        <w:r>
          <w:rPr>
            <w:color w:val="486794"/>
            <w:spacing w:val="-2"/>
            <w:u w:val="single" w:color="486794"/>
          </w:rPr>
          <w:t>https://www.cms.gov/medicaremedicare-fee-service-paymentlongtermcarehospitalppsltchpps-historical-</w:t>
        </w:r>
      </w:hyperlink>
      <w:r>
        <w:rPr>
          <w:color w:val="486794"/>
          <w:spacing w:val="-2"/>
        </w:rPr>
        <w:t xml:space="preserve"> </w:t>
      </w:r>
      <w:hyperlink r:id="rId146">
        <w:r>
          <w:rPr>
            <w:color w:val="486794"/>
            <w:u w:val="single" w:color="486794"/>
          </w:rPr>
          <w:t>impact-files/fy-2022-impact-file-final-rule</w:t>
        </w:r>
      </w:hyperlink>
      <w:r>
        <w:rPr>
          <w:color w:val="486794"/>
        </w:rPr>
        <w:t xml:space="preserve"> </w:t>
      </w:r>
      <w:r>
        <w:t xml:space="preserve">(last visited February 27, 2025) and </w:t>
      </w:r>
      <w:hyperlink r:id="rId147" w:history="1">
        <w:r w:rsidRPr="009A4409">
          <w:rPr>
            <w:rStyle w:val="Hyperlink"/>
            <w:i/>
            <w:color w:val="000000" w:themeColor="text1"/>
            <w:u w:val="none"/>
          </w:rPr>
          <w:t>FY2022 IPPS Final Rule Home Page</w:t>
        </w:r>
        <w:r w:rsidRPr="009A4409">
          <w:rPr>
            <w:rStyle w:val="Hyperlink"/>
            <w:color w:val="000000" w:themeColor="text1"/>
            <w:u w:val="none"/>
          </w:rPr>
          <w:t>, C</w:t>
        </w:r>
        <w:r w:rsidRPr="009A4409">
          <w:rPr>
            <w:rStyle w:val="Hyperlink"/>
            <w:color w:val="000000" w:themeColor="text1"/>
            <w:sz w:val="16"/>
            <w:u w:val="none"/>
          </w:rPr>
          <w:t>TRS</w:t>
        </w:r>
        <w:r w:rsidRPr="009A4409">
          <w:rPr>
            <w:rStyle w:val="Hyperlink"/>
            <w:color w:val="000000" w:themeColor="text1"/>
            <w:u w:val="none"/>
          </w:rPr>
          <w:t xml:space="preserve">. </w:t>
        </w:r>
        <w:r w:rsidRPr="009A4409">
          <w:rPr>
            <w:rStyle w:val="Hyperlink"/>
            <w:color w:val="000000" w:themeColor="text1"/>
            <w:sz w:val="16"/>
            <w:u w:val="none"/>
          </w:rPr>
          <w:t xml:space="preserve">FOR </w:t>
        </w:r>
        <w:r w:rsidRPr="009A4409">
          <w:rPr>
            <w:rStyle w:val="Hyperlink"/>
            <w:color w:val="000000" w:themeColor="text1"/>
            <w:u w:val="none"/>
          </w:rPr>
          <w:t>M</w:t>
        </w:r>
        <w:r w:rsidRPr="009A4409">
          <w:rPr>
            <w:rStyle w:val="Hyperlink"/>
            <w:color w:val="000000" w:themeColor="text1"/>
            <w:sz w:val="16"/>
            <w:u w:val="none"/>
          </w:rPr>
          <w:t xml:space="preserve">EDICARE </w:t>
        </w:r>
        <w:r w:rsidRPr="009A4409">
          <w:rPr>
            <w:rStyle w:val="Hyperlink"/>
            <w:color w:val="000000" w:themeColor="text1"/>
            <w:u w:val="none"/>
          </w:rPr>
          <w:t>&amp; M</w:t>
        </w:r>
        <w:r w:rsidRPr="009A4409">
          <w:rPr>
            <w:rStyle w:val="Hyperlink"/>
            <w:color w:val="000000" w:themeColor="text1"/>
            <w:sz w:val="16"/>
            <w:u w:val="none"/>
          </w:rPr>
          <w:t xml:space="preserve">EDICAID </w:t>
        </w:r>
        <w:r w:rsidRPr="009A4409">
          <w:rPr>
            <w:rStyle w:val="Hyperlink"/>
            <w:color w:val="000000" w:themeColor="text1"/>
            <w:u w:val="none"/>
          </w:rPr>
          <w:t>S</w:t>
        </w:r>
        <w:r w:rsidRPr="009A4409">
          <w:rPr>
            <w:rStyle w:val="Hyperlink"/>
            <w:color w:val="000000" w:themeColor="text1"/>
            <w:sz w:val="16"/>
            <w:u w:val="none"/>
          </w:rPr>
          <w:t>ERVS</w:t>
        </w:r>
      </w:hyperlink>
      <w:r w:rsidRPr="009A4409">
        <w:rPr>
          <w:color w:val="000000" w:themeColor="text1"/>
        </w:rPr>
        <w:t xml:space="preserve">., </w:t>
      </w:r>
      <w:hyperlink r:id="rId148">
        <w:r>
          <w:rPr>
            <w:color w:val="486794"/>
            <w:u w:val="single" w:color="486794"/>
          </w:rPr>
          <w:t>https://www.cms.gov/medicare/payment/prospective-</w:t>
        </w:r>
      </w:hyperlink>
      <w:r>
        <w:rPr>
          <w:color w:val="486794"/>
        </w:rPr>
        <w:t xml:space="preserve"> </w:t>
      </w:r>
      <w:hyperlink r:id="rId149">
        <w:r>
          <w:rPr>
            <w:color w:val="486794"/>
            <w:u w:val="single" w:color="486794"/>
          </w:rPr>
          <w:t>payment-systems/acute-inpatient-pps/fy-2022-ipps-final-rule-home-page</w:t>
        </w:r>
      </w:hyperlink>
      <w:r>
        <w:rPr>
          <w:color w:val="486794"/>
        </w:rPr>
        <w:t xml:space="preserve"> </w:t>
      </w:r>
      <w:r>
        <w:t>(last visited February 27, 2025).</w:t>
      </w:r>
    </w:p>
  </w:footnote>
  <w:footnote w:id="112">
    <w:p w14:paraId="6B0A5D10" w14:textId="29276F28" w:rsidR="00601895" w:rsidRDefault="00CE4960" w:rsidP="00601895">
      <w:pPr>
        <w:spacing w:before="92"/>
        <w:ind w:left="960" w:right="891"/>
        <w:rPr>
          <w:sz w:val="20"/>
        </w:rPr>
      </w:pPr>
      <w:r>
        <w:rPr>
          <w:rStyle w:val="FootnoteReference"/>
        </w:rPr>
        <w:footnoteRef/>
      </w:r>
      <w:r>
        <w:t xml:space="preserve"> </w:t>
      </w:r>
      <w:r w:rsidR="00601895">
        <w:rPr>
          <w:i/>
          <w:sz w:val="20"/>
        </w:rPr>
        <w:t xml:space="preserve">See </w:t>
      </w:r>
      <w:hyperlink r:id="rId150" w:history="1">
        <w:r w:rsidR="00601895" w:rsidRPr="000225AE">
          <w:rPr>
            <w:rStyle w:val="Hyperlink"/>
            <w:color w:val="000000" w:themeColor="text1"/>
            <w:sz w:val="20"/>
            <w:u w:val="none"/>
          </w:rPr>
          <w:t>M</w:t>
        </w:r>
        <w:r w:rsidR="00601895" w:rsidRPr="000225AE">
          <w:rPr>
            <w:rStyle w:val="Hyperlink"/>
            <w:color w:val="000000" w:themeColor="text1"/>
            <w:sz w:val="16"/>
            <w:u w:val="none"/>
          </w:rPr>
          <w:t>ASS</w:t>
        </w:r>
        <w:r w:rsidR="00601895" w:rsidRPr="000225AE">
          <w:rPr>
            <w:rStyle w:val="Hyperlink"/>
            <w:color w:val="000000" w:themeColor="text1"/>
            <w:sz w:val="20"/>
            <w:u w:val="none"/>
          </w:rPr>
          <w:t>.</w:t>
        </w:r>
        <w:r w:rsidR="00601895" w:rsidRPr="000225AE">
          <w:rPr>
            <w:rStyle w:val="Hyperlink"/>
            <w:color w:val="000000" w:themeColor="text1"/>
            <w:spacing w:val="-1"/>
            <w:sz w:val="20"/>
            <w:u w:val="none"/>
          </w:rPr>
          <w:t xml:space="preserve"> </w:t>
        </w:r>
        <w:r w:rsidR="00601895" w:rsidRPr="000225AE">
          <w:rPr>
            <w:rStyle w:val="Hyperlink"/>
            <w:color w:val="000000" w:themeColor="text1"/>
            <w:sz w:val="20"/>
            <w:u w:val="none"/>
          </w:rPr>
          <w:t>H</w:t>
        </w:r>
        <w:r w:rsidR="00601895" w:rsidRPr="000225AE">
          <w:rPr>
            <w:rStyle w:val="Hyperlink"/>
            <w:color w:val="000000" w:themeColor="text1"/>
            <w:sz w:val="16"/>
            <w:u w:val="none"/>
          </w:rPr>
          <w:t xml:space="preserve">EALTH </w:t>
        </w:r>
        <w:r w:rsidR="00601895" w:rsidRPr="000225AE">
          <w:rPr>
            <w:rStyle w:val="Hyperlink"/>
            <w:color w:val="000000" w:themeColor="text1"/>
            <w:sz w:val="20"/>
            <w:u w:val="none"/>
          </w:rPr>
          <w:t>P</w:t>
        </w:r>
        <w:r w:rsidR="00601895" w:rsidRPr="000225AE">
          <w:rPr>
            <w:rStyle w:val="Hyperlink"/>
            <w:color w:val="000000" w:themeColor="text1"/>
            <w:sz w:val="16"/>
            <w:u w:val="none"/>
          </w:rPr>
          <w:t xml:space="preserve">OLICY </w:t>
        </w:r>
        <w:r w:rsidR="00601895" w:rsidRPr="000225AE">
          <w:rPr>
            <w:rStyle w:val="Hyperlink"/>
            <w:color w:val="000000" w:themeColor="text1"/>
            <w:sz w:val="20"/>
            <w:u w:val="none"/>
          </w:rPr>
          <w:t>C</w:t>
        </w:r>
        <w:r w:rsidR="00601895" w:rsidRPr="000225AE">
          <w:rPr>
            <w:rStyle w:val="Hyperlink"/>
            <w:color w:val="000000" w:themeColor="text1"/>
            <w:sz w:val="16"/>
            <w:u w:val="none"/>
          </w:rPr>
          <w:t>OMM</w:t>
        </w:r>
        <w:r w:rsidR="00601895" w:rsidRPr="000225AE">
          <w:rPr>
            <w:rStyle w:val="Hyperlink"/>
            <w:color w:val="000000" w:themeColor="text1"/>
            <w:sz w:val="20"/>
            <w:u w:val="none"/>
          </w:rPr>
          <w:t>’</w:t>
        </w:r>
        <w:r w:rsidR="00601895" w:rsidRPr="000225AE">
          <w:rPr>
            <w:rStyle w:val="Hyperlink"/>
            <w:color w:val="000000" w:themeColor="text1"/>
            <w:sz w:val="16"/>
            <w:u w:val="none"/>
          </w:rPr>
          <w:t>N</w:t>
        </w:r>
        <w:r w:rsidR="00601895" w:rsidRPr="000225AE">
          <w:rPr>
            <w:rStyle w:val="Hyperlink"/>
            <w:color w:val="000000" w:themeColor="text1"/>
            <w:sz w:val="20"/>
            <w:u w:val="none"/>
          </w:rPr>
          <w:t>,</w:t>
        </w:r>
        <w:r w:rsidR="00601895" w:rsidRPr="000225AE">
          <w:rPr>
            <w:rStyle w:val="Hyperlink"/>
            <w:color w:val="000000" w:themeColor="text1"/>
            <w:spacing w:val="-1"/>
            <w:sz w:val="20"/>
            <w:u w:val="none"/>
          </w:rPr>
          <w:t xml:space="preserve"> </w:t>
        </w:r>
        <w:r w:rsidR="00601895" w:rsidRPr="000225AE">
          <w:rPr>
            <w:rStyle w:val="Hyperlink"/>
            <w:color w:val="000000" w:themeColor="text1"/>
            <w:sz w:val="20"/>
            <w:u w:val="none"/>
          </w:rPr>
          <w:t>2024</w:t>
        </w:r>
        <w:r w:rsidR="00601895" w:rsidRPr="000225AE">
          <w:rPr>
            <w:rStyle w:val="Hyperlink"/>
            <w:color w:val="000000" w:themeColor="text1"/>
            <w:spacing w:val="-3"/>
            <w:sz w:val="20"/>
            <w:u w:val="none"/>
          </w:rPr>
          <w:t xml:space="preserve"> </w:t>
        </w:r>
        <w:r w:rsidR="00601895" w:rsidRPr="000225AE">
          <w:rPr>
            <w:rStyle w:val="Hyperlink"/>
            <w:color w:val="000000" w:themeColor="text1"/>
            <w:sz w:val="20"/>
            <w:u w:val="none"/>
          </w:rPr>
          <w:t>A</w:t>
        </w:r>
        <w:r w:rsidR="00601895" w:rsidRPr="000225AE">
          <w:rPr>
            <w:rStyle w:val="Hyperlink"/>
            <w:color w:val="000000" w:themeColor="text1"/>
            <w:sz w:val="16"/>
            <w:u w:val="none"/>
          </w:rPr>
          <w:t xml:space="preserve">NNUAL </w:t>
        </w:r>
        <w:r w:rsidR="00601895" w:rsidRPr="000225AE">
          <w:rPr>
            <w:rStyle w:val="Hyperlink"/>
            <w:color w:val="000000" w:themeColor="text1"/>
            <w:sz w:val="20"/>
            <w:u w:val="none"/>
          </w:rPr>
          <w:t>H</w:t>
        </w:r>
        <w:r w:rsidR="00601895" w:rsidRPr="000225AE">
          <w:rPr>
            <w:rStyle w:val="Hyperlink"/>
            <w:color w:val="000000" w:themeColor="text1"/>
            <w:sz w:val="16"/>
            <w:u w:val="none"/>
          </w:rPr>
          <w:t xml:space="preserve">EALTH </w:t>
        </w:r>
        <w:r w:rsidR="00601895" w:rsidRPr="000225AE">
          <w:rPr>
            <w:rStyle w:val="Hyperlink"/>
            <w:color w:val="000000" w:themeColor="text1"/>
            <w:sz w:val="20"/>
            <w:u w:val="none"/>
          </w:rPr>
          <w:t>C</w:t>
        </w:r>
        <w:r w:rsidR="00601895" w:rsidRPr="000225AE">
          <w:rPr>
            <w:rStyle w:val="Hyperlink"/>
            <w:color w:val="000000" w:themeColor="text1"/>
            <w:sz w:val="16"/>
            <w:u w:val="none"/>
          </w:rPr>
          <w:t xml:space="preserve">ARE </w:t>
        </w:r>
        <w:r w:rsidR="00601895" w:rsidRPr="000225AE">
          <w:rPr>
            <w:rStyle w:val="Hyperlink"/>
            <w:color w:val="000000" w:themeColor="text1"/>
            <w:sz w:val="20"/>
            <w:u w:val="none"/>
          </w:rPr>
          <w:t>C</w:t>
        </w:r>
        <w:r w:rsidR="00601895" w:rsidRPr="000225AE">
          <w:rPr>
            <w:rStyle w:val="Hyperlink"/>
            <w:color w:val="000000" w:themeColor="text1"/>
            <w:sz w:val="16"/>
            <w:u w:val="none"/>
          </w:rPr>
          <w:t xml:space="preserve">OST </w:t>
        </w:r>
        <w:r w:rsidR="00601895" w:rsidRPr="000225AE">
          <w:rPr>
            <w:rStyle w:val="Hyperlink"/>
            <w:color w:val="000000" w:themeColor="text1"/>
            <w:sz w:val="20"/>
            <w:u w:val="none"/>
          </w:rPr>
          <w:t>T</w:t>
        </w:r>
        <w:r w:rsidR="00601895" w:rsidRPr="000225AE">
          <w:rPr>
            <w:rStyle w:val="Hyperlink"/>
            <w:color w:val="000000" w:themeColor="text1"/>
            <w:sz w:val="16"/>
            <w:u w:val="none"/>
          </w:rPr>
          <w:t xml:space="preserve">RENDS </w:t>
        </w:r>
        <w:r w:rsidR="00601895" w:rsidRPr="000225AE">
          <w:rPr>
            <w:rStyle w:val="Hyperlink"/>
            <w:color w:val="000000" w:themeColor="text1"/>
            <w:sz w:val="20"/>
            <w:u w:val="none"/>
          </w:rPr>
          <w:t>R</w:t>
        </w:r>
        <w:r w:rsidR="00601895" w:rsidRPr="000225AE">
          <w:rPr>
            <w:rStyle w:val="Hyperlink"/>
            <w:color w:val="000000" w:themeColor="text1"/>
            <w:sz w:val="16"/>
            <w:u w:val="none"/>
          </w:rPr>
          <w:t xml:space="preserve">EPORT AND </w:t>
        </w:r>
        <w:r w:rsidR="00601895" w:rsidRPr="000225AE">
          <w:rPr>
            <w:rStyle w:val="Hyperlink"/>
            <w:color w:val="000000" w:themeColor="text1"/>
            <w:sz w:val="20"/>
            <w:u w:val="none"/>
          </w:rPr>
          <w:t>P</w:t>
        </w:r>
        <w:r w:rsidR="00601895" w:rsidRPr="000225AE">
          <w:rPr>
            <w:rStyle w:val="Hyperlink"/>
            <w:color w:val="000000" w:themeColor="text1"/>
            <w:sz w:val="16"/>
            <w:u w:val="none"/>
          </w:rPr>
          <w:t>OLICY</w:t>
        </w:r>
        <w:r w:rsidR="00601895" w:rsidRPr="000225AE">
          <w:rPr>
            <w:rStyle w:val="Hyperlink"/>
            <w:color w:val="000000" w:themeColor="text1"/>
            <w:spacing w:val="40"/>
            <w:sz w:val="16"/>
            <w:u w:val="none"/>
          </w:rPr>
          <w:t xml:space="preserve"> </w:t>
        </w:r>
        <w:r w:rsidR="00601895" w:rsidRPr="000225AE">
          <w:rPr>
            <w:rStyle w:val="Hyperlink"/>
            <w:color w:val="000000" w:themeColor="text1"/>
            <w:sz w:val="20"/>
            <w:u w:val="none"/>
          </w:rPr>
          <w:t>R</w:t>
        </w:r>
        <w:r w:rsidR="00601895" w:rsidRPr="000225AE">
          <w:rPr>
            <w:rStyle w:val="Hyperlink"/>
            <w:color w:val="000000" w:themeColor="text1"/>
            <w:sz w:val="16"/>
            <w:u w:val="none"/>
          </w:rPr>
          <w:t>ECOMMENDATIONS</w:t>
        </w:r>
        <w:r w:rsidR="00601895" w:rsidRPr="000225AE">
          <w:rPr>
            <w:rStyle w:val="Hyperlink"/>
            <w:color w:val="000000" w:themeColor="text1"/>
            <w:spacing w:val="-4"/>
            <w:sz w:val="16"/>
            <w:u w:val="none"/>
          </w:rPr>
          <w:t xml:space="preserve"> </w:t>
        </w:r>
        <w:r w:rsidR="00601895" w:rsidRPr="000225AE">
          <w:rPr>
            <w:rStyle w:val="Hyperlink"/>
            <w:color w:val="000000" w:themeColor="text1"/>
            <w:sz w:val="20"/>
            <w:u w:val="none"/>
          </w:rPr>
          <w:t>C</w:t>
        </w:r>
        <w:r w:rsidR="00601895" w:rsidRPr="000225AE">
          <w:rPr>
            <w:rStyle w:val="Hyperlink"/>
            <w:color w:val="000000" w:themeColor="text1"/>
            <w:sz w:val="16"/>
            <w:u w:val="none"/>
          </w:rPr>
          <w:t>HARTPACK</w:t>
        </w:r>
      </w:hyperlink>
      <w:r w:rsidR="00601895" w:rsidRPr="000225AE">
        <w:rPr>
          <w:color w:val="000000" w:themeColor="text1"/>
          <w:sz w:val="16"/>
        </w:rPr>
        <w:t xml:space="preserve"> </w:t>
      </w:r>
      <w:r w:rsidR="00601895" w:rsidRPr="000225AE">
        <w:rPr>
          <w:color w:val="000000" w:themeColor="text1"/>
          <w:sz w:val="20"/>
        </w:rPr>
        <w:t>at</w:t>
      </w:r>
      <w:r w:rsidR="00601895" w:rsidRPr="000225AE">
        <w:rPr>
          <w:color w:val="000000" w:themeColor="text1"/>
          <w:spacing w:val="-3"/>
          <w:sz w:val="20"/>
        </w:rPr>
        <w:t xml:space="preserve"> </w:t>
      </w:r>
      <w:r w:rsidR="00601895" w:rsidRPr="000225AE">
        <w:rPr>
          <w:color w:val="000000" w:themeColor="text1"/>
          <w:sz w:val="20"/>
        </w:rPr>
        <w:t>41</w:t>
      </w:r>
      <w:r w:rsidR="00601895" w:rsidRPr="000225AE">
        <w:rPr>
          <w:color w:val="000000" w:themeColor="text1"/>
          <w:spacing w:val="-3"/>
          <w:sz w:val="20"/>
        </w:rPr>
        <w:t xml:space="preserve"> </w:t>
      </w:r>
      <w:r w:rsidR="00601895">
        <w:rPr>
          <w:sz w:val="20"/>
        </w:rPr>
        <w:t>(Oct.</w:t>
      </w:r>
      <w:r w:rsidR="00601895">
        <w:rPr>
          <w:spacing w:val="-3"/>
          <w:sz w:val="20"/>
        </w:rPr>
        <w:t xml:space="preserve"> </w:t>
      </w:r>
      <w:r w:rsidR="00601895">
        <w:rPr>
          <w:sz w:val="20"/>
        </w:rPr>
        <w:t>2024)</w:t>
      </w:r>
      <w:r w:rsidR="00601895">
        <w:rPr>
          <w:spacing w:val="-4"/>
          <w:sz w:val="20"/>
        </w:rPr>
        <w:t xml:space="preserve"> </w:t>
      </w:r>
      <w:r w:rsidR="00601895">
        <w:rPr>
          <w:sz w:val="20"/>
        </w:rPr>
        <w:t>[hereinafter</w:t>
      </w:r>
      <w:r w:rsidR="00601895">
        <w:rPr>
          <w:spacing w:val="-5"/>
          <w:sz w:val="20"/>
        </w:rPr>
        <w:t xml:space="preserve"> </w:t>
      </w:r>
      <w:r w:rsidR="00601895">
        <w:rPr>
          <w:sz w:val="20"/>
        </w:rPr>
        <w:t>2024</w:t>
      </w:r>
      <w:r w:rsidR="00601895">
        <w:rPr>
          <w:spacing w:val="-12"/>
          <w:sz w:val="20"/>
        </w:rPr>
        <w:t xml:space="preserve"> </w:t>
      </w:r>
      <w:r w:rsidR="00601895">
        <w:rPr>
          <w:sz w:val="20"/>
        </w:rPr>
        <w:t>HPC</w:t>
      </w:r>
      <w:r w:rsidR="00601895">
        <w:rPr>
          <w:spacing w:val="-13"/>
          <w:sz w:val="20"/>
        </w:rPr>
        <w:t xml:space="preserve"> </w:t>
      </w:r>
      <w:r w:rsidR="00601895">
        <w:rPr>
          <w:sz w:val="20"/>
        </w:rPr>
        <w:t>C</w:t>
      </w:r>
      <w:r w:rsidR="00601895">
        <w:rPr>
          <w:sz w:val="16"/>
        </w:rPr>
        <w:t>OST</w:t>
      </w:r>
      <w:r w:rsidR="00601895">
        <w:rPr>
          <w:spacing w:val="-1"/>
          <w:sz w:val="16"/>
        </w:rPr>
        <w:t xml:space="preserve"> </w:t>
      </w:r>
      <w:r w:rsidR="00601895">
        <w:rPr>
          <w:sz w:val="20"/>
        </w:rPr>
        <w:t>T</w:t>
      </w:r>
      <w:r w:rsidR="00601895">
        <w:rPr>
          <w:sz w:val="16"/>
        </w:rPr>
        <w:t>RENDS</w:t>
      </w:r>
      <w:r w:rsidR="00601895">
        <w:rPr>
          <w:spacing w:val="-3"/>
          <w:sz w:val="16"/>
        </w:rPr>
        <w:t xml:space="preserve"> </w:t>
      </w:r>
      <w:r w:rsidR="00601895">
        <w:rPr>
          <w:sz w:val="20"/>
        </w:rPr>
        <w:t>R</w:t>
      </w:r>
      <w:r w:rsidR="00601895">
        <w:rPr>
          <w:sz w:val="16"/>
        </w:rPr>
        <w:t>EPORT</w:t>
      </w:r>
      <w:r w:rsidR="00601895">
        <w:rPr>
          <w:sz w:val="20"/>
        </w:rPr>
        <w:t>]</w:t>
      </w:r>
      <w:r w:rsidR="00601895">
        <w:rPr>
          <w:spacing w:val="-5"/>
          <w:sz w:val="20"/>
        </w:rPr>
        <w:t xml:space="preserve"> </w:t>
      </w:r>
      <w:r w:rsidR="00601895">
        <w:rPr>
          <w:sz w:val="20"/>
        </w:rPr>
        <w:t>(showing</w:t>
      </w:r>
      <w:r w:rsidR="00601895">
        <w:rPr>
          <w:spacing w:val="-4"/>
          <w:sz w:val="20"/>
        </w:rPr>
        <w:t xml:space="preserve"> </w:t>
      </w:r>
      <w:r w:rsidR="00601895">
        <w:rPr>
          <w:sz w:val="20"/>
        </w:rPr>
        <w:t>near-</w:t>
      </w:r>
    </w:p>
    <w:p w14:paraId="07A13038" w14:textId="77777777" w:rsidR="00601895" w:rsidRDefault="00601895" w:rsidP="00601895">
      <w:pPr>
        <w:spacing w:before="1"/>
        <w:ind w:left="960" w:right="1034"/>
        <w:rPr>
          <w:sz w:val="20"/>
        </w:rPr>
      </w:pPr>
      <w:r>
        <w:rPr>
          <w:sz w:val="20"/>
        </w:rPr>
        <w:t xml:space="preserve">uniform Medicare base rate payments across Massachusetts hospitals but substantially higher total payments per case mix adjusted discharge for many hospitals, including BIDMC and BWH), </w:t>
      </w:r>
      <w:r>
        <w:rPr>
          <w:i/>
          <w:sz w:val="20"/>
        </w:rPr>
        <w:t xml:space="preserve">available at </w:t>
      </w:r>
      <w:hyperlink r:id="rId151">
        <w:r>
          <w:rPr>
            <w:color w:val="486794"/>
            <w:sz w:val="20"/>
            <w:u w:val="single" w:color="486794"/>
          </w:rPr>
          <w:t>https://masshpc.gov/sites/default/files/2024%20CTR%20Chartpack.pdf</w:t>
        </w:r>
        <w:r>
          <w:rPr>
            <w:sz w:val="20"/>
          </w:rPr>
          <w:t>.</w:t>
        </w:r>
      </w:hyperlink>
      <w:r>
        <w:rPr>
          <w:spacing w:val="-8"/>
          <w:sz w:val="20"/>
        </w:rPr>
        <w:t xml:space="preserve"> </w:t>
      </w:r>
      <w:r>
        <w:rPr>
          <w:sz w:val="20"/>
        </w:rPr>
        <w:t>MGB’s</w:t>
      </w:r>
      <w:r>
        <w:rPr>
          <w:spacing w:val="-8"/>
          <w:sz w:val="20"/>
        </w:rPr>
        <w:t xml:space="preserve"> </w:t>
      </w:r>
      <w:r>
        <w:rPr>
          <w:sz w:val="20"/>
        </w:rPr>
        <w:t>analysis</w:t>
      </w:r>
      <w:r>
        <w:rPr>
          <w:spacing w:val="-8"/>
          <w:sz w:val="20"/>
        </w:rPr>
        <w:t xml:space="preserve"> </w:t>
      </w:r>
      <w:r>
        <w:rPr>
          <w:sz w:val="20"/>
        </w:rPr>
        <w:t>of</w:t>
      </w:r>
      <w:r>
        <w:rPr>
          <w:spacing w:val="-9"/>
          <w:sz w:val="20"/>
        </w:rPr>
        <w:t xml:space="preserve"> </w:t>
      </w:r>
      <w:r>
        <w:rPr>
          <w:sz w:val="20"/>
        </w:rPr>
        <w:t>differences</w:t>
      </w:r>
      <w:r>
        <w:rPr>
          <w:spacing w:val="-8"/>
          <w:sz w:val="20"/>
        </w:rPr>
        <w:t xml:space="preserve"> </w:t>
      </w:r>
      <w:r>
        <w:rPr>
          <w:sz w:val="20"/>
        </w:rPr>
        <w:t xml:space="preserve">in Medicare prices in its comment on the DFCI ICA differs from that of the HPC in that it appears not to account for supplemental payments, resulting in lower average Medicare prices for other hospitals relative to DFCI. MGB ICA Comment, </w:t>
      </w:r>
      <w:r>
        <w:rPr>
          <w:i/>
          <w:sz w:val="20"/>
        </w:rPr>
        <w:t xml:space="preserve">supra </w:t>
      </w:r>
      <w:r>
        <w:rPr>
          <w:sz w:val="20"/>
        </w:rPr>
        <w:t xml:space="preserve">note </w:t>
      </w:r>
      <w:hyperlink w:anchor="_bookmark96" w:history="1">
        <w:r>
          <w:rPr>
            <w:sz w:val="20"/>
          </w:rPr>
          <w:t>81,</w:t>
        </w:r>
      </w:hyperlink>
      <w:r>
        <w:rPr>
          <w:sz w:val="20"/>
        </w:rPr>
        <w:t xml:space="preserve"> at 5-6.</w:t>
      </w:r>
    </w:p>
    <w:p w14:paraId="508426CB" w14:textId="4DC37C21" w:rsidR="00CE4960" w:rsidRDefault="00CE4960">
      <w:pPr>
        <w:pStyle w:val="FootnoteText"/>
      </w:pPr>
    </w:p>
  </w:footnote>
  <w:footnote w:id="113">
    <w:p w14:paraId="14C14AD5" w14:textId="776DFCD8" w:rsidR="008D5430" w:rsidRPr="00586120" w:rsidRDefault="008F79B1" w:rsidP="008D5430">
      <w:pPr>
        <w:spacing w:before="92"/>
        <w:ind w:left="960"/>
        <w:rPr>
          <w:rStyle w:val="Hyperlink"/>
          <w:color w:val="000000" w:themeColor="text1"/>
          <w:sz w:val="16"/>
          <w:u w:val="none"/>
        </w:rPr>
      </w:pPr>
      <w:r>
        <w:rPr>
          <w:rStyle w:val="FootnoteReference"/>
        </w:rPr>
        <w:footnoteRef/>
      </w:r>
      <w:r>
        <w:t xml:space="preserve"> </w:t>
      </w:r>
      <w:r w:rsidR="008D5430">
        <w:rPr>
          <w:i/>
          <w:sz w:val="20"/>
        </w:rPr>
        <w:t>See</w:t>
      </w:r>
      <w:r w:rsidR="008D5430">
        <w:rPr>
          <w:i/>
          <w:spacing w:val="-3"/>
          <w:sz w:val="20"/>
        </w:rPr>
        <w:t xml:space="preserve"> </w:t>
      </w:r>
      <w:r w:rsidR="008D5430" w:rsidRPr="00586120">
        <w:rPr>
          <w:color w:val="000000" w:themeColor="text1"/>
          <w:sz w:val="20"/>
        </w:rPr>
        <w:fldChar w:fldCharType="begin"/>
      </w:r>
      <w:r w:rsidR="008D5430" w:rsidRPr="00586120">
        <w:rPr>
          <w:color w:val="000000" w:themeColor="text1"/>
          <w:sz w:val="20"/>
        </w:rPr>
        <w:instrText>HYPERLINK "https://dev-hpc-training.pantheonsite.io/sites/default/files/2023-04/2018%20Cost%20Trends%20Report.pdf"</w:instrText>
      </w:r>
      <w:r w:rsidR="008D5430" w:rsidRPr="00586120">
        <w:rPr>
          <w:color w:val="000000" w:themeColor="text1"/>
          <w:sz w:val="20"/>
        </w:rPr>
      </w:r>
      <w:r w:rsidR="008D5430" w:rsidRPr="00586120">
        <w:rPr>
          <w:color w:val="000000" w:themeColor="text1"/>
          <w:sz w:val="20"/>
        </w:rPr>
        <w:fldChar w:fldCharType="separate"/>
      </w:r>
      <w:r w:rsidR="008D5430" w:rsidRPr="00586120">
        <w:rPr>
          <w:rStyle w:val="Hyperlink"/>
          <w:color w:val="000000" w:themeColor="text1"/>
          <w:sz w:val="20"/>
          <w:u w:val="none"/>
        </w:rPr>
        <w:t>M</w:t>
      </w:r>
      <w:r w:rsidR="008D5430" w:rsidRPr="00586120">
        <w:rPr>
          <w:rStyle w:val="Hyperlink"/>
          <w:color w:val="000000" w:themeColor="text1"/>
          <w:sz w:val="16"/>
          <w:u w:val="none"/>
        </w:rPr>
        <w:t>ASS</w:t>
      </w:r>
      <w:r w:rsidR="008D5430" w:rsidRPr="00586120">
        <w:rPr>
          <w:rStyle w:val="Hyperlink"/>
          <w:color w:val="000000" w:themeColor="text1"/>
          <w:sz w:val="20"/>
          <w:u w:val="none"/>
        </w:rPr>
        <w:t>.</w:t>
      </w:r>
      <w:r w:rsidR="008D5430" w:rsidRPr="00586120">
        <w:rPr>
          <w:rStyle w:val="Hyperlink"/>
          <w:color w:val="000000" w:themeColor="text1"/>
          <w:spacing w:val="-13"/>
          <w:sz w:val="20"/>
          <w:u w:val="none"/>
        </w:rPr>
        <w:t xml:space="preserve"> </w:t>
      </w:r>
      <w:r w:rsidR="008D5430" w:rsidRPr="00586120">
        <w:rPr>
          <w:rStyle w:val="Hyperlink"/>
          <w:color w:val="000000" w:themeColor="text1"/>
          <w:sz w:val="20"/>
          <w:u w:val="none"/>
        </w:rPr>
        <w:t>H</w:t>
      </w:r>
      <w:r w:rsidR="008D5430" w:rsidRPr="00586120">
        <w:rPr>
          <w:rStyle w:val="Hyperlink"/>
          <w:color w:val="000000" w:themeColor="text1"/>
          <w:sz w:val="16"/>
          <w:u w:val="none"/>
        </w:rPr>
        <w:t>EALTH</w:t>
      </w:r>
      <w:r w:rsidR="008D5430" w:rsidRPr="00586120">
        <w:rPr>
          <w:rStyle w:val="Hyperlink"/>
          <w:color w:val="000000" w:themeColor="text1"/>
          <w:spacing w:val="-4"/>
          <w:sz w:val="16"/>
          <w:u w:val="none"/>
        </w:rPr>
        <w:t xml:space="preserve"> </w:t>
      </w:r>
      <w:r w:rsidR="008D5430" w:rsidRPr="00586120">
        <w:rPr>
          <w:rStyle w:val="Hyperlink"/>
          <w:color w:val="000000" w:themeColor="text1"/>
          <w:sz w:val="20"/>
          <w:u w:val="none"/>
        </w:rPr>
        <w:t>P</w:t>
      </w:r>
      <w:r w:rsidR="008D5430" w:rsidRPr="00586120">
        <w:rPr>
          <w:rStyle w:val="Hyperlink"/>
          <w:color w:val="000000" w:themeColor="text1"/>
          <w:sz w:val="16"/>
          <w:u w:val="none"/>
        </w:rPr>
        <w:t>OLICY</w:t>
      </w:r>
      <w:r w:rsidR="008D5430" w:rsidRPr="00586120">
        <w:rPr>
          <w:rStyle w:val="Hyperlink"/>
          <w:color w:val="000000" w:themeColor="text1"/>
          <w:spacing w:val="-7"/>
          <w:sz w:val="16"/>
          <w:u w:val="none"/>
        </w:rPr>
        <w:t xml:space="preserve"> </w:t>
      </w:r>
      <w:r w:rsidR="008D5430" w:rsidRPr="00586120">
        <w:rPr>
          <w:rStyle w:val="Hyperlink"/>
          <w:color w:val="000000" w:themeColor="text1"/>
          <w:sz w:val="20"/>
          <w:u w:val="none"/>
        </w:rPr>
        <w:t>C</w:t>
      </w:r>
      <w:r w:rsidR="008D5430" w:rsidRPr="00586120">
        <w:rPr>
          <w:rStyle w:val="Hyperlink"/>
          <w:color w:val="000000" w:themeColor="text1"/>
          <w:sz w:val="16"/>
          <w:u w:val="none"/>
        </w:rPr>
        <w:t>OMM</w:t>
      </w:r>
      <w:r w:rsidR="008D5430" w:rsidRPr="00586120">
        <w:rPr>
          <w:rStyle w:val="Hyperlink"/>
          <w:color w:val="000000" w:themeColor="text1"/>
          <w:sz w:val="20"/>
          <w:u w:val="none"/>
        </w:rPr>
        <w:t>’</w:t>
      </w:r>
      <w:r w:rsidR="008D5430" w:rsidRPr="00586120">
        <w:rPr>
          <w:rStyle w:val="Hyperlink"/>
          <w:color w:val="000000" w:themeColor="text1"/>
          <w:sz w:val="16"/>
          <w:u w:val="none"/>
        </w:rPr>
        <w:t>N</w:t>
      </w:r>
      <w:r w:rsidR="008D5430" w:rsidRPr="00586120">
        <w:rPr>
          <w:rStyle w:val="Hyperlink"/>
          <w:color w:val="000000" w:themeColor="text1"/>
          <w:sz w:val="20"/>
          <w:u w:val="none"/>
        </w:rPr>
        <w:t>,</w:t>
      </w:r>
      <w:r w:rsidR="008D5430" w:rsidRPr="00586120">
        <w:rPr>
          <w:rStyle w:val="Hyperlink"/>
          <w:color w:val="000000" w:themeColor="text1"/>
          <w:spacing w:val="-4"/>
          <w:sz w:val="20"/>
          <w:u w:val="none"/>
        </w:rPr>
        <w:t xml:space="preserve"> </w:t>
      </w:r>
      <w:r w:rsidR="008D5430" w:rsidRPr="00586120">
        <w:rPr>
          <w:rStyle w:val="Hyperlink"/>
          <w:color w:val="000000" w:themeColor="text1"/>
          <w:sz w:val="20"/>
          <w:u w:val="none"/>
        </w:rPr>
        <w:t>2018</w:t>
      </w:r>
      <w:r w:rsidR="008D5430" w:rsidRPr="00586120">
        <w:rPr>
          <w:rStyle w:val="Hyperlink"/>
          <w:color w:val="000000" w:themeColor="text1"/>
          <w:spacing w:val="-13"/>
          <w:sz w:val="20"/>
          <w:u w:val="none"/>
        </w:rPr>
        <w:t xml:space="preserve"> </w:t>
      </w:r>
      <w:r w:rsidR="008D5430" w:rsidRPr="00586120">
        <w:rPr>
          <w:rStyle w:val="Hyperlink"/>
          <w:color w:val="000000" w:themeColor="text1"/>
          <w:sz w:val="20"/>
          <w:u w:val="none"/>
        </w:rPr>
        <w:t>A</w:t>
      </w:r>
      <w:r w:rsidR="008D5430" w:rsidRPr="00586120">
        <w:rPr>
          <w:rStyle w:val="Hyperlink"/>
          <w:color w:val="000000" w:themeColor="text1"/>
          <w:sz w:val="16"/>
          <w:u w:val="none"/>
        </w:rPr>
        <w:t>NNUAL</w:t>
      </w:r>
      <w:r w:rsidR="008D5430" w:rsidRPr="00586120">
        <w:rPr>
          <w:rStyle w:val="Hyperlink"/>
          <w:color w:val="000000" w:themeColor="text1"/>
          <w:spacing w:val="-6"/>
          <w:sz w:val="16"/>
          <w:u w:val="none"/>
        </w:rPr>
        <w:t xml:space="preserve"> </w:t>
      </w:r>
      <w:r w:rsidR="008D5430" w:rsidRPr="00586120">
        <w:rPr>
          <w:rStyle w:val="Hyperlink"/>
          <w:color w:val="000000" w:themeColor="text1"/>
          <w:sz w:val="20"/>
          <w:u w:val="none"/>
        </w:rPr>
        <w:t>H</w:t>
      </w:r>
      <w:r w:rsidR="008D5430" w:rsidRPr="00586120">
        <w:rPr>
          <w:rStyle w:val="Hyperlink"/>
          <w:color w:val="000000" w:themeColor="text1"/>
          <w:sz w:val="16"/>
          <w:u w:val="none"/>
        </w:rPr>
        <w:t>EALTH</w:t>
      </w:r>
      <w:r w:rsidR="008D5430" w:rsidRPr="00586120">
        <w:rPr>
          <w:rStyle w:val="Hyperlink"/>
          <w:color w:val="000000" w:themeColor="text1"/>
          <w:spacing w:val="-4"/>
          <w:sz w:val="16"/>
          <w:u w:val="none"/>
        </w:rPr>
        <w:t xml:space="preserve"> </w:t>
      </w:r>
      <w:r w:rsidR="008D5430" w:rsidRPr="00586120">
        <w:rPr>
          <w:rStyle w:val="Hyperlink"/>
          <w:color w:val="000000" w:themeColor="text1"/>
          <w:sz w:val="20"/>
          <w:u w:val="none"/>
        </w:rPr>
        <w:t>C</w:t>
      </w:r>
      <w:r w:rsidR="008D5430" w:rsidRPr="00586120">
        <w:rPr>
          <w:rStyle w:val="Hyperlink"/>
          <w:color w:val="000000" w:themeColor="text1"/>
          <w:sz w:val="16"/>
          <w:u w:val="none"/>
        </w:rPr>
        <w:t>ARE</w:t>
      </w:r>
      <w:r w:rsidR="008D5430" w:rsidRPr="00586120">
        <w:rPr>
          <w:rStyle w:val="Hyperlink"/>
          <w:color w:val="000000" w:themeColor="text1"/>
          <w:spacing w:val="-4"/>
          <w:sz w:val="16"/>
          <w:u w:val="none"/>
        </w:rPr>
        <w:t xml:space="preserve"> </w:t>
      </w:r>
      <w:r w:rsidR="008D5430" w:rsidRPr="00586120">
        <w:rPr>
          <w:rStyle w:val="Hyperlink"/>
          <w:color w:val="000000" w:themeColor="text1"/>
          <w:sz w:val="20"/>
          <w:u w:val="none"/>
        </w:rPr>
        <w:t>C</w:t>
      </w:r>
      <w:r w:rsidR="008D5430" w:rsidRPr="00586120">
        <w:rPr>
          <w:rStyle w:val="Hyperlink"/>
          <w:color w:val="000000" w:themeColor="text1"/>
          <w:sz w:val="16"/>
          <w:u w:val="none"/>
        </w:rPr>
        <w:t>OST</w:t>
      </w:r>
      <w:r w:rsidR="008D5430" w:rsidRPr="00586120">
        <w:rPr>
          <w:rStyle w:val="Hyperlink"/>
          <w:color w:val="000000" w:themeColor="text1"/>
          <w:spacing w:val="-2"/>
          <w:sz w:val="16"/>
          <w:u w:val="none"/>
        </w:rPr>
        <w:t xml:space="preserve"> </w:t>
      </w:r>
      <w:r w:rsidR="008D5430" w:rsidRPr="00586120">
        <w:rPr>
          <w:rStyle w:val="Hyperlink"/>
          <w:color w:val="000000" w:themeColor="text1"/>
          <w:sz w:val="20"/>
          <w:u w:val="none"/>
        </w:rPr>
        <w:t>T</w:t>
      </w:r>
      <w:r w:rsidR="008D5430" w:rsidRPr="00586120">
        <w:rPr>
          <w:rStyle w:val="Hyperlink"/>
          <w:color w:val="000000" w:themeColor="text1"/>
          <w:sz w:val="16"/>
          <w:u w:val="none"/>
        </w:rPr>
        <w:t>RENDS</w:t>
      </w:r>
      <w:r w:rsidR="008D5430" w:rsidRPr="00586120">
        <w:rPr>
          <w:rStyle w:val="Hyperlink"/>
          <w:color w:val="000000" w:themeColor="text1"/>
          <w:spacing w:val="-5"/>
          <w:sz w:val="16"/>
          <w:u w:val="none"/>
        </w:rPr>
        <w:t xml:space="preserve"> </w:t>
      </w:r>
      <w:r w:rsidR="008D5430" w:rsidRPr="00586120">
        <w:rPr>
          <w:rStyle w:val="Hyperlink"/>
          <w:color w:val="000000" w:themeColor="text1"/>
          <w:sz w:val="20"/>
          <w:u w:val="none"/>
        </w:rPr>
        <w:t>R</w:t>
      </w:r>
      <w:r w:rsidR="008D5430" w:rsidRPr="00586120">
        <w:rPr>
          <w:rStyle w:val="Hyperlink"/>
          <w:color w:val="000000" w:themeColor="text1"/>
          <w:sz w:val="16"/>
          <w:u w:val="none"/>
        </w:rPr>
        <w:t>EPORT</w:t>
      </w:r>
      <w:r w:rsidR="008D5430" w:rsidRPr="00586120">
        <w:rPr>
          <w:rStyle w:val="Hyperlink"/>
          <w:color w:val="000000" w:themeColor="text1"/>
          <w:spacing w:val="-5"/>
          <w:sz w:val="16"/>
          <w:u w:val="none"/>
        </w:rPr>
        <w:t xml:space="preserve"> </w:t>
      </w:r>
      <w:r w:rsidR="008D5430" w:rsidRPr="00586120">
        <w:rPr>
          <w:rStyle w:val="Hyperlink"/>
          <w:color w:val="000000" w:themeColor="text1"/>
          <w:sz w:val="16"/>
          <w:u w:val="none"/>
        </w:rPr>
        <w:t>AND</w:t>
      </w:r>
      <w:r w:rsidR="008D5430" w:rsidRPr="00586120">
        <w:rPr>
          <w:rStyle w:val="Hyperlink"/>
          <w:color w:val="000000" w:themeColor="text1"/>
          <w:spacing w:val="-4"/>
          <w:sz w:val="16"/>
          <w:u w:val="none"/>
        </w:rPr>
        <w:t xml:space="preserve"> </w:t>
      </w:r>
      <w:r w:rsidR="008D5430" w:rsidRPr="00586120">
        <w:rPr>
          <w:rStyle w:val="Hyperlink"/>
          <w:color w:val="000000" w:themeColor="text1"/>
          <w:spacing w:val="-2"/>
          <w:sz w:val="20"/>
          <w:u w:val="none"/>
        </w:rPr>
        <w:t>P</w:t>
      </w:r>
      <w:r w:rsidR="008D5430" w:rsidRPr="00586120">
        <w:rPr>
          <w:rStyle w:val="Hyperlink"/>
          <w:color w:val="000000" w:themeColor="text1"/>
          <w:spacing w:val="-2"/>
          <w:sz w:val="16"/>
          <w:u w:val="none"/>
        </w:rPr>
        <w:t>OLICY</w:t>
      </w:r>
    </w:p>
    <w:p w14:paraId="566088CC" w14:textId="42EA9BCC" w:rsidR="008D5430" w:rsidRDefault="008D5430" w:rsidP="008D5430">
      <w:pPr>
        <w:spacing w:before="2"/>
        <w:ind w:left="960" w:right="1056"/>
        <w:rPr>
          <w:sz w:val="20"/>
        </w:rPr>
      </w:pPr>
      <w:r w:rsidRPr="00586120">
        <w:rPr>
          <w:rStyle w:val="Hyperlink"/>
          <w:color w:val="000000" w:themeColor="text1"/>
          <w:sz w:val="20"/>
          <w:u w:val="none"/>
        </w:rPr>
        <w:t>R</w:t>
      </w:r>
      <w:r w:rsidRPr="00586120">
        <w:rPr>
          <w:rStyle w:val="Hyperlink"/>
          <w:color w:val="000000" w:themeColor="text1"/>
          <w:sz w:val="16"/>
          <w:u w:val="none"/>
        </w:rPr>
        <w:t>ECOMMENDATIONS</w:t>
      </w:r>
      <w:r w:rsidRPr="00586120">
        <w:rPr>
          <w:color w:val="000000" w:themeColor="text1"/>
          <w:sz w:val="20"/>
        </w:rPr>
        <w:fldChar w:fldCharType="end"/>
      </w:r>
      <w:r w:rsidRPr="00586120">
        <w:rPr>
          <w:color w:val="000000" w:themeColor="text1"/>
          <w:sz w:val="16"/>
        </w:rPr>
        <w:t xml:space="preserve"> </w:t>
      </w:r>
      <w:r w:rsidRPr="00586120">
        <w:rPr>
          <w:color w:val="000000" w:themeColor="text1"/>
          <w:sz w:val="20"/>
        </w:rPr>
        <w:t xml:space="preserve">at </w:t>
      </w:r>
      <w:r>
        <w:rPr>
          <w:sz w:val="20"/>
        </w:rPr>
        <w:t xml:space="preserve">17-18 (Feb. 2019), </w:t>
      </w:r>
      <w:r>
        <w:rPr>
          <w:i/>
          <w:sz w:val="20"/>
        </w:rPr>
        <w:t xml:space="preserve">available at </w:t>
      </w:r>
      <w:r>
        <w:rPr>
          <w:color w:val="486794"/>
          <w:sz w:val="20"/>
          <w:u w:val="single" w:color="486794"/>
        </w:rPr>
        <w:t>https://dev-hpc-</w:t>
      </w:r>
      <w:hyperlink r:id="rId152">
        <w:r>
          <w:rPr>
            <w:color w:val="486794"/>
            <w:sz w:val="20"/>
            <w:u w:val="single" w:color="486794"/>
          </w:rPr>
          <w:t>training.pantheonsite.io/sites/default/files/2023-04/2018%20Cost%20Trends%20Report.pdf</w:t>
        </w:r>
      </w:hyperlink>
      <w:r>
        <w:rPr>
          <w:color w:val="486794"/>
          <w:spacing w:val="-13"/>
          <w:sz w:val="20"/>
        </w:rPr>
        <w:t xml:space="preserve"> </w:t>
      </w:r>
      <w:r>
        <w:rPr>
          <w:sz w:val="20"/>
        </w:rPr>
        <w:t>(last</w:t>
      </w:r>
      <w:r>
        <w:rPr>
          <w:spacing w:val="-12"/>
          <w:sz w:val="20"/>
        </w:rPr>
        <w:t xml:space="preserve"> </w:t>
      </w:r>
      <w:r>
        <w:rPr>
          <w:sz w:val="20"/>
        </w:rPr>
        <w:t>visited February 27, 2025).</w:t>
      </w:r>
    </w:p>
    <w:p w14:paraId="24E94D50" w14:textId="506CD585" w:rsidR="008F79B1" w:rsidRDefault="008F79B1">
      <w:pPr>
        <w:pStyle w:val="FootnoteText"/>
      </w:pPr>
    </w:p>
  </w:footnote>
  <w:footnote w:id="114">
    <w:p w14:paraId="7DD79992" w14:textId="65B30D56" w:rsidR="000624DC" w:rsidRDefault="000624DC" w:rsidP="00B76B05">
      <w:pPr>
        <w:pStyle w:val="FootnoteText"/>
        <w:ind w:left="990" w:right="940"/>
      </w:pPr>
      <w:r>
        <w:rPr>
          <w:rStyle w:val="FootnoteReference"/>
        </w:rPr>
        <w:footnoteRef/>
      </w:r>
      <w:r>
        <w:t xml:space="preserve"> </w:t>
      </w:r>
      <w:r>
        <w:rPr>
          <w:i/>
        </w:rPr>
        <w:t>See</w:t>
      </w:r>
      <w:r>
        <w:rPr>
          <w:i/>
          <w:spacing w:val="-6"/>
        </w:rPr>
        <w:t xml:space="preserve"> </w:t>
      </w:r>
      <w:r>
        <w:t>2024</w:t>
      </w:r>
      <w:r>
        <w:rPr>
          <w:spacing w:val="-13"/>
        </w:rPr>
        <w:t xml:space="preserve"> </w:t>
      </w:r>
      <w:r>
        <w:t>HPC</w:t>
      </w:r>
      <w:r>
        <w:rPr>
          <w:spacing w:val="-12"/>
        </w:rPr>
        <w:t xml:space="preserve"> </w:t>
      </w:r>
      <w:r>
        <w:t>C</w:t>
      </w:r>
      <w:r>
        <w:rPr>
          <w:sz w:val="16"/>
        </w:rPr>
        <w:t>OST</w:t>
      </w:r>
      <w:r>
        <w:rPr>
          <w:spacing w:val="-2"/>
          <w:sz w:val="16"/>
        </w:rPr>
        <w:t xml:space="preserve"> </w:t>
      </w:r>
      <w:r>
        <w:t>T</w:t>
      </w:r>
      <w:r>
        <w:rPr>
          <w:sz w:val="16"/>
        </w:rPr>
        <w:t>RENDS</w:t>
      </w:r>
      <w:r>
        <w:rPr>
          <w:spacing w:val="-6"/>
          <w:sz w:val="16"/>
        </w:rPr>
        <w:t xml:space="preserve"> </w:t>
      </w:r>
      <w:r>
        <w:t>R</w:t>
      </w:r>
      <w:r>
        <w:rPr>
          <w:sz w:val="16"/>
        </w:rPr>
        <w:t>EPORT</w:t>
      </w:r>
      <w:r>
        <w:rPr>
          <w:spacing w:val="6"/>
          <w:sz w:val="16"/>
        </w:rPr>
        <w:t xml:space="preserve"> </w:t>
      </w:r>
      <w:r>
        <w:rPr>
          <w:i/>
        </w:rPr>
        <w:t>supra</w:t>
      </w:r>
      <w:r>
        <w:rPr>
          <w:i/>
          <w:spacing w:val="-6"/>
        </w:rPr>
        <w:t xml:space="preserve"> </w:t>
      </w:r>
      <w:r>
        <w:t>note</w:t>
      </w:r>
      <w:r>
        <w:rPr>
          <w:spacing w:val="-5"/>
        </w:rPr>
        <w:t xml:space="preserve"> </w:t>
      </w:r>
      <w:hyperlink w:anchor="_bookmark132" w:history="1">
        <w:r>
          <w:t>112,</w:t>
        </w:r>
      </w:hyperlink>
      <w:r>
        <w:rPr>
          <w:spacing w:val="-4"/>
        </w:rPr>
        <w:t xml:space="preserve"> </w:t>
      </w:r>
      <w:r>
        <w:t>at</w:t>
      </w:r>
      <w:r>
        <w:rPr>
          <w:spacing w:val="-4"/>
        </w:rPr>
        <w:t xml:space="preserve"> </w:t>
      </w:r>
      <w:r>
        <w:rPr>
          <w:spacing w:val="-5"/>
        </w:rPr>
        <w:t>49.</w:t>
      </w:r>
    </w:p>
  </w:footnote>
  <w:footnote w:id="115">
    <w:p w14:paraId="438B3B1E" w14:textId="77AF07A5" w:rsidR="00B76B05" w:rsidRDefault="00B76B05" w:rsidP="00CD3DE8">
      <w:pPr>
        <w:pStyle w:val="FootnoteText"/>
        <w:ind w:left="990" w:right="940"/>
      </w:pPr>
      <w:r>
        <w:rPr>
          <w:rStyle w:val="FootnoteReference"/>
        </w:rPr>
        <w:footnoteRef/>
      </w:r>
      <w:r>
        <w:t xml:space="preserve"> The HPC compared prices of high-revenue outpatient drug codes billed with a cancer diagnosis code in the primary position that either a) have a Berenson-Eggers Type of Service (BETOS) subcategory of “chemotherapy agent,” b) have a Level 1 category of antineoplastic and immunomodulating agents under the Anatomical Therapeutic Chemical (ATC) Classification system as defined by the World Health Organization, and/or c) are in the HCPCS Level II chemotherapy drug code range (J0000-J9999). We grouped claims containing these codes into encounters for the same patient, date of service, and procedure code, and dropped encounters with a nonzero allowed amount per unit that was less than 20% of</w:t>
      </w:r>
      <w:r>
        <w:rPr>
          <w:spacing w:val="-3"/>
        </w:rPr>
        <w:t xml:space="preserve"> </w:t>
      </w:r>
      <w:r>
        <w:t>or</w:t>
      </w:r>
      <w:r>
        <w:rPr>
          <w:spacing w:val="-3"/>
        </w:rPr>
        <w:t xml:space="preserve"> </w:t>
      </w:r>
      <w:r>
        <w:t>greater</w:t>
      </w:r>
      <w:r>
        <w:rPr>
          <w:spacing w:val="-3"/>
        </w:rPr>
        <w:t xml:space="preserve"> </w:t>
      </w:r>
      <w:r>
        <w:t>than</w:t>
      </w:r>
      <w:r>
        <w:rPr>
          <w:spacing w:val="-3"/>
        </w:rPr>
        <w:t xml:space="preserve"> </w:t>
      </w:r>
      <w:r>
        <w:t>10</w:t>
      </w:r>
      <w:r>
        <w:rPr>
          <w:spacing w:val="-2"/>
        </w:rPr>
        <w:t xml:space="preserve"> </w:t>
      </w:r>
      <w:r>
        <w:t>times</w:t>
      </w:r>
      <w:r>
        <w:rPr>
          <w:spacing w:val="-2"/>
        </w:rPr>
        <w:t xml:space="preserve"> </w:t>
      </w:r>
      <w:r>
        <w:t>the</w:t>
      </w:r>
      <w:r>
        <w:rPr>
          <w:spacing w:val="-3"/>
        </w:rPr>
        <w:t xml:space="preserve"> </w:t>
      </w:r>
      <w:r>
        <w:t>median</w:t>
      </w:r>
      <w:r>
        <w:rPr>
          <w:spacing w:val="-3"/>
        </w:rPr>
        <w:t xml:space="preserve"> </w:t>
      </w:r>
      <w:r>
        <w:t>allowed</w:t>
      </w:r>
      <w:r>
        <w:rPr>
          <w:spacing w:val="-2"/>
        </w:rPr>
        <w:t xml:space="preserve"> </w:t>
      </w:r>
      <w:r>
        <w:t>amount</w:t>
      </w:r>
      <w:r>
        <w:rPr>
          <w:spacing w:val="-2"/>
        </w:rPr>
        <w:t xml:space="preserve"> </w:t>
      </w:r>
      <w:r>
        <w:t>for</w:t>
      </w:r>
      <w:r>
        <w:rPr>
          <w:spacing w:val="-3"/>
        </w:rPr>
        <w:t xml:space="preserve"> </w:t>
      </w:r>
      <w:r>
        <w:t>the</w:t>
      </w:r>
      <w:r>
        <w:rPr>
          <w:spacing w:val="-3"/>
        </w:rPr>
        <w:t xml:space="preserve"> </w:t>
      </w:r>
      <w:r>
        <w:t>payer/provider/procedure</w:t>
      </w:r>
      <w:r>
        <w:rPr>
          <w:spacing w:val="-3"/>
        </w:rPr>
        <w:t xml:space="preserve"> </w:t>
      </w:r>
      <w:r>
        <w:t>code.</w:t>
      </w:r>
      <w:r>
        <w:rPr>
          <w:spacing w:val="-3"/>
        </w:rPr>
        <w:t xml:space="preserve"> </w:t>
      </w:r>
      <w:r>
        <w:t>For</w:t>
      </w:r>
      <w:r>
        <w:rPr>
          <w:spacing w:val="-3"/>
        </w:rPr>
        <w:t xml:space="preserve"> </w:t>
      </w:r>
      <w:r>
        <w:t xml:space="preserve">BIDMC and MGH separately, we identified the highest-revenue codes making up at least 80% of the hospital’s chemotherapy drug revenue that had at least 10 encounters for one </w:t>
      </w:r>
      <w:proofErr w:type="spellStart"/>
      <w:r>
        <w:t>payer</w:t>
      </w:r>
      <w:proofErr w:type="spellEnd"/>
      <w:r>
        <w:t xml:space="preserve"> in the 2022 CHIA All-Payer Claims Database. We kept payers with at least 10 encounters per provider/procedure code. We then applied DFCI’s prices to BIDMC’s and MGH’s procedure code and payer mix to estimate what DFCI would have been paid for BIDMC’s and MGH’s mix of services, respectively, and compared DFCI’s estimated revenue</w:t>
      </w:r>
      <w:r>
        <w:rPr>
          <w:spacing w:val="-1"/>
        </w:rPr>
        <w:t xml:space="preserve"> </w:t>
      </w:r>
      <w:r>
        <w:t>with</w:t>
      </w:r>
      <w:r>
        <w:rPr>
          <w:spacing w:val="-3"/>
        </w:rPr>
        <w:t xml:space="preserve"> </w:t>
      </w:r>
      <w:r>
        <w:t>BIDMC’s</w:t>
      </w:r>
      <w:r>
        <w:rPr>
          <w:spacing w:val="-2"/>
        </w:rPr>
        <w:t xml:space="preserve"> </w:t>
      </w:r>
      <w:r>
        <w:t>and</w:t>
      </w:r>
      <w:r>
        <w:rPr>
          <w:spacing w:val="-2"/>
        </w:rPr>
        <w:t xml:space="preserve"> </w:t>
      </w:r>
      <w:r>
        <w:t>MGH’s</w:t>
      </w:r>
      <w:r>
        <w:rPr>
          <w:spacing w:val="-2"/>
        </w:rPr>
        <w:t xml:space="preserve"> </w:t>
      </w:r>
      <w:r>
        <w:t>actual</w:t>
      </w:r>
      <w:r>
        <w:rPr>
          <w:spacing w:val="-3"/>
        </w:rPr>
        <w:t xml:space="preserve"> </w:t>
      </w:r>
      <w:r>
        <w:t>revenue</w:t>
      </w:r>
      <w:r>
        <w:rPr>
          <w:spacing w:val="-4"/>
        </w:rPr>
        <w:t xml:space="preserve"> </w:t>
      </w:r>
      <w:r>
        <w:t>captured</w:t>
      </w:r>
      <w:r>
        <w:rPr>
          <w:spacing w:val="-2"/>
        </w:rPr>
        <w:t xml:space="preserve"> </w:t>
      </w:r>
      <w:r>
        <w:t>in</w:t>
      </w:r>
      <w:r>
        <w:rPr>
          <w:spacing w:val="-3"/>
        </w:rPr>
        <w:t xml:space="preserve"> </w:t>
      </w:r>
      <w:r>
        <w:t>the</w:t>
      </w:r>
      <w:r>
        <w:rPr>
          <w:spacing w:val="-4"/>
        </w:rPr>
        <w:t xml:space="preserve"> </w:t>
      </w:r>
      <w:r>
        <w:t>APCD</w:t>
      </w:r>
      <w:r>
        <w:rPr>
          <w:spacing w:val="-2"/>
        </w:rPr>
        <w:t xml:space="preserve"> </w:t>
      </w:r>
      <w:r>
        <w:t>to</w:t>
      </w:r>
      <w:r>
        <w:rPr>
          <w:spacing w:val="-3"/>
        </w:rPr>
        <w:t xml:space="preserve"> </w:t>
      </w:r>
      <w:r>
        <w:t>estimate</w:t>
      </w:r>
      <w:r>
        <w:rPr>
          <w:spacing w:val="-4"/>
        </w:rPr>
        <w:t xml:space="preserve"> </w:t>
      </w:r>
      <w:r>
        <w:t>the</w:t>
      </w:r>
      <w:r>
        <w:rPr>
          <w:spacing w:val="-4"/>
        </w:rPr>
        <w:t xml:space="preserve"> </w:t>
      </w:r>
      <w:r>
        <w:t>difference</w:t>
      </w:r>
      <w:r>
        <w:rPr>
          <w:spacing w:val="-4"/>
        </w:rPr>
        <w:t xml:space="preserve"> </w:t>
      </w:r>
      <w:r>
        <w:t xml:space="preserve">between </w:t>
      </w:r>
      <w:bookmarkStart w:id="115" w:name="_bookmark138"/>
      <w:bookmarkEnd w:id="115"/>
      <w:r>
        <w:t>the hospitals’ prices.</w:t>
      </w:r>
    </w:p>
  </w:footnote>
  <w:footnote w:id="116">
    <w:p w14:paraId="38D43AF5" w14:textId="763E3646" w:rsidR="00A76E62" w:rsidRDefault="00A76E62" w:rsidP="00CD3DE8">
      <w:pPr>
        <w:pStyle w:val="FootnoteText"/>
        <w:ind w:left="990" w:right="940"/>
      </w:pPr>
      <w:r>
        <w:rPr>
          <w:rStyle w:val="FootnoteReference"/>
        </w:rPr>
        <w:footnoteRef/>
      </w:r>
      <w:r>
        <w:t xml:space="preserve"> </w:t>
      </w:r>
      <w:r w:rsidR="00CD3DE8">
        <w:t>We note that BIDMC and MGH both qualify for and participate in the 340B drug pricing program administered by the federal Health Resources &amp; Services Administration, which allow them to obtain outpatient</w:t>
      </w:r>
      <w:r w:rsidR="00CD3DE8">
        <w:rPr>
          <w:spacing w:val="-3"/>
        </w:rPr>
        <w:t xml:space="preserve"> </w:t>
      </w:r>
      <w:r w:rsidR="00CD3DE8">
        <w:t>drugs,</w:t>
      </w:r>
      <w:r w:rsidR="00CD3DE8">
        <w:rPr>
          <w:spacing w:val="-3"/>
        </w:rPr>
        <w:t xml:space="preserve"> </w:t>
      </w:r>
      <w:r w:rsidR="00CD3DE8">
        <w:t>including</w:t>
      </w:r>
      <w:r w:rsidR="00CD3DE8">
        <w:rPr>
          <w:spacing w:val="-4"/>
        </w:rPr>
        <w:t xml:space="preserve"> </w:t>
      </w:r>
      <w:r w:rsidR="00CD3DE8">
        <w:t>oncology</w:t>
      </w:r>
      <w:r w:rsidR="00CD3DE8">
        <w:rPr>
          <w:spacing w:val="-5"/>
        </w:rPr>
        <w:t xml:space="preserve"> </w:t>
      </w:r>
      <w:r w:rsidR="00CD3DE8">
        <w:t>drugs,</w:t>
      </w:r>
      <w:r w:rsidR="00CD3DE8">
        <w:rPr>
          <w:spacing w:val="-3"/>
        </w:rPr>
        <w:t xml:space="preserve"> </w:t>
      </w:r>
      <w:r w:rsidR="00CD3DE8">
        <w:t>at</w:t>
      </w:r>
      <w:r w:rsidR="00CD3DE8">
        <w:rPr>
          <w:spacing w:val="-3"/>
        </w:rPr>
        <w:t xml:space="preserve"> </w:t>
      </w:r>
      <w:r w:rsidR="00CD3DE8">
        <w:t>a</w:t>
      </w:r>
      <w:r w:rsidR="00CD3DE8">
        <w:rPr>
          <w:spacing w:val="-4"/>
        </w:rPr>
        <w:t xml:space="preserve"> </w:t>
      </w:r>
      <w:r w:rsidR="00CD3DE8">
        <w:t>significant</w:t>
      </w:r>
      <w:r w:rsidR="00CD3DE8">
        <w:rPr>
          <w:spacing w:val="-3"/>
        </w:rPr>
        <w:t xml:space="preserve"> </w:t>
      </w:r>
      <w:r w:rsidR="00CD3DE8">
        <w:t>discount</w:t>
      </w:r>
      <w:r w:rsidR="00CD3DE8">
        <w:rPr>
          <w:spacing w:val="-3"/>
        </w:rPr>
        <w:t xml:space="preserve"> </w:t>
      </w:r>
      <w:r w:rsidR="00CD3DE8">
        <w:t>from</w:t>
      </w:r>
      <w:r w:rsidR="00CD3DE8">
        <w:rPr>
          <w:spacing w:val="-3"/>
        </w:rPr>
        <w:t xml:space="preserve"> </w:t>
      </w:r>
      <w:r w:rsidR="00CD3DE8">
        <w:t>manufacturers.</w:t>
      </w:r>
      <w:r w:rsidR="00CD3DE8">
        <w:rPr>
          <w:spacing w:val="-3"/>
        </w:rPr>
        <w:t xml:space="preserve"> </w:t>
      </w:r>
      <w:r w:rsidR="00CD3DE8">
        <w:rPr>
          <w:i/>
        </w:rPr>
        <w:t>See</w:t>
      </w:r>
      <w:r w:rsidR="00CD3DE8">
        <w:rPr>
          <w:i/>
          <w:spacing w:val="-5"/>
        </w:rPr>
        <w:t xml:space="preserve"> </w:t>
      </w:r>
      <w:hyperlink r:id="rId153" w:history="1">
        <w:r w:rsidR="00CD3DE8" w:rsidRPr="00672CC8">
          <w:rPr>
            <w:rStyle w:val="Hyperlink"/>
            <w:color w:val="000000" w:themeColor="text1"/>
            <w:u w:val="none"/>
          </w:rPr>
          <w:t>340B</w:t>
        </w:r>
        <w:r w:rsidR="00CD3DE8" w:rsidRPr="00672CC8">
          <w:rPr>
            <w:rStyle w:val="Hyperlink"/>
            <w:color w:val="000000" w:themeColor="text1"/>
            <w:spacing w:val="-5"/>
            <w:u w:val="none"/>
          </w:rPr>
          <w:t xml:space="preserve"> </w:t>
        </w:r>
        <w:r w:rsidR="00CD3DE8" w:rsidRPr="00672CC8">
          <w:rPr>
            <w:rStyle w:val="Hyperlink"/>
            <w:color w:val="000000" w:themeColor="text1"/>
            <w:u w:val="none"/>
          </w:rPr>
          <w:t>Drug Pricing Program, H</w:t>
        </w:r>
        <w:r w:rsidR="00CD3DE8" w:rsidRPr="00672CC8">
          <w:rPr>
            <w:rStyle w:val="Hyperlink"/>
            <w:color w:val="000000" w:themeColor="text1"/>
            <w:sz w:val="16"/>
            <w:u w:val="none"/>
          </w:rPr>
          <w:t xml:space="preserve">EALTH </w:t>
        </w:r>
        <w:r w:rsidR="00CD3DE8" w:rsidRPr="00672CC8">
          <w:rPr>
            <w:rStyle w:val="Hyperlink"/>
            <w:color w:val="000000" w:themeColor="text1"/>
            <w:u w:val="none"/>
          </w:rPr>
          <w:t>R</w:t>
        </w:r>
        <w:r w:rsidR="00CD3DE8" w:rsidRPr="00672CC8">
          <w:rPr>
            <w:rStyle w:val="Hyperlink"/>
            <w:color w:val="000000" w:themeColor="text1"/>
            <w:sz w:val="16"/>
            <w:u w:val="none"/>
          </w:rPr>
          <w:t xml:space="preserve">ESOURCES </w:t>
        </w:r>
        <w:r w:rsidR="00CD3DE8" w:rsidRPr="00672CC8">
          <w:rPr>
            <w:rStyle w:val="Hyperlink"/>
            <w:color w:val="000000" w:themeColor="text1"/>
            <w:u w:val="none"/>
          </w:rPr>
          <w:t>&amp;</w:t>
        </w:r>
        <w:r w:rsidR="00CD3DE8" w:rsidRPr="00672CC8">
          <w:rPr>
            <w:rStyle w:val="Hyperlink"/>
            <w:color w:val="000000" w:themeColor="text1"/>
            <w:spacing w:val="-4"/>
            <w:u w:val="none"/>
          </w:rPr>
          <w:t xml:space="preserve"> </w:t>
        </w:r>
        <w:r w:rsidR="00CD3DE8" w:rsidRPr="00672CC8">
          <w:rPr>
            <w:rStyle w:val="Hyperlink"/>
            <w:color w:val="000000" w:themeColor="text1"/>
            <w:u w:val="none"/>
          </w:rPr>
          <w:t>S</w:t>
        </w:r>
        <w:r w:rsidR="00CD3DE8" w:rsidRPr="00672CC8">
          <w:rPr>
            <w:rStyle w:val="Hyperlink"/>
            <w:color w:val="000000" w:themeColor="text1"/>
            <w:sz w:val="16"/>
            <w:u w:val="none"/>
          </w:rPr>
          <w:t>ERVS</w:t>
        </w:r>
        <w:r w:rsidR="00CD3DE8" w:rsidRPr="00672CC8">
          <w:rPr>
            <w:rStyle w:val="Hyperlink"/>
            <w:color w:val="000000" w:themeColor="text1"/>
            <w:u w:val="none"/>
          </w:rPr>
          <w:t>.</w:t>
        </w:r>
        <w:r w:rsidR="00CD3DE8" w:rsidRPr="00672CC8">
          <w:rPr>
            <w:rStyle w:val="Hyperlink"/>
            <w:color w:val="000000" w:themeColor="text1"/>
            <w:spacing w:val="-5"/>
            <w:u w:val="none"/>
          </w:rPr>
          <w:t xml:space="preserve"> </w:t>
        </w:r>
        <w:r w:rsidR="00CD3DE8" w:rsidRPr="00672CC8">
          <w:rPr>
            <w:rStyle w:val="Hyperlink"/>
            <w:color w:val="000000" w:themeColor="text1"/>
            <w:u w:val="none"/>
          </w:rPr>
          <w:t>A</w:t>
        </w:r>
        <w:r w:rsidR="00CD3DE8" w:rsidRPr="00672CC8">
          <w:rPr>
            <w:rStyle w:val="Hyperlink"/>
            <w:color w:val="000000" w:themeColor="text1"/>
            <w:sz w:val="16"/>
            <w:u w:val="none"/>
          </w:rPr>
          <w:t>DMIN</w:t>
        </w:r>
      </w:hyperlink>
      <w:r w:rsidR="00CD3DE8" w:rsidRPr="00672CC8">
        <w:rPr>
          <w:color w:val="000000" w:themeColor="text1"/>
        </w:rPr>
        <w:t>.,</w:t>
      </w:r>
      <w:r w:rsidR="00CD3DE8" w:rsidRPr="00672CC8">
        <w:rPr>
          <w:color w:val="000000" w:themeColor="text1"/>
          <w:spacing w:val="-3"/>
        </w:rPr>
        <w:t xml:space="preserve"> </w:t>
      </w:r>
      <w:hyperlink r:id="rId154">
        <w:r w:rsidR="00CD3DE8">
          <w:rPr>
            <w:color w:val="486794"/>
            <w:u w:val="single" w:color="486794"/>
          </w:rPr>
          <w:t>https://www.hrsa.gov/opa</w:t>
        </w:r>
      </w:hyperlink>
      <w:r w:rsidR="00CD3DE8">
        <w:rPr>
          <w:color w:val="486794"/>
        </w:rPr>
        <w:t xml:space="preserve"> </w:t>
      </w:r>
      <w:r w:rsidR="00CD3DE8">
        <w:t>(last visited February 27, 2025). DFCI does not currently qualify for participation in 340B; it is not clear whether the proposed transaction would change its ability to qualify for participation in the program, however, an increasing proportion of Medicaid patient days would bring the hospital closer to reaching the threshold at which it becomes eligible.</w:t>
      </w:r>
    </w:p>
  </w:footnote>
  <w:footnote w:id="117">
    <w:p w14:paraId="274552B1" w14:textId="1D71C07B" w:rsidR="00672CC8" w:rsidRDefault="00CD3DE8" w:rsidP="00672CC8">
      <w:pPr>
        <w:spacing w:before="92"/>
        <w:ind w:left="959" w:right="943"/>
        <w:rPr>
          <w:sz w:val="20"/>
        </w:rPr>
      </w:pPr>
      <w:r>
        <w:rPr>
          <w:rStyle w:val="FootnoteReference"/>
        </w:rPr>
        <w:footnoteRef/>
      </w:r>
      <w:r>
        <w:t xml:space="preserve"> </w:t>
      </w:r>
      <w:r>
        <w:rPr>
          <w:sz w:val="20"/>
        </w:rPr>
        <w:t>The HPC calculated each provider’s average price per encounter observed in CHIA’s 2022 All-Payer Claims Database for high-volume codes within each service line and compared the observed average price to</w:t>
      </w:r>
      <w:r>
        <w:rPr>
          <w:spacing w:val="-3"/>
          <w:sz w:val="20"/>
        </w:rPr>
        <w:t xml:space="preserve"> </w:t>
      </w:r>
      <w:r>
        <w:rPr>
          <w:sz w:val="20"/>
        </w:rPr>
        <w:t>the</w:t>
      </w:r>
      <w:r>
        <w:rPr>
          <w:spacing w:val="-3"/>
          <w:sz w:val="20"/>
        </w:rPr>
        <w:t xml:space="preserve"> </w:t>
      </w:r>
      <w:r>
        <w:rPr>
          <w:sz w:val="20"/>
        </w:rPr>
        <w:t>what</w:t>
      </w:r>
      <w:r>
        <w:rPr>
          <w:spacing w:val="-2"/>
          <w:sz w:val="20"/>
        </w:rPr>
        <w:t xml:space="preserve"> </w:t>
      </w:r>
      <w:r>
        <w:rPr>
          <w:sz w:val="20"/>
        </w:rPr>
        <w:t>the</w:t>
      </w:r>
      <w:r>
        <w:rPr>
          <w:spacing w:val="-4"/>
          <w:sz w:val="20"/>
        </w:rPr>
        <w:t xml:space="preserve"> </w:t>
      </w:r>
      <w:r>
        <w:rPr>
          <w:sz w:val="20"/>
        </w:rPr>
        <w:t>provider’s</w:t>
      </w:r>
      <w:r>
        <w:rPr>
          <w:spacing w:val="-2"/>
          <w:sz w:val="20"/>
        </w:rPr>
        <w:t xml:space="preserve"> </w:t>
      </w:r>
      <w:r>
        <w:rPr>
          <w:sz w:val="20"/>
        </w:rPr>
        <w:t>average</w:t>
      </w:r>
      <w:r>
        <w:rPr>
          <w:spacing w:val="-1"/>
          <w:sz w:val="20"/>
        </w:rPr>
        <w:t xml:space="preserve"> </w:t>
      </w:r>
      <w:r>
        <w:rPr>
          <w:sz w:val="20"/>
        </w:rPr>
        <w:t>price</w:t>
      </w:r>
      <w:r>
        <w:rPr>
          <w:spacing w:val="-1"/>
          <w:sz w:val="20"/>
        </w:rPr>
        <w:t xml:space="preserve"> </w:t>
      </w:r>
      <w:r>
        <w:rPr>
          <w:sz w:val="20"/>
        </w:rPr>
        <w:t>per</w:t>
      </w:r>
      <w:r>
        <w:rPr>
          <w:spacing w:val="-4"/>
          <w:sz w:val="20"/>
        </w:rPr>
        <w:t xml:space="preserve"> </w:t>
      </w:r>
      <w:r>
        <w:rPr>
          <w:sz w:val="20"/>
        </w:rPr>
        <w:t>encounter</w:t>
      </w:r>
      <w:r>
        <w:rPr>
          <w:spacing w:val="-4"/>
          <w:sz w:val="20"/>
        </w:rPr>
        <w:t xml:space="preserve"> </w:t>
      </w:r>
      <w:r>
        <w:rPr>
          <w:sz w:val="20"/>
        </w:rPr>
        <w:t>would</w:t>
      </w:r>
      <w:r>
        <w:rPr>
          <w:spacing w:val="-2"/>
          <w:sz w:val="20"/>
        </w:rPr>
        <w:t xml:space="preserve"> </w:t>
      </w:r>
      <w:r>
        <w:rPr>
          <w:sz w:val="20"/>
        </w:rPr>
        <w:t>have</w:t>
      </w:r>
      <w:r>
        <w:rPr>
          <w:spacing w:val="-4"/>
          <w:sz w:val="20"/>
        </w:rPr>
        <w:t xml:space="preserve"> </w:t>
      </w:r>
      <w:r>
        <w:rPr>
          <w:sz w:val="20"/>
        </w:rPr>
        <w:t>been</w:t>
      </w:r>
      <w:r>
        <w:rPr>
          <w:spacing w:val="-3"/>
          <w:sz w:val="20"/>
        </w:rPr>
        <w:t xml:space="preserve"> </w:t>
      </w:r>
      <w:r>
        <w:rPr>
          <w:sz w:val="20"/>
        </w:rPr>
        <w:t>if</w:t>
      </w:r>
      <w:r>
        <w:rPr>
          <w:spacing w:val="-3"/>
          <w:sz w:val="20"/>
        </w:rPr>
        <w:t xml:space="preserve"> </w:t>
      </w:r>
      <w:r>
        <w:rPr>
          <w:sz w:val="20"/>
        </w:rPr>
        <w:t>its</w:t>
      </w:r>
      <w:r>
        <w:rPr>
          <w:spacing w:val="-2"/>
          <w:sz w:val="20"/>
        </w:rPr>
        <w:t xml:space="preserve"> </w:t>
      </w:r>
      <w:r>
        <w:rPr>
          <w:sz w:val="20"/>
        </w:rPr>
        <w:t>claims</w:t>
      </w:r>
      <w:r>
        <w:rPr>
          <w:spacing w:val="-4"/>
          <w:sz w:val="20"/>
        </w:rPr>
        <w:t xml:space="preserve"> </w:t>
      </w:r>
      <w:r>
        <w:rPr>
          <w:sz w:val="20"/>
        </w:rPr>
        <w:t>had</w:t>
      </w:r>
      <w:r>
        <w:rPr>
          <w:spacing w:val="-2"/>
          <w:sz w:val="20"/>
        </w:rPr>
        <w:t xml:space="preserve"> </w:t>
      </w:r>
      <w:r>
        <w:rPr>
          <w:sz w:val="20"/>
        </w:rPr>
        <w:t>been</w:t>
      </w:r>
      <w:r>
        <w:rPr>
          <w:spacing w:val="-3"/>
          <w:sz w:val="20"/>
        </w:rPr>
        <w:t xml:space="preserve"> </w:t>
      </w:r>
      <w:r>
        <w:rPr>
          <w:sz w:val="20"/>
        </w:rPr>
        <w:t>priced</w:t>
      </w:r>
      <w:r>
        <w:rPr>
          <w:spacing w:val="-3"/>
          <w:sz w:val="20"/>
        </w:rPr>
        <w:t xml:space="preserve"> </w:t>
      </w:r>
      <w:r>
        <w:rPr>
          <w:sz w:val="20"/>
        </w:rPr>
        <w:t>at</w:t>
      </w:r>
      <w:r>
        <w:rPr>
          <w:spacing w:val="-2"/>
          <w:sz w:val="20"/>
        </w:rPr>
        <w:t xml:space="preserve"> </w:t>
      </w:r>
      <w:r>
        <w:rPr>
          <w:sz w:val="20"/>
        </w:rPr>
        <w:t>the statewide average rates for each payer and procedure code. Payers with fewer than 10 encounters for a given procedure code were dropped from the calculation. The HPC then rescaled the ratio of observed to</w:t>
      </w:r>
      <w:r w:rsidR="00672CC8">
        <w:rPr>
          <w:sz w:val="20"/>
        </w:rPr>
        <w:t xml:space="preserve"> “expected”</w:t>
      </w:r>
      <w:r w:rsidR="00672CC8">
        <w:rPr>
          <w:spacing w:val="-3"/>
          <w:sz w:val="20"/>
        </w:rPr>
        <w:t xml:space="preserve"> </w:t>
      </w:r>
      <w:r w:rsidR="00672CC8">
        <w:rPr>
          <w:sz w:val="20"/>
        </w:rPr>
        <w:t>prices</w:t>
      </w:r>
      <w:r w:rsidR="00672CC8">
        <w:rPr>
          <w:spacing w:val="-2"/>
          <w:sz w:val="20"/>
        </w:rPr>
        <w:t xml:space="preserve"> </w:t>
      </w:r>
      <w:r w:rsidR="00672CC8">
        <w:rPr>
          <w:sz w:val="20"/>
        </w:rPr>
        <w:t>by</w:t>
      </w:r>
      <w:r w:rsidR="00672CC8">
        <w:rPr>
          <w:spacing w:val="-3"/>
          <w:sz w:val="20"/>
        </w:rPr>
        <w:t xml:space="preserve"> </w:t>
      </w:r>
      <w:r w:rsidR="00672CC8">
        <w:rPr>
          <w:sz w:val="20"/>
        </w:rPr>
        <w:t>the</w:t>
      </w:r>
      <w:r w:rsidR="00672CC8">
        <w:rPr>
          <w:spacing w:val="-3"/>
          <w:sz w:val="20"/>
        </w:rPr>
        <w:t xml:space="preserve"> </w:t>
      </w:r>
      <w:r w:rsidR="00672CC8">
        <w:rPr>
          <w:sz w:val="20"/>
        </w:rPr>
        <w:t>average</w:t>
      </w:r>
      <w:r w:rsidR="00672CC8">
        <w:rPr>
          <w:spacing w:val="-3"/>
          <w:sz w:val="20"/>
        </w:rPr>
        <w:t xml:space="preserve"> </w:t>
      </w:r>
      <w:r w:rsidR="00672CC8">
        <w:rPr>
          <w:sz w:val="20"/>
        </w:rPr>
        <w:t>ratio</w:t>
      </w:r>
      <w:r w:rsidR="00672CC8">
        <w:rPr>
          <w:spacing w:val="-2"/>
          <w:sz w:val="20"/>
        </w:rPr>
        <w:t xml:space="preserve"> </w:t>
      </w:r>
      <w:r w:rsidR="00672CC8">
        <w:rPr>
          <w:sz w:val="20"/>
        </w:rPr>
        <w:t>across</w:t>
      </w:r>
      <w:r w:rsidR="00672CC8">
        <w:rPr>
          <w:spacing w:val="-2"/>
          <w:sz w:val="20"/>
        </w:rPr>
        <w:t xml:space="preserve"> </w:t>
      </w:r>
      <w:r w:rsidR="00672CC8">
        <w:rPr>
          <w:sz w:val="20"/>
        </w:rPr>
        <w:t>all</w:t>
      </w:r>
      <w:r w:rsidR="00672CC8">
        <w:rPr>
          <w:spacing w:val="-2"/>
          <w:sz w:val="20"/>
        </w:rPr>
        <w:t xml:space="preserve"> </w:t>
      </w:r>
      <w:r w:rsidR="00672CC8">
        <w:rPr>
          <w:sz w:val="20"/>
        </w:rPr>
        <w:t>hospitals</w:t>
      </w:r>
      <w:r w:rsidR="00672CC8">
        <w:rPr>
          <w:spacing w:val="-2"/>
          <w:sz w:val="20"/>
        </w:rPr>
        <w:t xml:space="preserve"> </w:t>
      </w:r>
      <w:r w:rsidR="00672CC8">
        <w:rPr>
          <w:sz w:val="20"/>
        </w:rPr>
        <w:t>in</w:t>
      </w:r>
      <w:r w:rsidR="00672CC8">
        <w:rPr>
          <w:spacing w:val="-2"/>
          <w:sz w:val="20"/>
        </w:rPr>
        <w:t xml:space="preserve"> </w:t>
      </w:r>
      <w:r w:rsidR="00672CC8">
        <w:rPr>
          <w:sz w:val="20"/>
        </w:rPr>
        <w:t>the</w:t>
      </w:r>
      <w:r w:rsidR="00672CC8">
        <w:rPr>
          <w:spacing w:val="-3"/>
          <w:sz w:val="20"/>
        </w:rPr>
        <w:t xml:space="preserve"> </w:t>
      </w:r>
      <w:r w:rsidR="00672CC8">
        <w:rPr>
          <w:sz w:val="20"/>
        </w:rPr>
        <w:t>state.</w:t>
      </w:r>
      <w:r w:rsidR="00672CC8">
        <w:rPr>
          <w:spacing w:val="-2"/>
          <w:sz w:val="20"/>
        </w:rPr>
        <w:t xml:space="preserve"> </w:t>
      </w:r>
      <w:r w:rsidR="00672CC8">
        <w:rPr>
          <w:sz w:val="20"/>
        </w:rPr>
        <w:t>See</w:t>
      </w:r>
      <w:r w:rsidR="00672CC8">
        <w:rPr>
          <w:spacing w:val="-3"/>
          <w:sz w:val="20"/>
        </w:rPr>
        <w:t xml:space="preserve"> </w:t>
      </w:r>
      <w:r w:rsidR="00672CC8">
        <w:rPr>
          <w:sz w:val="20"/>
        </w:rPr>
        <w:t>Section</w:t>
      </w:r>
      <w:r w:rsidR="00672CC8">
        <w:rPr>
          <w:spacing w:val="-1"/>
          <w:sz w:val="20"/>
        </w:rPr>
        <w:t xml:space="preserve"> </w:t>
      </w:r>
      <w:r w:rsidR="00672CC8">
        <w:rPr>
          <w:sz w:val="20"/>
        </w:rPr>
        <w:t>C</w:t>
      </w:r>
      <w:r w:rsidR="00672CC8">
        <w:rPr>
          <w:spacing w:val="-2"/>
          <w:sz w:val="20"/>
        </w:rPr>
        <w:t xml:space="preserve"> </w:t>
      </w:r>
      <w:r w:rsidR="00672CC8">
        <w:rPr>
          <w:sz w:val="20"/>
        </w:rPr>
        <w:t>of</w:t>
      </w:r>
      <w:r w:rsidR="00672CC8">
        <w:rPr>
          <w:spacing w:val="-3"/>
          <w:sz w:val="20"/>
        </w:rPr>
        <w:t xml:space="preserve"> </w:t>
      </w:r>
      <w:r w:rsidR="00672CC8">
        <w:rPr>
          <w:sz w:val="20"/>
        </w:rPr>
        <w:t>the</w:t>
      </w:r>
      <w:r w:rsidR="00672CC8">
        <w:rPr>
          <w:spacing w:val="-3"/>
          <w:sz w:val="20"/>
        </w:rPr>
        <w:t xml:space="preserve"> </w:t>
      </w:r>
      <w:r w:rsidR="00672CC8">
        <w:rPr>
          <w:sz w:val="20"/>
        </w:rPr>
        <w:t>Data</w:t>
      </w:r>
      <w:r w:rsidR="00672CC8">
        <w:rPr>
          <w:spacing w:val="-2"/>
          <w:sz w:val="20"/>
        </w:rPr>
        <w:t xml:space="preserve"> </w:t>
      </w:r>
      <w:r w:rsidR="00672CC8">
        <w:rPr>
          <w:sz w:val="20"/>
        </w:rPr>
        <w:t>Appendix for a list of procedure codes included in each service line.</w:t>
      </w:r>
    </w:p>
    <w:p w14:paraId="07154675" w14:textId="29822100" w:rsidR="00CD3DE8" w:rsidRDefault="00CD3DE8" w:rsidP="00CD3DE8">
      <w:pPr>
        <w:pStyle w:val="FootnoteText"/>
        <w:ind w:left="990" w:right="940"/>
      </w:pPr>
    </w:p>
  </w:footnote>
  <w:footnote w:id="118">
    <w:p w14:paraId="51EB9F8F" w14:textId="6E98AA05" w:rsidR="007578F2" w:rsidRDefault="007578F2" w:rsidP="00933BB6">
      <w:pPr>
        <w:pStyle w:val="FootnoteText"/>
        <w:ind w:left="990" w:right="940"/>
      </w:pPr>
      <w:r>
        <w:rPr>
          <w:rStyle w:val="FootnoteReference"/>
        </w:rPr>
        <w:footnoteRef/>
      </w:r>
      <w:r>
        <w:t xml:space="preserve"> The HPC compared BCBS, HPHC, THP, HNE, MGBHP, and Anthem prices for the five evaluation and management CPT codes with the highest commercial volume at DFCI: 99205, 99212, 99213, 99214, and 99215. DFCI bills these codes on facility claims only, while most providers bill them on professional claims or a combination of professional and facility claims. We included both professional and facility allowed amounts for the same patient on the same day for the same code, where applicable. For providers other than</w:t>
      </w:r>
      <w:r>
        <w:rPr>
          <w:spacing w:val="-2"/>
        </w:rPr>
        <w:t xml:space="preserve"> </w:t>
      </w:r>
      <w:r>
        <w:t>DFCI,</w:t>
      </w:r>
      <w:r>
        <w:rPr>
          <w:spacing w:val="-1"/>
        </w:rPr>
        <w:t xml:space="preserve"> </w:t>
      </w:r>
      <w:r>
        <w:t>we</w:t>
      </w:r>
      <w:r>
        <w:rPr>
          <w:spacing w:val="-3"/>
        </w:rPr>
        <w:t xml:space="preserve"> </w:t>
      </w:r>
      <w:r>
        <w:t>matched</w:t>
      </w:r>
      <w:r>
        <w:rPr>
          <w:spacing w:val="-1"/>
        </w:rPr>
        <w:t xml:space="preserve"> </w:t>
      </w:r>
      <w:r>
        <w:t>the</w:t>
      </w:r>
      <w:r>
        <w:rPr>
          <w:spacing w:val="-3"/>
        </w:rPr>
        <w:t xml:space="preserve"> </w:t>
      </w:r>
      <w:r>
        <w:t>physician</w:t>
      </w:r>
      <w:r>
        <w:rPr>
          <w:spacing w:val="-2"/>
        </w:rPr>
        <w:t xml:space="preserve"> </w:t>
      </w:r>
      <w:r>
        <w:t>NPI</w:t>
      </w:r>
      <w:r>
        <w:rPr>
          <w:spacing w:val="-1"/>
        </w:rPr>
        <w:t xml:space="preserve"> </w:t>
      </w:r>
      <w:r>
        <w:t>billed</w:t>
      </w:r>
      <w:r>
        <w:rPr>
          <w:spacing w:val="-1"/>
        </w:rPr>
        <w:t xml:space="preserve"> </w:t>
      </w:r>
      <w:r>
        <w:t>on</w:t>
      </w:r>
      <w:r>
        <w:rPr>
          <w:spacing w:val="-2"/>
        </w:rPr>
        <w:t xml:space="preserve"> </w:t>
      </w:r>
      <w:r>
        <w:t>the</w:t>
      </w:r>
      <w:r>
        <w:rPr>
          <w:spacing w:val="-3"/>
        </w:rPr>
        <w:t xml:space="preserve"> </w:t>
      </w:r>
      <w:r>
        <w:t>physician</w:t>
      </w:r>
      <w:r>
        <w:rPr>
          <w:spacing w:val="-2"/>
        </w:rPr>
        <w:t xml:space="preserve"> </w:t>
      </w:r>
      <w:r>
        <w:t>claim</w:t>
      </w:r>
      <w:r>
        <w:rPr>
          <w:spacing w:val="-1"/>
        </w:rPr>
        <w:t xml:space="preserve"> </w:t>
      </w:r>
      <w:r>
        <w:t>to</w:t>
      </w:r>
      <w:r>
        <w:rPr>
          <w:spacing w:val="-2"/>
        </w:rPr>
        <w:t xml:space="preserve"> </w:t>
      </w:r>
      <w:r>
        <w:t>the</w:t>
      </w:r>
      <w:r>
        <w:rPr>
          <w:spacing w:val="-3"/>
        </w:rPr>
        <w:t xml:space="preserve"> </w:t>
      </w:r>
      <w:r>
        <w:t>physician’s</w:t>
      </w:r>
      <w:r>
        <w:rPr>
          <w:spacing w:val="-1"/>
        </w:rPr>
        <w:t xml:space="preserve"> </w:t>
      </w:r>
      <w:r>
        <w:t>specialty</w:t>
      </w:r>
      <w:r>
        <w:rPr>
          <w:spacing w:val="-3"/>
        </w:rPr>
        <w:t xml:space="preserve"> </w:t>
      </w:r>
      <w:r>
        <w:t>indicated on</w:t>
      </w:r>
      <w:r>
        <w:rPr>
          <w:spacing w:val="-3"/>
        </w:rPr>
        <w:t xml:space="preserve"> </w:t>
      </w:r>
      <w:r>
        <w:t>the</w:t>
      </w:r>
      <w:r>
        <w:rPr>
          <w:spacing w:val="-4"/>
        </w:rPr>
        <w:t xml:space="preserve"> </w:t>
      </w:r>
      <w:r>
        <w:t>entity’s</w:t>
      </w:r>
      <w:r>
        <w:rPr>
          <w:spacing w:val="-2"/>
        </w:rPr>
        <w:t xml:space="preserve"> </w:t>
      </w:r>
      <w:r>
        <w:t>RPO</w:t>
      </w:r>
      <w:r>
        <w:rPr>
          <w:spacing w:val="-2"/>
        </w:rPr>
        <w:t xml:space="preserve"> </w:t>
      </w:r>
      <w:r>
        <w:t>roster</w:t>
      </w:r>
      <w:r>
        <w:rPr>
          <w:spacing w:val="-4"/>
        </w:rPr>
        <w:t xml:space="preserve"> </w:t>
      </w:r>
      <w:r>
        <w:t>to</w:t>
      </w:r>
      <w:r>
        <w:rPr>
          <w:spacing w:val="-1"/>
        </w:rPr>
        <w:t xml:space="preserve"> </w:t>
      </w:r>
      <w:r>
        <w:t>identify</w:t>
      </w:r>
      <w:r>
        <w:rPr>
          <w:spacing w:val="-4"/>
        </w:rPr>
        <w:t xml:space="preserve"> </w:t>
      </w:r>
      <w:r>
        <w:t>which</w:t>
      </w:r>
      <w:r>
        <w:rPr>
          <w:spacing w:val="-3"/>
        </w:rPr>
        <w:t xml:space="preserve"> </w:t>
      </w:r>
      <w:r>
        <w:t>visits</w:t>
      </w:r>
      <w:r>
        <w:rPr>
          <w:spacing w:val="-2"/>
        </w:rPr>
        <w:t xml:space="preserve"> </w:t>
      </w:r>
      <w:r>
        <w:t>are</w:t>
      </w:r>
      <w:r>
        <w:rPr>
          <w:spacing w:val="-4"/>
        </w:rPr>
        <w:t xml:space="preserve"> </w:t>
      </w:r>
      <w:r>
        <w:t>with</w:t>
      </w:r>
      <w:r>
        <w:rPr>
          <w:spacing w:val="-3"/>
        </w:rPr>
        <w:t xml:space="preserve"> </w:t>
      </w:r>
      <w:r>
        <w:t>oncologists.</w:t>
      </w:r>
      <w:r>
        <w:rPr>
          <w:spacing w:val="-2"/>
        </w:rPr>
        <w:t xml:space="preserve"> </w:t>
      </w:r>
      <w:r>
        <w:t>If</w:t>
      </w:r>
      <w:r>
        <w:rPr>
          <w:spacing w:val="-3"/>
        </w:rPr>
        <w:t xml:space="preserve"> </w:t>
      </w:r>
      <w:r>
        <w:t>a</w:t>
      </w:r>
      <w:r>
        <w:rPr>
          <w:spacing w:val="-3"/>
        </w:rPr>
        <w:t xml:space="preserve"> </w:t>
      </w:r>
      <w:r>
        <w:t>visit</w:t>
      </w:r>
      <w:r>
        <w:rPr>
          <w:spacing w:val="-2"/>
        </w:rPr>
        <w:t xml:space="preserve"> </w:t>
      </w:r>
      <w:r>
        <w:t>included</w:t>
      </w:r>
      <w:r>
        <w:rPr>
          <w:spacing w:val="-2"/>
        </w:rPr>
        <w:t xml:space="preserve"> </w:t>
      </w:r>
      <w:r>
        <w:t>claims</w:t>
      </w:r>
      <w:r>
        <w:rPr>
          <w:spacing w:val="-2"/>
        </w:rPr>
        <w:t xml:space="preserve"> </w:t>
      </w:r>
      <w:r>
        <w:t>from</w:t>
      </w:r>
      <w:r>
        <w:rPr>
          <w:spacing w:val="-2"/>
        </w:rPr>
        <w:t xml:space="preserve"> </w:t>
      </w:r>
      <w:r>
        <w:t xml:space="preserve">multiple provider networks, the provider network was assigned based on the professional claim with the highest allowed amount. We were unable to identify the individual physician associated with the facility office visit claims billed by DFCI, so we treated all DFCI office visits as in-scope for this analysis. The vast majority of physicians employed by DFCI </w:t>
      </w:r>
      <w:proofErr w:type="gramStart"/>
      <w:r>
        <w:t>are</w:t>
      </w:r>
      <w:proofErr w:type="gramEnd"/>
      <w:r>
        <w:t xml:space="preserve"> oncologists.</w:t>
      </w:r>
    </w:p>
  </w:footnote>
  <w:footnote w:id="119">
    <w:p w14:paraId="1B29886E" w14:textId="71219478" w:rsidR="00802BE6" w:rsidRDefault="00802BE6" w:rsidP="00432392">
      <w:pPr>
        <w:pStyle w:val="FootnoteText"/>
        <w:ind w:left="900" w:right="940"/>
      </w:pPr>
      <w:r>
        <w:rPr>
          <w:rStyle w:val="FootnoteReference"/>
        </w:rPr>
        <w:footnoteRef/>
      </w:r>
      <w:r>
        <w:t xml:space="preserve"> </w:t>
      </w:r>
      <w:r w:rsidR="002E58C8">
        <w:rPr>
          <w:i/>
        </w:rPr>
        <w:t>See</w:t>
      </w:r>
      <w:r w:rsidR="002E58C8">
        <w:rPr>
          <w:i/>
          <w:spacing w:val="-5"/>
        </w:rPr>
        <w:t xml:space="preserve"> </w:t>
      </w:r>
      <w:r w:rsidR="002E58C8">
        <w:t>DFCI</w:t>
      </w:r>
      <w:r w:rsidR="002E58C8">
        <w:rPr>
          <w:spacing w:val="-2"/>
        </w:rPr>
        <w:t xml:space="preserve"> </w:t>
      </w:r>
      <w:r w:rsidR="002E58C8">
        <w:t>ICA,</w:t>
      </w:r>
      <w:r w:rsidR="002E58C8">
        <w:rPr>
          <w:spacing w:val="-3"/>
        </w:rPr>
        <w:t xml:space="preserve"> </w:t>
      </w:r>
      <w:r w:rsidR="002E58C8">
        <w:rPr>
          <w:i/>
        </w:rPr>
        <w:t>supra</w:t>
      </w:r>
      <w:r w:rsidR="002E58C8">
        <w:rPr>
          <w:i/>
          <w:spacing w:val="-5"/>
        </w:rPr>
        <w:t xml:space="preserve"> </w:t>
      </w:r>
      <w:r w:rsidR="002E58C8">
        <w:t>note</w:t>
      </w:r>
      <w:r w:rsidR="002E58C8">
        <w:rPr>
          <w:spacing w:val="-3"/>
        </w:rPr>
        <w:t xml:space="preserve"> </w:t>
      </w:r>
      <w:hyperlink w:anchor="_bookmark14" w:history="1">
        <w:r w:rsidR="002E58C8">
          <w:t>14,</w:t>
        </w:r>
      </w:hyperlink>
      <w:r w:rsidR="002E58C8">
        <w:rPr>
          <w:spacing w:val="-3"/>
        </w:rPr>
        <w:t xml:space="preserve"> </w:t>
      </w:r>
      <w:r w:rsidR="002E58C8">
        <w:t>at</w:t>
      </w:r>
      <w:r w:rsidR="002E58C8">
        <w:rPr>
          <w:spacing w:val="-3"/>
        </w:rPr>
        <w:t xml:space="preserve"> </w:t>
      </w:r>
      <w:r w:rsidR="002E58C8">
        <w:t>Table</w:t>
      </w:r>
      <w:r w:rsidR="002E58C8">
        <w:rPr>
          <w:spacing w:val="-4"/>
        </w:rPr>
        <w:t xml:space="preserve"> </w:t>
      </w:r>
      <w:r w:rsidR="002E58C8">
        <w:t>29</w:t>
      </w:r>
      <w:r w:rsidR="002E58C8">
        <w:rPr>
          <w:spacing w:val="-3"/>
        </w:rPr>
        <w:t xml:space="preserve"> </w:t>
      </w:r>
      <w:r w:rsidR="002E58C8">
        <w:t>and</w:t>
      </w:r>
      <w:r w:rsidR="002E58C8">
        <w:rPr>
          <w:spacing w:val="-3"/>
        </w:rPr>
        <w:t xml:space="preserve"> </w:t>
      </w:r>
      <w:r w:rsidR="002E58C8">
        <w:t>Table</w:t>
      </w:r>
      <w:r w:rsidR="002E58C8">
        <w:rPr>
          <w:spacing w:val="-4"/>
        </w:rPr>
        <w:t xml:space="preserve"> </w:t>
      </w:r>
      <w:r w:rsidR="002E58C8">
        <w:rPr>
          <w:spacing w:val="-5"/>
        </w:rPr>
        <w:t>38.</w:t>
      </w:r>
    </w:p>
  </w:footnote>
  <w:footnote w:id="120">
    <w:p w14:paraId="7B493593" w14:textId="0838F709" w:rsidR="002E58C8" w:rsidRDefault="002E58C8" w:rsidP="00432392">
      <w:pPr>
        <w:pStyle w:val="FootnoteText"/>
        <w:ind w:left="900" w:right="940"/>
      </w:pPr>
      <w:r>
        <w:rPr>
          <w:rStyle w:val="FootnoteReference"/>
        </w:rPr>
        <w:footnoteRef/>
      </w:r>
      <w:r>
        <w:t xml:space="preserve"> </w:t>
      </w:r>
      <w:r w:rsidR="00432392">
        <w:t>DFCI</w:t>
      </w:r>
      <w:r w:rsidR="00432392">
        <w:rPr>
          <w:spacing w:val="-12"/>
        </w:rPr>
        <w:t xml:space="preserve"> </w:t>
      </w:r>
      <w:r w:rsidR="00432392">
        <w:t>D</w:t>
      </w:r>
      <w:r w:rsidR="00432392">
        <w:rPr>
          <w:sz w:val="16"/>
        </w:rPr>
        <w:t>O</w:t>
      </w:r>
      <w:r w:rsidR="00432392">
        <w:t>N</w:t>
      </w:r>
      <w:r w:rsidR="00432392">
        <w:rPr>
          <w:spacing w:val="-13"/>
        </w:rPr>
        <w:t xml:space="preserve"> </w:t>
      </w:r>
      <w:r w:rsidR="00432392">
        <w:t>C</w:t>
      </w:r>
      <w:r w:rsidR="00432392">
        <w:rPr>
          <w:sz w:val="16"/>
        </w:rPr>
        <w:t>HANGE</w:t>
      </w:r>
      <w:r w:rsidR="00432392">
        <w:rPr>
          <w:spacing w:val="-4"/>
          <w:sz w:val="16"/>
        </w:rPr>
        <w:t xml:space="preserve"> </w:t>
      </w:r>
      <w:r w:rsidR="00432392">
        <w:rPr>
          <w:sz w:val="16"/>
        </w:rPr>
        <w:t>IN</w:t>
      </w:r>
      <w:r w:rsidR="00432392">
        <w:rPr>
          <w:spacing w:val="-5"/>
          <w:sz w:val="16"/>
        </w:rPr>
        <w:t xml:space="preserve"> </w:t>
      </w:r>
      <w:r w:rsidR="00432392">
        <w:t>S</w:t>
      </w:r>
      <w:r w:rsidR="00432392">
        <w:rPr>
          <w:sz w:val="16"/>
        </w:rPr>
        <w:t>ERVICE</w:t>
      </w:r>
      <w:r w:rsidR="00432392">
        <w:rPr>
          <w:spacing w:val="-7"/>
          <w:sz w:val="16"/>
        </w:rPr>
        <w:t xml:space="preserve"> </w:t>
      </w:r>
      <w:r w:rsidR="00432392">
        <w:t>F</w:t>
      </w:r>
      <w:r w:rsidR="00432392">
        <w:rPr>
          <w:sz w:val="16"/>
        </w:rPr>
        <w:t>ORM</w:t>
      </w:r>
      <w:r w:rsidR="00432392">
        <w:t>,</w:t>
      </w:r>
      <w:r w:rsidR="00432392">
        <w:rPr>
          <w:spacing w:val="-3"/>
        </w:rPr>
        <w:t xml:space="preserve"> </w:t>
      </w:r>
      <w:r w:rsidR="00432392">
        <w:t>supra</w:t>
      </w:r>
      <w:r w:rsidR="00432392">
        <w:rPr>
          <w:spacing w:val="-5"/>
        </w:rPr>
        <w:t xml:space="preserve"> </w:t>
      </w:r>
      <w:r w:rsidR="00432392">
        <w:t>note</w:t>
      </w:r>
      <w:r w:rsidR="00432392">
        <w:rPr>
          <w:spacing w:val="-5"/>
        </w:rPr>
        <w:t xml:space="preserve"> </w:t>
      </w:r>
      <w:hyperlink w:anchor="_bookmark89" w:history="1">
        <w:r w:rsidR="00432392">
          <w:t>76,</w:t>
        </w:r>
      </w:hyperlink>
      <w:r w:rsidR="00432392">
        <w:rPr>
          <w:spacing w:val="-3"/>
        </w:rPr>
        <w:t xml:space="preserve"> </w:t>
      </w:r>
      <w:r w:rsidR="00432392">
        <w:t>at</w:t>
      </w:r>
      <w:r w:rsidR="00432392">
        <w:rPr>
          <w:spacing w:val="-3"/>
        </w:rPr>
        <w:t xml:space="preserve"> </w:t>
      </w:r>
      <w:r w:rsidR="00432392">
        <w:rPr>
          <w:spacing w:val="-5"/>
        </w:rPr>
        <w:t>2.</w:t>
      </w:r>
    </w:p>
  </w:footnote>
  <w:footnote w:id="121">
    <w:p w14:paraId="7FDEBC70" w14:textId="5A6092BD" w:rsidR="00432392" w:rsidRDefault="00432392" w:rsidP="00432392">
      <w:pPr>
        <w:pStyle w:val="FootnoteText"/>
        <w:ind w:left="907" w:right="936"/>
      </w:pPr>
      <w:r>
        <w:rPr>
          <w:rStyle w:val="FootnoteReference"/>
        </w:rPr>
        <w:footnoteRef/>
      </w:r>
      <w:r>
        <w:t xml:space="preserve"> The HPC used a multinomial logit hospital choice model to predict where the patients filling DFCI’s new facility</w:t>
      </w:r>
      <w:r>
        <w:rPr>
          <w:spacing w:val="-1"/>
        </w:rPr>
        <w:t xml:space="preserve"> </w:t>
      </w:r>
      <w:r>
        <w:t>are</w:t>
      </w:r>
      <w:r>
        <w:rPr>
          <w:spacing w:val="-1"/>
        </w:rPr>
        <w:t xml:space="preserve"> </w:t>
      </w:r>
      <w:r>
        <w:t>likely</w:t>
      </w:r>
      <w:r>
        <w:rPr>
          <w:spacing w:val="-1"/>
        </w:rPr>
        <w:t xml:space="preserve"> </w:t>
      </w:r>
      <w:r>
        <w:t>to come</w:t>
      </w:r>
      <w:r>
        <w:rPr>
          <w:spacing w:val="-1"/>
        </w:rPr>
        <w:t xml:space="preserve"> </w:t>
      </w:r>
      <w:r>
        <w:t>from, separately predicting patients shifts for</w:t>
      </w:r>
      <w:r>
        <w:rPr>
          <w:spacing w:val="-1"/>
        </w:rPr>
        <w:t xml:space="preserve"> </w:t>
      </w:r>
      <w:r>
        <w:t>commercially</w:t>
      </w:r>
      <w:r>
        <w:rPr>
          <w:spacing w:val="-1"/>
        </w:rPr>
        <w:t xml:space="preserve"> </w:t>
      </w:r>
      <w:r>
        <w:t>insured and Medicare- insured patients. The HPC’s models exclude patients under 18 years old and assume DFCI would have similar</w:t>
      </w:r>
      <w:r>
        <w:rPr>
          <w:spacing w:val="-3"/>
        </w:rPr>
        <w:t xml:space="preserve"> </w:t>
      </w:r>
      <w:r>
        <w:t>payer</w:t>
      </w:r>
      <w:r>
        <w:rPr>
          <w:spacing w:val="-3"/>
        </w:rPr>
        <w:t xml:space="preserve"> </w:t>
      </w:r>
      <w:r>
        <w:t>mix</w:t>
      </w:r>
      <w:r>
        <w:rPr>
          <w:spacing w:val="-4"/>
        </w:rPr>
        <w:t xml:space="preserve"> </w:t>
      </w:r>
      <w:r>
        <w:t>and</w:t>
      </w:r>
      <w:r>
        <w:rPr>
          <w:spacing w:val="-2"/>
        </w:rPr>
        <w:t xml:space="preserve"> </w:t>
      </w:r>
      <w:r>
        <w:t>have</w:t>
      </w:r>
      <w:r>
        <w:rPr>
          <w:spacing w:val="-3"/>
        </w:rPr>
        <w:t xml:space="preserve"> </w:t>
      </w:r>
      <w:r>
        <w:t>a similar</w:t>
      </w:r>
      <w:r>
        <w:rPr>
          <w:spacing w:val="-3"/>
        </w:rPr>
        <w:t xml:space="preserve"> </w:t>
      </w:r>
      <w:r>
        <w:t>proportion</w:t>
      </w:r>
      <w:r>
        <w:rPr>
          <w:spacing w:val="-3"/>
        </w:rPr>
        <w:t xml:space="preserve"> </w:t>
      </w:r>
      <w:r>
        <w:t>of</w:t>
      </w:r>
      <w:r>
        <w:rPr>
          <w:spacing w:val="-3"/>
        </w:rPr>
        <w:t xml:space="preserve"> </w:t>
      </w:r>
      <w:r>
        <w:t>discharges</w:t>
      </w:r>
      <w:r>
        <w:rPr>
          <w:spacing w:val="-2"/>
        </w:rPr>
        <w:t xml:space="preserve"> </w:t>
      </w:r>
      <w:r>
        <w:t>of</w:t>
      </w:r>
      <w:r>
        <w:rPr>
          <w:spacing w:val="-3"/>
        </w:rPr>
        <w:t xml:space="preserve"> </w:t>
      </w:r>
      <w:r>
        <w:t>out-of-state</w:t>
      </w:r>
      <w:r>
        <w:rPr>
          <w:spacing w:val="-3"/>
        </w:rPr>
        <w:t xml:space="preserve"> </w:t>
      </w:r>
      <w:r>
        <w:t>patients</w:t>
      </w:r>
      <w:r>
        <w:rPr>
          <w:spacing w:val="-2"/>
        </w:rPr>
        <w:t xml:space="preserve"> </w:t>
      </w:r>
      <w:r>
        <w:t>in</w:t>
      </w:r>
      <w:r>
        <w:rPr>
          <w:spacing w:val="-3"/>
        </w:rPr>
        <w:t xml:space="preserve"> </w:t>
      </w:r>
      <w:r>
        <w:t>future.</w:t>
      </w:r>
      <w:r>
        <w:rPr>
          <w:spacing w:val="-3"/>
        </w:rPr>
        <w:t xml:space="preserve"> </w:t>
      </w:r>
      <w:r>
        <w:t>See</w:t>
      </w:r>
      <w:r>
        <w:rPr>
          <w:spacing w:val="-3"/>
        </w:rPr>
        <w:t xml:space="preserve"> </w:t>
      </w:r>
      <w:r>
        <w:t>the</w:t>
      </w:r>
      <w:r>
        <w:rPr>
          <w:spacing w:val="-3"/>
        </w:rPr>
        <w:t xml:space="preserve"> </w:t>
      </w:r>
      <w:r>
        <w:t>Data Appendix at Section A for additional details on the HPC’s model.</w:t>
      </w:r>
    </w:p>
  </w:footnote>
  <w:footnote w:id="122">
    <w:p w14:paraId="0579EBFC" w14:textId="68E199B3" w:rsidR="00432392" w:rsidRPr="004A4709" w:rsidRDefault="00432392" w:rsidP="004A4709">
      <w:pPr>
        <w:ind w:left="907" w:right="936"/>
        <w:rPr>
          <w:sz w:val="20"/>
        </w:rPr>
      </w:pPr>
      <w:r>
        <w:rPr>
          <w:rStyle w:val="FootnoteReference"/>
        </w:rPr>
        <w:footnoteRef/>
      </w:r>
      <w:r>
        <w:t xml:space="preserve"> </w:t>
      </w:r>
      <w:r>
        <w:rPr>
          <w:sz w:val="20"/>
        </w:rPr>
        <w:t>After predicting the origin of discharges filling the new facility, the HPC estimated a spending impact of each</w:t>
      </w:r>
      <w:r>
        <w:rPr>
          <w:spacing w:val="-3"/>
          <w:sz w:val="20"/>
        </w:rPr>
        <w:t xml:space="preserve"> </w:t>
      </w:r>
      <w:r>
        <w:rPr>
          <w:sz w:val="20"/>
        </w:rPr>
        <w:t>scenario</w:t>
      </w:r>
      <w:r>
        <w:rPr>
          <w:spacing w:val="-3"/>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1"/>
          <w:sz w:val="20"/>
        </w:rPr>
        <w:t xml:space="preserve"> </w:t>
      </w:r>
      <w:r>
        <w:rPr>
          <w:sz w:val="20"/>
        </w:rPr>
        <w:t>difference</w:t>
      </w:r>
      <w:r>
        <w:rPr>
          <w:spacing w:val="-4"/>
          <w:sz w:val="20"/>
        </w:rPr>
        <w:t xml:space="preserve"> </w:t>
      </w:r>
      <w:r>
        <w:rPr>
          <w:sz w:val="20"/>
        </w:rPr>
        <w:t>in</w:t>
      </w:r>
      <w:r>
        <w:rPr>
          <w:spacing w:val="-3"/>
          <w:sz w:val="20"/>
        </w:rPr>
        <w:t xml:space="preserve"> </w:t>
      </w:r>
      <w:r>
        <w:rPr>
          <w:sz w:val="20"/>
        </w:rPr>
        <w:t>average</w:t>
      </w:r>
      <w:r>
        <w:rPr>
          <w:spacing w:val="-1"/>
          <w:sz w:val="20"/>
        </w:rPr>
        <w:t xml:space="preserve"> </w:t>
      </w:r>
      <w:r>
        <w:rPr>
          <w:sz w:val="20"/>
        </w:rPr>
        <w:t>prices</w:t>
      </w:r>
      <w:r>
        <w:rPr>
          <w:spacing w:val="-2"/>
          <w:sz w:val="20"/>
        </w:rPr>
        <w:t xml:space="preserve"> </w:t>
      </w:r>
      <w:r>
        <w:rPr>
          <w:sz w:val="20"/>
        </w:rPr>
        <w:t>per</w:t>
      </w:r>
      <w:r>
        <w:rPr>
          <w:spacing w:val="-4"/>
          <w:sz w:val="20"/>
        </w:rPr>
        <w:t xml:space="preserve"> </w:t>
      </w:r>
      <w:r>
        <w:rPr>
          <w:sz w:val="20"/>
        </w:rPr>
        <w:t>medical</w:t>
      </w:r>
      <w:r>
        <w:rPr>
          <w:spacing w:val="-1"/>
          <w:sz w:val="20"/>
        </w:rPr>
        <w:t xml:space="preserve"> </w:t>
      </w:r>
      <w:r>
        <w:rPr>
          <w:sz w:val="20"/>
        </w:rPr>
        <w:t>oncology</w:t>
      </w:r>
      <w:r>
        <w:rPr>
          <w:spacing w:val="-4"/>
          <w:sz w:val="20"/>
        </w:rPr>
        <w:t xml:space="preserve"> </w:t>
      </w:r>
      <w:r>
        <w:rPr>
          <w:sz w:val="20"/>
        </w:rPr>
        <w:t>discharge</w:t>
      </w:r>
      <w:r>
        <w:rPr>
          <w:spacing w:val="-4"/>
          <w:sz w:val="20"/>
        </w:rPr>
        <w:t xml:space="preserve"> </w:t>
      </w:r>
      <w:r>
        <w:rPr>
          <w:sz w:val="20"/>
        </w:rPr>
        <w:t>at</w:t>
      </w:r>
      <w:r>
        <w:rPr>
          <w:spacing w:val="-2"/>
          <w:sz w:val="20"/>
        </w:rPr>
        <w:t xml:space="preserve"> </w:t>
      </w:r>
      <w:r>
        <w:rPr>
          <w:sz w:val="20"/>
        </w:rPr>
        <w:t>DFCI</w:t>
      </w:r>
      <w:r>
        <w:rPr>
          <w:spacing w:val="-2"/>
          <w:sz w:val="20"/>
        </w:rPr>
        <w:t xml:space="preserve"> </w:t>
      </w:r>
      <w:r>
        <w:rPr>
          <w:sz w:val="20"/>
        </w:rPr>
        <w:t>and</w:t>
      </w:r>
      <w:r>
        <w:rPr>
          <w:spacing w:val="-2"/>
          <w:sz w:val="20"/>
        </w:rPr>
        <w:t xml:space="preserve"> </w:t>
      </w:r>
      <w:r>
        <w:rPr>
          <w:sz w:val="20"/>
        </w:rPr>
        <w:t>other hospitals. Using 2022 APCD claims data, we calculated an average facility price per case mix adjusted discharge</w:t>
      </w:r>
      <w:r>
        <w:rPr>
          <w:spacing w:val="-2"/>
          <w:sz w:val="20"/>
        </w:rPr>
        <w:t xml:space="preserve"> </w:t>
      </w:r>
      <w:r>
        <w:rPr>
          <w:sz w:val="20"/>
        </w:rPr>
        <w:t>for</w:t>
      </w:r>
      <w:r>
        <w:rPr>
          <w:spacing w:val="-2"/>
          <w:sz w:val="20"/>
        </w:rPr>
        <w:t xml:space="preserve"> </w:t>
      </w:r>
      <w:r>
        <w:rPr>
          <w:sz w:val="20"/>
        </w:rPr>
        <w:t>each</w:t>
      </w:r>
      <w:r>
        <w:rPr>
          <w:spacing w:val="-1"/>
          <w:sz w:val="20"/>
        </w:rPr>
        <w:t xml:space="preserve"> </w:t>
      </w:r>
      <w:r>
        <w:rPr>
          <w:sz w:val="20"/>
        </w:rPr>
        <w:t>potential origin</w:t>
      </w:r>
      <w:r>
        <w:rPr>
          <w:spacing w:val="-1"/>
          <w:sz w:val="20"/>
        </w:rPr>
        <w:t xml:space="preserve"> </w:t>
      </w:r>
      <w:r>
        <w:rPr>
          <w:sz w:val="20"/>
        </w:rPr>
        <w:t>hospital, and a</w:t>
      </w:r>
      <w:r>
        <w:rPr>
          <w:spacing w:val="-1"/>
          <w:sz w:val="20"/>
        </w:rPr>
        <w:t xml:space="preserve"> </w:t>
      </w:r>
      <w:r>
        <w:rPr>
          <w:sz w:val="20"/>
        </w:rPr>
        <w:t>corresponding</w:t>
      </w:r>
      <w:r>
        <w:rPr>
          <w:spacing w:val="-1"/>
          <w:sz w:val="20"/>
        </w:rPr>
        <w:t xml:space="preserve"> </w:t>
      </w:r>
      <w:r>
        <w:rPr>
          <w:sz w:val="20"/>
        </w:rPr>
        <w:t>DFCI facility</w:t>
      </w:r>
      <w:r>
        <w:rPr>
          <w:spacing w:val="-2"/>
          <w:sz w:val="20"/>
        </w:rPr>
        <w:t xml:space="preserve"> </w:t>
      </w:r>
      <w:r>
        <w:rPr>
          <w:sz w:val="20"/>
        </w:rPr>
        <w:t>price</w:t>
      </w:r>
      <w:r>
        <w:rPr>
          <w:spacing w:val="-2"/>
          <w:sz w:val="20"/>
        </w:rPr>
        <w:t xml:space="preserve"> </w:t>
      </w:r>
      <w:r>
        <w:rPr>
          <w:sz w:val="20"/>
        </w:rPr>
        <w:t>adjusted by</w:t>
      </w:r>
      <w:r>
        <w:rPr>
          <w:spacing w:val="-2"/>
          <w:sz w:val="20"/>
        </w:rPr>
        <w:t xml:space="preserve"> </w:t>
      </w:r>
      <w:r>
        <w:rPr>
          <w:sz w:val="20"/>
        </w:rPr>
        <w:t>each</w:t>
      </w:r>
      <w:r>
        <w:rPr>
          <w:spacing w:val="-1"/>
          <w:sz w:val="20"/>
        </w:rPr>
        <w:t xml:space="preserve"> </w:t>
      </w:r>
      <w:r>
        <w:rPr>
          <w:sz w:val="20"/>
        </w:rPr>
        <w:t xml:space="preserve">origin hospital’s payer mix, </w:t>
      </w:r>
      <w:proofErr w:type="gramStart"/>
      <w:r>
        <w:rPr>
          <w:sz w:val="20"/>
        </w:rPr>
        <w:t>assuming that</w:t>
      </w:r>
      <w:proofErr w:type="gramEnd"/>
      <w:r>
        <w:rPr>
          <w:sz w:val="20"/>
        </w:rPr>
        <w:t xml:space="preserve"> the shifting discharges would have a payer mix similar to the origin</w:t>
      </w:r>
      <w:r w:rsidRPr="00432392">
        <w:rPr>
          <w:sz w:val="20"/>
        </w:rPr>
        <w:t xml:space="preserve"> </w:t>
      </w:r>
      <w:r>
        <w:rPr>
          <w:sz w:val="20"/>
        </w:rPr>
        <w:t>hospital. We combined differences in these price data with the predicted number and case mix index of shifting discharges from each hospital to calculate changes in spending. To estimate the professional portion of the inpatient spending impact, we first calculated the ratio of professional to facility spending at each</w:t>
      </w:r>
      <w:r>
        <w:rPr>
          <w:spacing w:val="-2"/>
          <w:sz w:val="20"/>
        </w:rPr>
        <w:t xml:space="preserve"> </w:t>
      </w:r>
      <w:r>
        <w:rPr>
          <w:sz w:val="20"/>
        </w:rPr>
        <w:t>hospital</w:t>
      </w:r>
      <w:r>
        <w:rPr>
          <w:spacing w:val="-2"/>
          <w:sz w:val="20"/>
        </w:rPr>
        <w:t xml:space="preserve"> </w:t>
      </w:r>
      <w:r>
        <w:rPr>
          <w:sz w:val="20"/>
        </w:rPr>
        <w:t>for</w:t>
      </w:r>
      <w:r>
        <w:rPr>
          <w:spacing w:val="-3"/>
          <w:sz w:val="20"/>
        </w:rPr>
        <w:t xml:space="preserve"> </w:t>
      </w:r>
      <w:r>
        <w:rPr>
          <w:sz w:val="20"/>
        </w:rPr>
        <w:t>its</w:t>
      </w:r>
      <w:r>
        <w:rPr>
          <w:spacing w:val="-1"/>
          <w:sz w:val="20"/>
        </w:rPr>
        <w:t xml:space="preserve"> </w:t>
      </w:r>
      <w:r>
        <w:rPr>
          <w:sz w:val="20"/>
        </w:rPr>
        <w:t>medical</w:t>
      </w:r>
      <w:r>
        <w:rPr>
          <w:spacing w:val="-2"/>
          <w:sz w:val="20"/>
        </w:rPr>
        <w:t xml:space="preserve"> </w:t>
      </w:r>
      <w:r>
        <w:rPr>
          <w:sz w:val="20"/>
        </w:rPr>
        <w:t>oncology</w:t>
      </w:r>
      <w:r>
        <w:rPr>
          <w:spacing w:val="-3"/>
          <w:sz w:val="20"/>
        </w:rPr>
        <w:t xml:space="preserve"> </w:t>
      </w:r>
      <w:r>
        <w:rPr>
          <w:sz w:val="20"/>
        </w:rPr>
        <w:t>discharges,</w:t>
      </w:r>
      <w:r>
        <w:rPr>
          <w:spacing w:val="-1"/>
          <w:sz w:val="20"/>
        </w:rPr>
        <w:t xml:space="preserve"> </w:t>
      </w:r>
      <w:r>
        <w:rPr>
          <w:sz w:val="20"/>
        </w:rPr>
        <w:t>adjusted</w:t>
      </w:r>
      <w:r>
        <w:rPr>
          <w:spacing w:val="-1"/>
          <w:sz w:val="20"/>
        </w:rPr>
        <w:t xml:space="preserve"> </w:t>
      </w:r>
      <w:r>
        <w:rPr>
          <w:sz w:val="20"/>
        </w:rPr>
        <w:t>by</w:t>
      </w:r>
      <w:r>
        <w:rPr>
          <w:spacing w:val="-3"/>
          <w:sz w:val="20"/>
        </w:rPr>
        <w:t xml:space="preserve"> </w:t>
      </w:r>
      <w:r>
        <w:rPr>
          <w:sz w:val="20"/>
        </w:rPr>
        <w:t>each</w:t>
      </w:r>
      <w:r>
        <w:rPr>
          <w:spacing w:val="-2"/>
          <w:sz w:val="20"/>
        </w:rPr>
        <w:t xml:space="preserve"> </w:t>
      </w:r>
      <w:r>
        <w:rPr>
          <w:sz w:val="20"/>
        </w:rPr>
        <w:t>original</w:t>
      </w:r>
      <w:r>
        <w:rPr>
          <w:spacing w:val="-2"/>
          <w:sz w:val="20"/>
        </w:rPr>
        <w:t xml:space="preserve"> </w:t>
      </w:r>
      <w:r>
        <w:rPr>
          <w:sz w:val="20"/>
        </w:rPr>
        <w:t>hospital’s</w:t>
      </w:r>
      <w:r>
        <w:rPr>
          <w:spacing w:val="-1"/>
          <w:sz w:val="20"/>
        </w:rPr>
        <w:t xml:space="preserve"> </w:t>
      </w:r>
      <w:r>
        <w:rPr>
          <w:sz w:val="20"/>
        </w:rPr>
        <w:t>payer</w:t>
      </w:r>
      <w:r>
        <w:rPr>
          <w:spacing w:val="-3"/>
          <w:sz w:val="20"/>
        </w:rPr>
        <w:t xml:space="preserve"> </w:t>
      </w:r>
      <w:r>
        <w:rPr>
          <w:sz w:val="20"/>
        </w:rPr>
        <w:t>mix</w:t>
      </w:r>
      <w:r>
        <w:rPr>
          <w:spacing w:val="-3"/>
          <w:sz w:val="20"/>
        </w:rPr>
        <w:t xml:space="preserve"> </w:t>
      </w:r>
      <w:r>
        <w:rPr>
          <w:sz w:val="20"/>
        </w:rPr>
        <w:t>and</w:t>
      </w:r>
      <w:r>
        <w:rPr>
          <w:spacing w:val="-1"/>
          <w:sz w:val="20"/>
        </w:rPr>
        <w:t xml:space="preserve"> </w:t>
      </w:r>
      <w:r>
        <w:rPr>
          <w:sz w:val="20"/>
        </w:rPr>
        <w:t>mix</w:t>
      </w:r>
      <w:r>
        <w:rPr>
          <w:spacing w:val="-3"/>
          <w:sz w:val="20"/>
        </w:rPr>
        <w:t xml:space="preserve"> </w:t>
      </w:r>
      <w:r>
        <w:rPr>
          <w:sz w:val="20"/>
        </w:rPr>
        <w:t>of discharges in each CMS Major Diagnostic Category (MDC). We then estimated professional revenue associated with the shifting discharges at the origin hospital and at DFCI based on each hospital’s estimated</w:t>
      </w:r>
      <w:r>
        <w:rPr>
          <w:spacing w:val="-2"/>
          <w:sz w:val="20"/>
        </w:rPr>
        <w:t xml:space="preserve"> </w:t>
      </w:r>
      <w:r>
        <w:rPr>
          <w:sz w:val="20"/>
        </w:rPr>
        <w:t>facility</w:t>
      </w:r>
      <w:r>
        <w:rPr>
          <w:spacing w:val="-4"/>
          <w:sz w:val="20"/>
        </w:rPr>
        <w:t xml:space="preserve"> </w:t>
      </w:r>
      <w:r>
        <w:rPr>
          <w:sz w:val="20"/>
        </w:rPr>
        <w:t>revenue</w:t>
      </w:r>
      <w:r>
        <w:rPr>
          <w:spacing w:val="-4"/>
          <w:sz w:val="20"/>
        </w:rPr>
        <w:t xml:space="preserve"> </w:t>
      </w:r>
      <w:r>
        <w:rPr>
          <w:sz w:val="20"/>
        </w:rPr>
        <w:t>for</w:t>
      </w:r>
      <w:r>
        <w:rPr>
          <w:spacing w:val="-2"/>
          <w:sz w:val="20"/>
        </w:rPr>
        <w:t xml:space="preserve"> </w:t>
      </w:r>
      <w:r>
        <w:rPr>
          <w:sz w:val="20"/>
        </w:rPr>
        <w:t>the</w:t>
      </w:r>
      <w:r>
        <w:rPr>
          <w:spacing w:val="-4"/>
          <w:sz w:val="20"/>
        </w:rPr>
        <w:t xml:space="preserve"> </w:t>
      </w:r>
      <w:r>
        <w:rPr>
          <w:sz w:val="20"/>
        </w:rPr>
        <w:t>shifting</w:t>
      </w:r>
      <w:r>
        <w:rPr>
          <w:spacing w:val="-3"/>
          <w:sz w:val="20"/>
        </w:rPr>
        <w:t xml:space="preserve"> </w:t>
      </w:r>
      <w:r>
        <w:rPr>
          <w:sz w:val="20"/>
        </w:rPr>
        <w:t>discharges</w:t>
      </w:r>
      <w:r>
        <w:rPr>
          <w:spacing w:val="-2"/>
          <w:sz w:val="20"/>
        </w:rPr>
        <w:t xml:space="preserve"> </w:t>
      </w:r>
      <w:r>
        <w:rPr>
          <w:sz w:val="20"/>
        </w:rPr>
        <w:t>and</w:t>
      </w:r>
      <w:r>
        <w:rPr>
          <w:spacing w:val="-5"/>
          <w:sz w:val="20"/>
        </w:rPr>
        <w:t xml:space="preserve"> </w:t>
      </w:r>
      <w:r>
        <w:rPr>
          <w:sz w:val="20"/>
        </w:rPr>
        <w:t>subtracted</w:t>
      </w:r>
      <w:r>
        <w:rPr>
          <w:spacing w:val="-2"/>
          <w:sz w:val="20"/>
        </w:rPr>
        <w:t xml:space="preserve"> </w:t>
      </w:r>
      <w:r>
        <w:rPr>
          <w:sz w:val="20"/>
        </w:rPr>
        <w:t>the</w:t>
      </w:r>
      <w:r>
        <w:rPr>
          <w:spacing w:val="-4"/>
          <w:sz w:val="20"/>
        </w:rPr>
        <w:t xml:space="preserve"> </w:t>
      </w:r>
      <w:r>
        <w:rPr>
          <w:sz w:val="20"/>
        </w:rPr>
        <w:t>estimated</w:t>
      </w:r>
      <w:r>
        <w:rPr>
          <w:spacing w:val="-2"/>
          <w:sz w:val="20"/>
        </w:rPr>
        <w:t xml:space="preserve"> </w:t>
      </w:r>
      <w:r>
        <w:rPr>
          <w:sz w:val="20"/>
        </w:rPr>
        <w:t>professional</w:t>
      </w:r>
      <w:r>
        <w:rPr>
          <w:spacing w:val="-3"/>
          <w:sz w:val="20"/>
        </w:rPr>
        <w:t xml:space="preserve"> </w:t>
      </w:r>
      <w:r>
        <w:rPr>
          <w:sz w:val="20"/>
        </w:rPr>
        <w:t>revenue</w:t>
      </w:r>
      <w:r>
        <w:rPr>
          <w:spacing w:val="-4"/>
          <w:sz w:val="20"/>
        </w:rPr>
        <w:t xml:space="preserve"> </w:t>
      </w:r>
      <w:r>
        <w:rPr>
          <w:sz w:val="20"/>
        </w:rPr>
        <w:t>at the original hospital from estimated professional revenue at DFCI.</w:t>
      </w:r>
    </w:p>
  </w:footnote>
  <w:footnote w:id="123">
    <w:p w14:paraId="66C1EEB8" w14:textId="1D0E6AE8" w:rsidR="004A4709" w:rsidRDefault="004A4709" w:rsidP="004A4709">
      <w:pPr>
        <w:pStyle w:val="FootnoteText"/>
        <w:ind w:left="907" w:right="936"/>
      </w:pPr>
      <w:r>
        <w:rPr>
          <w:rStyle w:val="FootnoteReference"/>
        </w:rPr>
        <w:footnoteRef/>
      </w:r>
      <w:r>
        <w:t xml:space="preserve"> The HPC focused its analysis of spending impacts on differences in prices among current providers of oncology services to assess the potential spending impacts of patients changing their care patterns </w:t>
      </w:r>
      <w:proofErr w:type="gramStart"/>
      <w:r>
        <w:t>as a result of</w:t>
      </w:r>
      <w:proofErr w:type="gramEnd"/>
      <w:r>
        <w:t xml:space="preserve"> the proposed transaction. To the extent patients filling DFCI’s facility would represent “net new” care </w:t>
      </w:r>
      <w:proofErr w:type="gramStart"/>
      <w:r>
        <w:t>as a result of</w:t>
      </w:r>
      <w:proofErr w:type="gramEnd"/>
      <w:r>
        <w:t xml:space="preserve"> increased inpatient oncology utilization that would not otherwise have been served by existing providers, those additional discharges would increase spending. The HPC estimates that fully filling DFCI’s</w:t>
      </w:r>
      <w:r>
        <w:rPr>
          <w:spacing w:val="-2"/>
        </w:rPr>
        <w:t xml:space="preserve"> </w:t>
      </w:r>
      <w:r>
        <w:t>new</w:t>
      </w:r>
      <w:r>
        <w:rPr>
          <w:spacing w:val="-3"/>
        </w:rPr>
        <w:t xml:space="preserve"> </w:t>
      </w:r>
      <w:r>
        <w:t>inpatient</w:t>
      </w:r>
      <w:r>
        <w:rPr>
          <w:spacing w:val="-2"/>
        </w:rPr>
        <w:t xml:space="preserve"> </w:t>
      </w:r>
      <w:r>
        <w:t>capacity</w:t>
      </w:r>
      <w:r>
        <w:rPr>
          <w:spacing w:val="-4"/>
        </w:rPr>
        <w:t xml:space="preserve"> </w:t>
      </w:r>
      <w:r>
        <w:t>with</w:t>
      </w:r>
      <w:r>
        <w:rPr>
          <w:spacing w:val="-3"/>
        </w:rPr>
        <w:t xml:space="preserve"> </w:t>
      </w:r>
      <w:r>
        <w:t>new</w:t>
      </w:r>
      <w:r>
        <w:rPr>
          <w:spacing w:val="-1"/>
        </w:rPr>
        <w:t xml:space="preserve"> </w:t>
      </w:r>
      <w:r>
        <w:t>volume</w:t>
      </w:r>
      <w:r>
        <w:rPr>
          <w:spacing w:val="-4"/>
        </w:rPr>
        <w:t xml:space="preserve"> </w:t>
      </w:r>
      <w:r>
        <w:t>that</w:t>
      </w:r>
      <w:r>
        <w:rPr>
          <w:spacing w:val="-2"/>
        </w:rPr>
        <w:t xml:space="preserve"> </w:t>
      </w:r>
      <w:r>
        <w:t>would</w:t>
      </w:r>
      <w:r>
        <w:rPr>
          <w:spacing w:val="-3"/>
        </w:rPr>
        <w:t xml:space="preserve"> </w:t>
      </w:r>
      <w:r>
        <w:t>not</w:t>
      </w:r>
      <w:r>
        <w:rPr>
          <w:spacing w:val="-2"/>
        </w:rPr>
        <w:t xml:space="preserve"> </w:t>
      </w:r>
      <w:r>
        <w:t>otherwise</w:t>
      </w:r>
      <w:r>
        <w:rPr>
          <w:spacing w:val="-4"/>
        </w:rPr>
        <w:t xml:space="preserve"> </w:t>
      </w:r>
      <w:r>
        <w:t>have</w:t>
      </w:r>
      <w:r>
        <w:rPr>
          <w:spacing w:val="-4"/>
        </w:rPr>
        <w:t xml:space="preserve"> </w:t>
      </w:r>
      <w:r>
        <w:t>been</w:t>
      </w:r>
      <w:r>
        <w:rPr>
          <w:spacing w:val="-1"/>
        </w:rPr>
        <w:t xml:space="preserve"> </w:t>
      </w:r>
      <w:r>
        <w:t>provided</w:t>
      </w:r>
      <w:r>
        <w:rPr>
          <w:spacing w:val="-2"/>
        </w:rPr>
        <w:t xml:space="preserve"> </w:t>
      </w:r>
      <w:r>
        <w:t>would</w:t>
      </w:r>
      <w:r>
        <w:rPr>
          <w:spacing w:val="-2"/>
        </w:rPr>
        <w:t xml:space="preserve"> </w:t>
      </w:r>
      <w:r>
        <w:t>result</w:t>
      </w:r>
      <w:r>
        <w:rPr>
          <w:spacing w:val="-2"/>
        </w:rPr>
        <w:t xml:space="preserve"> </w:t>
      </w:r>
      <w:r>
        <w:t>in an</w:t>
      </w:r>
      <w:r>
        <w:rPr>
          <w:spacing w:val="-3"/>
        </w:rPr>
        <w:t xml:space="preserve"> </w:t>
      </w:r>
      <w:r>
        <w:t>increase</w:t>
      </w:r>
      <w:r>
        <w:rPr>
          <w:spacing w:val="-4"/>
        </w:rPr>
        <w:t xml:space="preserve"> </w:t>
      </w:r>
      <w:r>
        <w:t>in</w:t>
      </w:r>
      <w:r>
        <w:rPr>
          <w:spacing w:val="-3"/>
        </w:rPr>
        <w:t xml:space="preserve"> </w:t>
      </w:r>
      <w:r>
        <w:t>annual</w:t>
      </w:r>
      <w:r>
        <w:rPr>
          <w:spacing w:val="-3"/>
        </w:rPr>
        <w:t xml:space="preserve"> </w:t>
      </w:r>
      <w:r>
        <w:t>commercial</w:t>
      </w:r>
      <w:r>
        <w:rPr>
          <w:spacing w:val="-3"/>
        </w:rPr>
        <w:t xml:space="preserve"> </w:t>
      </w:r>
      <w:r>
        <w:t>and</w:t>
      </w:r>
      <w:r>
        <w:rPr>
          <w:spacing w:val="-2"/>
        </w:rPr>
        <w:t xml:space="preserve"> </w:t>
      </w:r>
      <w:r>
        <w:t>Medicare</w:t>
      </w:r>
      <w:r>
        <w:rPr>
          <w:spacing w:val="-4"/>
        </w:rPr>
        <w:t xml:space="preserve"> </w:t>
      </w:r>
      <w:r>
        <w:t>spending</w:t>
      </w:r>
      <w:r>
        <w:rPr>
          <w:spacing w:val="-3"/>
        </w:rPr>
        <w:t xml:space="preserve"> </w:t>
      </w:r>
      <w:r>
        <w:t>of</w:t>
      </w:r>
      <w:r>
        <w:rPr>
          <w:spacing w:val="-3"/>
        </w:rPr>
        <w:t xml:space="preserve"> </w:t>
      </w:r>
      <w:r>
        <w:t>between</w:t>
      </w:r>
      <w:r>
        <w:rPr>
          <w:spacing w:val="-3"/>
        </w:rPr>
        <w:t xml:space="preserve"> </w:t>
      </w:r>
      <w:r>
        <w:t>$188</w:t>
      </w:r>
      <w:r>
        <w:rPr>
          <w:spacing w:val="-2"/>
        </w:rPr>
        <w:t xml:space="preserve"> </w:t>
      </w:r>
      <w:r>
        <w:t>million</w:t>
      </w:r>
      <w:r>
        <w:rPr>
          <w:spacing w:val="-3"/>
        </w:rPr>
        <w:t xml:space="preserve"> </w:t>
      </w:r>
      <w:r>
        <w:t>and</w:t>
      </w:r>
      <w:r>
        <w:rPr>
          <w:spacing w:val="-2"/>
        </w:rPr>
        <w:t xml:space="preserve"> </w:t>
      </w:r>
      <w:r>
        <w:t>$194</w:t>
      </w:r>
      <w:r>
        <w:rPr>
          <w:spacing w:val="-2"/>
        </w:rPr>
        <w:t xml:space="preserve"> </w:t>
      </w:r>
      <w:r>
        <w:t>million</w:t>
      </w:r>
      <w:r>
        <w:rPr>
          <w:spacing w:val="-3"/>
        </w:rPr>
        <w:t xml:space="preserve"> </w:t>
      </w:r>
      <w:r>
        <w:t xml:space="preserve">based on the patient choice models described in this section. This finding is consistent in scope with the ICA’s estimates of the cost of “supply-induced demand,” although increased spending could be considered justified to the extent need for inpatient oncology care increases. </w:t>
      </w:r>
      <w:r>
        <w:rPr>
          <w:i/>
        </w:rPr>
        <w:t xml:space="preserve">See </w:t>
      </w:r>
      <w:r>
        <w:t xml:space="preserve">DFCI ICA, </w:t>
      </w:r>
      <w:r>
        <w:rPr>
          <w:i/>
        </w:rPr>
        <w:t xml:space="preserve">supra </w:t>
      </w:r>
      <w:r>
        <w:t xml:space="preserve">note </w:t>
      </w:r>
      <w:hyperlink w:anchor="_bookmark14" w:history="1">
        <w:r>
          <w:t>14,</w:t>
        </w:r>
      </w:hyperlink>
      <w:r>
        <w:t xml:space="preserve"> at 37-38</w:t>
      </w:r>
      <w:r>
        <w:rPr>
          <w:spacing w:val="40"/>
        </w:rPr>
        <w:t xml:space="preserve"> </w:t>
      </w:r>
      <w:r>
        <w:t>and tables 20-21 (estimating an increase in inpatient spending for commercial, Medicare, and Medicaid of approximately $239 million to $250 million at current prices if 100% of newly available capacity were filled by net new patients).</w:t>
      </w:r>
    </w:p>
  </w:footnote>
  <w:footnote w:id="124">
    <w:p w14:paraId="3FD4C3BE" w14:textId="3954B20B" w:rsidR="004A4709" w:rsidRDefault="004A4709" w:rsidP="004A4709">
      <w:pPr>
        <w:pStyle w:val="FootnoteText"/>
        <w:ind w:left="907" w:right="936"/>
      </w:pPr>
      <w:r>
        <w:rPr>
          <w:rStyle w:val="FootnoteReference"/>
        </w:rPr>
        <w:footnoteRef/>
      </w:r>
      <w:r>
        <w:t xml:space="preserve"> The</w:t>
      </w:r>
      <w:r>
        <w:rPr>
          <w:spacing w:val="-4"/>
        </w:rPr>
        <w:t xml:space="preserve"> </w:t>
      </w:r>
      <w:r>
        <w:t>number</w:t>
      </w:r>
      <w:r>
        <w:rPr>
          <w:spacing w:val="-4"/>
        </w:rPr>
        <w:t xml:space="preserve"> </w:t>
      </w:r>
      <w:r>
        <w:t>of</w:t>
      </w:r>
      <w:r>
        <w:rPr>
          <w:spacing w:val="-3"/>
        </w:rPr>
        <w:t xml:space="preserve"> </w:t>
      </w:r>
      <w:r>
        <w:t>commercial</w:t>
      </w:r>
      <w:r>
        <w:rPr>
          <w:spacing w:val="-1"/>
        </w:rPr>
        <w:t xml:space="preserve"> </w:t>
      </w:r>
      <w:r>
        <w:t>discharges</w:t>
      </w:r>
      <w:r>
        <w:rPr>
          <w:spacing w:val="-2"/>
        </w:rPr>
        <w:t xml:space="preserve"> </w:t>
      </w:r>
      <w:r>
        <w:t>expected</w:t>
      </w:r>
      <w:r>
        <w:rPr>
          <w:spacing w:val="-2"/>
        </w:rPr>
        <w:t xml:space="preserve"> </w:t>
      </w:r>
      <w:r>
        <w:t>to</w:t>
      </w:r>
      <w:r>
        <w:rPr>
          <w:spacing w:val="-3"/>
        </w:rPr>
        <w:t xml:space="preserve"> </w:t>
      </w:r>
      <w:r>
        <w:t>fill</w:t>
      </w:r>
      <w:r>
        <w:rPr>
          <w:spacing w:val="-3"/>
        </w:rPr>
        <w:t xml:space="preserve"> </w:t>
      </w:r>
      <w:r>
        <w:t>DFCI’s</w:t>
      </w:r>
      <w:r>
        <w:rPr>
          <w:spacing w:val="-2"/>
        </w:rPr>
        <w:t xml:space="preserve"> </w:t>
      </w:r>
      <w:r>
        <w:t>new</w:t>
      </w:r>
      <w:r>
        <w:rPr>
          <w:spacing w:val="-3"/>
        </w:rPr>
        <w:t xml:space="preserve"> </w:t>
      </w:r>
      <w:r>
        <w:t>capacity</w:t>
      </w:r>
      <w:r>
        <w:rPr>
          <w:spacing w:val="-4"/>
        </w:rPr>
        <w:t xml:space="preserve"> </w:t>
      </w:r>
      <w:r>
        <w:t>varies</w:t>
      </w:r>
      <w:r>
        <w:rPr>
          <w:spacing w:val="-2"/>
        </w:rPr>
        <w:t xml:space="preserve"> </w:t>
      </w:r>
      <w:r>
        <w:t>between</w:t>
      </w:r>
      <w:r>
        <w:rPr>
          <w:spacing w:val="-3"/>
        </w:rPr>
        <w:t xml:space="preserve"> </w:t>
      </w:r>
      <w:r>
        <w:t>scenarios</w:t>
      </w:r>
      <w:r>
        <w:rPr>
          <w:spacing w:val="-2"/>
        </w:rPr>
        <w:t xml:space="preserve"> </w:t>
      </w:r>
      <w:r>
        <w:t>due to differences in the predicted length of stay of patients coming from other hospitals.</w:t>
      </w:r>
    </w:p>
  </w:footnote>
  <w:footnote w:id="125">
    <w:p w14:paraId="6C5C7F06" w14:textId="729CEFD5" w:rsidR="00A80420" w:rsidRDefault="00A80420" w:rsidP="00CF1EEE">
      <w:pPr>
        <w:pStyle w:val="FootnoteText"/>
        <w:ind w:left="900" w:right="940"/>
      </w:pPr>
      <w:r>
        <w:rPr>
          <w:rStyle w:val="FootnoteReference"/>
        </w:rPr>
        <w:footnoteRef/>
      </w:r>
      <w:r>
        <w:t xml:space="preserve"> </w:t>
      </w:r>
      <w:r w:rsidR="003827DB">
        <w:t>The</w:t>
      </w:r>
      <w:r w:rsidR="003827DB">
        <w:rPr>
          <w:spacing w:val="-4"/>
        </w:rPr>
        <w:t xml:space="preserve"> </w:t>
      </w:r>
      <w:r w:rsidR="003827DB">
        <w:t>lower</w:t>
      </w:r>
      <w:r w:rsidR="003827DB">
        <w:rPr>
          <w:spacing w:val="-4"/>
        </w:rPr>
        <w:t xml:space="preserve"> </w:t>
      </w:r>
      <w:r w:rsidR="003827DB">
        <w:t>backfill</w:t>
      </w:r>
      <w:r w:rsidR="003827DB">
        <w:rPr>
          <w:spacing w:val="-3"/>
        </w:rPr>
        <w:t xml:space="preserve"> </w:t>
      </w:r>
      <w:r w:rsidR="003827DB">
        <w:t>savings</w:t>
      </w:r>
      <w:r w:rsidR="003827DB">
        <w:rPr>
          <w:spacing w:val="-2"/>
        </w:rPr>
        <w:t xml:space="preserve"> </w:t>
      </w:r>
      <w:r w:rsidR="003827DB">
        <w:t>on</w:t>
      </w:r>
      <w:r w:rsidR="003827DB">
        <w:rPr>
          <w:spacing w:val="-3"/>
        </w:rPr>
        <w:t xml:space="preserve"> </w:t>
      </w:r>
      <w:r w:rsidR="003827DB">
        <w:t>oncology</w:t>
      </w:r>
      <w:r w:rsidR="003827DB">
        <w:rPr>
          <w:spacing w:val="-4"/>
        </w:rPr>
        <w:t xml:space="preserve"> </w:t>
      </w:r>
      <w:r w:rsidR="003827DB">
        <w:t>discharges</w:t>
      </w:r>
      <w:r w:rsidR="003827DB">
        <w:rPr>
          <w:spacing w:val="-2"/>
        </w:rPr>
        <w:t xml:space="preserve"> </w:t>
      </w:r>
      <w:r w:rsidR="003827DB">
        <w:t>is</w:t>
      </w:r>
      <w:r w:rsidR="003827DB">
        <w:rPr>
          <w:spacing w:val="-2"/>
        </w:rPr>
        <w:t xml:space="preserve"> </w:t>
      </w:r>
      <w:r w:rsidR="003827DB">
        <w:t>the</w:t>
      </w:r>
      <w:r w:rsidR="003827DB">
        <w:rPr>
          <w:spacing w:val="-4"/>
        </w:rPr>
        <w:t xml:space="preserve"> </w:t>
      </w:r>
      <w:r w:rsidR="003827DB">
        <w:t>result</w:t>
      </w:r>
      <w:r w:rsidR="003827DB">
        <w:rPr>
          <w:spacing w:val="-2"/>
        </w:rPr>
        <w:t xml:space="preserve"> </w:t>
      </w:r>
      <w:r w:rsidR="003827DB">
        <w:t>of</w:t>
      </w:r>
      <w:r w:rsidR="003827DB">
        <w:rPr>
          <w:spacing w:val="-3"/>
        </w:rPr>
        <w:t xml:space="preserve"> </w:t>
      </w:r>
      <w:r w:rsidR="003827DB">
        <w:t>the</w:t>
      </w:r>
      <w:r w:rsidR="003827DB">
        <w:rPr>
          <w:spacing w:val="-4"/>
        </w:rPr>
        <w:t xml:space="preserve"> </w:t>
      </w:r>
      <w:r w:rsidR="003827DB">
        <w:t>higher</w:t>
      </w:r>
      <w:r w:rsidR="003827DB">
        <w:rPr>
          <w:spacing w:val="-4"/>
        </w:rPr>
        <w:t xml:space="preserve"> </w:t>
      </w:r>
      <w:r w:rsidR="003827DB">
        <w:t>acuity</w:t>
      </w:r>
      <w:r w:rsidR="003827DB">
        <w:rPr>
          <w:spacing w:val="-2"/>
        </w:rPr>
        <w:t xml:space="preserve"> </w:t>
      </w:r>
      <w:r w:rsidR="003827DB">
        <w:t>of</w:t>
      </w:r>
      <w:r w:rsidR="003827DB">
        <w:rPr>
          <w:spacing w:val="-3"/>
        </w:rPr>
        <w:t xml:space="preserve"> </w:t>
      </w:r>
      <w:r w:rsidR="003827DB">
        <w:t>oncology</w:t>
      </w:r>
      <w:r w:rsidR="003827DB">
        <w:rPr>
          <w:spacing w:val="-4"/>
        </w:rPr>
        <w:t xml:space="preserve"> </w:t>
      </w:r>
      <w:r w:rsidR="003827DB">
        <w:t>patients as compared to general acute care patients, which reduces price differences between BIDMC and other hospitals from which it might take volume.</w:t>
      </w:r>
    </w:p>
  </w:footnote>
  <w:footnote w:id="126">
    <w:p w14:paraId="708179DB" w14:textId="31D1DEA5" w:rsidR="00DF421F" w:rsidRDefault="00DF421F" w:rsidP="00CF1EEE">
      <w:pPr>
        <w:pStyle w:val="FootnoteText"/>
        <w:ind w:left="900" w:right="940"/>
      </w:pPr>
      <w:r>
        <w:rPr>
          <w:rStyle w:val="FootnoteReference"/>
        </w:rPr>
        <w:footnoteRef/>
      </w:r>
      <w:r>
        <w:t xml:space="preserve"> The</w:t>
      </w:r>
      <w:r>
        <w:rPr>
          <w:spacing w:val="-4"/>
        </w:rPr>
        <w:t xml:space="preserve"> </w:t>
      </w:r>
      <w:r>
        <w:t>HPC</w:t>
      </w:r>
      <w:r>
        <w:rPr>
          <w:spacing w:val="-3"/>
        </w:rPr>
        <w:t xml:space="preserve"> </w:t>
      </w:r>
      <w:r>
        <w:t>considers</w:t>
      </w:r>
      <w:r>
        <w:rPr>
          <w:spacing w:val="-2"/>
        </w:rPr>
        <w:t xml:space="preserve"> </w:t>
      </w:r>
      <w:r>
        <w:t>this</w:t>
      </w:r>
      <w:r>
        <w:rPr>
          <w:spacing w:val="-2"/>
        </w:rPr>
        <w:t xml:space="preserve"> </w:t>
      </w:r>
      <w:r>
        <w:t>scenario</w:t>
      </w:r>
      <w:r>
        <w:rPr>
          <w:spacing w:val="-3"/>
        </w:rPr>
        <w:t xml:space="preserve"> </w:t>
      </w:r>
      <w:r>
        <w:t>less</w:t>
      </w:r>
      <w:r>
        <w:rPr>
          <w:spacing w:val="-2"/>
        </w:rPr>
        <w:t xml:space="preserve"> </w:t>
      </w:r>
      <w:r>
        <w:t>likely</w:t>
      </w:r>
      <w:r>
        <w:rPr>
          <w:spacing w:val="-4"/>
        </w:rPr>
        <w:t xml:space="preserve"> </w:t>
      </w:r>
      <w:r>
        <w:t>than</w:t>
      </w:r>
      <w:r>
        <w:rPr>
          <w:spacing w:val="-3"/>
        </w:rPr>
        <w:t xml:space="preserve"> </w:t>
      </w:r>
      <w:r>
        <w:t>the</w:t>
      </w:r>
      <w:r>
        <w:rPr>
          <w:spacing w:val="-4"/>
        </w:rPr>
        <w:t xml:space="preserve"> </w:t>
      </w:r>
      <w:r>
        <w:t>model-driven</w:t>
      </w:r>
      <w:r>
        <w:rPr>
          <w:spacing w:val="-3"/>
        </w:rPr>
        <w:t xml:space="preserve"> </w:t>
      </w:r>
      <w:r>
        <w:t>scenarios.</w:t>
      </w:r>
      <w:r>
        <w:rPr>
          <w:spacing w:val="-2"/>
        </w:rPr>
        <w:t xml:space="preserve"> </w:t>
      </w:r>
      <w:r>
        <w:t>To</w:t>
      </w:r>
      <w:r>
        <w:rPr>
          <w:spacing w:val="-3"/>
        </w:rPr>
        <w:t xml:space="preserve"> </w:t>
      </w:r>
      <w:r>
        <w:t>the</w:t>
      </w:r>
      <w:r>
        <w:rPr>
          <w:spacing w:val="-4"/>
        </w:rPr>
        <w:t xml:space="preserve"> </w:t>
      </w:r>
      <w:r>
        <w:t>extent</w:t>
      </w:r>
      <w:r>
        <w:rPr>
          <w:spacing w:val="-2"/>
        </w:rPr>
        <w:t xml:space="preserve"> </w:t>
      </w:r>
      <w:r>
        <w:t>these</w:t>
      </w:r>
      <w:r>
        <w:rPr>
          <w:spacing w:val="-4"/>
        </w:rPr>
        <w:t xml:space="preserve"> </w:t>
      </w:r>
      <w:r>
        <w:t>patients shift to</w:t>
      </w:r>
      <w:r>
        <w:rPr>
          <w:spacing w:val="-1"/>
        </w:rPr>
        <w:t xml:space="preserve"> </w:t>
      </w:r>
      <w:r>
        <w:t>BIDMC, BWH</w:t>
      </w:r>
      <w:r>
        <w:rPr>
          <w:spacing w:val="-2"/>
        </w:rPr>
        <w:t xml:space="preserve"> </w:t>
      </w:r>
      <w:r>
        <w:t>would likely</w:t>
      </w:r>
      <w:r>
        <w:rPr>
          <w:spacing w:val="-2"/>
        </w:rPr>
        <w:t xml:space="preserve"> </w:t>
      </w:r>
      <w:r>
        <w:t>seek to</w:t>
      </w:r>
      <w:r>
        <w:rPr>
          <w:spacing w:val="-1"/>
        </w:rPr>
        <w:t xml:space="preserve"> </w:t>
      </w:r>
      <w:r>
        <w:t>backfill</w:t>
      </w:r>
      <w:r>
        <w:rPr>
          <w:spacing w:val="-1"/>
        </w:rPr>
        <w:t xml:space="preserve"> </w:t>
      </w:r>
      <w:r>
        <w:t>this capacity</w:t>
      </w:r>
      <w:r>
        <w:rPr>
          <w:spacing w:val="-2"/>
        </w:rPr>
        <w:t xml:space="preserve"> </w:t>
      </w:r>
      <w:r>
        <w:t>also, adding</w:t>
      </w:r>
      <w:r>
        <w:rPr>
          <w:spacing w:val="-1"/>
        </w:rPr>
        <w:t xml:space="preserve"> </w:t>
      </w:r>
      <w:r>
        <w:t>to</w:t>
      </w:r>
      <w:r>
        <w:rPr>
          <w:spacing w:val="-1"/>
        </w:rPr>
        <w:t xml:space="preserve"> </w:t>
      </w:r>
      <w:r>
        <w:t>estimated spending</w:t>
      </w:r>
      <w:r>
        <w:rPr>
          <w:spacing w:val="-1"/>
        </w:rPr>
        <w:t xml:space="preserve"> </w:t>
      </w:r>
      <w:r>
        <w:t>increases due to backfill at BWH.</w:t>
      </w:r>
    </w:p>
  </w:footnote>
  <w:footnote w:id="127">
    <w:p w14:paraId="34F165A0" w14:textId="260BE06B" w:rsidR="00CF1EEE" w:rsidRDefault="00CF1EEE" w:rsidP="00CF1EEE">
      <w:pPr>
        <w:pStyle w:val="FootnoteText"/>
        <w:ind w:left="900" w:right="940"/>
      </w:pPr>
      <w:r>
        <w:rPr>
          <w:rStyle w:val="FootnoteReference"/>
        </w:rPr>
        <w:footnoteRef/>
      </w:r>
      <w:r>
        <w:t xml:space="preserve"> Both scenarios start from the number of newly available BWH beds predicted by the model-driven scenario</w:t>
      </w:r>
      <w:r>
        <w:rPr>
          <w:spacing w:val="-3"/>
        </w:rPr>
        <w:t xml:space="preserve"> </w:t>
      </w:r>
      <w:r>
        <w:t>of</w:t>
      </w:r>
      <w:r>
        <w:rPr>
          <w:spacing w:val="-3"/>
        </w:rPr>
        <w:t xml:space="preserve"> </w:t>
      </w:r>
      <w:r>
        <w:t>discharges</w:t>
      </w:r>
      <w:r>
        <w:rPr>
          <w:spacing w:val="-2"/>
        </w:rPr>
        <w:t xml:space="preserve"> </w:t>
      </w:r>
      <w:r>
        <w:t>shifting</w:t>
      </w:r>
      <w:r>
        <w:rPr>
          <w:spacing w:val="-3"/>
        </w:rPr>
        <w:t xml:space="preserve"> </w:t>
      </w:r>
      <w:r>
        <w:t>to</w:t>
      </w:r>
      <w:r>
        <w:rPr>
          <w:spacing w:val="-3"/>
        </w:rPr>
        <w:t xml:space="preserve"> </w:t>
      </w:r>
      <w:r>
        <w:t>DFCI.</w:t>
      </w:r>
      <w:r>
        <w:rPr>
          <w:spacing w:val="-3"/>
        </w:rPr>
        <w:t xml:space="preserve"> </w:t>
      </w:r>
      <w:r>
        <w:t>Because</w:t>
      </w:r>
      <w:r>
        <w:rPr>
          <w:spacing w:val="-4"/>
        </w:rPr>
        <w:t xml:space="preserve"> </w:t>
      </w:r>
      <w:r>
        <w:t>BWH</w:t>
      </w:r>
      <w:r>
        <w:rPr>
          <w:spacing w:val="-4"/>
        </w:rPr>
        <w:t xml:space="preserve"> </w:t>
      </w:r>
      <w:r>
        <w:t>has</w:t>
      </w:r>
      <w:r>
        <w:rPr>
          <w:spacing w:val="-2"/>
        </w:rPr>
        <w:t xml:space="preserve"> </w:t>
      </w:r>
      <w:r>
        <w:t>not</w:t>
      </w:r>
      <w:r>
        <w:rPr>
          <w:spacing w:val="-2"/>
        </w:rPr>
        <w:t xml:space="preserve"> </w:t>
      </w:r>
      <w:r>
        <w:t>yet</w:t>
      </w:r>
      <w:r>
        <w:rPr>
          <w:spacing w:val="-2"/>
        </w:rPr>
        <w:t xml:space="preserve"> </w:t>
      </w:r>
      <w:r>
        <w:t>identified</w:t>
      </w:r>
      <w:r>
        <w:rPr>
          <w:spacing w:val="-2"/>
        </w:rPr>
        <w:t xml:space="preserve"> </w:t>
      </w:r>
      <w:r>
        <w:t>how</w:t>
      </w:r>
      <w:r>
        <w:rPr>
          <w:spacing w:val="-3"/>
        </w:rPr>
        <w:t xml:space="preserve"> </w:t>
      </w:r>
      <w:r>
        <w:t>it</w:t>
      </w:r>
      <w:r>
        <w:rPr>
          <w:spacing w:val="-2"/>
        </w:rPr>
        <w:t xml:space="preserve"> </w:t>
      </w:r>
      <w:r>
        <w:t>would</w:t>
      </w:r>
      <w:r>
        <w:rPr>
          <w:spacing w:val="-2"/>
        </w:rPr>
        <w:t xml:space="preserve"> </w:t>
      </w:r>
      <w:r>
        <w:t>use</w:t>
      </w:r>
      <w:r>
        <w:rPr>
          <w:spacing w:val="-4"/>
        </w:rPr>
        <w:t xml:space="preserve"> </w:t>
      </w:r>
      <w:r>
        <w:t>the</w:t>
      </w:r>
      <w:r>
        <w:rPr>
          <w:spacing w:val="-4"/>
        </w:rPr>
        <w:t xml:space="preserve"> </w:t>
      </w:r>
      <w:r>
        <w:t>hospital space currently leased by DFCI that includes DFCI’s 30 licensed beds, and because BWH would need to apply to DPH for permission to add those beds to its license under a separate process, we have not included that potential additional BWH capacity in our modeling.</w:t>
      </w:r>
    </w:p>
  </w:footnote>
  <w:footnote w:id="128">
    <w:p w14:paraId="0E85CDAE" w14:textId="5C8C9909" w:rsidR="00CF1EEE" w:rsidRDefault="00CF1EEE" w:rsidP="00CF1EEE">
      <w:pPr>
        <w:pStyle w:val="FootnoteText"/>
        <w:ind w:left="900" w:right="940"/>
      </w:pPr>
      <w:r>
        <w:rPr>
          <w:rStyle w:val="FootnoteReference"/>
        </w:rPr>
        <w:footnoteRef/>
      </w:r>
      <w:r>
        <w:t xml:space="preserve"> For</w:t>
      </w:r>
      <w:r>
        <w:rPr>
          <w:spacing w:val="-4"/>
        </w:rPr>
        <w:t xml:space="preserve"> </w:t>
      </w:r>
      <w:r>
        <w:t>outpatient</w:t>
      </w:r>
      <w:r>
        <w:rPr>
          <w:spacing w:val="-2"/>
        </w:rPr>
        <w:t xml:space="preserve"> </w:t>
      </w:r>
      <w:r>
        <w:t>oncologic</w:t>
      </w:r>
      <w:r>
        <w:rPr>
          <w:spacing w:val="-2"/>
        </w:rPr>
        <w:t xml:space="preserve"> </w:t>
      </w:r>
      <w:r>
        <w:t>drugs,</w:t>
      </w:r>
      <w:r>
        <w:rPr>
          <w:spacing w:val="-2"/>
        </w:rPr>
        <w:t xml:space="preserve"> </w:t>
      </w:r>
      <w:r>
        <w:t>we</w:t>
      </w:r>
      <w:r>
        <w:rPr>
          <w:spacing w:val="-4"/>
        </w:rPr>
        <w:t xml:space="preserve"> </w:t>
      </w:r>
      <w:r>
        <w:t>calculated</w:t>
      </w:r>
      <w:r>
        <w:rPr>
          <w:spacing w:val="-2"/>
        </w:rPr>
        <w:t xml:space="preserve"> </w:t>
      </w:r>
      <w:r>
        <w:t>an</w:t>
      </w:r>
      <w:r>
        <w:rPr>
          <w:spacing w:val="-3"/>
        </w:rPr>
        <w:t xml:space="preserve"> </w:t>
      </w:r>
      <w:r>
        <w:t>average</w:t>
      </w:r>
      <w:r>
        <w:rPr>
          <w:spacing w:val="-1"/>
        </w:rPr>
        <w:t xml:space="preserve"> </w:t>
      </w:r>
      <w:r>
        <w:t>price</w:t>
      </w:r>
      <w:r>
        <w:rPr>
          <w:spacing w:val="-1"/>
        </w:rPr>
        <w:t xml:space="preserve"> </w:t>
      </w:r>
      <w:r>
        <w:t>per</w:t>
      </w:r>
      <w:r>
        <w:rPr>
          <w:spacing w:val="-4"/>
        </w:rPr>
        <w:t xml:space="preserve"> </w:t>
      </w:r>
      <w:r>
        <w:t>unit</w:t>
      </w:r>
      <w:r>
        <w:rPr>
          <w:spacing w:val="-2"/>
        </w:rPr>
        <w:t xml:space="preserve"> </w:t>
      </w:r>
      <w:r>
        <w:t>rather</w:t>
      </w:r>
      <w:r>
        <w:rPr>
          <w:spacing w:val="-4"/>
        </w:rPr>
        <w:t xml:space="preserve"> </w:t>
      </w:r>
      <w:r>
        <w:t>than</w:t>
      </w:r>
      <w:r>
        <w:rPr>
          <w:spacing w:val="-3"/>
        </w:rPr>
        <w:t xml:space="preserve"> </w:t>
      </w:r>
      <w:r>
        <w:t>an</w:t>
      </w:r>
      <w:r>
        <w:rPr>
          <w:spacing w:val="-1"/>
        </w:rPr>
        <w:t xml:space="preserve"> </w:t>
      </w:r>
      <w:r>
        <w:t>average</w:t>
      </w:r>
      <w:r>
        <w:rPr>
          <w:spacing w:val="-4"/>
        </w:rPr>
        <w:t xml:space="preserve"> </w:t>
      </w:r>
      <w:r>
        <w:t>price</w:t>
      </w:r>
      <w:r>
        <w:rPr>
          <w:spacing w:val="-4"/>
        </w:rPr>
        <w:t xml:space="preserve"> </w:t>
      </w:r>
      <w:r>
        <w:t xml:space="preserve">per </w:t>
      </w:r>
      <w:r>
        <w:rPr>
          <w:spacing w:val="-2"/>
        </w:rPr>
        <w:t>visit.</w:t>
      </w:r>
    </w:p>
  </w:footnote>
  <w:footnote w:id="129">
    <w:p w14:paraId="0FBE0128" w14:textId="4200B637" w:rsidR="00C52C6C" w:rsidRDefault="000920A4" w:rsidP="00521A76">
      <w:pPr>
        <w:spacing w:before="92"/>
        <w:ind w:left="959" w:right="1057"/>
        <w:rPr>
          <w:i/>
          <w:sz w:val="20"/>
        </w:rPr>
      </w:pPr>
      <w:r>
        <w:rPr>
          <w:rStyle w:val="FootnoteReference"/>
        </w:rPr>
        <w:footnoteRef/>
      </w:r>
      <w:r>
        <w:t xml:space="preserve"> </w:t>
      </w:r>
      <w:r w:rsidR="00C52C6C">
        <w:rPr>
          <w:sz w:val="20"/>
        </w:rPr>
        <w:t>DFCI has stated that these prices are justified by the costs of providing robust patient supports and wrap-around services that promote positive patient experiences and outcomes and ultimately reduce the overall costs of care over the course of treatment. Data published by CMS support DFCI’s claim that its costs of providing outpatient services are higher (as for other cancer hospitals) than for non-cancer hospitals. The HPC’s analysis of CMS outpatient cost and payment data finds that DFCI’s FY23 costs were 69%</w:t>
      </w:r>
      <w:r w:rsidR="00C52C6C">
        <w:rPr>
          <w:spacing w:val="-4"/>
          <w:sz w:val="20"/>
        </w:rPr>
        <w:t xml:space="preserve"> </w:t>
      </w:r>
      <w:r w:rsidR="00C52C6C">
        <w:rPr>
          <w:sz w:val="20"/>
        </w:rPr>
        <w:t>higher</w:t>
      </w:r>
      <w:r w:rsidR="00C52C6C">
        <w:rPr>
          <w:spacing w:val="-5"/>
          <w:sz w:val="20"/>
        </w:rPr>
        <w:t xml:space="preserve"> </w:t>
      </w:r>
      <w:r w:rsidR="00C52C6C">
        <w:rPr>
          <w:sz w:val="20"/>
        </w:rPr>
        <w:t>than</w:t>
      </w:r>
      <w:r w:rsidR="00C52C6C">
        <w:rPr>
          <w:spacing w:val="-4"/>
          <w:sz w:val="20"/>
        </w:rPr>
        <w:t xml:space="preserve"> </w:t>
      </w:r>
      <w:r w:rsidR="00C52C6C">
        <w:rPr>
          <w:sz w:val="20"/>
        </w:rPr>
        <w:t>their</w:t>
      </w:r>
      <w:r w:rsidR="00C52C6C">
        <w:rPr>
          <w:spacing w:val="-5"/>
          <w:sz w:val="20"/>
        </w:rPr>
        <w:t xml:space="preserve"> </w:t>
      </w:r>
      <w:r w:rsidR="00C52C6C">
        <w:rPr>
          <w:sz w:val="20"/>
        </w:rPr>
        <w:t>payments</w:t>
      </w:r>
      <w:r w:rsidR="00C52C6C">
        <w:rPr>
          <w:spacing w:val="-3"/>
          <w:sz w:val="20"/>
        </w:rPr>
        <w:t xml:space="preserve"> </w:t>
      </w:r>
      <w:r w:rsidR="00C52C6C">
        <w:rPr>
          <w:sz w:val="20"/>
        </w:rPr>
        <w:t>under</w:t>
      </w:r>
      <w:r w:rsidR="00C52C6C">
        <w:rPr>
          <w:spacing w:val="-5"/>
          <w:sz w:val="20"/>
        </w:rPr>
        <w:t xml:space="preserve"> </w:t>
      </w:r>
      <w:r w:rsidR="00C52C6C">
        <w:rPr>
          <w:sz w:val="20"/>
        </w:rPr>
        <w:t>the</w:t>
      </w:r>
      <w:r w:rsidR="00C52C6C">
        <w:rPr>
          <w:spacing w:val="-5"/>
          <w:sz w:val="20"/>
        </w:rPr>
        <w:t xml:space="preserve"> </w:t>
      </w:r>
      <w:r w:rsidR="00C52C6C">
        <w:rPr>
          <w:sz w:val="20"/>
        </w:rPr>
        <w:t>Medicare</w:t>
      </w:r>
      <w:r w:rsidR="00C52C6C">
        <w:rPr>
          <w:spacing w:val="-5"/>
          <w:sz w:val="20"/>
        </w:rPr>
        <w:t xml:space="preserve"> </w:t>
      </w:r>
      <w:r w:rsidR="00C52C6C">
        <w:rPr>
          <w:sz w:val="20"/>
        </w:rPr>
        <w:t>Outpatient</w:t>
      </w:r>
      <w:r w:rsidR="00C52C6C">
        <w:rPr>
          <w:spacing w:val="-3"/>
          <w:sz w:val="20"/>
        </w:rPr>
        <w:t xml:space="preserve"> </w:t>
      </w:r>
      <w:r w:rsidR="00C52C6C">
        <w:rPr>
          <w:sz w:val="20"/>
        </w:rPr>
        <w:t>Prospective</w:t>
      </w:r>
      <w:r w:rsidR="00C52C6C">
        <w:rPr>
          <w:spacing w:val="-2"/>
          <w:sz w:val="20"/>
        </w:rPr>
        <w:t xml:space="preserve"> </w:t>
      </w:r>
      <w:r w:rsidR="00C52C6C">
        <w:rPr>
          <w:sz w:val="20"/>
        </w:rPr>
        <w:t>Payment</w:t>
      </w:r>
      <w:r w:rsidR="00C52C6C">
        <w:rPr>
          <w:spacing w:val="-3"/>
          <w:sz w:val="20"/>
        </w:rPr>
        <w:t xml:space="preserve"> </w:t>
      </w:r>
      <w:r w:rsidR="00C52C6C">
        <w:rPr>
          <w:sz w:val="20"/>
        </w:rPr>
        <w:t>System</w:t>
      </w:r>
      <w:r w:rsidR="00C52C6C">
        <w:rPr>
          <w:spacing w:val="-3"/>
          <w:sz w:val="20"/>
        </w:rPr>
        <w:t xml:space="preserve"> </w:t>
      </w:r>
      <w:r w:rsidR="00C52C6C">
        <w:rPr>
          <w:sz w:val="20"/>
        </w:rPr>
        <w:t>(OPPS),</w:t>
      </w:r>
      <w:r w:rsidR="00C52C6C">
        <w:rPr>
          <w:spacing w:val="-3"/>
          <w:sz w:val="20"/>
        </w:rPr>
        <w:t xml:space="preserve"> </w:t>
      </w:r>
      <w:r w:rsidR="00C52C6C">
        <w:rPr>
          <w:sz w:val="20"/>
        </w:rPr>
        <w:t xml:space="preserve">while the average costs for non-cancer hospitals were only 14% higher than their Medicare OPPS payments. </w:t>
      </w:r>
      <w:r w:rsidR="00C52C6C">
        <w:rPr>
          <w:i/>
          <w:sz w:val="20"/>
        </w:rPr>
        <w:t xml:space="preserve">See </w:t>
      </w:r>
      <w:hyperlink r:id="rId155" w:history="1">
        <w:r w:rsidR="00C52C6C" w:rsidRPr="00543342">
          <w:rPr>
            <w:rStyle w:val="Hyperlink"/>
            <w:color w:val="000000" w:themeColor="text1"/>
            <w:sz w:val="20"/>
            <w:u w:val="none"/>
          </w:rPr>
          <w:t>C</w:t>
        </w:r>
        <w:r w:rsidR="00C52C6C" w:rsidRPr="00543342">
          <w:rPr>
            <w:rStyle w:val="Hyperlink"/>
            <w:color w:val="000000" w:themeColor="text1"/>
            <w:sz w:val="16"/>
            <w:u w:val="none"/>
          </w:rPr>
          <w:t>TRS</w:t>
        </w:r>
        <w:r w:rsidR="00C52C6C" w:rsidRPr="00543342">
          <w:rPr>
            <w:rStyle w:val="Hyperlink"/>
            <w:color w:val="000000" w:themeColor="text1"/>
            <w:sz w:val="20"/>
            <w:u w:val="none"/>
          </w:rPr>
          <w:t>.</w:t>
        </w:r>
        <w:r w:rsidR="00C52C6C" w:rsidRPr="00543342">
          <w:rPr>
            <w:rStyle w:val="Hyperlink"/>
            <w:color w:val="000000" w:themeColor="text1"/>
            <w:spacing w:val="-1"/>
            <w:sz w:val="20"/>
            <w:u w:val="none"/>
          </w:rPr>
          <w:t xml:space="preserve"> </w:t>
        </w:r>
        <w:r w:rsidR="00C52C6C" w:rsidRPr="00543342">
          <w:rPr>
            <w:rStyle w:val="Hyperlink"/>
            <w:color w:val="000000" w:themeColor="text1"/>
            <w:sz w:val="16"/>
            <w:u w:val="none"/>
          </w:rPr>
          <w:t xml:space="preserve">FOR </w:t>
        </w:r>
        <w:r w:rsidR="00C52C6C" w:rsidRPr="00543342">
          <w:rPr>
            <w:rStyle w:val="Hyperlink"/>
            <w:color w:val="000000" w:themeColor="text1"/>
            <w:sz w:val="20"/>
            <w:u w:val="none"/>
          </w:rPr>
          <w:t>M</w:t>
        </w:r>
        <w:r w:rsidR="00C52C6C" w:rsidRPr="00543342">
          <w:rPr>
            <w:rStyle w:val="Hyperlink"/>
            <w:color w:val="000000" w:themeColor="text1"/>
            <w:sz w:val="16"/>
            <w:u w:val="none"/>
          </w:rPr>
          <w:t xml:space="preserve">EDICARE </w:t>
        </w:r>
        <w:r w:rsidR="00C52C6C" w:rsidRPr="00543342">
          <w:rPr>
            <w:rStyle w:val="Hyperlink"/>
            <w:color w:val="000000" w:themeColor="text1"/>
            <w:sz w:val="20"/>
            <w:u w:val="none"/>
          </w:rPr>
          <w:t>&amp;</w:t>
        </w:r>
        <w:r w:rsidR="00C52C6C" w:rsidRPr="00543342">
          <w:rPr>
            <w:rStyle w:val="Hyperlink"/>
            <w:color w:val="000000" w:themeColor="text1"/>
            <w:spacing w:val="-2"/>
            <w:sz w:val="20"/>
            <w:u w:val="none"/>
          </w:rPr>
          <w:t xml:space="preserve"> </w:t>
        </w:r>
        <w:r w:rsidR="00C52C6C" w:rsidRPr="00543342">
          <w:rPr>
            <w:rStyle w:val="Hyperlink"/>
            <w:color w:val="000000" w:themeColor="text1"/>
            <w:sz w:val="20"/>
            <w:u w:val="none"/>
          </w:rPr>
          <w:t>M</w:t>
        </w:r>
        <w:r w:rsidR="00C52C6C" w:rsidRPr="00543342">
          <w:rPr>
            <w:rStyle w:val="Hyperlink"/>
            <w:color w:val="000000" w:themeColor="text1"/>
            <w:sz w:val="16"/>
            <w:u w:val="none"/>
          </w:rPr>
          <w:t xml:space="preserve">EDICAID </w:t>
        </w:r>
        <w:r w:rsidR="00C52C6C" w:rsidRPr="00543342">
          <w:rPr>
            <w:rStyle w:val="Hyperlink"/>
            <w:color w:val="000000" w:themeColor="text1"/>
            <w:sz w:val="20"/>
            <w:u w:val="none"/>
          </w:rPr>
          <w:t>S</w:t>
        </w:r>
        <w:r w:rsidR="00C52C6C" w:rsidRPr="00543342">
          <w:rPr>
            <w:rStyle w:val="Hyperlink"/>
            <w:color w:val="000000" w:themeColor="text1"/>
            <w:sz w:val="16"/>
            <w:u w:val="none"/>
          </w:rPr>
          <w:t>ERVS</w:t>
        </w:r>
        <w:r w:rsidR="00C52C6C" w:rsidRPr="00543342">
          <w:rPr>
            <w:rStyle w:val="Hyperlink"/>
            <w:color w:val="000000" w:themeColor="text1"/>
            <w:sz w:val="20"/>
            <w:u w:val="none"/>
          </w:rPr>
          <w:t>., 2025</w:t>
        </w:r>
        <w:r w:rsidR="00C52C6C" w:rsidRPr="00543342">
          <w:rPr>
            <w:rStyle w:val="Hyperlink"/>
            <w:color w:val="000000" w:themeColor="text1"/>
            <w:spacing w:val="-1"/>
            <w:sz w:val="20"/>
            <w:u w:val="none"/>
          </w:rPr>
          <w:t xml:space="preserve"> </w:t>
        </w:r>
        <w:r w:rsidR="00C52C6C" w:rsidRPr="00543342">
          <w:rPr>
            <w:rStyle w:val="Hyperlink"/>
            <w:color w:val="000000" w:themeColor="text1"/>
            <w:sz w:val="20"/>
            <w:u w:val="none"/>
          </w:rPr>
          <w:t>NFRM</w:t>
        </w:r>
        <w:r w:rsidR="00C52C6C" w:rsidRPr="00543342">
          <w:rPr>
            <w:rStyle w:val="Hyperlink"/>
            <w:color w:val="000000" w:themeColor="text1"/>
            <w:spacing w:val="-2"/>
            <w:sz w:val="20"/>
            <w:u w:val="none"/>
          </w:rPr>
          <w:t xml:space="preserve"> </w:t>
        </w:r>
        <w:r w:rsidR="00C52C6C" w:rsidRPr="00543342">
          <w:rPr>
            <w:rStyle w:val="Hyperlink"/>
            <w:color w:val="000000" w:themeColor="text1"/>
            <w:sz w:val="20"/>
            <w:u w:val="none"/>
          </w:rPr>
          <w:t>OPPS</w:t>
        </w:r>
        <w:r w:rsidR="00C52C6C" w:rsidRPr="00543342">
          <w:rPr>
            <w:rStyle w:val="Hyperlink"/>
            <w:color w:val="000000" w:themeColor="text1"/>
            <w:spacing w:val="-2"/>
            <w:sz w:val="20"/>
            <w:u w:val="none"/>
          </w:rPr>
          <w:t xml:space="preserve"> </w:t>
        </w:r>
        <w:r w:rsidR="00C52C6C" w:rsidRPr="00543342">
          <w:rPr>
            <w:rStyle w:val="Hyperlink"/>
            <w:color w:val="000000" w:themeColor="text1"/>
            <w:sz w:val="20"/>
            <w:u w:val="none"/>
          </w:rPr>
          <w:t>C</w:t>
        </w:r>
        <w:r w:rsidR="00C52C6C" w:rsidRPr="00543342">
          <w:rPr>
            <w:rStyle w:val="Hyperlink"/>
            <w:color w:val="000000" w:themeColor="text1"/>
            <w:sz w:val="16"/>
            <w:u w:val="none"/>
          </w:rPr>
          <w:t xml:space="preserve">ANCER </w:t>
        </w:r>
        <w:r w:rsidR="00C52C6C" w:rsidRPr="00543342">
          <w:rPr>
            <w:rStyle w:val="Hyperlink"/>
            <w:color w:val="000000" w:themeColor="text1"/>
            <w:sz w:val="20"/>
            <w:u w:val="none"/>
          </w:rPr>
          <w:t>A</w:t>
        </w:r>
        <w:r w:rsidR="00C52C6C" w:rsidRPr="00543342">
          <w:rPr>
            <w:rStyle w:val="Hyperlink"/>
            <w:color w:val="000000" w:themeColor="text1"/>
            <w:sz w:val="16"/>
            <w:u w:val="none"/>
          </w:rPr>
          <w:t xml:space="preserve">DJUSTMENT </w:t>
        </w:r>
        <w:r w:rsidR="00C52C6C" w:rsidRPr="00543342">
          <w:rPr>
            <w:rStyle w:val="Hyperlink"/>
            <w:color w:val="000000" w:themeColor="text1"/>
            <w:sz w:val="20"/>
            <w:u w:val="none"/>
          </w:rPr>
          <w:t>A</w:t>
        </w:r>
        <w:r w:rsidR="00C52C6C" w:rsidRPr="00543342">
          <w:rPr>
            <w:rStyle w:val="Hyperlink"/>
            <w:color w:val="000000" w:themeColor="text1"/>
            <w:sz w:val="16"/>
            <w:u w:val="none"/>
          </w:rPr>
          <w:t xml:space="preserve">NALYSIS </w:t>
        </w:r>
        <w:r w:rsidR="00C52C6C" w:rsidRPr="00543342">
          <w:rPr>
            <w:rStyle w:val="Hyperlink"/>
            <w:color w:val="000000" w:themeColor="text1"/>
            <w:sz w:val="20"/>
            <w:u w:val="none"/>
          </w:rPr>
          <w:t>F</w:t>
        </w:r>
        <w:r w:rsidR="00C52C6C" w:rsidRPr="00543342">
          <w:rPr>
            <w:rStyle w:val="Hyperlink"/>
            <w:color w:val="000000" w:themeColor="text1"/>
            <w:sz w:val="16"/>
            <w:u w:val="none"/>
          </w:rPr>
          <w:t>ILE</w:t>
        </w:r>
      </w:hyperlink>
      <w:r w:rsidR="00C52C6C" w:rsidRPr="00543342">
        <w:rPr>
          <w:color w:val="000000" w:themeColor="text1"/>
          <w:sz w:val="20"/>
        </w:rPr>
        <w:t xml:space="preserve">, </w:t>
      </w:r>
      <w:r w:rsidR="00C52C6C">
        <w:rPr>
          <w:i/>
          <w:sz w:val="20"/>
        </w:rPr>
        <w:t>available at</w:t>
      </w:r>
    </w:p>
    <w:p w14:paraId="0FBF4560" w14:textId="4CB4227A" w:rsidR="000920A4" w:rsidRPr="00521A76" w:rsidRDefault="00C52C6C" w:rsidP="00521A76">
      <w:pPr>
        <w:spacing w:before="1"/>
        <w:ind w:left="959" w:right="1057"/>
        <w:rPr>
          <w:sz w:val="20"/>
        </w:rPr>
      </w:pPr>
      <w:hyperlink r:id="rId156">
        <w:r>
          <w:rPr>
            <w:color w:val="486794"/>
            <w:sz w:val="20"/>
            <w:u w:val="single" w:color="486794"/>
          </w:rPr>
          <w:t>https://www.cms.gov/files/zip/2025-nfrm-opps-cancer-adjustment-analysis-file.zip</w:t>
        </w:r>
      </w:hyperlink>
      <w:r>
        <w:rPr>
          <w:color w:val="486794"/>
          <w:spacing w:val="-13"/>
          <w:sz w:val="20"/>
        </w:rPr>
        <w:t xml:space="preserve"> </w:t>
      </w:r>
      <w:r>
        <w:rPr>
          <w:sz w:val="20"/>
        </w:rPr>
        <w:t>(last</w:t>
      </w:r>
      <w:r>
        <w:rPr>
          <w:spacing w:val="-12"/>
          <w:sz w:val="20"/>
        </w:rPr>
        <w:t xml:space="preserve"> </w:t>
      </w:r>
      <w:r>
        <w:rPr>
          <w:sz w:val="20"/>
        </w:rPr>
        <w:t>visited</w:t>
      </w:r>
      <w:r>
        <w:rPr>
          <w:spacing w:val="-13"/>
          <w:sz w:val="20"/>
        </w:rPr>
        <w:t xml:space="preserve"> </w:t>
      </w:r>
      <w:r>
        <w:rPr>
          <w:sz w:val="20"/>
        </w:rPr>
        <w:t>February 27, 2025).</w:t>
      </w:r>
    </w:p>
  </w:footnote>
  <w:footnote w:id="130">
    <w:p w14:paraId="21790C4E" w14:textId="4F8AA474" w:rsidR="002B3A96" w:rsidRDefault="002B3A96" w:rsidP="00521A76">
      <w:pPr>
        <w:pStyle w:val="FootnoteText"/>
        <w:ind w:left="959" w:right="1057"/>
      </w:pPr>
      <w:r>
        <w:rPr>
          <w:rStyle w:val="FootnoteReference"/>
        </w:rPr>
        <w:footnoteRef/>
      </w:r>
      <w:r>
        <w:t xml:space="preserve"> When estimating spending impacts the HPC calculated an average commercial price per oncologic drug unit for each hospital, using each hospital’s mix of services and commercial payers across observed claims in the oncologic drugs service line. See supra note </w:t>
      </w:r>
      <w:hyperlink w:anchor="_bookmark135" w:history="1">
        <w:r>
          <w:t>115</w:t>
        </w:r>
      </w:hyperlink>
      <w:r>
        <w:t xml:space="preserve"> for a full description of the HPC’s methodology for evaluating prices for oncologic drugs. We applied the percent difference between BIDMC and DFCI’s prices to</w:t>
      </w:r>
      <w:r>
        <w:rPr>
          <w:spacing w:val="-4"/>
        </w:rPr>
        <w:t xml:space="preserve"> </w:t>
      </w:r>
      <w:r>
        <w:t>BIDMC’s</w:t>
      </w:r>
      <w:r>
        <w:rPr>
          <w:spacing w:val="-3"/>
        </w:rPr>
        <w:t xml:space="preserve"> </w:t>
      </w:r>
      <w:r>
        <w:t>oncologic</w:t>
      </w:r>
      <w:r>
        <w:rPr>
          <w:spacing w:val="-3"/>
        </w:rPr>
        <w:t xml:space="preserve"> </w:t>
      </w:r>
      <w:r>
        <w:t>drug</w:t>
      </w:r>
      <w:r>
        <w:rPr>
          <w:spacing w:val="-4"/>
        </w:rPr>
        <w:t xml:space="preserve"> </w:t>
      </w:r>
      <w:r>
        <w:t>revenue,</w:t>
      </w:r>
      <w:r>
        <w:rPr>
          <w:spacing w:val="-3"/>
        </w:rPr>
        <w:t xml:space="preserve"> </w:t>
      </w:r>
      <w:r>
        <w:t>estimated</w:t>
      </w:r>
      <w:r>
        <w:rPr>
          <w:spacing w:val="-3"/>
        </w:rPr>
        <w:t xml:space="preserve"> </w:t>
      </w:r>
      <w:r>
        <w:t>based</w:t>
      </w:r>
      <w:r>
        <w:rPr>
          <w:spacing w:val="-3"/>
        </w:rPr>
        <w:t xml:space="preserve"> </w:t>
      </w:r>
      <w:r>
        <w:t>on</w:t>
      </w:r>
      <w:r>
        <w:rPr>
          <w:spacing w:val="-4"/>
        </w:rPr>
        <w:t xml:space="preserve"> </w:t>
      </w:r>
      <w:r>
        <w:t>confidential</w:t>
      </w:r>
      <w:r>
        <w:rPr>
          <w:spacing w:val="-4"/>
        </w:rPr>
        <w:t xml:space="preserve"> </w:t>
      </w:r>
      <w:r>
        <w:t>production</w:t>
      </w:r>
      <w:r>
        <w:rPr>
          <w:spacing w:val="-4"/>
        </w:rPr>
        <w:t xml:space="preserve"> </w:t>
      </w:r>
      <w:r>
        <w:t>data</w:t>
      </w:r>
      <w:r>
        <w:rPr>
          <w:spacing w:val="-4"/>
        </w:rPr>
        <w:t xml:space="preserve"> </w:t>
      </w:r>
      <w:r>
        <w:t>provided</w:t>
      </w:r>
      <w:r>
        <w:rPr>
          <w:spacing w:val="-3"/>
        </w:rPr>
        <w:t xml:space="preserve"> </w:t>
      </w:r>
      <w:r>
        <w:t>by</w:t>
      </w:r>
      <w:r>
        <w:rPr>
          <w:spacing w:val="-5"/>
        </w:rPr>
        <w:t xml:space="preserve"> </w:t>
      </w:r>
      <w:r>
        <w:t>BIDMC,</w:t>
      </w:r>
      <w:r>
        <w:rPr>
          <w:spacing w:val="-3"/>
        </w:rPr>
        <w:t xml:space="preserve"> </w:t>
      </w:r>
      <w:r>
        <w:t>to calculate a spending impact.</w:t>
      </w:r>
    </w:p>
  </w:footnote>
  <w:footnote w:id="131">
    <w:p w14:paraId="64759FB2" w14:textId="550072FF" w:rsidR="002B3A96" w:rsidRDefault="002B3A96" w:rsidP="00521A76">
      <w:pPr>
        <w:pStyle w:val="FootnoteText"/>
        <w:ind w:left="959" w:right="1057"/>
      </w:pPr>
      <w:r>
        <w:rPr>
          <w:rStyle w:val="FootnoteReference"/>
        </w:rPr>
        <w:footnoteRef/>
      </w:r>
      <w:r>
        <w:t xml:space="preserve"> </w:t>
      </w:r>
      <w:r w:rsidR="005F101B">
        <w:t>To date, the parties have made no commitments that future DFCI contracts would contain lower outpatient</w:t>
      </w:r>
      <w:r w:rsidR="005F101B">
        <w:rPr>
          <w:spacing w:val="-2"/>
        </w:rPr>
        <w:t xml:space="preserve"> </w:t>
      </w:r>
      <w:r w:rsidR="005F101B">
        <w:t>rates,</w:t>
      </w:r>
      <w:r w:rsidR="005F101B">
        <w:rPr>
          <w:spacing w:val="-2"/>
        </w:rPr>
        <w:t xml:space="preserve"> </w:t>
      </w:r>
      <w:r w:rsidR="005F101B">
        <w:t>or</w:t>
      </w:r>
      <w:r w:rsidR="005F101B">
        <w:rPr>
          <w:spacing w:val="-4"/>
        </w:rPr>
        <w:t xml:space="preserve"> </w:t>
      </w:r>
      <w:r w:rsidR="005F101B">
        <w:t>lower</w:t>
      </w:r>
      <w:r w:rsidR="005F101B">
        <w:rPr>
          <w:spacing w:val="-4"/>
        </w:rPr>
        <w:t xml:space="preserve"> </w:t>
      </w:r>
      <w:r w:rsidR="005F101B">
        <w:t>rates</w:t>
      </w:r>
      <w:r w:rsidR="005F101B">
        <w:rPr>
          <w:spacing w:val="-2"/>
        </w:rPr>
        <w:t xml:space="preserve"> </w:t>
      </w:r>
      <w:r w:rsidR="005F101B">
        <w:t>of</w:t>
      </w:r>
      <w:r w:rsidR="005F101B">
        <w:rPr>
          <w:spacing w:val="-3"/>
        </w:rPr>
        <w:t xml:space="preserve"> </w:t>
      </w:r>
      <w:r w:rsidR="005F101B">
        <w:t>growth,</w:t>
      </w:r>
      <w:r w:rsidR="005F101B">
        <w:rPr>
          <w:spacing w:val="-2"/>
        </w:rPr>
        <w:t xml:space="preserve"> </w:t>
      </w:r>
      <w:r w:rsidR="005F101B">
        <w:t>either</w:t>
      </w:r>
      <w:r w:rsidR="005F101B">
        <w:rPr>
          <w:spacing w:val="-4"/>
        </w:rPr>
        <w:t xml:space="preserve"> </w:t>
      </w:r>
      <w:r w:rsidR="005F101B">
        <w:t>generally</w:t>
      </w:r>
      <w:r w:rsidR="005F101B">
        <w:rPr>
          <w:spacing w:val="-2"/>
        </w:rPr>
        <w:t xml:space="preserve"> </w:t>
      </w:r>
      <w:r w:rsidR="005F101B">
        <w:t>or</w:t>
      </w:r>
      <w:r w:rsidR="005F101B">
        <w:rPr>
          <w:spacing w:val="-4"/>
        </w:rPr>
        <w:t xml:space="preserve"> </w:t>
      </w:r>
      <w:r w:rsidR="005F101B">
        <w:t>for</w:t>
      </w:r>
      <w:r w:rsidR="005F101B">
        <w:rPr>
          <w:spacing w:val="-2"/>
        </w:rPr>
        <w:t xml:space="preserve"> </w:t>
      </w:r>
      <w:r w:rsidR="005F101B">
        <w:t>patients</w:t>
      </w:r>
      <w:r w:rsidR="005F101B">
        <w:rPr>
          <w:spacing w:val="-2"/>
        </w:rPr>
        <w:t xml:space="preserve"> </w:t>
      </w:r>
      <w:r w:rsidR="005F101B">
        <w:t>formerly</w:t>
      </w:r>
      <w:r w:rsidR="005F101B">
        <w:rPr>
          <w:spacing w:val="-2"/>
        </w:rPr>
        <w:t xml:space="preserve"> </w:t>
      </w:r>
      <w:r w:rsidR="005F101B">
        <w:t>receiving</w:t>
      </w:r>
      <w:r w:rsidR="005F101B">
        <w:rPr>
          <w:spacing w:val="-3"/>
        </w:rPr>
        <w:t xml:space="preserve"> </w:t>
      </w:r>
      <w:r w:rsidR="005F101B">
        <w:t>their</w:t>
      </w:r>
      <w:r w:rsidR="005F101B">
        <w:rPr>
          <w:spacing w:val="-4"/>
        </w:rPr>
        <w:t xml:space="preserve"> </w:t>
      </w:r>
      <w:r w:rsidR="005F101B">
        <w:t>care</w:t>
      </w:r>
      <w:r w:rsidR="005F101B">
        <w:rPr>
          <w:spacing w:val="-4"/>
        </w:rPr>
        <w:t xml:space="preserve"> </w:t>
      </w:r>
      <w:r w:rsidR="005F101B">
        <w:t xml:space="preserve">at </w:t>
      </w:r>
      <w:r w:rsidR="005F101B">
        <w:rPr>
          <w:spacing w:val="-2"/>
        </w:rPr>
        <w:t>BIDMC.</w:t>
      </w:r>
    </w:p>
  </w:footnote>
  <w:footnote w:id="132">
    <w:p w14:paraId="7FE0D12F" w14:textId="314E29F7" w:rsidR="00521A76" w:rsidRDefault="00521A76" w:rsidP="00E97B7C">
      <w:pPr>
        <w:pStyle w:val="FootnoteText"/>
        <w:ind w:left="959" w:right="1057"/>
      </w:pPr>
      <w:r>
        <w:rPr>
          <w:rStyle w:val="FootnoteReference"/>
        </w:rPr>
        <w:footnoteRef/>
      </w:r>
      <w:r>
        <w:t xml:space="preserve"> See</w:t>
      </w:r>
      <w:r>
        <w:rPr>
          <w:spacing w:val="-3"/>
        </w:rPr>
        <w:t xml:space="preserve"> </w:t>
      </w:r>
      <w:r>
        <w:t>Section</w:t>
      </w:r>
      <w:r>
        <w:rPr>
          <w:spacing w:val="-2"/>
        </w:rPr>
        <w:t xml:space="preserve"> </w:t>
      </w:r>
      <w:r>
        <w:t>C</w:t>
      </w:r>
      <w:r>
        <w:rPr>
          <w:spacing w:val="-2"/>
        </w:rPr>
        <w:t xml:space="preserve"> </w:t>
      </w:r>
      <w:r>
        <w:t>of</w:t>
      </w:r>
      <w:r>
        <w:rPr>
          <w:spacing w:val="-2"/>
        </w:rPr>
        <w:t xml:space="preserve"> </w:t>
      </w:r>
      <w:r>
        <w:t>the</w:t>
      </w:r>
      <w:r>
        <w:rPr>
          <w:spacing w:val="-3"/>
        </w:rPr>
        <w:t xml:space="preserve"> </w:t>
      </w:r>
      <w:r>
        <w:t>Data</w:t>
      </w:r>
      <w:r>
        <w:rPr>
          <w:spacing w:val="-2"/>
        </w:rPr>
        <w:t xml:space="preserve"> </w:t>
      </w:r>
      <w:r>
        <w:t>Appendix</w:t>
      </w:r>
      <w:r>
        <w:rPr>
          <w:spacing w:val="-3"/>
        </w:rPr>
        <w:t xml:space="preserve"> </w:t>
      </w:r>
      <w:r>
        <w:t>for</w:t>
      </w:r>
      <w:r>
        <w:rPr>
          <w:spacing w:val="-3"/>
        </w:rPr>
        <w:t xml:space="preserve"> </w:t>
      </w:r>
      <w:r>
        <w:t>a</w:t>
      </w:r>
      <w:r>
        <w:rPr>
          <w:spacing w:val="-2"/>
        </w:rPr>
        <w:t xml:space="preserve"> </w:t>
      </w:r>
      <w:r>
        <w:t>full</w:t>
      </w:r>
      <w:r>
        <w:rPr>
          <w:spacing w:val="-2"/>
        </w:rPr>
        <w:t xml:space="preserve"> </w:t>
      </w:r>
      <w:r>
        <w:t>description</w:t>
      </w:r>
      <w:r>
        <w:rPr>
          <w:spacing w:val="-2"/>
        </w:rPr>
        <w:t xml:space="preserve"> </w:t>
      </w:r>
      <w:r>
        <w:t>of</w:t>
      </w:r>
      <w:r>
        <w:rPr>
          <w:spacing w:val="-2"/>
        </w:rPr>
        <w:t xml:space="preserve"> </w:t>
      </w:r>
      <w:r>
        <w:t>how</w:t>
      </w:r>
      <w:r>
        <w:rPr>
          <w:spacing w:val="-2"/>
        </w:rPr>
        <w:t xml:space="preserve"> </w:t>
      </w:r>
      <w:r>
        <w:t>the</w:t>
      </w:r>
      <w:r>
        <w:rPr>
          <w:spacing w:val="-3"/>
        </w:rPr>
        <w:t xml:space="preserve"> </w:t>
      </w:r>
      <w:r>
        <w:t>HPC</w:t>
      </w:r>
      <w:r>
        <w:rPr>
          <w:spacing w:val="-2"/>
        </w:rPr>
        <w:t xml:space="preserve"> </w:t>
      </w:r>
      <w:r>
        <w:t>evaluated</w:t>
      </w:r>
      <w:r>
        <w:rPr>
          <w:spacing w:val="-1"/>
        </w:rPr>
        <w:t xml:space="preserve"> </w:t>
      </w:r>
      <w:r>
        <w:t>outpatient</w:t>
      </w:r>
      <w:r>
        <w:rPr>
          <w:spacing w:val="-1"/>
        </w:rPr>
        <w:t xml:space="preserve"> </w:t>
      </w:r>
      <w:r>
        <w:t>prices</w:t>
      </w:r>
      <w:r>
        <w:rPr>
          <w:spacing w:val="-1"/>
        </w:rPr>
        <w:t xml:space="preserve"> </w:t>
      </w:r>
      <w:r>
        <w:t>and estimated spending impacts for infusion administration, radiation oncology, diagnostic radiology, labs and pathology, and surgery.</w:t>
      </w:r>
    </w:p>
  </w:footnote>
  <w:footnote w:id="133">
    <w:p w14:paraId="2A9CECE3" w14:textId="6D3DEC85" w:rsidR="00E97B7C" w:rsidRDefault="00E97B7C" w:rsidP="00E97B7C">
      <w:pPr>
        <w:pStyle w:val="FootnoteText"/>
        <w:ind w:left="959" w:right="1057"/>
      </w:pPr>
      <w:r>
        <w:rPr>
          <w:rStyle w:val="FootnoteReference"/>
        </w:rPr>
        <w:footnoteRef/>
      </w:r>
      <w:r>
        <w:t xml:space="preserve"> MGH’s</w:t>
      </w:r>
      <w:r>
        <w:rPr>
          <w:spacing w:val="-2"/>
        </w:rPr>
        <w:t xml:space="preserve"> </w:t>
      </w:r>
      <w:r>
        <w:t>commercial</w:t>
      </w:r>
      <w:r>
        <w:rPr>
          <w:spacing w:val="-3"/>
        </w:rPr>
        <w:t xml:space="preserve"> </w:t>
      </w:r>
      <w:r>
        <w:t>prices</w:t>
      </w:r>
      <w:r>
        <w:rPr>
          <w:spacing w:val="-2"/>
        </w:rPr>
        <w:t xml:space="preserve"> </w:t>
      </w:r>
      <w:r>
        <w:t>for</w:t>
      </w:r>
      <w:r>
        <w:rPr>
          <w:spacing w:val="-4"/>
        </w:rPr>
        <w:t xml:space="preserve"> </w:t>
      </w:r>
      <w:r>
        <w:t>oncology</w:t>
      </w:r>
      <w:r>
        <w:rPr>
          <w:spacing w:val="-4"/>
        </w:rPr>
        <w:t xml:space="preserve"> </w:t>
      </w:r>
      <w:r>
        <w:t>drugs</w:t>
      </w:r>
      <w:r>
        <w:rPr>
          <w:spacing w:val="-2"/>
        </w:rPr>
        <w:t xml:space="preserve"> </w:t>
      </w:r>
      <w:r>
        <w:t>are</w:t>
      </w:r>
      <w:r>
        <w:rPr>
          <w:spacing w:val="-4"/>
        </w:rPr>
        <w:t xml:space="preserve"> </w:t>
      </w:r>
      <w:r>
        <w:t>the</w:t>
      </w:r>
      <w:r>
        <w:rPr>
          <w:spacing w:val="-4"/>
        </w:rPr>
        <w:t xml:space="preserve"> </w:t>
      </w:r>
      <w:r>
        <w:t>second</w:t>
      </w:r>
      <w:r>
        <w:rPr>
          <w:spacing w:val="-2"/>
        </w:rPr>
        <w:t xml:space="preserve"> </w:t>
      </w:r>
      <w:r>
        <w:t>highest,</w:t>
      </w:r>
      <w:r>
        <w:rPr>
          <w:spacing w:val="-2"/>
        </w:rPr>
        <w:t xml:space="preserve"> </w:t>
      </w:r>
      <w:r>
        <w:t>approximately</w:t>
      </w:r>
      <w:r>
        <w:rPr>
          <w:spacing w:val="-4"/>
        </w:rPr>
        <w:t xml:space="preserve"> </w:t>
      </w:r>
      <w:r>
        <w:t>8.3%</w:t>
      </w:r>
      <w:r>
        <w:rPr>
          <w:spacing w:val="-3"/>
        </w:rPr>
        <w:t xml:space="preserve"> </w:t>
      </w:r>
      <w:r>
        <w:t>lower</w:t>
      </w:r>
      <w:r>
        <w:rPr>
          <w:spacing w:val="-4"/>
        </w:rPr>
        <w:t xml:space="preserve"> </w:t>
      </w:r>
      <w:r>
        <w:t>than those of DFCI.</w:t>
      </w:r>
    </w:p>
  </w:footnote>
  <w:footnote w:id="134">
    <w:p w14:paraId="44C12A26" w14:textId="70E49332" w:rsidR="00E97B7C" w:rsidRDefault="00E97B7C" w:rsidP="00E97B7C">
      <w:pPr>
        <w:pStyle w:val="FootnoteText"/>
        <w:ind w:left="959" w:right="1057"/>
      </w:pPr>
      <w:r>
        <w:rPr>
          <w:rStyle w:val="FootnoteReference"/>
        </w:rPr>
        <w:footnoteRef/>
      </w:r>
      <w:r>
        <w:t xml:space="preserve"> The</w:t>
      </w:r>
      <w:r>
        <w:rPr>
          <w:spacing w:val="-4"/>
        </w:rPr>
        <w:t xml:space="preserve"> </w:t>
      </w:r>
      <w:r>
        <w:t>HPC</w:t>
      </w:r>
      <w:r>
        <w:rPr>
          <w:spacing w:val="-3"/>
        </w:rPr>
        <w:t xml:space="preserve"> </w:t>
      </w:r>
      <w:r>
        <w:t>compared</w:t>
      </w:r>
      <w:r>
        <w:rPr>
          <w:spacing w:val="-2"/>
        </w:rPr>
        <w:t xml:space="preserve"> </w:t>
      </w:r>
      <w:r>
        <w:t>the</w:t>
      </w:r>
      <w:r>
        <w:rPr>
          <w:spacing w:val="-4"/>
        </w:rPr>
        <w:t xml:space="preserve"> </w:t>
      </w:r>
      <w:r>
        <w:t>average</w:t>
      </w:r>
      <w:r>
        <w:rPr>
          <w:spacing w:val="-4"/>
        </w:rPr>
        <w:t xml:space="preserve"> </w:t>
      </w:r>
      <w:r>
        <w:t>commercial</w:t>
      </w:r>
      <w:r>
        <w:rPr>
          <w:spacing w:val="-3"/>
        </w:rPr>
        <w:t xml:space="preserve"> </w:t>
      </w:r>
      <w:r>
        <w:t>price</w:t>
      </w:r>
      <w:r>
        <w:rPr>
          <w:spacing w:val="-1"/>
        </w:rPr>
        <w:t xml:space="preserve"> </w:t>
      </w:r>
      <w:r>
        <w:t>per</w:t>
      </w:r>
      <w:r>
        <w:rPr>
          <w:spacing w:val="-1"/>
        </w:rPr>
        <w:t xml:space="preserve"> </w:t>
      </w:r>
      <w:r>
        <w:t>radiation</w:t>
      </w:r>
      <w:r>
        <w:rPr>
          <w:spacing w:val="-3"/>
        </w:rPr>
        <w:t xml:space="preserve"> </w:t>
      </w:r>
      <w:r>
        <w:t>oncology</w:t>
      </w:r>
      <w:r>
        <w:rPr>
          <w:spacing w:val="-4"/>
        </w:rPr>
        <w:t xml:space="preserve"> </w:t>
      </w:r>
      <w:r>
        <w:t>visit</w:t>
      </w:r>
      <w:r>
        <w:rPr>
          <w:spacing w:val="-2"/>
        </w:rPr>
        <w:t xml:space="preserve"> </w:t>
      </w:r>
      <w:r>
        <w:t>at</w:t>
      </w:r>
      <w:r>
        <w:rPr>
          <w:spacing w:val="-2"/>
        </w:rPr>
        <w:t xml:space="preserve"> </w:t>
      </w:r>
      <w:r>
        <w:t>each</w:t>
      </w:r>
      <w:r>
        <w:rPr>
          <w:spacing w:val="-3"/>
        </w:rPr>
        <w:t xml:space="preserve"> </w:t>
      </w:r>
      <w:r>
        <w:t>hospital,</w:t>
      </w:r>
      <w:r>
        <w:rPr>
          <w:spacing w:val="-2"/>
        </w:rPr>
        <w:t xml:space="preserve"> </w:t>
      </w:r>
      <w:r>
        <w:t>using each hospital’s mix of services and commercial payers across observed claims in the service line.</w:t>
      </w:r>
    </w:p>
  </w:footnote>
  <w:footnote w:id="135">
    <w:p w14:paraId="28263D73" w14:textId="6B0E8433" w:rsidR="00D14D7B" w:rsidRDefault="00D14D7B" w:rsidP="005D0685">
      <w:pPr>
        <w:pStyle w:val="FootnoteText"/>
        <w:ind w:left="990" w:right="940"/>
      </w:pPr>
      <w:r>
        <w:rPr>
          <w:rStyle w:val="FootnoteReference"/>
        </w:rPr>
        <w:footnoteRef/>
      </w:r>
      <w:r>
        <w:t xml:space="preserve"> </w:t>
      </w:r>
      <w:r>
        <w:rPr>
          <w:i/>
        </w:rPr>
        <w:t>See e.g.</w:t>
      </w:r>
      <w:r>
        <w:t>, DFCI</w:t>
      </w:r>
      <w:r>
        <w:rPr>
          <w:spacing w:val="-4"/>
        </w:rPr>
        <w:t xml:space="preserve"> </w:t>
      </w:r>
      <w:r>
        <w:t>S</w:t>
      </w:r>
      <w:r>
        <w:rPr>
          <w:sz w:val="16"/>
        </w:rPr>
        <w:t xml:space="preserve">TAFF </w:t>
      </w:r>
      <w:r>
        <w:t>R</w:t>
      </w:r>
      <w:r>
        <w:rPr>
          <w:sz w:val="16"/>
        </w:rPr>
        <w:t>EPORT</w:t>
      </w:r>
      <w:r>
        <w:t xml:space="preserve">, </w:t>
      </w:r>
      <w:r>
        <w:rPr>
          <w:i/>
        </w:rPr>
        <w:t xml:space="preserve">supra </w:t>
      </w:r>
      <w:r>
        <w:t xml:space="preserve">note </w:t>
      </w:r>
      <w:hyperlink w:anchor="_bookmark15" w:history="1">
        <w:r>
          <w:t>15,</w:t>
        </w:r>
      </w:hyperlink>
      <w:r>
        <w:t xml:space="preserve"> at 36-37 (projecting that the addition of two CT units and one</w:t>
      </w:r>
      <w:r>
        <w:rPr>
          <w:spacing w:val="-4"/>
        </w:rPr>
        <w:t xml:space="preserve"> </w:t>
      </w:r>
      <w:r>
        <w:t>PET-CT</w:t>
      </w:r>
      <w:r>
        <w:rPr>
          <w:spacing w:val="-4"/>
        </w:rPr>
        <w:t xml:space="preserve"> </w:t>
      </w:r>
      <w:r>
        <w:t>unit</w:t>
      </w:r>
      <w:r>
        <w:rPr>
          <w:spacing w:val="-2"/>
        </w:rPr>
        <w:t xml:space="preserve"> </w:t>
      </w:r>
      <w:r>
        <w:t>will</w:t>
      </w:r>
      <w:r>
        <w:rPr>
          <w:spacing w:val="-3"/>
        </w:rPr>
        <w:t xml:space="preserve"> </w:t>
      </w:r>
      <w:r>
        <w:t>allow</w:t>
      </w:r>
      <w:r>
        <w:rPr>
          <w:spacing w:val="-3"/>
        </w:rPr>
        <w:t xml:space="preserve"> </w:t>
      </w:r>
      <w:r>
        <w:t>DFCI</w:t>
      </w:r>
      <w:r>
        <w:rPr>
          <w:spacing w:val="-2"/>
        </w:rPr>
        <w:t xml:space="preserve"> </w:t>
      </w:r>
      <w:r>
        <w:t>to</w:t>
      </w:r>
      <w:r>
        <w:rPr>
          <w:spacing w:val="-4"/>
        </w:rPr>
        <w:t xml:space="preserve"> </w:t>
      </w:r>
      <w:r>
        <w:t>provide</w:t>
      </w:r>
      <w:r>
        <w:rPr>
          <w:spacing w:val="-4"/>
        </w:rPr>
        <w:t xml:space="preserve"> </w:t>
      </w:r>
      <w:r>
        <w:t>10,313</w:t>
      </w:r>
      <w:r>
        <w:rPr>
          <w:spacing w:val="-2"/>
        </w:rPr>
        <w:t xml:space="preserve"> </w:t>
      </w:r>
      <w:r>
        <w:t>outpatient</w:t>
      </w:r>
      <w:r>
        <w:rPr>
          <w:spacing w:val="-2"/>
        </w:rPr>
        <w:t xml:space="preserve"> </w:t>
      </w:r>
      <w:r>
        <w:t>CT</w:t>
      </w:r>
      <w:r>
        <w:rPr>
          <w:spacing w:val="-4"/>
        </w:rPr>
        <w:t xml:space="preserve"> </w:t>
      </w:r>
      <w:r>
        <w:t>scans</w:t>
      </w:r>
      <w:r>
        <w:rPr>
          <w:spacing w:val="-2"/>
        </w:rPr>
        <w:t xml:space="preserve"> </w:t>
      </w:r>
      <w:r>
        <w:t>and</w:t>
      </w:r>
      <w:r>
        <w:rPr>
          <w:spacing w:val="-2"/>
        </w:rPr>
        <w:t xml:space="preserve"> </w:t>
      </w:r>
      <w:r>
        <w:t>2,455</w:t>
      </w:r>
      <w:r>
        <w:rPr>
          <w:spacing w:val="-2"/>
        </w:rPr>
        <w:t xml:space="preserve"> </w:t>
      </w:r>
      <w:r>
        <w:t>outpatient</w:t>
      </w:r>
      <w:r>
        <w:rPr>
          <w:spacing w:val="-2"/>
        </w:rPr>
        <w:t xml:space="preserve"> </w:t>
      </w:r>
      <w:r>
        <w:t>PET-CT</w:t>
      </w:r>
      <w:r>
        <w:rPr>
          <w:spacing w:val="-4"/>
        </w:rPr>
        <w:t xml:space="preserve"> </w:t>
      </w:r>
      <w:r>
        <w:t>scans in 2032, based on the volume of scans DFCI currently refers to other providers).</w:t>
      </w:r>
    </w:p>
  </w:footnote>
  <w:footnote w:id="136">
    <w:p w14:paraId="45C44F0D" w14:textId="3DD660AB" w:rsidR="000A6FB8" w:rsidRDefault="000A6FB8" w:rsidP="005D0685">
      <w:pPr>
        <w:pStyle w:val="FootnoteText"/>
        <w:ind w:left="990" w:right="940"/>
      </w:pPr>
      <w:r>
        <w:rPr>
          <w:rStyle w:val="FootnoteReference"/>
        </w:rPr>
        <w:footnoteRef/>
      </w:r>
      <w:r>
        <w:t xml:space="preserve"> See</w:t>
      </w:r>
      <w:r>
        <w:rPr>
          <w:spacing w:val="-5"/>
        </w:rPr>
        <w:t xml:space="preserve"> </w:t>
      </w:r>
      <w:r>
        <w:t>Data</w:t>
      </w:r>
      <w:r>
        <w:rPr>
          <w:spacing w:val="-4"/>
        </w:rPr>
        <w:t xml:space="preserve"> </w:t>
      </w:r>
      <w:r>
        <w:t>Appendix,</w:t>
      </w:r>
      <w:r>
        <w:rPr>
          <w:spacing w:val="-3"/>
        </w:rPr>
        <w:t xml:space="preserve"> </w:t>
      </w:r>
      <w:r>
        <w:t>Figure</w:t>
      </w:r>
      <w:r>
        <w:rPr>
          <w:spacing w:val="-5"/>
        </w:rPr>
        <w:t xml:space="preserve"> </w:t>
      </w:r>
      <w:r>
        <w:t>A4,</w:t>
      </w:r>
      <w:r>
        <w:rPr>
          <w:spacing w:val="-4"/>
        </w:rPr>
        <w:t xml:space="preserve"> </w:t>
      </w:r>
      <w:r>
        <w:t>for</w:t>
      </w:r>
      <w:r>
        <w:rPr>
          <w:spacing w:val="-5"/>
        </w:rPr>
        <w:t xml:space="preserve"> </w:t>
      </w:r>
      <w:r>
        <w:t>a</w:t>
      </w:r>
      <w:r>
        <w:rPr>
          <w:spacing w:val="-4"/>
        </w:rPr>
        <w:t xml:space="preserve"> </w:t>
      </w:r>
      <w:r>
        <w:t>full</w:t>
      </w:r>
      <w:r>
        <w:rPr>
          <w:spacing w:val="-4"/>
        </w:rPr>
        <w:t xml:space="preserve"> </w:t>
      </w:r>
      <w:r>
        <w:t>list</w:t>
      </w:r>
      <w:r>
        <w:rPr>
          <w:spacing w:val="-3"/>
        </w:rPr>
        <w:t xml:space="preserve"> </w:t>
      </w:r>
      <w:r>
        <w:t>of</w:t>
      </w:r>
      <w:r>
        <w:rPr>
          <w:spacing w:val="-4"/>
        </w:rPr>
        <w:t xml:space="preserve"> </w:t>
      </w:r>
      <w:r>
        <w:t>price</w:t>
      </w:r>
      <w:r>
        <w:rPr>
          <w:spacing w:val="-5"/>
        </w:rPr>
        <w:t xml:space="preserve"> </w:t>
      </w:r>
      <w:r>
        <w:rPr>
          <w:spacing w:val="-2"/>
        </w:rPr>
        <w:t>relativities.</w:t>
      </w:r>
    </w:p>
  </w:footnote>
  <w:footnote w:id="137">
    <w:p w14:paraId="25692D55" w14:textId="6D024CC2" w:rsidR="000A6FB8" w:rsidRDefault="000A6FB8" w:rsidP="005D0685">
      <w:pPr>
        <w:pStyle w:val="FootnoteText"/>
        <w:ind w:left="990" w:right="940"/>
      </w:pPr>
      <w:r>
        <w:rPr>
          <w:rStyle w:val="FootnoteReference"/>
        </w:rPr>
        <w:footnoteRef/>
      </w:r>
      <w:r>
        <w:t xml:space="preserve"> </w:t>
      </w:r>
      <w:r w:rsidR="0009642B">
        <w:t>The HPC based its estimates on an assumption that 75% of BWH commercial outpatient volume of diagnostic radiology visits and laboratory/pathology services would shift to DFCI and BIDMC, with the shift split evenly between the parties. The HPC conservatively included only CPTs within each service line for which there was significant volume at each party in 2022 and included only encounters that included a cancer</w:t>
      </w:r>
      <w:r w:rsidR="0009642B">
        <w:rPr>
          <w:spacing w:val="-4"/>
        </w:rPr>
        <w:t xml:space="preserve"> </w:t>
      </w:r>
      <w:r w:rsidR="0009642B">
        <w:t>diagnosis</w:t>
      </w:r>
      <w:r w:rsidR="0009642B">
        <w:rPr>
          <w:spacing w:val="-2"/>
        </w:rPr>
        <w:t xml:space="preserve"> </w:t>
      </w:r>
      <w:r w:rsidR="0009642B">
        <w:t>code,</w:t>
      </w:r>
      <w:r w:rsidR="0009642B">
        <w:rPr>
          <w:spacing w:val="-2"/>
        </w:rPr>
        <w:t xml:space="preserve"> </w:t>
      </w:r>
      <w:r w:rsidR="0009642B">
        <w:t>which</w:t>
      </w:r>
      <w:r w:rsidR="0009642B">
        <w:rPr>
          <w:spacing w:val="-3"/>
        </w:rPr>
        <w:t xml:space="preserve"> </w:t>
      </w:r>
      <w:r w:rsidR="0009642B">
        <w:t>may</w:t>
      </w:r>
      <w:r w:rsidR="0009642B">
        <w:rPr>
          <w:spacing w:val="-4"/>
        </w:rPr>
        <w:t xml:space="preserve"> </w:t>
      </w:r>
      <w:r w:rsidR="0009642B">
        <w:t>undercount</w:t>
      </w:r>
      <w:r w:rsidR="0009642B">
        <w:rPr>
          <w:spacing w:val="-2"/>
        </w:rPr>
        <w:t xml:space="preserve"> </w:t>
      </w:r>
      <w:r w:rsidR="0009642B">
        <w:t>situations</w:t>
      </w:r>
      <w:r w:rsidR="0009642B">
        <w:rPr>
          <w:spacing w:val="-4"/>
        </w:rPr>
        <w:t xml:space="preserve"> </w:t>
      </w:r>
      <w:r w:rsidR="0009642B">
        <w:t>in</w:t>
      </w:r>
      <w:r w:rsidR="0009642B">
        <w:rPr>
          <w:spacing w:val="-3"/>
        </w:rPr>
        <w:t xml:space="preserve"> </w:t>
      </w:r>
      <w:r w:rsidR="0009642B">
        <w:t>which</w:t>
      </w:r>
      <w:r w:rsidR="0009642B">
        <w:rPr>
          <w:spacing w:val="-3"/>
        </w:rPr>
        <w:t xml:space="preserve"> </w:t>
      </w:r>
      <w:r w:rsidR="0009642B">
        <w:t>a</w:t>
      </w:r>
      <w:r w:rsidR="0009642B">
        <w:rPr>
          <w:spacing w:val="-3"/>
        </w:rPr>
        <w:t xml:space="preserve"> </w:t>
      </w:r>
      <w:r w:rsidR="0009642B">
        <w:t>patient</w:t>
      </w:r>
      <w:r w:rsidR="0009642B">
        <w:rPr>
          <w:spacing w:val="-2"/>
        </w:rPr>
        <w:t xml:space="preserve"> </w:t>
      </w:r>
      <w:r w:rsidR="0009642B">
        <w:t>has</w:t>
      </w:r>
      <w:r w:rsidR="0009642B">
        <w:rPr>
          <w:spacing w:val="-2"/>
        </w:rPr>
        <w:t xml:space="preserve"> </w:t>
      </w:r>
      <w:r w:rsidR="0009642B">
        <w:t>not</w:t>
      </w:r>
      <w:r w:rsidR="0009642B">
        <w:rPr>
          <w:spacing w:val="-2"/>
        </w:rPr>
        <w:t xml:space="preserve"> </w:t>
      </w:r>
      <w:r w:rsidR="0009642B">
        <w:t>yet</w:t>
      </w:r>
      <w:r w:rsidR="0009642B">
        <w:rPr>
          <w:spacing w:val="-2"/>
        </w:rPr>
        <w:t xml:space="preserve"> </w:t>
      </w:r>
      <w:r w:rsidR="0009642B">
        <w:t>been</w:t>
      </w:r>
      <w:r w:rsidR="0009642B">
        <w:rPr>
          <w:spacing w:val="-3"/>
        </w:rPr>
        <w:t xml:space="preserve"> </w:t>
      </w:r>
      <w:r w:rsidR="0009642B">
        <w:t>diagnosed</w:t>
      </w:r>
      <w:r w:rsidR="0009642B">
        <w:rPr>
          <w:spacing w:val="-2"/>
        </w:rPr>
        <w:t xml:space="preserve"> </w:t>
      </w:r>
      <w:r w:rsidR="0009642B">
        <w:t xml:space="preserve">with cancer. The substantially higher volume figures provided by the parties as referenced in the </w:t>
      </w:r>
      <w:proofErr w:type="spellStart"/>
      <w:r w:rsidR="0009642B">
        <w:t>DoN</w:t>
      </w:r>
      <w:proofErr w:type="spellEnd"/>
      <w:r w:rsidR="0009642B">
        <w:t xml:space="preserve"> Staff Report, </w:t>
      </w:r>
      <w:r w:rsidR="0009642B">
        <w:rPr>
          <w:i/>
        </w:rPr>
        <w:t xml:space="preserve">supra </w:t>
      </w:r>
      <w:r w:rsidR="0009642B">
        <w:t xml:space="preserve">note </w:t>
      </w:r>
      <w:hyperlink w:anchor="_bookmark158" w:history="1">
        <w:r w:rsidR="0009642B">
          <w:t>135,</w:t>
        </w:r>
      </w:hyperlink>
      <w:r w:rsidR="0009642B">
        <w:t xml:space="preserve"> suggest that the HPC’s estimate of spending impact is particularly conservative for this service line.</w:t>
      </w:r>
    </w:p>
  </w:footnote>
  <w:footnote w:id="138">
    <w:p w14:paraId="39045DB1" w14:textId="5DB04B74" w:rsidR="00720136" w:rsidRDefault="00720136" w:rsidP="005D0685">
      <w:pPr>
        <w:pStyle w:val="FootnoteText"/>
        <w:ind w:left="990" w:right="940"/>
      </w:pPr>
      <w:r>
        <w:rPr>
          <w:rStyle w:val="FootnoteReference"/>
        </w:rPr>
        <w:footnoteRef/>
      </w:r>
      <w:r>
        <w:t xml:space="preserve"> We</w:t>
      </w:r>
      <w:r>
        <w:rPr>
          <w:spacing w:val="-4"/>
        </w:rPr>
        <w:t xml:space="preserve"> </w:t>
      </w:r>
      <w:r>
        <w:t>compared</w:t>
      </w:r>
      <w:r>
        <w:rPr>
          <w:spacing w:val="-3"/>
        </w:rPr>
        <w:t xml:space="preserve"> </w:t>
      </w:r>
      <w:r>
        <w:t>prices</w:t>
      </w:r>
      <w:r>
        <w:rPr>
          <w:spacing w:val="-3"/>
        </w:rPr>
        <w:t xml:space="preserve"> </w:t>
      </w:r>
      <w:r>
        <w:t>for</w:t>
      </w:r>
      <w:r>
        <w:rPr>
          <w:spacing w:val="-4"/>
        </w:rPr>
        <w:t xml:space="preserve"> </w:t>
      </w:r>
      <w:r>
        <w:t>evaluation</w:t>
      </w:r>
      <w:r>
        <w:rPr>
          <w:spacing w:val="-4"/>
        </w:rPr>
        <w:t xml:space="preserve"> </w:t>
      </w:r>
      <w:r>
        <w:t>and</w:t>
      </w:r>
      <w:r>
        <w:rPr>
          <w:spacing w:val="-3"/>
        </w:rPr>
        <w:t xml:space="preserve"> </w:t>
      </w:r>
      <w:r>
        <w:t>management</w:t>
      </w:r>
      <w:r>
        <w:rPr>
          <w:spacing w:val="-3"/>
        </w:rPr>
        <w:t xml:space="preserve"> </w:t>
      </w:r>
      <w:r>
        <w:t>CPT</w:t>
      </w:r>
      <w:r>
        <w:rPr>
          <w:spacing w:val="-2"/>
        </w:rPr>
        <w:t xml:space="preserve"> </w:t>
      </w:r>
      <w:r>
        <w:t>codes</w:t>
      </w:r>
      <w:r>
        <w:rPr>
          <w:spacing w:val="-3"/>
        </w:rPr>
        <w:t xml:space="preserve"> </w:t>
      </w:r>
      <w:r>
        <w:t>commonly</w:t>
      </w:r>
      <w:r>
        <w:rPr>
          <w:spacing w:val="-4"/>
        </w:rPr>
        <w:t xml:space="preserve"> </w:t>
      </w:r>
      <w:r>
        <w:t>provided</w:t>
      </w:r>
      <w:r>
        <w:rPr>
          <w:spacing w:val="-3"/>
        </w:rPr>
        <w:t xml:space="preserve"> </w:t>
      </w:r>
      <w:r>
        <w:t>billed</w:t>
      </w:r>
      <w:r>
        <w:rPr>
          <w:spacing w:val="-3"/>
        </w:rPr>
        <w:t xml:space="preserve"> </w:t>
      </w:r>
      <w:r>
        <w:t>by</w:t>
      </w:r>
      <w:r>
        <w:rPr>
          <w:spacing w:val="-4"/>
        </w:rPr>
        <w:t xml:space="preserve"> </w:t>
      </w:r>
      <w:r>
        <w:t>DFCI (99203, 99204, 99205, 99212, 99213, 99214, 99215, 99442, 99443, and G0463).</w:t>
      </w:r>
    </w:p>
  </w:footnote>
  <w:footnote w:id="139">
    <w:p w14:paraId="77C51274" w14:textId="5456D886" w:rsidR="00720136" w:rsidRDefault="00720136" w:rsidP="00135B4F">
      <w:pPr>
        <w:pStyle w:val="FootnoteText"/>
        <w:ind w:left="990" w:right="940"/>
      </w:pPr>
      <w:r>
        <w:rPr>
          <w:rStyle w:val="FootnoteReference"/>
        </w:rPr>
        <w:footnoteRef/>
      </w:r>
      <w:r>
        <w:t xml:space="preserve"> </w:t>
      </w:r>
      <w:r w:rsidR="005D0685">
        <w:t>To estimate a commercial spending impact for oncologist E&amp;M services, the HPC compared the average price for a BILH oncologist visit observed in the APCD to what the average price would have been if BILH received DFCI’s rate for each payer for the procedure codes it provided. We applied the resulting difference in these average prices to an estimate of BILH’s total revenue for oncologist E&amp;M visits to estimate a spending</w:t>
      </w:r>
      <w:r w:rsidR="005D0685">
        <w:rPr>
          <w:spacing w:val="-3"/>
        </w:rPr>
        <w:t xml:space="preserve"> </w:t>
      </w:r>
      <w:r w:rsidR="005D0685">
        <w:t>impact.</w:t>
      </w:r>
      <w:r w:rsidR="005D0685">
        <w:rPr>
          <w:spacing w:val="-2"/>
        </w:rPr>
        <w:t xml:space="preserve"> </w:t>
      </w:r>
      <w:r w:rsidR="005D0685">
        <w:t>The</w:t>
      </w:r>
      <w:r w:rsidR="005D0685">
        <w:rPr>
          <w:spacing w:val="-1"/>
        </w:rPr>
        <w:t xml:space="preserve"> </w:t>
      </w:r>
      <w:r w:rsidR="005D0685">
        <w:t>HPC</w:t>
      </w:r>
      <w:r w:rsidR="005D0685">
        <w:rPr>
          <w:spacing w:val="-1"/>
        </w:rPr>
        <w:t xml:space="preserve"> </w:t>
      </w:r>
      <w:r w:rsidR="005D0685">
        <w:t>estimates</w:t>
      </w:r>
      <w:r w:rsidR="005D0685">
        <w:rPr>
          <w:spacing w:val="-4"/>
        </w:rPr>
        <w:t xml:space="preserve"> </w:t>
      </w:r>
      <w:r w:rsidR="005D0685">
        <w:t>that</w:t>
      </w:r>
      <w:r w:rsidR="005D0685">
        <w:rPr>
          <w:spacing w:val="-2"/>
        </w:rPr>
        <w:t xml:space="preserve"> </w:t>
      </w:r>
      <w:r w:rsidR="005D0685">
        <w:t>claims</w:t>
      </w:r>
      <w:r w:rsidR="005D0685">
        <w:rPr>
          <w:spacing w:val="-2"/>
        </w:rPr>
        <w:t xml:space="preserve"> </w:t>
      </w:r>
      <w:r w:rsidR="005D0685">
        <w:t>for</w:t>
      </w:r>
      <w:r w:rsidR="005D0685">
        <w:rPr>
          <w:spacing w:val="-4"/>
        </w:rPr>
        <w:t xml:space="preserve"> </w:t>
      </w:r>
      <w:r w:rsidR="005D0685">
        <w:t>42%</w:t>
      </w:r>
      <w:r w:rsidR="005D0685">
        <w:rPr>
          <w:spacing w:val="-5"/>
        </w:rPr>
        <w:t xml:space="preserve"> </w:t>
      </w:r>
      <w:r w:rsidR="005D0685">
        <w:t>of</w:t>
      </w:r>
      <w:r w:rsidR="005D0685">
        <w:rPr>
          <w:spacing w:val="-3"/>
        </w:rPr>
        <w:t xml:space="preserve"> </w:t>
      </w:r>
      <w:r w:rsidR="005D0685">
        <w:t>statewide</w:t>
      </w:r>
      <w:r w:rsidR="005D0685">
        <w:rPr>
          <w:spacing w:val="-4"/>
        </w:rPr>
        <w:t xml:space="preserve"> </w:t>
      </w:r>
      <w:r w:rsidR="005D0685">
        <w:t>commercial</w:t>
      </w:r>
      <w:r w:rsidR="005D0685">
        <w:rPr>
          <w:spacing w:val="-3"/>
        </w:rPr>
        <w:t xml:space="preserve"> </w:t>
      </w:r>
      <w:r w:rsidR="005D0685">
        <w:t>members</w:t>
      </w:r>
      <w:r w:rsidR="005D0685">
        <w:rPr>
          <w:spacing w:val="-2"/>
        </w:rPr>
        <w:t xml:space="preserve"> </w:t>
      </w:r>
      <w:r w:rsidR="005D0685">
        <w:t>are</w:t>
      </w:r>
      <w:r w:rsidR="005D0685">
        <w:rPr>
          <w:spacing w:val="-4"/>
        </w:rPr>
        <w:t xml:space="preserve"> </w:t>
      </w:r>
      <w:r w:rsidR="005D0685">
        <w:t>captured</w:t>
      </w:r>
      <w:r w:rsidR="005D0685">
        <w:rPr>
          <w:spacing w:val="-2"/>
        </w:rPr>
        <w:t xml:space="preserve"> </w:t>
      </w:r>
      <w:r w:rsidR="005D0685">
        <w:t>in our APCD analyses. We therefore impute total revenue based on an assumption that BILH’s observed oncologist E&amp;M visit revenue represents 42% its total oncologist E&amp;M visit commercial revenue.</w:t>
      </w:r>
    </w:p>
  </w:footnote>
  <w:footnote w:id="140">
    <w:p w14:paraId="47F826AA" w14:textId="39CAEF50" w:rsidR="00B268F2" w:rsidRPr="00774C5E" w:rsidRDefault="00B268F2" w:rsidP="00774C5E">
      <w:pPr>
        <w:ind w:left="959" w:right="891"/>
        <w:rPr>
          <w:sz w:val="20"/>
        </w:rPr>
      </w:pPr>
      <w:r>
        <w:rPr>
          <w:rStyle w:val="FootnoteReference"/>
        </w:rPr>
        <w:footnoteRef/>
      </w:r>
      <w:r>
        <w:t xml:space="preserve"> </w:t>
      </w:r>
      <w:r>
        <w:rPr>
          <w:sz w:val="20"/>
        </w:rPr>
        <w:t>The</w:t>
      </w:r>
      <w:r>
        <w:rPr>
          <w:spacing w:val="-1"/>
          <w:sz w:val="20"/>
        </w:rPr>
        <w:t xml:space="preserve"> </w:t>
      </w:r>
      <w:r>
        <w:rPr>
          <w:sz w:val="20"/>
        </w:rPr>
        <w:t>HPC found that outpatient surgical procedure</w:t>
      </w:r>
      <w:r>
        <w:rPr>
          <w:spacing w:val="-1"/>
          <w:sz w:val="20"/>
        </w:rPr>
        <w:t xml:space="preserve"> </w:t>
      </w:r>
      <w:r>
        <w:rPr>
          <w:sz w:val="20"/>
        </w:rPr>
        <w:t>claims did not reliably</w:t>
      </w:r>
      <w:r>
        <w:rPr>
          <w:spacing w:val="-1"/>
          <w:sz w:val="20"/>
        </w:rPr>
        <w:t xml:space="preserve"> </w:t>
      </w:r>
      <w:r>
        <w:rPr>
          <w:sz w:val="20"/>
        </w:rPr>
        <w:t>include</w:t>
      </w:r>
      <w:r>
        <w:rPr>
          <w:spacing w:val="-1"/>
          <w:sz w:val="20"/>
        </w:rPr>
        <w:t xml:space="preserve"> </w:t>
      </w:r>
      <w:r>
        <w:rPr>
          <w:sz w:val="20"/>
        </w:rPr>
        <w:t>oncology</w:t>
      </w:r>
      <w:r>
        <w:rPr>
          <w:spacing w:val="-1"/>
          <w:sz w:val="20"/>
        </w:rPr>
        <w:t xml:space="preserve"> </w:t>
      </w:r>
      <w:r>
        <w:rPr>
          <w:sz w:val="20"/>
        </w:rPr>
        <w:t>diagnosis codes,</w:t>
      </w:r>
      <w:r>
        <w:rPr>
          <w:spacing w:val="-3"/>
          <w:sz w:val="20"/>
        </w:rPr>
        <w:t xml:space="preserve"> </w:t>
      </w:r>
      <w:r>
        <w:rPr>
          <w:sz w:val="20"/>
        </w:rPr>
        <w:t>preventing</w:t>
      </w:r>
      <w:r>
        <w:rPr>
          <w:spacing w:val="-4"/>
          <w:sz w:val="20"/>
        </w:rPr>
        <w:t xml:space="preserve"> </w:t>
      </w:r>
      <w:r>
        <w:rPr>
          <w:sz w:val="20"/>
        </w:rPr>
        <w:t>the</w:t>
      </w:r>
      <w:r>
        <w:rPr>
          <w:spacing w:val="-5"/>
          <w:sz w:val="20"/>
        </w:rPr>
        <w:t xml:space="preserve"> </w:t>
      </w:r>
      <w:r>
        <w:rPr>
          <w:sz w:val="20"/>
        </w:rPr>
        <w:t>HPC</w:t>
      </w:r>
      <w:r>
        <w:rPr>
          <w:spacing w:val="-4"/>
          <w:sz w:val="20"/>
        </w:rPr>
        <w:t xml:space="preserve"> </w:t>
      </w:r>
      <w:r>
        <w:rPr>
          <w:sz w:val="20"/>
        </w:rPr>
        <w:t>from</w:t>
      </w:r>
      <w:r>
        <w:rPr>
          <w:spacing w:val="-3"/>
          <w:sz w:val="20"/>
        </w:rPr>
        <w:t xml:space="preserve"> </w:t>
      </w:r>
      <w:r>
        <w:rPr>
          <w:sz w:val="20"/>
        </w:rPr>
        <w:t>easily</w:t>
      </w:r>
      <w:r>
        <w:rPr>
          <w:spacing w:val="-5"/>
          <w:sz w:val="20"/>
        </w:rPr>
        <w:t xml:space="preserve"> </w:t>
      </w:r>
      <w:r>
        <w:rPr>
          <w:sz w:val="20"/>
        </w:rPr>
        <w:t>differentiating</w:t>
      </w:r>
      <w:r>
        <w:rPr>
          <w:spacing w:val="-4"/>
          <w:sz w:val="20"/>
        </w:rPr>
        <w:t xml:space="preserve"> </w:t>
      </w:r>
      <w:r>
        <w:rPr>
          <w:sz w:val="20"/>
        </w:rPr>
        <w:t>outpatient</w:t>
      </w:r>
      <w:r>
        <w:rPr>
          <w:spacing w:val="-3"/>
          <w:sz w:val="20"/>
        </w:rPr>
        <w:t xml:space="preserve"> </w:t>
      </w:r>
      <w:r>
        <w:rPr>
          <w:sz w:val="20"/>
        </w:rPr>
        <w:t>surgeries</w:t>
      </w:r>
      <w:r>
        <w:rPr>
          <w:spacing w:val="-3"/>
          <w:sz w:val="20"/>
        </w:rPr>
        <w:t xml:space="preserve"> </w:t>
      </w:r>
      <w:r>
        <w:rPr>
          <w:sz w:val="20"/>
        </w:rPr>
        <w:t>related</w:t>
      </w:r>
      <w:r>
        <w:rPr>
          <w:spacing w:val="-3"/>
          <w:sz w:val="20"/>
        </w:rPr>
        <w:t xml:space="preserve"> </w:t>
      </w:r>
      <w:r>
        <w:rPr>
          <w:sz w:val="20"/>
        </w:rPr>
        <w:t>to</w:t>
      </w:r>
      <w:r>
        <w:rPr>
          <w:spacing w:val="-4"/>
          <w:sz w:val="20"/>
        </w:rPr>
        <w:t xml:space="preserve"> </w:t>
      </w:r>
      <w:r>
        <w:rPr>
          <w:sz w:val="20"/>
        </w:rPr>
        <w:t>oncology</w:t>
      </w:r>
      <w:r>
        <w:rPr>
          <w:spacing w:val="-5"/>
          <w:sz w:val="20"/>
        </w:rPr>
        <w:t xml:space="preserve"> </w:t>
      </w:r>
      <w:r>
        <w:rPr>
          <w:sz w:val="20"/>
        </w:rPr>
        <w:t>from</w:t>
      </w:r>
      <w:r>
        <w:rPr>
          <w:spacing w:val="-3"/>
          <w:sz w:val="20"/>
        </w:rPr>
        <w:t xml:space="preserve"> </w:t>
      </w:r>
      <w:r>
        <w:rPr>
          <w:sz w:val="20"/>
        </w:rPr>
        <w:t>non-</w:t>
      </w:r>
      <w:r w:rsidR="00DF6F90" w:rsidRPr="00DF6F90">
        <w:rPr>
          <w:sz w:val="20"/>
        </w:rPr>
        <w:t xml:space="preserve"> </w:t>
      </w:r>
      <w:r w:rsidR="00DF6F90">
        <w:rPr>
          <w:sz w:val="20"/>
        </w:rPr>
        <w:t>oncology surgeries. The HPC quantified spending impacts based on revenues and relative prices for outpatient</w:t>
      </w:r>
      <w:r w:rsidR="00DF6F90">
        <w:rPr>
          <w:spacing w:val="-2"/>
          <w:sz w:val="20"/>
        </w:rPr>
        <w:t xml:space="preserve"> </w:t>
      </w:r>
      <w:r w:rsidR="00DF6F90">
        <w:rPr>
          <w:sz w:val="20"/>
        </w:rPr>
        <w:t>endoscopy</w:t>
      </w:r>
      <w:r w:rsidR="00DF6F90">
        <w:rPr>
          <w:spacing w:val="-4"/>
          <w:sz w:val="20"/>
        </w:rPr>
        <w:t xml:space="preserve"> </w:t>
      </w:r>
      <w:r w:rsidR="00DF6F90">
        <w:rPr>
          <w:sz w:val="20"/>
        </w:rPr>
        <w:t>and</w:t>
      </w:r>
      <w:r w:rsidR="00DF6F90">
        <w:rPr>
          <w:spacing w:val="-2"/>
          <w:sz w:val="20"/>
        </w:rPr>
        <w:t xml:space="preserve"> </w:t>
      </w:r>
      <w:r w:rsidR="00DF6F90">
        <w:rPr>
          <w:sz w:val="20"/>
        </w:rPr>
        <w:t>excision</w:t>
      </w:r>
      <w:r w:rsidR="00DF6F90">
        <w:rPr>
          <w:spacing w:val="-3"/>
          <w:sz w:val="20"/>
        </w:rPr>
        <w:t xml:space="preserve"> </w:t>
      </w:r>
      <w:r w:rsidR="00DF6F90">
        <w:rPr>
          <w:sz w:val="20"/>
        </w:rPr>
        <w:t>services</w:t>
      </w:r>
      <w:r w:rsidR="00DF6F90">
        <w:rPr>
          <w:spacing w:val="-2"/>
          <w:sz w:val="20"/>
        </w:rPr>
        <w:t xml:space="preserve"> </w:t>
      </w:r>
      <w:r w:rsidR="00DF6F90">
        <w:rPr>
          <w:sz w:val="20"/>
        </w:rPr>
        <w:t>for</w:t>
      </w:r>
      <w:r w:rsidR="00DF6F90">
        <w:rPr>
          <w:spacing w:val="-4"/>
          <w:sz w:val="20"/>
        </w:rPr>
        <w:t xml:space="preserve"> </w:t>
      </w:r>
      <w:r w:rsidR="00DF6F90">
        <w:rPr>
          <w:sz w:val="20"/>
        </w:rPr>
        <w:t>which</w:t>
      </w:r>
      <w:r w:rsidR="00DF6F90">
        <w:rPr>
          <w:spacing w:val="-3"/>
          <w:sz w:val="20"/>
        </w:rPr>
        <w:t xml:space="preserve"> </w:t>
      </w:r>
      <w:r w:rsidR="00DF6F90">
        <w:rPr>
          <w:sz w:val="20"/>
        </w:rPr>
        <w:t>there</w:t>
      </w:r>
      <w:r w:rsidR="00DF6F90">
        <w:rPr>
          <w:spacing w:val="-4"/>
          <w:sz w:val="20"/>
        </w:rPr>
        <w:t xml:space="preserve"> </w:t>
      </w:r>
      <w:r w:rsidR="00DF6F90">
        <w:rPr>
          <w:sz w:val="20"/>
        </w:rPr>
        <w:t>were</w:t>
      </w:r>
      <w:r w:rsidR="00DF6F90">
        <w:rPr>
          <w:spacing w:val="-4"/>
          <w:sz w:val="20"/>
        </w:rPr>
        <w:t xml:space="preserve"> </w:t>
      </w:r>
      <w:r w:rsidR="00DF6F90">
        <w:rPr>
          <w:sz w:val="20"/>
        </w:rPr>
        <w:t>at</w:t>
      </w:r>
      <w:r w:rsidR="00DF6F90">
        <w:rPr>
          <w:spacing w:val="-2"/>
          <w:sz w:val="20"/>
        </w:rPr>
        <w:t xml:space="preserve"> </w:t>
      </w:r>
      <w:r w:rsidR="00DF6F90">
        <w:rPr>
          <w:sz w:val="20"/>
        </w:rPr>
        <w:t>least</w:t>
      </w:r>
      <w:r w:rsidR="00DF6F90">
        <w:rPr>
          <w:spacing w:val="-2"/>
          <w:sz w:val="20"/>
        </w:rPr>
        <w:t xml:space="preserve"> </w:t>
      </w:r>
      <w:r w:rsidR="00DF6F90">
        <w:rPr>
          <w:sz w:val="20"/>
        </w:rPr>
        <w:t>50</w:t>
      </w:r>
      <w:r w:rsidR="00DF6F90">
        <w:rPr>
          <w:spacing w:val="-2"/>
          <w:sz w:val="20"/>
        </w:rPr>
        <w:t xml:space="preserve"> </w:t>
      </w:r>
      <w:r w:rsidR="00DF6F90">
        <w:rPr>
          <w:sz w:val="20"/>
        </w:rPr>
        <w:t>claims</w:t>
      </w:r>
      <w:r w:rsidR="00DF6F90">
        <w:rPr>
          <w:spacing w:val="-2"/>
          <w:sz w:val="20"/>
        </w:rPr>
        <w:t xml:space="preserve"> </w:t>
      </w:r>
      <w:r w:rsidR="00DF6F90">
        <w:rPr>
          <w:sz w:val="20"/>
        </w:rPr>
        <w:t>in</w:t>
      </w:r>
      <w:r w:rsidR="00DF6F90">
        <w:rPr>
          <w:spacing w:val="-5"/>
          <w:sz w:val="20"/>
        </w:rPr>
        <w:t xml:space="preserve"> </w:t>
      </w:r>
      <w:r w:rsidR="00DF6F90">
        <w:rPr>
          <w:sz w:val="20"/>
        </w:rPr>
        <w:t>2022</w:t>
      </w:r>
      <w:r w:rsidR="00DF6F90">
        <w:rPr>
          <w:spacing w:val="-2"/>
          <w:sz w:val="20"/>
        </w:rPr>
        <w:t xml:space="preserve"> </w:t>
      </w:r>
      <w:r w:rsidR="00DF6F90">
        <w:rPr>
          <w:sz w:val="20"/>
        </w:rPr>
        <w:t>across</w:t>
      </w:r>
      <w:r w:rsidR="00DF6F90">
        <w:rPr>
          <w:spacing w:val="-1"/>
          <w:sz w:val="20"/>
        </w:rPr>
        <w:t xml:space="preserve"> </w:t>
      </w:r>
      <w:r w:rsidR="00DF6F90">
        <w:rPr>
          <w:sz w:val="20"/>
        </w:rPr>
        <w:t>BIDMC, BWH, and MGH, including claims without an oncology diagnosis code, due to the relevance of these two services to oncology care.</w:t>
      </w:r>
    </w:p>
  </w:footnote>
  <w:footnote w:id="141">
    <w:p w14:paraId="2BDFA21E" w14:textId="1817B963" w:rsidR="00D42E55" w:rsidRPr="00D21B08" w:rsidRDefault="00D42E55" w:rsidP="00274729">
      <w:pPr>
        <w:spacing w:before="92"/>
        <w:ind w:left="960" w:right="940"/>
        <w:rPr>
          <w:rStyle w:val="Hyperlink"/>
          <w:color w:val="000000" w:themeColor="text1"/>
          <w:sz w:val="16"/>
          <w:u w:val="none"/>
        </w:rPr>
      </w:pPr>
      <w:r>
        <w:rPr>
          <w:rStyle w:val="FootnoteReference"/>
        </w:rPr>
        <w:footnoteRef/>
      </w:r>
      <w:r>
        <w:t xml:space="preserve"> </w:t>
      </w:r>
      <w:r>
        <w:rPr>
          <w:i/>
          <w:sz w:val="20"/>
        </w:rPr>
        <w:t>See</w:t>
      </w:r>
      <w:r>
        <w:rPr>
          <w:i/>
          <w:spacing w:val="-8"/>
          <w:sz w:val="20"/>
        </w:rPr>
        <w:t xml:space="preserve"> </w:t>
      </w:r>
      <w:r w:rsidR="00D21B08" w:rsidRPr="00D21B08">
        <w:rPr>
          <w:color w:val="000000" w:themeColor="text1"/>
          <w:sz w:val="20"/>
        </w:rPr>
        <w:fldChar w:fldCharType="begin"/>
      </w:r>
      <w:r w:rsidR="00D21B08" w:rsidRPr="00D21B08">
        <w:rPr>
          <w:color w:val="000000" w:themeColor="text1"/>
          <w:sz w:val="20"/>
        </w:rPr>
        <w:instrText>HYPERLINK "https://www.govinfo.gov/content/pkg/FR-2024-%2011-27/pdf/2024-25521.pdf"</w:instrText>
      </w:r>
      <w:r w:rsidR="00D21B08" w:rsidRPr="00D21B08">
        <w:rPr>
          <w:color w:val="000000" w:themeColor="text1"/>
          <w:sz w:val="20"/>
        </w:rPr>
      </w:r>
      <w:r w:rsidR="00D21B08" w:rsidRPr="00D21B08">
        <w:rPr>
          <w:color w:val="000000" w:themeColor="text1"/>
          <w:sz w:val="20"/>
        </w:rPr>
        <w:fldChar w:fldCharType="separate"/>
      </w:r>
      <w:r w:rsidRPr="00D21B08">
        <w:rPr>
          <w:rStyle w:val="Hyperlink"/>
          <w:color w:val="000000" w:themeColor="text1"/>
          <w:sz w:val="20"/>
          <w:u w:val="none"/>
        </w:rPr>
        <w:t>U.S</w:t>
      </w:r>
      <w:r w:rsidRPr="00D21B08">
        <w:rPr>
          <w:rStyle w:val="Hyperlink"/>
          <w:color w:val="000000" w:themeColor="text1"/>
          <w:spacing w:val="-13"/>
          <w:sz w:val="20"/>
          <w:u w:val="none"/>
        </w:rPr>
        <w:t xml:space="preserve"> </w:t>
      </w:r>
      <w:r w:rsidRPr="00D21B08">
        <w:rPr>
          <w:rStyle w:val="Hyperlink"/>
          <w:color w:val="000000" w:themeColor="text1"/>
          <w:sz w:val="20"/>
          <w:u w:val="none"/>
        </w:rPr>
        <w:t>C</w:t>
      </w:r>
      <w:r w:rsidRPr="00D21B08">
        <w:rPr>
          <w:rStyle w:val="Hyperlink"/>
          <w:color w:val="000000" w:themeColor="text1"/>
          <w:sz w:val="16"/>
          <w:u w:val="none"/>
        </w:rPr>
        <w:t>ENTERS</w:t>
      </w:r>
      <w:r w:rsidRPr="00D21B08">
        <w:rPr>
          <w:rStyle w:val="Hyperlink"/>
          <w:color w:val="000000" w:themeColor="text1"/>
          <w:spacing w:val="-8"/>
          <w:sz w:val="16"/>
          <w:u w:val="none"/>
        </w:rPr>
        <w:t xml:space="preserve"> </w:t>
      </w:r>
      <w:r w:rsidRPr="00D21B08">
        <w:rPr>
          <w:rStyle w:val="Hyperlink"/>
          <w:color w:val="000000" w:themeColor="text1"/>
          <w:sz w:val="16"/>
          <w:u w:val="none"/>
        </w:rPr>
        <w:t>FOR</w:t>
      </w:r>
      <w:r w:rsidRPr="00D21B08">
        <w:rPr>
          <w:rStyle w:val="Hyperlink"/>
          <w:color w:val="000000" w:themeColor="text1"/>
          <w:spacing w:val="-6"/>
          <w:sz w:val="16"/>
          <w:u w:val="none"/>
        </w:rPr>
        <w:t xml:space="preserve"> </w:t>
      </w:r>
      <w:r w:rsidRPr="00D21B08">
        <w:rPr>
          <w:rStyle w:val="Hyperlink"/>
          <w:color w:val="000000" w:themeColor="text1"/>
          <w:sz w:val="20"/>
          <w:u w:val="none"/>
        </w:rPr>
        <w:t>M</w:t>
      </w:r>
      <w:r w:rsidRPr="00D21B08">
        <w:rPr>
          <w:rStyle w:val="Hyperlink"/>
          <w:color w:val="000000" w:themeColor="text1"/>
          <w:sz w:val="16"/>
          <w:u w:val="none"/>
        </w:rPr>
        <w:t>EDICARE</w:t>
      </w:r>
      <w:r w:rsidRPr="00D21B08">
        <w:rPr>
          <w:rStyle w:val="Hyperlink"/>
          <w:color w:val="000000" w:themeColor="text1"/>
          <w:spacing w:val="-5"/>
          <w:sz w:val="16"/>
          <w:u w:val="none"/>
        </w:rPr>
        <w:t xml:space="preserve"> </w:t>
      </w:r>
      <w:r w:rsidRPr="00D21B08">
        <w:rPr>
          <w:rStyle w:val="Hyperlink"/>
          <w:color w:val="000000" w:themeColor="text1"/>
          <w:sz w:val="16"/>
          <w:u w:val="none"/>
        </w:rPr>
        <w:t>AND</w:t>
      </w:r>
      <w:r w:rsidRPr="00D21B08">
        <w:rPr>
          <w:rStyle w:val="Hyperlink"/>
          <w:color w:val="000000" w:themeColor="text1"/>
          <w:spacing w:val="-7"/>
          <w:sz w:val="16"/>
          <w:u w:val="none"/>
        </w:rPr>
        <w:t xml:space="preserve"> </w:t>
      </w:r>
      <w:r w:rsidRPr="00D21B08">
        <w:rPr>
          <w:rStyle w:val="Hyperlink"/>
          <w:color w:val="000000" w:themeColor="text1"/>
          <w:sz w:val="20"/>
          <w:u w:val="none"/>
        </w:rPr>
        <w:t>M</w:t>
      </w:r>
      <w:r w:rsidRPr="00D21B08">
        <w:rPr>
          <w:rStyle w:val="Hyperlink"/>
          <w:color w:val="000000" w:themeColor="text1"/>
          <w:sz w:val="16"/>
          <w:u w:val="none"/>
        </w:rPr>
        <w:t>EDICAID</w:t>
      </w:r>
      <w:r w:rsidRPr="00D21B08">
        <w:rPr>
          <w:rStyle w:val="Hyperlink"/>
          <w:color w:val="000000" w:themeColor="text1"/>
          <w:spacing w:val="-7"/>
          <w:sz w:val="16"/>
          <w:u w:val="none"/>
        </w:rPr>
        <w:t xml:space="preserve"> </w:t>
      </w:r>
      <w:r w:rsidRPr="00D21B08">
        <w:rPr>
          <w:rStyle w:val="Hyperlink"/>
          <w:color w:val="000000" w:themeColor="text1"/>
          <w:sz w:val="20"/>
          <w:u w:val="none"/>
        </w:rPr>
        <w:t>S</w:t>
      </w:r>
      <w:r w:rsidRPr="00D21B08">
        <w:rPr>
          <w:rStyle w:val="Hyperlink"/>
          <w:color w:val="000000" w:themeColor="text1"/>
          <w:sz w:val="16"/>
          <w:u w:val="none"/>
        </w:rPr>
        <w:t>ERVICES</w:t>
      </w:r>
      <w:r w:rsidRPr="00D21B08">
        <w:rPr>
          <w:rStyle w:val="Hyperlink"/>
          <w:color w:val="000000" w:themeColor="text1"/>
          <w:sz w:val="20"/>
          <w:u w:val="none"/>
        </w:rPr>
        <w:t>,</w:t>
      </w:r>
      <w:r w:rsidRPr="00D21B08">
        <w:rPr>
          <w:rStyle w:val="Hyperlink"/>
          <w:color w:val="000000" w:themeColor="text1"/>
          <w:spacing w:val="-13"/>
          <w:sz w:val="20"/>
          <w:u w:val="none"/>
        </w:rPr>
        <w:t xml:space="preserve"> </w:t>
      </w:r>
      <w:r w:rsidRPr="00D21B08">
        <w:rPr>
          <w:rStyle w:val="Hyperlink"/>
          <w:color w:val="000000" w:themeColor="text1"/>
          <w:sz w:val="20"/>
          <w:u w:val="none"/>
        </w:rPr>
        <w:t>H</w:t>
      </w:r>
      <w:r w:rsidRPr="00D21B08">
        <w:rPr>
          <w:rStyle w:val="Hyperlink"/>
          <w:color w:val="000000" w:themeColor="text1"/>
          <w:sz w:val="16"/>
          <w:u w:val="none"/>
        </w:rPr>
        <w:t>OSPITAL</w:t>
      </w:r>
      <w:r w:rsidRPr="00D21B08">
        <w:rPr>
          <w:rStyle w:val="Hyperlink"/>
          <w:color w:val="000000" w:themeColor="text1"/>
          <w:spacing w:val="-8"/>
          <w:sz w:val="16"/>
          <w:u w:val="none"/>
        </w:rPr>
        <w:t xml:space="preserve"> </w:t>
      </w:r>
      <w:r w:rsidRPr="00D21B08">
        <w:rPr>
          <w:rStyle w:val="Hyperlink"/>
          <w:color w:val="000000" w:themeColor="text1"/>
          <w:sz w:val="20"/>
          <w:u w:val="none"/>
        </w:rPr>
        <w:t>O</w:t>
      </w:r>
      <w:r w:rsidRPr="00D21B08">
        <w:rPr>
          <w:rStyle w:val="Hyperlink"/>
          <w:color w:val="000000" w:themeColor="text1"/>
          <w:sz w:val="16"/>
          <w:u w:val="none"/>
        </w:rPr>
        <w:t>UTPATIENT</w:t>
      </w:r>
      <w:r w:rsidRPr="00D21B08">
        <w:rPr>
          <w:rStyle w:val="Hyperlink"/>
          <w:color w:val="000000" w:themeColor="text1"/>
          <w:spacing w:val="-4"/>
          <w:sz w:val="16"/>
          <w:u w:val="none"/>
        </w:rPr>
        <w:t xml:space="preserve"> </w:t>
      </w:r>
      <w:r w:rsidRPr="00D21B08">
        <w:rPr>
          <w:rStyle w:val="Hyperlink"/>
          <w:color w:val="000000" w:themeColor="text1"/>
          <w:sz w:val="20"/>
          <w:u w:val="none"/>
        </w:rPr>
        <w:t>P</w:t>
      </w:r>
      <w:r w:rsidRPr="00D21B08">
        <w:rPr>
          <w:rStyle w:val="Hyperlink"/>
          <w:color w:val="000000" w:themeColor="text1"/>
          <w:sz w:val="16"/>
          <w:u w:val="none"/>
        </w:rPr>
        <w:t>ROSPECTIVE</w:t>
      </w:r>
      <w:r w:rsidRPr="00D21B08">
        <w:rPr>
          <w:rStyle w:val="Hyperlink"/>
          <w:color w:val="000000" w:themeColor="text1"/>
          <w:spacing w:val="-5"/>
          <w:sz w:val="16"/>
          <w:u w:val="none"/>
        </w:rPr>
        <w:t xml:space="preserve"> </w:t>
      </w:r>
      <w:r w:rsidRPr="00D21B08">
        <w:rPr>
          <w:rStyle w:val="Hyperlink"/>
          <w:color w:val="000000" w:themeColor="text1"/>
          <w:sz w:val="20"/>
          <w:u w:val="none"/>
        </w:rPr>
        <w:t>P</w:t>
      </w:r>
      <w:r w:rsidRPr="00D21B08">
        <w:rPr>
          <w:rStyle w:val="Hyperlink"/>
          <w:color w:val="000000" w:themeColor="text1"/>
          <w:sz w:val="16"/>
          <w:u w:val="none"/>
        </w:rPr>
        <w:t>AYMENT</w:t>
      </w:r>
      <w:r w:rsidRPr="00D21B08">
        <w:rPr>
          <w:rStyle w:val="Hyperlink"/>
          <w:color w:val="000000" w:themeColor="text1"/>
          <w:sz w:val="20"/>
          <w:u w:val="none"/>
        </w:rPr>
        <w:t>-N</w:t>
      </w:r>
      <w:r w:rsidRPr="00D21B08">
        <w:rPr>
          <w:rStyle w:val="Hyperlink"/>
          <w:color w:val="000000" w:themeColor="text1"/>
          <w:sz w:val="16"/>
          <w:u w:val="none"/>
        </w:rPr>
        <w:t>OTICE</w:t>
      </w:r>
      <w:r w:rsidRPr="00D21B08">
        <w:rPr>
          <w:rStyle w:val="Hyperlink"/>
          <w:color w:val="000000" w:themeColor="text1"/>
          <w:spacing w:val="-7"/>
          <w:sz w:val="16"/>
          <w:u w:val="none"/>
        </w:rPr>
        <w:t xml:space="preserve"> </w:t>
      </w:r>
      <w:r w:rsidRPr="00D21B08">
        <w:rPr>
          <w:rStyle w:val="Hyperlink"/>
          <w:color w:val="000000" w:themeColor="text1"/>
          <w:spacing w:val="-5"/>
          <w:sz w:val="16"/>
          <w:u w:val="none"/>
        </w:rPr>
        <w:t>OF</w:t>
      </w:r>
    </w:p>
    <w:p w14:paraId="1E6EB70B" w14:textId="78CA7CE1" w:rsidR="00D42E55" w:rsidRPr="00B37F4A" w:rsidRDefault="00D42E55" w:rsidP="00274729">
      <w:pPr>
        <w:spacing w:before="2"/>
        <w:ind w:left="960" w:right="940"/>
        <w:rPr>
          <w:sz w:val="20"/>
        </w:rPr>
      </w:pPr>
      <w:r w:rsidRPr="00D21B08">
        <w:rPr>
          <w:rStyle w:val="Hyperlink"/>
          <w:color w:val="000000" w:themeColor="text1"/>
          <w:sz w:val="20"/>
          <w:u w:val="none"/>
        </w:rPr>
        <w:t>F</w:t>
      </w:r>
      <w:r w:rsidRPr="00D21B08">
        <w:rPr>
          <w:rStyle w:val="Hyperlink"/>
          <w:color w:val="000000" w:themeColor="text1"/>
          <w:sz w:val="16"/>
          <w:u w:val="none"/>
        </w:rPr>
        <w:t xml:space="preserve">INAL </w:t>
      </w:r>
      <w:r w:rsidRPr="00D21B08">
        <w:rPr>
          <w:rStyle w:val="Hyperlink"/>
          <w:color w:val="000000" w:themeColor="text1"/>
          <w:sz w:val="20"/>
          <w:u w:val="none"/>
        </w:rPr>
        <w:t>R</w:t>
      </w:r>
      <w:r w:rsidRPr="00D21B08">
        <w:rPr>
          <w:rStyle w:val="Hyperlink"/>
          <w:color w:val="000000" w:themeColor="text1"/>
          <w:sz w:val="16"/>
          <w:u w:val="none"/>
        </w:rPr>
        <w:t>ULEMAKING</w:t>
      </w:r>
      <w:r w:rsidR="00D21B08" w:rsidRPr="00D21B08">
        <w:rPr>
          <w:color w:val="000000" w:themeColor="text1"/>
          <w:sz w:val="20"/>
        </w:rPr>
        <w:fldChar w:fldCharType="end"/>
      </w:r>
      <w:r w:rsidRPr="00D21B08">
        <w:rPr>
          <w:color w:val="000000" w:themeColor="text1"/>
          <w:sz w:val="16"/>
        </w:rPr>
        <w:t xml:space="preserve"> </w:t>
      </w:r>
      <w:r w:rsidRPr="00D21B08">
        <w:rPr>
          <w:color w:val="000000" w:themeColor="text1"/>
          <w:sz w:val="20"/>
        </w:rPr>
        <w:t xml:space="preserve">§ </w:t>
      </w:r>
      <w:r>
        <w:rPr>
          <w:sz w:val="20"/>
        </w:rPr>
        <w:t xml:space="preserve">II.F at FR 93977-93979, </w:t>
      </w:r>
      <w:r>
        <w:rPr>
          <w:i/>
          <w:sz w:val="20"/>
        </w:rPr>
        <w:t xml:space="preserve">available at </w:t>
      </w:r>
      <w:hyperlink r:id="rId157">
        <w:r>
          <w:rPr>
            <w:color w:val="486794"/>
            <w:sz w:val="20"/>
            <w:u w:val="single" w:color="486794"/>
          </w:rPr>
          <w:t>https://www.govinfo.gov/content/pkg/FR-2024-</w:t>
        </w:r>
      </w:hyperlink>
      <w:r>
        <w:rPr>
          <w:color w:val="486794"/>
          <w:sz w:val="20"/>
        </w:rPr>
        <w:t xml:space="preserve"> </w:t>
      </w:r>
      <w:hyperlink r:id="rId158">
        <w:r>
          <w:rPr>
            <w:color w:val="486794"/>
            <w:sz w:val="20"/>
            <w:u w:val="single" w:color="486794"/>
          </w:rPr>
          <w:t>11-27/pdf/2024-25521.pdf</w:t>
        </w:r>
      </w:hyperlink>
      <w:r>
        <w:rPr>
          <w:color w:val="486794"/>
          <w:sz w:val="20"/>
        </w:rPr>
        <w:t xml:space="preserve"> </w:t>
      </w:r>
      <w:r>
        <w:rPr>
          <w:sz w:val="20"/>
        </w:rPr>
        <w:t>(last visited February 27, 2025). For calendar year 2025, CMS will adjust the outpatient</w:t>
      </w:r>
      <w:r>
        <w:rPr>
          <w:spacing w:val="-2"/>
          <w:sz w:val="20"/>
        </w:rPr>
        <w:t xml:space="preserve"> </w:t>
      </w:r>
      <w:r>
        <w:rPr>
          <w:sz w:val="20"/>
        </w:rPr>
        <w:t>payments</w:t>
      </w:r>
      <w:r>
        <w:rPr>
          <w:spacing w:val="-2"/>
          <w:sz w:val="20"/>
        </w:rPr>
        <w:t xml:space="preserve"> </w:t>
      </w:r>
      <w:r>
        <w:rPr>
          <w:sz w:val="20"/>
        </w:rPr>
        <w:t>of</w:t>
      </w:r>
      <w:r>
        <w:rPr>
          <w:spacing w:val="-3"/>
          <w:sz w:val="20"/>
        </w:rPr>
        <w:t xml:space="preserve"> </w:t>
      </w:r>
      <w:r>
        <w:rPr>
          <w:sz w:val="20"/>
        </w:rPr>
        <w:t>PPS-Exempt</w:t>
      </w:r>
      <w:r>
        <w:rPr>
          <w:spacing w:val="-2"/>
          <w:sz w:val="20"/>
        </w:rPr>
        <w:t xml:space="preserve"> </w:t>
      </w:r>
      <w:r>
        <w:rPr>
          <w:sz w:val="20"/>
        </w:rPr>
        <w:t>Cancer</w:t>
      </w:r>
      <w:r>
        <w:rPr>
          <w:spacing w:val="-2"/>
          <w:sz w:val="20"/>
        </w:rPr>
        <w:t xml:space="preserve"> </w:t>
      </w:r>
      <w:r>
        <w:rPr>
          <w:sz w:val="20"/>
        </w:rPr>
        <w:t>Hospitals</w:t>
      </w:r>
      <w:r>
        <w:rPr>
          <w:spacing w:val="-2"/>
          <w:sz w:val="20"/>
        </w:rPr>
        <w:t xml:space="preserve"> </w:t>
      </w:r>
      <w:r>
        <w:rPr>
          <w:sz w:val="20"/>
        </w:rPr>
        <w:t>such</w:t>
      </w:r>
      <w:r>
        <w:rPr>
          <w:spacing w:val="-3"/>
          <w:sz w:val="20"/>
        </w:rPr>
        <w:t xml:space="preserve"> </w:t>
      </w:r>
      <w:r>
        <w:rPr>
          <w:sz w:val="20"/>
        </w:rPr>
        <w:t>that</w:t>
      </w:r>
      <w:r>
        <w:rPr>
          <w:spacing w:val="-2"/>
          <w:sz w:val="20"/>
        </w:rPr>
        <w:t xml:space="preserve"> </w:t>
      </w:r>
      <w:r>
        <w:rPr>
          <w:sz w:val="20"/>
        </w:rPr>
        <w:t>the</w:t>
      </w:r>
      <w:r>
        <w:rPr>
          <w:spacing w:val="-4"/>
          <w:sz w:val="20"/>
        </w:rPr>
        <w:t xml:space="preserve"> </w:t>
      </w:r>
      <w:r>
        <w:rPr>
          <w:sz w:val="20"/>
        </w:rPr>
        <w:t>hospitals</w:t>
      </w:r>
      <w:r>
        <w:rPr>
          <w:spacing w:val="-2"/>
          <w:sz w:val="20"/>
        </w:rPr>
        <w:t xml:space="preserve"> </w:t>
      </w:r>
      <w:r>
        <w:rPr>
          <w:sz w:val="20"/>
        </w:rPr>
        <w:t>are</w:t>
      </w:r>
      <w:r>
        <w:rPr>
          <w:spacing w:val="-4"/>
          <w:sz w:val="20"/>
        </w:rPr>
        <w:t xml:space="preserve"> </w:t>
      </w:r>
      <w:r>
        <w:rPr>
          <w:sz w:val="20"/>
        </w:rPr>
        <w:t>reimbursed</w:t>
      </w:r>
      <w:r>
        <w:rPr>
          <w:spacing w:val="-2"/>
          <w:sz w:val="20"/>
        </w:rPr>
        <w:t xml:space="preserve"> </w:t>
      </w:r>
      <w:r>
        <w:rPr>
          <w:sz w:val="20"/>
        </w:rPr>
        <w:t>for</w:t>
      </w:r>
      <w:r>
        <w:rPr>
          <w:spacing w:val="-4"/>
          <w:sz w:val="20"/>
        </w:rPr>
        <w:t xml:space="preserve"> </w:t>
      </w:r>
      <w:r>
        <w:rPr>
          <w:sz w:val="20"/>
        </w:rPr>
        <w:t>87%</w:t>
      </w:r>
      <w:r>
        <w:rPr>
          <w:spacing w:val="-3"/>
          <w:sz w:val="20"/>
        </w:rPr>
        <w:t xml:space="preserve"> </w:t>
      </w:r>
      <w:r>
        <w:rPr>
          <w:sz w:val="20"/>
        </w:rPr>
        <w:t>of</w:t>
      </w:r>
      <w:r>
        <w:rPr>
          <w:spacing w:val="-3"/>
          <w:sz w:val="20"/>
        </w:rPr>
        <w:t xml:space="preserve"> </w:t>
      </w:r>
      <w:r>
        <w:rPr>
          <w:sz w:val="20"/>
        </w:rPr>
        <w:t>the cost of providing outpatient services to Medicare fee-for-service patients.</w:t>
      </w:r>
    </w:p>
  </w:footnote>
  <w:footnote w:id="142">
    <w:p w14:paraId="61B71BB2" w14:textId="52E3480B" w:rsidR="00B37F4A" w:rsidRDefault="00B37F4A" w:rsidP="00274729">
      <w:pPr>
        <w:pStyle w:val="FootnoteText"/>
        <w:ind w:left="960" w:right="940"/>
      </w:pPr>
      <w:r>
        <w:rPr>
          <w:rStyle w:val="FootnoteReference"/>
        </w:rPr>
        <w:footnoteRef/>
      </w:r>
      <w:r>
        <w:t xml:space="preserve"> </w:t>
      </w:r>
      <w:r>
        <w:rPr>
          <w:i/>
        </w:rPr>
        <w:t>See</w:t>
      </w:r>
      <w:r>
        <w:rPr>
          <w:i/>
          <w:spacing w:val="-4"/>
        </w:rPr>
        <w:t xml:space="preserve"> </w:t>
      </w:r>
      <w:r>
        <w:rPr>
          <w:i/>
        </w:rPr>
        <w:t>Id.,</w:t>
      </w:r>
      <w:r>
        <w:rPr>
          <w:i/>
          <w:spacing w:val="-3"/>
        </w:rPr>
        <w:t xml:space="preserve"> </w:t>
      </w:r>
      <w:r>
        <w:t>Table</w:t>
      </w:r>
      <w:r>
        <w:rPr>
          <w:spacing w:val="-4"/>
        </w:rPr>
        <w:t xml:space="preserve"> </w:t>
      </w:r>
      <w:r>
        <w:t>12</w:t>
      </w:r>
      <w:r>
        <w:rPr>
          <w:spacing w:val="-3"/>
        </w:rPr>
        <w:t xml:space="preserve"> </w:t>
      </w:r>
      <w:r>
        <w:rPr>
          <w:i/>
        </w:rPr>
        <w:t>at</w:t>
      </w:r>
      <w:r>
        <w:rPr>
          <w:i/>
          <w:spacing w:val="-4"/>
        </w:rPr>
        <w:t xml:space="preserve"> </w:t>
      </w:r>
      <w:r>
        <w:rPr>
          <w:spacing w:val="-2"/>
        </w:rPr>
        <w:t>93980.</w:t>
      </w:r>
    </w:p>
  </w:footnote>
  <w:footnote w:id="143">
    <w:p w14:paraId="705B760E" w14:textId="433B3879" w:rsidR="00274729" w:rsidRDefault="00274729" w:rsidP="00274729">
      <w:pPr>
        <w:pStyle w:val="FootnoteText"/>
        <w:ind w:left="960" w:right="940"/>
      </w:pPr>
      <w:r>
        <w:rPr>
          <w:rStyle w:val="FootnoteReference"/>
        </w:rPr>
        <w:footnoteRef/>
      </w:r>
      <w:r>
        <w:t xml:space="preserve"> The HPC provides this example because data were not available to fully adjust outpatient Medicare estimates for</w:t>
      </w:r>
      <w:r>
        <w:rPr>
          <w:spacing w:val="-1"/>
        </w:rPr>
        <w:t xml:space="preserve"> </w:t>
      </w:r>
      <w:r>
        <w:t>differences in Medicare</w:t>
      </w:r>
      <w:r>
        <w:rPr>
          <w:spacing w:val="-1"/>
        </w:rPr>
        <w:t xml:space="preserve"> </w:t>
      </w:r>
      <w:r>
        <w:t xml:space="preserve">outpatient services at BIDMC as compared to DFCI. As a lower-bound alternative estimate, if DFCI were to receive the lowest estimated adjustment percentage among PCHs (16.0% for James Cancer Hospital &amp; Solove Research Institute; </w:t>
      </w:r>
      <w:r>
        <w:rPr>
          <w:i/>
        </w:rPr>
        <w:t>See Id.</w:t>
      </w:r>
      <w:r>
        <w:t xml:space="preserve">) for care currently provided by BIDMC as opposed to its own adjustment, Medicare spending on oncology infusion and drugs would increase by $5.9 million. The assumption that DFCI would receive higher outpatient rates is also supported by a Government Accountability Office study that found Medicare payment adjustments resulted in outpatient payments to DFCI in FY2012 being 42.2% higher on average than payments Medicare would have made to PPS hospitals for comparable services. </w:t>
      </w:r>
      <w:r>
        <w:rPr>
          <w:i/>
        </w:rPr>
        <w:t xml:space="preserve">See </w:t>
      </w:r>
      <w:r>
        <w:t xml:space="preserve">GAO Cancer Hospitals Report, </w:t>
      </w:r>
      <w:r>
        <w:rPr>
          <w:i/>
        </w:rPr>
        <w:t xml:space="preserve">supra </w:t>
      </w:r>
      <w:r>
        <w:t xml:space="preserve">note </w:t>
      </w:r>
      <w:hyperlink w:anchor="_bookmark36" w:history="1">
        <w:r>
          <w:t>28,</w:t>
        </w:r>
      </w:hyperlink>
      <w:r>
        <w:t xml:space="preserve"> at 23-24.</w:t>
      </w:r>
      <w:r>
        <w:rPr>
          <w:spacing w:val="-2"/>
        </w:rPr>
        <w:t xml:space="preserve"> </w:t>
      </w:r>
      <w:r>
        <w:rPr>
          <w:i/>
        </w:rPr>
        <w:t>Cf</w:t>
      </w:r>
      <w:r>
        <w:t>.</w:t>
      </w:r>
      <w:r>
        <w:rPr>
          <w:spacing w:val="-2"/>
        </w:rPr>
        <w:t xml:space="preserve"> </w:t>
      </w:r>
      <w:r>
        <w:t>DFCI</w:t>
      </w:r>
      <w:r>
        <w:rPr>
          <w:spacing w:val="-2"/>
        </w:rPr>
        <w:t xml:space="preserve"> </w:t>
      </w:r>
      <w:r>
        <w:t>ICA,</w:t>
      </w:r>
      <w:r>
        <w:rPr>
          <w:spacing w:val="-2"/>
        </w:rPr>
        <w:t xml:space="preserve"> </w:t>
      </w:r>
      <w:r>
        <w:rPr>
          <w:i/>
        </w:rPr>
        <w:t>supra</w:t>
      </w:r>
      <w:r>
        <w:rPr>
          <w:i/>
          <w:spacing w:val="-4"/>
        </w:rPr>
        <w:t xml:space="preserve"> </w:t>
      </w:r>
      <w:r>
        <w:t>note</w:t>
      </w:r>
      <w:r>
        <w:rPr>
          <w:spacing w:val="-3"/>
        </w:rPr>
        <w:t xml:space="preserve"> </w:t>
      </w:r>
      <w:hyperlink w:anchor="_bookmark14" w:history="1">
        <w:r>
          <w:t>14,</w:t>
        </w:r>
      </w:hyperlink>
      <w:r>
        <w:rPr>
          <w:spacing w:val="-2"/>
        </w:rPr>
        <w:t xml:space="preserve"> </w:t>
      </w:r>
      <w:r>
        <w:t>at</w:t>
      </w:r>
      <w:r>
        <w:rPr>
          <w:spacing w:val="-2"/>
        </w:rPr>
        <w:t xml:space="preserve"> </w:t>
      </w:r>
      <w:r>
        <w:t>Table</w:t>
      </w:r>
      <w:r>
        <w:rPr>
          <w:spacing w:val="-4"/>
        </w:rPr>
        <w:t xml:space="preserve"> </w:t>
      </w:r>
      <w:r>
        <w:t>29</w:t>
      </w:r>
      <w:r>
        <w:rPr>
          <w:spacing w:val="-2"/>
        </w:rPr>
        <w:t xml:space="preserve"> </w:t>
      </w:r>
      <w:r>
        <w:t>and</w:t>
      </w:r>
      <w:r>
        <w:rPr>
          <w:spacing w:val="-2"/>
        </w:rPr>
        <w:t xml:space="preserve"> </w:t>
      </w:r>
      <w:r>
        <w:t>Table</w:t>
      </w:r>
      <w:r>
        <w:rPr>
          <w:spacing w:val="-4"/>
        </w:rPr>
        <w:t xml:space="preserve"> </w:t>
      </w:r>
      <w:r>
        <w:t>38</w:t>
      </w:r>
      <w:r>
        <w:rPr>
          <w:spacing w:val="-2"/>
        </w:rPr>
        <w:t xml:space="preserve"> </w:t>
      </w:r>
      <w:r>
        <w:t>(finding</w:t>
      </w:r>
      <w:r>
        <w:rPr>
          <w:spacing w:val="-3"/>
        </w:rPr>
        <w:t xml:space="preserve"> </w:t>
      </w:r>
      <w:r>
        <w:t>DFCI</w:t>
      </w:r>
      <w:r>
        <w:rPr>
          <w:spacing w:val="-2"/>
        </w:rPr>
        <w:t xml:space="preserve"> </w:t>
      </w:r>
      <w:r>
        <w:t>Medicare</w:t>
      </w:r>
      <w:r>
        <w:rPr>
          <w:spacing w:val="-1"/>
        </w:rPr>
        <w:t xml:space="preserve"> </w:t>
      </w:r>
      <w:r>
        <w:t>prices</w:t>
      </w:r>
      <w:r>
        <w:rPr>
          <w:spacing w:val="-2"/>
        </w:rPr>
        <w:t xml:space="preserve"> </w:t>
      </w:r>
      <w:r>
        <w:t>were</w:t>
      </w:r>
      <w:r>
        <w:rPr>
          <w:spacing w:val="-4"/>
        </w:rPr>
        <w:t xml:space="preserve"> </w:t>
      </w:r>
      <w:r>
        <w:t>lower</w:t>
      </w:r>
      <w:r>
        <w:rPr>
          <w:spacing w:val="-4"/>
        </w:rPr>
        <w:t xml:space="preserve"> </w:t>
      </w:r>
      <w:r>
        <w:t>than BIDMC and BWH for PET and LINAC services but higher for CT and CT simulator services). The HPC has not identified a comparable, more recent analysis.</w:t>
      </w:r>
    </w:p>
  </w:footnote>
  <w:footnote w:id="144">
    <w:p w14:paraId="58049D37" w14:textId="1010601D" w:rsidR="00710CA0" w:rsidRDefault="00710CA0" w:rsidP="00710CA0">
      <w:pPr>
        <w:spacing w:before="92" w:line="226" w:lineRule="exact"/>
        <w:ind w:left="960" w:right="940"/>
        <w:rPr>
          <w:i/>
          <w:sz w:val="20"/>
        </w:rPr>
      </w:pPr>
      <w:r>
        <w:rPr>
          <w:rStyle w:val="FootnoteReference"/>
        </w:rPr>
        <w:footnoteRef/>
      </w:r>
      <w:r>
        <w:t xml:space="preserve"> </w:t>
      </w:r>
      <w:r>
        <w:rPr>
          <w:i/>
          <w:sz w:val="20"/>
        </w:rPr>
        <w:t>See,</w:t>
      </w:r>
      <w:r>
        <w:rPr>
          <w:i/>
          <w:spacing w:val="-5"/>
          <w:sz w:val="20"/>
        </w:rPr>
        <w:t xml:space="preserve"> </w:t>
      </w:r>
      <w:r>
        <w:rPr>
          <w:i/>
          <w:sz w:val="20"/>
        </w:rPr>
        <w:t>e.g.,</w:t>
      </w:r>
      <w:r>
        <w:rPr>
          <w:i/>
          <w:spacing w:val="-5"/>
          <w:sz w:val="20"/>
        </w:rPr>
        <w:t xml:space="preserve"> </w:t>
      </w:r>
      <w:hyperlink r:id="rId159" w:history="1">
        <w:r w:rsidRPr="00A92F42">
          <w:rPr>
            <w:rStyle w:val="Hyperlink"/>
            <w:color w:val="000000" w:themeColor="text1"/>
            <w:sz w:val="20"/>
            <w:u w:val="none"/>
          </w:rPr>
          <w:t>U.S.</w:t>
        </w:r>
        <w:r w:rsidRPr="00A92F42">
          <w:rPr>
            <w:rStyle w:val="Hyperlink"/>
            <w:color w:val="000000" w:themeColor="text1"/>
            <w:spacing w:val="-12"/>
            <w:sz w:val="20"/>
            <w:u w:val="none"/>
          </w:rPr>
          <w:t xml:space="preserve"> </w:t>
        </w:r>
        <w:r w:rsidRPr="00A92F42">
          <w:rPr>
            <w:rStyle w:val="Hyperlink"/>
            <w:color w:val="000000" w:themeColor="text1"/>
            <w:sz w:val="20"/>
            <w:u w:val="none"/>
          </w:rPr>
          <w:t>D</w:t>
        </w:r>
        <w:r w:rsidRPr="00A92F42">
          <w:rPr>
            <w:rStyle w:val="Hyperlink"/>
            <w:color w:val="000000" w:themeColor="text1"/>
            <w:sz w:val="16"/>
            <w:u w:val="none"/>
          </w:rPr>
          <w:t>EP</w:t>
        </w:r>
        <w:r w:rsidRPr="00A92F42">
          <w:rPr>
            <w:rStyle w:val="Hyperlink"/>
            <w:color w:val="000000" w:themeColor="text1"/>
            <w:sz w:val="20"/>
            <w:u w:val="none"/>
          </w:rPr>
          <w:t>’</w:t>
        </w:r>
        <w:r w:rsidRPr="00A92F42">
          <w:rPr>
            <w:rStyle w:val="Hyperlink"/>
            <w:color w:val="000000" w:themeColor="text1"/>
            <w:sz w:val="16"/>
            <w:u w:val="none"/>
          </w:rPr>
          <w:t>T</w:t>
        </w:r>
        <w:r w:rsidRPr="00A92F42">
          <w:rPr>
            <w:rStyle w:val="Hyperlink"/>
            <w:color w:val="000000" w:themeColor="text1"/>
            <w:spacing w:val="-3"/>
            <w:sz w:val="16"/>
            <w:u w:val="none"/>
          </w:rPr>
          <w:t xml:space="preserve"> </w:t>
        </w:r>
        <w:r w:rsidRPr="00A92F42">
          <w:rPr>
            <w:rStyle w:val="Hyperlink"/>
            <w:color w:val="000000" w:themeColor="text1"/>
            <w:sz w:val="16"/>
            <w:u w:val="none"/>
          </w:rPr>
          <w:t>OF</w:t>
        </w:r>
        <w:r w:rsidRPr="00A92F42">
          <w:rPr>
            <w:rStyle w:val="Hyperlink"/>
            <w:color w:val="000000" w:themeColor="text1"/>
            <w:spacing w:val="-4"/>
            <w:sz w:val="16"/>
            <w:u w:val="none"/>
          </w:rPr>
          <w:t xml:space="preserve"> </w:t>
        </w:r>
        <w:r w:rsidRPr="00A92F42">
          <w:rPr>
            <w:rStyle w:val="Hyperlink"/>
            <w:color w:val="000000" w:themeColor="text1"/>
            <w:sz w:val="20"/>
            <w:u w:val="none"/>
          </w:rPr>
          <w:t>J</w:t>
        </w:r>
        <w:r w:rsidRPr="00A92F42">
          <w:rPr>
            <w:rStyle w:val="Hyperlink"/>
            <w:color w:val="000000" w:themeColor="text1"/>
            <w:sz w:val="16"/>
            <w:u w:val="none"/>
          </w:rPr>
          <w:t>USTICE</w:t>
        </w:r>
        <w:r w:rsidRPr="00A92F42">
          <w:rPr>
            <w:rStyle w:val="Hyperlink"/>
            <w:color w:val="000000" w:themeColor="text1"/>
            <w:spacing w:val="-4"/>
            <w:sz w:val="16"/>
            <w:u w:val="none"/>
          </w:rPr>
          <w:t xml:space="preserve"> </w:t>
        </w:r>
        <w:r w:rsidRPr="00A92F42">
          <w:rPr>
            <w:rStyle w:val="Hyperlink"/>
            <w:color w:val="000000" w:themeColor="text1"/>
            <w:sz w:val="20"/>
            <w:u w:val="none"/>
          </w:rPr>
          <w:t>&amp;</w:t>
        </w:r>
        <w:r w:rsidRPr="00A92F42">
          <w:rPr>
            <w:rStyle w:val="Hyperlink"/>
            <w:color w:val="000000" w:themeColor="text1"/>
            <w:spacing w:val="-12"/>
            <w:sz w:val="20"/>
            <w:u w:val="none"/>
          </w:rPr>
          <w:t xml:space="preserve"> </w:t>
        </w:r>
        <w:r w:rsidRPr="00A92F42">
          <w:rPr>
            <w:rStyle w:val="Hyperlink"/>
            <w:color w:val="000000" w:themeColor="text1"/>
            <w:sz w:val="20"/>
            <w:u w:val="none"/>
          </w:rPr>
          <w:t>F</w:t>
        </w:r>
        <w:r w:rsidRPr="00A92F42">
          <w:rPr>
            <w:rStyle w:val="Hyperlink"/>
            <w:color w:val="000000" w:themeColor="text1"/>
            <w:sz w:val="16"/>
            <w:u w:val="none"/>
          </w:rPr>
          <w:t>ED</w:t>
        </w:r>
        <w:r w:rsidRPr="00A92F42">
          <w:rPr>
            <w:rStyle w:val="Hyperlink"/>
            <w:color w:val="000000" w:themeColor="text1"/>
            <w:sz w:val="20"/>
            <w:u w:val="none"/>
          </w:rPr>
          <w:t>.</w:t>
        </w:r>
        <w:r w:rsidRPr="00A92F42">
          <w:rPr>
            <w:rStyle w:val="Hyperlink"/>
            <w:color w:val="000000" w:themeColor="text1"/>
            <w:spacing w:val="-13"/>
            <w:sz w:val="20"/>
            <w:u w:val="none"/>
          </w:rPr>
          <w:t xml:space="preserve"> </w:t>
        </w:r>
        <w:r w:rsidRPr="00A92F42">
          <w:rPr>
            <w:rStyle w:val="Hyperlink"/>
            <w:color w:val="000000" w:themeColor="text1"/>
            <w:sz w:val="20"/>
            <w:u w:val="none"/>
          </w:rPr>
          <w:t>T</w:t>
        </w:r>
        <w:r w:rsidRPr="00A92F42">
          <w:rPr>
            <w:rStyle w:val="Hyperlink"/>
            <w:color w:val="000000" w:themeColor="text1"/>
            <w:sz w:val="16"/>
            <w:u w:val="none"/>
          </w:rPr>
          <w:t>RADE</w:t>
        </w:r>
        <w:r w:rsidRPr="00A92F42">
          <w:rPr>
            <w:rStyle w:val="Hyperlink"/>
            <w:color w:val="000000" w:themeColor="text1"/>
            <w:spacing w:val="-5"/>
            <w:sz w:val="16"/>
            <w:u w:val="none"/>
          </w:rPr>
          <w:t xml:space="preserve"> </w:t>
        </w:r>
        <w:r w:rsidRPr="00A92F42">
          <w:rPr>
            <w:rStyle w:val="Hyperlink"/>
            <w:color w:val="000000" w:themeColor="text1"/>
            <w:sz w:val="20"/>
            <w:u w:val="none"/>
          </w:rPr>
          <w:t>C</w:t>
        </w:r>
        <w:r w:rsidRPr="00A92F42">
          <w:rPr>
            <w:rStyle w:val="Hyperlink"/>
            <w:color w:val="000000" w:themeColor="text1"/>
            <w:sz w:val="16"/>
            <w:u w:val="none"/>
          </w:rPr>
          <w:t>OMM</w:t>
        </w:r>
        <w:r w:rsidRPr="00A92F42">
          <w:rPr>
            <w:rStyle w:val="Hyperlink"/>
            <w:color w:val="000000" w:themeColor="text1"/>
            <w:sz w:val="20"/>
            <w:u w:val="none"/>
          </w:rPr>
          <w:t>’</w:t>
        </w:r>
        <w:r w:rsidRPr="00A92F42">
          <w:rPr>
            <w:rStyle w:val="Hyperlink"/>
            <w:color w:val="000000" w:themeColor="text1"/>
            <w:sz w:val="16"/>
            <w:u w:val="none"/>
          </w:rPr>
          <w:t>N</w:t>
        </w:r>
        <w:r w:rsidRPr="00A92F42">
          <w:rPr>
            <w:rStyle w:val="Hyperlink"/>
            <w:color w:val="000000" w:themeColor="text1"/>
            <w:sz w:val="20"/>
            <w:u w:val="none"/>
          </w:rPr>
          <w:t>,</w:t>
        </w:r>
        <w:r w:rsidRPr="00A92F42">
          <w:rPr>
            <w:rStyle w:val="Hyperlink"/>
            <w:color w:val="000000" w:themeColor="text1"/>
            <w:spacing w:val="-5"/>
            <w:sz w:val="20"/>
            <w:u w:val="none"/>
          </w:rPr>
          <w:t xml:space="preserve"> </w:t>
        </w:r>
        <w:r w:rsidRPr="00A92F42">
          <w:rPr>
            <w:rStyle w:val="Hyperlink"/>
            <w:color w:val="000000" w:themeColor="text1"/>
            <w:sz w:val="20"/>
            <w:u w:val="none"/>
          </w:rPr>
          <w:t>M</w:t>
        </w:r>
        <w:r w:rsidRPr="00A92F42">
          <w:rPr>
            <w:rStyle w:val="Hyperlink"/>
            <w:color w:val="000000" w:themeColor="text1"/>
            <w:sz w:val="16"/>
            <w:u w:val="none"/>
          </w:rPr>
          <w:t>ERGER</w:t>
        </w:r>
        <w:r w:rsidRPr="00A92F42">
          <w:rPr>
            <w:rStyle w:val="Hyperlink"/>
            <w:color w:val="000000" w:themeColor="text1"/>
            <w:spacing w:val="-4"/>
            <w:sz w:val="16"/>
            <w:u w:val="none"/>
          </w:rPr>
          <w:t xml:space="preserve"> </w:t>
        </w:r>
        <w:r w:rsidRPr="00A92F42">
          <w:rPr>
            <w:rStyle w:val="Hyperlink"/>
            <w:color w:val="000000" w:themeColor="text1"/>
            <w:sz w:val="20"/>
            <w:u w:val="none"/>
          </w:rPr>
          <w:t>G</w:t>
        </w:r>
        <w:r w:rsidRPr="00A92F42">
          <w:rPr>
            <w:rStyle w:val="Hyperlink"/>
            <w:color w:val="000000" w:themeColor="text1"/>
            <w:sz w:val="16"/>
            <w:u w:val="none"/>
          </w:rPr>
          <w:t>UIDELINES</w:t>
        </w:r>
      </w:hyperlink>
      <w:r w:rsidRPr="00A92F42">
        <w:rPr>
          <w:color w:val="000000" w:themeColor="text1"/>
          <w:spacing w:val="4"/>
          <w:sz w:val="16"/>
        </w:rPr>
        <w:t xml:space="preserve"> </w:t>
      </w:r>
      <w:r w:rsidRPr="00A92F42">
        <w:rPr>
          <w:color w:val="000000" w:themeColor="text1"/>
          <w:sz w:val="20"/>
        </w:rPr>
        <w:t>at</w:t>
      </w:r>
      <w:r w:rsidRPr="00A92F42">
        <w:rPr>
          <w:color w:val="000000" w:themeColor="text1"/>
          <w:spacing w:val="-5"/>
          <w:sz w:val="20"/>
        </w:rPr>
        <w:t xml:space="preserve"> </w:t>
      </w:r>
      <w:r>
        <w:rPr>
          <w:sz w:val="20"/>
        </w:rPr>
        <w:t>5</w:t>
      </w:r>
      <w:r>
        <w:rPr>
          <w:spacing w:val="-7"/>
          <w:sz w:val="20"/>
        </w:rPr>
        <w:t xml:space="preserve"> </w:t>
      </w:r>
      <w:r>
        <w:rPr>
          <w:sz w:val="20"/>
        </w:rPr>
        <w:t>(Dec.</w:t>
      </w:r>
      <w:r>
        <w:rPr>
          <w:spacing w:val="-5"/>
          <w:sz w:val="20"/>
        </w:rPr>
        <w:t xml:space="preserve"> </w:t>
      </w:r>
      <w:r>
        <w:rPr>
          <w:sz w:val="20"/>
        </w:rPr>
        <w:t>18,</w:t>
      </w:r>
      <w:r>
        <w:rPr>
          <w:spacing w:val="-7"/>
          <w:sz w:val="20"/>
        </w:rPr>
        <w:t xml:space="preserve"> </w:t>
      </w:r>
      <w:r>
        <w:rPr>
          <w:sz w:val="20"/>
        </w:rPr>
        <w:t>2023),</w:t>
      </w:r>
      <w:r>
        <w:rPr>
          <w:spacing w:val="-5"/>
          <w:sz w:val="20"/>
        </w:rPr>
        <w:t xml:space="preserve"> </w:t>
      </w:r>
      <w:r>
        <w:rPr>
          <w:i/>
          <w:sz w:val="20"/>
        </w:rPr>
        <w:t>available</w:t>
      </w:r>
      <w:r>
        <w:rPr>
          <w:i/>
          <w:spacing w:val="-5"/>
          <w:sz w:val="20"/>
        </w:rPr>
        <w:t xml:space="preserve"> at</w:t>
      </w:r>
    </w:p>
    <w:p w14:paraId="4410223E" w14:textId="3F4F9E11" w:rsidR="00710CA0" w:rsidRDefault="00710CA0" w:rsidP="00710CA0">
      <w:pPr>
        <w:ind w:left="960" w:right="940"/>
        <w:rPr>
          <w:sz w:val="20"/>
        </w:rPr>
      </w:pPr>
      <w:hyperlink r:id="rId160">
        <w:r>
          <w:rPr>
            <w:color w:val="486794"/>
            <w:sz w:val="20"/>
            <w:u w:val="single" w:color="486794"/>
          </w:rPr>
          <w:t>https://www.justice.gov/d9/2023-12/2023%20Merger%20Guidelines.pdf</w:t>
        </w:r>
      </w:hyperlink>
      <w:r>
        <w:rPr>
          <w:color w:val="486794"/>
          <w:spacing w:val="-7"/>
          <w:sz w:val="20"/>
        </w:rPr>
        <w:t xml:space="preserve"> </w:t>
      </w:r>
      <w:r>
        <w:rPr>
          <w:sz w:val="20"/>
        </w:rPr>
        <w:t>(describing</w:t>
      </w:r>
      <w:r>
        <w:rPr>
          <w:spacing w:val="-5"/>
          <w:sz w:val="20"/>
        </w:rPr>
        <w:t xml:space="preserve"> </w:t>
      </w:r>
      <w:r>
        <w:rPr>
          <w:sz w:val="20"/>
        </w:rPr>
        <w:t>the</w:t>
      </w:r>
      <w:r>
        <w:rPr>
          <w:spacing w:val="-9"/>
          <w:sz w:val="20"/>
        </w:rPr>
        <w:t xml:space="preserve"> </w:t>
      </w:r>
      <w:r>
        <w:rPr>
          <w:sz w:val="20"/>
        </w:rPr>
        <w:t>use</w:t>
      </w:r>
      <w:r>
        <w:rPr>
          <w:spacing w:val="-9"/>
          <w:sz w:val="20"/>
        </w:rPr>
        <w:t xml:space="preserve"> </w:t>
      </w:r>
      <w:r>
        <w:rPr>
          <w:sz w:val="20"/>
        </w:rPr>
        <w:t>of</w:t>
      </w:r>
      <w:r>
        <w:rPr>
          <w:spacing w:val="-8"/>
          <w:sz w:val="20"/>
        </w:rPr>
        <w:t xml:space="preserve"> </w:t>
      </w:r>
      <w:r>
        <w:rPr>
          <w:sz w:val="20"/>
        </w:rPr>
        <w:t xml:space="preserve">market share and market concentration as key screening tools for market changes that may enhance market power); </w:t>
      </w:r>
      <w:r>
        <w:rPr>
          <w:i/>
          <w:sz w:val="20"/>
        </w:rPr>
        <w:t xml:space="preserve">see also </w:t>
      </w:r>
      <w:hyperlink r:id="rId161" w:history="1">
        <w:r w:rsidRPr="00466598">
          <w:rPr>
            <w:rStyle w:val="Hyperlink"/>
            <w:color w:val="000000" w:themeColor="text1"/>
            <w:sz w:val="20"/>
            <w:u w:val="none"/>
          </w:rPr>
          <w:t>MA</w:t>
        </w:r>
        <w:r w:rsidRPr="00466598">
          <w:rPr>
            <w:rStyle w:val="Hyperlink"/>
            <w:color w:val="000000" w:themeColor="text1"/>
            <w:spacing w:val="-5"/>
            <w:sz w:val="20"/>
            <w:u w:val="none"/>
          </w:rPr>
          <w:t xml:space="preserve"> </w:t>
        </w:r>
        <w:r w:rsidRPr="00466598">
          <w:rPr>
            <w:rStyle w:val="Hyperlink"/>
            <w:color w:val="000000" w:themeColor="text1"/>
            <w:sz w:val="20"/>
            <w:u w:val="none"/>
          </w:rPr>
          <w:t>H</w:t>
        </w:r>
        <w:r w:rsidRPr="00466598">
          <w:rPr>
            <w:rStyle w:val="Hyperlink"/>
            <w:color w:val="000000" w:themeColor="text1"/>
            <w:sz w:val="16"/>
            <w:u w:val="none"/>
          </w:rPr>
          <w:t xml:space="preserve">EALTH </w:t>
        </w:r>
        <w:r w:rsidRPr="00466598">
          <w:rPr>
            <w:rStyle w:val="Hyperlink"/>
            <w:color w:val="000000" w:themeColor="text1"/>
            <w:sz w:val="20"/>
            <w:u w:val="none"/>
          </w:rPr>
          <w:t>P</w:t>
        </w:r>
        <w:r w:rsidRPr="00466598">
          <w:rPr>
            <w:rStyle w:val="Hyperlink"/>
            <w:color w:val="000000" w:themeColor="text1"/>
            <w:sz w:val="16"/>
            <w:u w:val="none"/>
          </w:rPr>
          <w:t xml:space="preserve">OLICY </w:t>
        </w:r>
        <w:r w:rsidRPr="00466598">
          <w:rPr>
            <w:rStyle w:val="Hyperlink"/>
            <w:color w:val="000000" w:themeColor="text1"/>
            <w:sz w:val="20"/>
            <w:u w:val="none"/>
          </w:rPr>
          <w:t>C</w:t>
        </w:r>
        <w:r w:rsidRPr="00466598">
          <w:rPr>
            <w:rStyle w:val="Hyperlink"/>
            <w:color w:val="000000" w:themeColor="text1"/>
            <w:sz w:val="16"/>
            <w:u w:val="none"/>
          </w:rPr>
          <w:t>OMM</w:t>
        </w:r>
        <w:r w:rsidRPr="00466598">
          <w:rPr>
            <w:rStyle w:val="Hyperlink"/>
            <w:color w:val="000000" w:themeColor="text1"/>
            <w:sz w:val="20"/>
            <w:u w:val="none"/>
          </w:rPr>
          <w:t>’</w:t>
        </w:r>
        <w:r w:rsidRPr="00466598">
          <w:rPr>
            <w:rStyle w:val="Hyperlink"/>
            <w:color w:val="000000" w:themeColor="text1"/>
            <w:sz w:val="16"/>
            <w:u w:val="none"/>
          </w:rPr>
          <w:t>N</w:t>
        </w:r>
        <w:r w:rsidRPr="00466598">
          <w:rPr>
            <w:rStyle w:val="Hyperlink"/>
            <w:color w:val="000000" w:themeColor="text1"/>
            <w:sz w:val="20"/>
            <w:u w:val="none"/>
          </w:rPr>
          <w:t>,</w:t>
        </w:r>
        <w:r w:rsidRPr="00466598">
          <w:rPr>
            <w:rStyle w:val="Hyperlink"/>
            <w:color w:val="000000" w:themeColor="text1"/>
            <w:spacing w:val="-5"/>
            <w:sz w:val="20"/>
            <w:u w:val="none"/>
          </w:rPr>
          <w:t xml:space="preserve"> </w:t>
        </w:r>
        <w:r w:rsidRPr="00466598">
          <w:rPr>
            <w:rStyle w:val="Hyperlink"/>
            <w:color w:val="000000" w:themeColor="text1"/>
            <w:sz w:val="20"/>
            <w:u w:val="none"/>
          </w:rPr>
          <w:t>2015</w:t>
        </w:r>
        <w:r w:rsidRPr="00466598">
          <w:rPr>
            <w:rStyle w:val="Hyperlink"/>
            <w:color w:val="000000" w:themeColor="text1"/>
            <w:spacing w:val="-5"/>
            <w:sz w:val="20"/>
            <w:u w:val="none"/>
          </w:rPr>
          <w:t xml:space="preserve"> </w:t>
        </w:r>
        <w:r w:rsidRPr="00466598">
          <w:rPr>
            <w:rStyle w:val="Hyperlink"/>
            <w:color w:val="000000" w:themeColor="text1"/>
            <w:sz w:val="20"/>
            <w:u w:val="none"/>
          </w:rPr>
          <w:t>C</w:t>
        </w:r>
        <w:r w:rsidRPr="00466598">
          <w:rPr>
            <w:rStyle w:val="Hyperlink"/>
            <w:color w:val="000000" w:themeColor="text1"/>
            <w:sz w:val="16"/>
            <w:u w:val="none"/>
          </w:rPr>
          <w:t xml:space="preserve">OST </w:t>
        </w:r>
        <w:r w:rsidRPr="00466598">
          <w:rPr>
            <w:rStyle w:val="Hyperlink"/>
            <w:color w:val="000000" w:themeColor="text1"/>
            <w:sz w:val="20"/>
            <w:u w:val="none"/>
          </w:rPr>
          <w:t>T</w:t>
        </w:r>
        <w:r w:rsidRPr="00466598">
          <w:rPr>
            <w:rStyle w:val="Hyperlink"/>
            <w:color w:val="000000" w:themeColor="text1"/>
            <w:sz w:val="16"/>
            <w:u w:val="none"/>
          </w:rPr>
          <w:t xml:space="preserve">RENDS </w:t>
        </w:r>
        <w:r w:rsidRPr="00466598">
          <w:rPr>
            <w:rStyle w:val="Hyperlink"/>
            <w:color w:val="000000" w:themeColor="text1"/>
            <w:sz w:val="20"/>
            <w:u w:val="none"/>
          </w:rPr>
          <w:t>R</w:t>
        </w:r>
        <w:r w:rsidRPr="00466598">
          <w:rPr>
            <w:rStyle w:val="Hyperlink"/>
            <w:color w:val="000000" w:themeColor="text1"/>
            <w:sz w:val="16"/>
            <w:u w:val="none"/>
          </w:rPr>
          <w:t xml:space="preserve">EPORT </w:t>
        </w:r>
        <w:r w:rsidRPr="00466598">
          <w:rPr>
            <w:rStyle w:val="Hyperlink"/>
            <w:color w:val="000000" w:themeColor="text1"/>
            <w:sz w:val="20"/>
            <w:u w:val="none"/>
          </w:rPr>
          <w:t>P</w:t>
        </w:r>
        <w:r w:rsidRPr="00466598">
          <w:rPr>
            <w:rStyle w:val="Hyperlink"/>
            <w:color w:val="000000" w:themeColor="text1"/>
            <w:sz w:val="16"/>
            <w:u w:val="none"/>
          </w:rPr>
          <w:t xml:space="preserve">ROVIDER </w:t>
        </w:r>
        <w:r w:rsidRPr="00466598">
          <w:rPr>
            <w:rStyle w:val="Hyperlink"/>
            <w:color w:val="000000" w:themeColor="text1"/>
            <w:sz w:val="20"/>
            <w:u w:val="none"/>
          </w:rPr>
          <w:t>P</w:t>
        </w:r>
        <w:r w:rsidRPr="00466598">
          <w:rPr>
            <w:rStyle w:val="Hyperlink"/>
            <w:color w:val="000000" w:themeColor="text1"/>
            <w:sz w:val="16"/>
            <w:u w:val="none"/>
          </w:rPr>
          <w:t xml:space="preserve">RICE </w:t>
        </w:r>
        <w:r w:rsidRPr="00466598">
          <w:rPr>
            <w:rStyle w:val="Hyperlink"/>
            <w:color w:val="000000" w:themeColor="text1"/>
            <w:sz w:val="20"/>
            <w:u w:val="none"/>
          </w:rPr>
          <w:t>V</w:t>
        </w:r>
        <w:r w:rsidRPr="00466598">
          <w:rPr>
            <w:rStyle w:val="Hyperlink"/>
            <w:color w:val="000000" w:themeColor="text1"/>
            <w:sz w:val="16"/>
            <w:u w:val="none"/>
          </w:rPr>
          <w:t>ARIATION</w:t>
        </w:r>
      </w:hyperlink>
      <w:r w:rsidRPr="00466598">
        <w:rPr>
          <w:color w:val="000000" w:themeColor="text1"/>
          <w:sz w:val="16"/>
        </w:rPr>
        <w:t xml:space="preserve"> </w:t>
      </w:r>
      <w:r w:rsidRPr="00466598">
        <w:rPr>
          <w:color w:val="000000" w:themeColor="text1"/>
          <w:sz w:val="20"/>
        </w:rPr>
        <w:t xml:space="preserve">at </w:t>
      </w:r>
      <w:r>
        <w:rPr>
          <w:sz w:val="20"/>
        </w:rPr>
        <w:t>12</w:t>
      </w:r>
      <w:r>
        <w:rPr>
          <w:spacing w:val="-2"/>
          <w:sz w:val="20"/>
        </w:rPr>
        <w:t xml:space="preserve"> </w:t>
      </w:r>
      <w:r>
        <w:rPr>
          <w:sz w:val="20"/>
        </w:rPr>
        <w:t>(J</w:t>
      </w:r>
      <w:r>
        <w:rPr>
          <w:sz w:val="16"/>
        </w:rPr>
        <w:t>AN</w:t>
      </w:r>
      <w:r>
        <w:rPr>
          <w:sz w:val="20"/>
        </w:rPr>
        <w:t>.</w:t>
      </w:r>
    </w:p>
    <w:p w14:paraId="352AD870" w14:textId="39FE8781" w:rsidR="00710CA0" w:rsidRDefault="00710CA0" w:rsidP="00710CA0">
      <w:pPr>
        <w:pStyle w:val="FootnoteText"/>
        <w:ind w:left="960" w:right="940"/>
      </w:pPr>
      <w:r>
        <w:t>2016),</w:t>
      </w:r>
      <w:r>
        <w:rPr>
          <w:spacing w:val="-9"/>
        </w:rPr>
        <w:t xml:space="preserve"> </w:t>
      </w:r>
      <w:r>
        <w:rPr>
          <w:i/>
        </w:rPr>
        <w:t>available at</w:t>
      </w:r>
      <w:r>
        <w:rPr>
          <w:i/>
          <w:spacing w:val="-11"/>
        </w:rPr>
        <w:t xml:space="preserve"> </w:t>
      </w:r>
      <w:hyperlink r:id="rId162">
        <w:r>
          <w:rPr>
            <w:color w:val="486794"/>
            <w:u w:val="single" w:color="486794"/>
          </w:rPr>
          <w:t>https://www.mass.gov/doc/2015-cost-trends-report-provider-price-variation/download</w:t>
        </w:r>
        <w:r>
          <w:t>.</w:t>
        </w:r>
      </w:hyperlink>
    </w:p>
  </w:footnote>
  <w:footnote w:id="145">
    <w:p w14:paraId="33B77DA8" w14:textId="20514BF2" w:rsidR="00710CA0" w:rsidRDefault="00710CA0" w:rsidP="00710CA0">
      <w:pPr>
        <w:pStyle w:val="FootnoteText"/>
        <w:ind w:left="960" w:right="940"/>
      </w:pPr>
      <w:r>
        <w:rPr>
          <w:rStyle w:val="FootnoteReference"/>
        </w:rPr>
        <w:footnoteRef/>
      </w:r>
      <w:r>
        <w:t xml:space="preserve"> DFCI</w:t>
      </w:r>
      <w:r>
        <w:rPr>
          <w:spacing w:val="-2"/>
        </w:rPr>
        <w:t xml:space="preserve"> </w:t>
      </w:r>
      <w:r>
        <w:t>has</w:t>
      </w:r>
      <w:r>
        <w:rPr>
          <w:spacing w:val="-2"/>
        </w:rPr>
        <w:t xml:space="preserve"> </w:t>
      </w:r>
      <w:r>
        <w:t>stated</w:t>
      </w:r>
      <w:r>
        <w:rPr>
          <w:spacing w:val="-2"/>
        </w:rPr>
        <w:t xml:space="preserve"> </w:t>
      </w:r>
      <w:r>
        <w:t>it</w:t>
      </w:r>
      <w:r>
        <w:rPr>
          <w:spacing w:val="-2"/>
        </w:rPr>
        <w:t xml:space="preserve"> </w:t>
      </w:r>
      <w:r>
        <w:t>does</w:t>
      </w:r>
      <w:r>
        <w:rPr>
          <w:spacing w:val="-2"/>
        </w:rPr>
        <w:t xml:space="preserve"> </w:t>
      </w:r>
      <w:r>
        <w:t>not</w:t>
      </w:r>
      <w:r>
        <w:rPr>
          <w:spacing w:val="-4"/>
        </w:rPr>
        <w:t xml:space="preserve"> </w:t>
      </w:r>
      <w:r>
        <w:t>plan</w:t>
      </w:r>
      <w:r>
        <w:rPr>
          <w:spacing w:val="-3"/>
        </w:rPr>
        <w:t xml:space="preserve"> </w:t>
      </w:r>
      <w:r>
        <w:t>to</w:t>
      </w:r>
      <w:r>
        <w:rPr>
          <w:spacing w:val="-3"/>
        </w:rPr>
        <w:t xml:space="preserve"> </w:t>
      </w:r>
      <w:r>
        <w:t>recruit</w:t>
      </w:r>
      <w:r>
        <w:rPr>
          <w:spacing w:val="-2"/>
        </w:rPr>
        <w:t xml:space="preserve"> </w:t>
      </w:r>
      <w:r>
        <w:t>new</w:t>
      </w:r>
      <w:r>
        <w:rPr>
          <w:spacing w:val="-3"/>
        </w:rPr>
        <w:t xml:space="preserve"> </w:t>
      </w:r>
      <w:r>
        <w:t>staff</w:t>
      </w:r>
      <w:r>
        <w:rPr>
          <w:spacing w:val="-3"/>
        </w:rPr>
        <w:t xml:space="preserve"> </w:t>
      </w:r>
      <w:r>
        <w:t>away</w:t>
      </w:r>
      <w:r>
        <w:rPr>
          <w:spacing w:val="-4"/>
        </w:rPr>
        <w:t xml:space="preserve"> </w:t>
      </w:r>
      <w:r>
        <w:t>from</w:t>
      </w:r>
      <w:r>
        <w:rPr>
          <w:spacing w:val="-2"/>
        </w:rPr>
        <w:t xml:space="preserve"> </w:t>
      </w:r>
      <w:r>
        <w:t>community</w:t>
      </w:r>
      <w:r>
        <w:rPr>
          <w:spacing w:val="-4"/>
        </w:rPr>
        <w:t xml:space="preserve"> </w:t>
      </w:r>
      <w:r>
        <w:t>hospitals</w:t>
      </w:r>
      <w:r>
        <w:rPr>
          <w:spacing w:val="-2"/>
        </w:rPr>
        <w:t xml:space="preserve"> </w:t>
      </w:r>
      <w:r>
        <w:t>and</w:t>
      </w:r>
      <w:r>
        <w:rPr>
          <w:spacing w:val="-2"/>
        </w:rPr>
        <w:t xml:space="preserve"> </w:t>
      </w:r>
      <w:r>
        <w:t>has</w:t>
      </w:r>
      <w:r>
        <w:rPr>
          <w:spacing w:val="-2"/>
        </w:rPr>
        <w:t xml:space="preserve"> </w:t>
      </w:r>
      <w:r>
        <w:t>highlighted its</w:t>
      </w:r>
      <w:r>
        <w:rPr>
          <w:spacing w:val="-1"/>
        </w:rPr>
        <w:t xml:space="preserve"> </w:t>
      </w:r>
      <w:r>
        <w:t>intention</w:t>
      </w:r>
      <w:r>
        <w:rPr>
          <w:spacing w:val="-2"/>
        </w:rPr>
        <w:t xml:space="preserve"> </w:t>
      </w:r>
      <w:r>
        <w:t>to</w:t>
      </w:r>
      <w:r>
        <w:rPr>
          <w:spacing w:val="-2"/>
        </w:rPr>
        <w:t xml:space="preserve"> </w:t>
      </w:r>
      <w:r>
        <w:t>use</w:t>
      </w:r>
      <w:r>
        <w:rPr>
          <w:spacing w:val="-3"/>
        </w:rPr>
        <w:t xml:space="preserve"> </w:t>
      </w:r>
      <w:r>
        <w:t>workforce development</w:t>
      </w:r>
      <w:r>
        <w:rPr>
          <w:spacing w:val="-1"/>
        </w:rPr>
        <w:t xml:space="preserve"> </w:t>
      </w:r>
      <w:r>
        <w:t>initiatives</w:t>
      </w:r>
      <w:r>
        <w:rPr>
          <w:spacing w:val="-1"/>
        </w:rPr>
        <w:t xml:space="preserve"> </w:t>
      </w:r>
      <w:r>
        <w:t>to</w:t>
      </w:r>
      <w:r>
        <w:rPr>
          <w:spacing w:val="-2"/>
        </w:rPr>
        <w:t xml:space="preserve"> </w:t>
      </w:r>
      <w:r>
        <w:t>build</w:t>
      </w:r>
      <w:r>
        <w:rPr>
          <w:spacing w:val="-1"/>
        </w:rPr>
        <w:t xml:space="preserve"> </w:t>
      </w:r>
      <w:r>
        <w:t>a</w:t>
      </w:r>
      <w:r>
        <w:rPr>
          <w:spacing w:val="-2"/>
        </w:rPr>
        <w:t xml:space="preserve"> </w:t>
      </w:r>
      <w:r>
        <w:t>diverse</w:t>
      </w:r>
      <w:r>
        <w:rPr>
          <w:spacing w:val="-1"/>
        </w:rPr>
        <w:t xml:space="preserve"> </w:t>
      </w:r>
      <w:r>
        <w:t>workforce.</w:t>
      </w:r>
      <w:r>
        <w:rPr>
          <w:spacing w:val="-1"/>
        </w:rPr>
        <w:t xml:space="preserve"> </w:t>
      </w:r>
      <w:r>
        <w:t>DFCI</w:t>
      </w:r>
      <w:r>
        <w:rPr>
          <w:spacing w:val="-1"/>
        </w:rPr>
        <w:t xml:space="preserve"> </w:t>
      </w:r>
      <w:r>
        <w:t>S</w:t>
      </w:r>
      <w:r>
        <w:rPr>
          <w:sz w:val="16"/>
        </w:rPr>
        <w:t>TAFF</w:t>
      </w:r>
      <w:r>
        <w:rPr>
          <w:spacing w:val="-2"/>
          <w:sz w:val="16"/>
        </w:rPr>
        <w:t xml:space="preserve"> </w:t>
      </w:r>
      <w:r>
        <w:t>R</w:t>
      </w:r>
      <w:r>
        <w:rPr>
          <w:sz w:val="16"/>
        </w:rPr>
        <w:t>EPORT</w:t>
      </w:r>
      <w:r>
        <w:t>,</w:t>
      </w:r>
      <w:r>
        <w:rPr>
          <w:spacing w:val="-4"/>
        </w:rPr>
        <w:t xml:space="preserve"> </w:t>
      </w:r>
      <w:r>
        <w:rPr>
          <w:i/>
        </w:rPr>
        <w:t xml:space="preserve">supra </w:t>
      </w:r>
      <w:r>
        <w:t xml:space="preserve">note </w:t>
      </w:r>
      <w:hyperlink w:anchor="_bookmark15" w:history="1">
        <w:r>
          <w:t>15,</w:t>
        </w:r>
      </w:hyperlink>
      <w:r>
        <w:t xml:space="preserve"> at 44-45. Given that it is unclear to what extent these programs will result in new workers who would not otherwise have joined the health care labor force or to what extent they will satisfy DFCI’s expectations for 2,400 additional FTEs to staff the new facility, the HPC considers it likely that DFCI will</w:t>
      </w:r>
      <w:r w:rsidRPr="00710CA0">
        <w:t xml:space="preserve"> </w:t>
      </w:r>
      <w:r>
        <w:t>compete to hire the same workers who might otherwise choose to work at other provider organizations.</w:t>
      </w:r>
    </w:p>
  </w:footnote>
  <w:footnote w:id="146">
    <w:p w14:paraId="478F72B2" w14:textId="77777777" w:rsidR="00D301C4" w:rsidRDefault="00197F90" w:rsidP="00D301C4">
      <w:pPr>
        <w:spacing w:before="92"/>
        <w:ind w:left="959" w:right="702"/>
        <w:rPr>
          <w:sz w:val="20"/>
        </w:rPr>
      </w:pPr>
      <w:r>
        <w:rPr>
          <w:rStyle w:val="FootnoteReference"/>
        </w:rPr>
        <w:footnoteRef/>
      </w:r>
      <w:r>
        <w:t xml:space="preserve"> </w:t>
      </w:r>
      <w:r w:rsidR="00D301C4">
        <w:rPr>
          <w:i/>
          <w:sz w:val="20"/>
        </w:rPr>
        <w:t xml:space="preserve">See </w:t>
      </w:r>
      <w:r w:rsidR="00D301C4">
        <w:rPr>
          <w:sz w:val="20"/>
        </w:rPr>
        <w:t xml:space="preserve">DFCI ICA, </w:t>
      </w:r>
      <w:r w:rsidR="00D301C4">
        <w:rPr>
          <w:i/>
          <w:sz w:val="20"/>
        </w:rPr>
        <w:t xml:space="preserve">supra </w:t>
      </w:r>
      <w:r w:rsidR="00D301C4">
        <w:rPr>
          <w:sz w:val="20"/>
        </w:rPr>
        <w:t xml:space="preserve">note </w:t>
      </w:r>
      <w:hyperlink w:anchor="_bookmark14" w:history="1">
        <w:r w:rsidR="00D301C4">
          <w:rPr>
            <w:sz w:val="20"/>
          </w:rPr>
          <w:t>14,</w:t>
        </w:r>
      </w:hyperlink>
      <w:r w:rsidR="00D301C4">
        <w:rPr>
          <w:sz w:val="20"/>
        </w:rPr>
        <w:t xml:space="preserve"> at 41-44 (predicting inpatient savings of $28.4 million at current prices, savings</w:t>
      </w:r>
      <w:r w:rsidR="00D301C4">
        <w:rPr>
          <w:spacing w:val="-3"/>
          <w:sz w:val="20"/>
        </w:rPr>
        <w:t xml:space="preserve"> </w:t>
      </w:r>
      <w:r w:rsidR="00D301C4">
        <w:rPr>
          <w:sz w:val="20"/>
        </w:rPr>
        <w:t>of</w:t>
      </w:r>
      <w:r w:rsidR="00D301C4">
        <w:rPr>
          <w:spacing w:val="-4"/>
          <w:sz w:val="20"/>
        </w:rPr>
        <w:t xml:space="preserve"> </w:t>
      </w:r>
      <w:r w:rsidR="00D301C4">
        <w:rPr>
          <w:sz w:val="20"/>
        </w:rPr>
        <w:t>$8.6</w:t>
      </w:r>
      <w:r w:rsidR="00D301C4">
        <w:rPr>
          <w:spacing w:val="-3"/>
          <w:sz w:val="20"/>
        </w:rPr>
        <w:t xml:space="preserve"> </w:t>
      </w:r>
      <w:r w:rsidR="00D301C4">
        <w:rPr>
          <w:sz w:val="20"/>
        </w:rPr>
        <w:t>million</w:t>
      </w:r>
      <w:r w:rsidR="00D301C4">
        <w:rPr>
          <w:spacing w:val="-4"/>
          <w:sz w:val="20"/>
        </w:rPr>
        <w:t xml:space="preserve"> </w:t>
      </w:r>
      <w:r w:rsidR="00D301C4">
        <w:rPr>
          <w:sz w:val="20"/>
        </w:rPr>
        <w:t>if</w:t>
      </w:r>
      <w:r w:rsidR="00D301C4">
        <w:rPr>
          <w:spacing w:val="-4"/>
          <w:sz w:val="20"/>
        </w:rPr>
        <w:t xml:space="preserve"> </w:t>
      </w:r>
      <w:r w:rsidR="00D301C4">
        <w:rPr>
          <w:sz w:val="20"/>
        </w:rPr>
        <w:t>DFCI</w:t>
      </w:r>
      <w:r w:rsidR="00D301C4">
        <w:rPr>
          <w:spacing w:val="-3"/>
          <w:sz w:val="20"/>
        </w:rPr>
        <w:t xml:space="preserve"> </w:t>
      </w:r>
      <w:r w:rsidR="00D301C4">
        <w:rPr>
          <w:sz w:val="20"/>
        </w:rPr>
        <w:t>received</w:t>
      </w:r>
      <w:r w:rsidR="00D301C4">
        <w:rPr>
          <w:spacing w:val="-3"/>
          <w:sz w:val="20"/>
        </w:rPr>
        <w:t xml:space="preserve"> </w:t>
      </w:r>
      <w:r w:rsidR="00D301C4">
        <w:rPr>
          <w:sz w:val="20"/>
        </w:rPr>
        <w:t>BIDMC</w:t>
      </w:r>
      <w:r w:rsidR="00D301C4">
        <w:rPr>
          <w:spacing w:val="-4"/>
          <w:sz w:val="20"/>
        </w:rPr>
        <w:t xml:space="preserve"> </w:t>
      </w:r>
      <w:r w:rsidR="00D301C4">
        <w:rPr>
          <w:sz w:val="20"/>
        </w:rPr>
        <w:t>commercial</w:t>
      </w:r>
      <w:r w:rsidR="00D301C4">
        <w:rPr>
          <w:spacing w:val="-4"/>
          <w:sz w:val="20"/>
        </w:rPr>
        <w:t xml:space="preserve"> </w:t>
      </w:r>
      <w:r w:rsidR="00D301C4">
        <w:rPr>
          <w:sz w:val="20"/>
        </w:rPr>
        <w:t>and</w:t>
      </w:r>
      <w:r w:rsidR="00D301C4">
        <w:rPr>
          <w:spacing w:val="-3"/>
          <w:sz w:val="20"/>
        </w:rPr>
        <w:t xml:space="preserve"> </w:t>
      </w:r>
      <w:r w:rsidR="00D301C4">
        <w:rPr>
          <w:sz w:val="20"/>
        </w:rPr>
        <w:t>Medicare</w:t>
      </w:r>
      <w:r w:rsidR="00D301C4">
        <w:rPr>
          <w:spacing w:val="-4"/>
          <w:sz w:val="20"/>
        </w:rPr>
        <w:t xml:space="preserve"> </w:t>
      </w:r>
      <w:r w:rsidR="00D301C4">
        <w:rPr>
          <w:sz w:val="20"/>
        </w:rPr>
        <w:t>prices,</w:t>
      </w:r>
      <w:r w:rsidR="00D301C4">
        <w:rPr>
          <w:spacing w:val="-3"/>
          <w:sz w:val="20"/>
        </w:rPr>
        <w:t xml:space="preserve"> </w:t>
      </w:r>
      <w:r w:rsidR="00D301C4">
        <w:rPr>
          <w:sz w:val="20"/>
        </w:rPr>
        <w:t>and</w:t>
      </w:r>
      <w:r w:rsidR="00D301C4">
        <w:rPr>
          <w:spacing w:val="-3"/>
          <w:sz w:val="20"/>
        </w:rPr>
        <w:t xml:space="preserve"> </w:t>
      </w:r>
      <w:r w:rsidR="00D301C4">
        <w:rPr>
          <w:sz w:val="20"/>
        </w:rPr>
        <w:t>increased</w:t>
      </w:r>
      <w:r w:rsidR="00D301C4">
        <w:rPr>
          <w:spacing w:val="-3"/>
          <w:sz w:val="20"/>
        </w:rPr>
        <w:t xml:space="preserve"> </w:t>
      </w:r>
      <w:r w:rsidR="00D301C4">
        <w:rPr>
          <w:sz w:val="20"/>
        </w:rPr>
        <w:t>spending</w:t>
      </w:r>
      <w:r w:rsidR="00D301C4">
        <w:rPr>
          <w:spacing w:val="-4"/>
          <w:sz w:val="20"/>
        </w:rPr>
        <w:t xml:space="preserve"> </w:t>
      </w:r>
      <w:r w:rsidR="00D301C4">
        <w:rPr>
          <w:sz w:val="20"/>
        </w:rPr>
        <w:t>of</w:t>
      </w:r>
    </w:p>
    <w:p w14:paraId="652FE1BE" w14:textId="77777777" w:rsidR="00D301C4" w:rsidRDefault="00D301C4" w:rsidP="00D301C4">
      <w:pPr>
        <w:spacing w:before="1"/>
        <w:ind w:left="959" w:right="702"/>
        <w:rPr>
          <w:sz w:val="20"/>
        </w:rPr>
      </w:pPr>
      <w:r>
        <w:rPr>
          <w:sz w:val="20"/>
        </w:rPr>
        <w:t>$10.9</w:t>
      </w:r>
      <w:r>
        <w:rPr>
          <w:spacing w:val="-2"/>
          <w:sz w:val="20"/>
        </w:rPr>
        <w:t xml:space="preserve"> </w:t>
      </w:r>
      <w:r>
        <w:rPr>
          <w:sz w:val="20"/>
        </w:rPr>
        <w:t>million</w:t>
      </w:r>
      <w:r>
        <w:rPr>
          <w:spacing w:val="-3"/>
          <w:sz w:val="20"/>
        </w:rPr>
        <w:t xml:space="preserve"> </w:t>
      </w:r>
      <w:r>
        <w:rPr>
          <w:sz w:val="20"/>
        </w:rPr>
        <w:t>if</w:t>
      </w:r>
      <w:r>
        <w:rPr>
          <w:spacing w:val="-3"/>
          <w:sz w:val="20"/>
        </w:rPr>
        <w:t xml:space="preserve"> </w:t>
      </w:r>
      <w:r>
        <w:rPr>
          <w:sz w:val="20"/>
        </w:rPr>
        <w:t>DFCI</w:t>
      </w:r>
      <w:r>
        <w:rPr>
          <w:spacing w:val="-2"/>
          <w:sz w:val="20"/>
        </w:rPr>
        <w:t xml:space="preserve"> </w:t>
      </w:r>
      <w:r>
        <w:rPr>
          <w:sz w:val="20"/>
        </w:rPr>
        <w:t>received</w:t>
      </w:r>
      <w:r>
        <w:rPr>
          <w:spacing w:val="-2"/>
          <w:sz w:val="20"/>
        </w:rPr>
        <w:t xml:space="preserve"> </w:t>
      </w:r>
      <w:r>
        <w:rPr>
          <w:sz w:val="20"/>
        </w:rPr>
        <w:t>Commercial</w:t>
      </w:r>
      <w:r>
        <w:rPr>
          <w:spacing w:val="-3"/>
          <w:sz w:val="20"/>
        </w:rPr>
        <w:t xml:space="preserve"> </w:t>
      </w:r>
      <w:r>
        <w:rPr>
          <w:sz w:val="20"/>
        </w:rPr>
        <w:t>prices</w:t>
      </w:r>
      <w:r>
        <w:rPr>
          <w:spacing w:val="-2"/>
          <w:sz w:val="20"/>
        </w:rPr>
        <w:t xml:space="preserve"> </w:t>
      </w:r>
      <w:r>
        <w:rPr>
          <w:sz w:val="20"/>
        </w:rPr>
        <w:t>more</w:t>
      </w:r>
      <w:r>
        <w:rPr>
          <w:spacing w:val="-4"/>
          <w:sz w:val="20"/>
        </w:rPr>
        <w:t xml:space="preserve"> </w:t>
      </w:r>
      <w:proofErr w:type="gramStart"/>
      <w:r>
        <w:rPr>
          <w:sz w:val="20"/>
        </w:rPr>
        <w:t>similar</w:t>
      </w:r>
      <w:r>
        <w:rPr>
          <w:spacing w:val="-4"/>
          <w:sz w:val="20"/>
        </w:rPr>
        <w:t xml:space="preserve"> </w:t>
      </w:r>
      <w:r>
        <w:rPr>
          <w:sz w:val="20"/>
        </w:rPr>
        <w:t>to</w:t>
      </w:r>
      <w:proofErr w:type="gramEnd"/>
      <w:r>
        <w:rPr>
          <w:spacing w:val="-3"/>
          <w:sz w:val="20"/>
        </w:rPr>
        <w:t xml:space="preserve"> </w:t>
      </w:r>
      <w:r>
        <w:rPr>
          <w:sz w:val="20"/>
        </w:rPr>
        <w:t>those</w:t>
      </w:r>
      <w:r>
        <w:rPr>
          <w:spacing w:val="-4"/>
          <w:sz w:val="20"/>
        </w:rPr>
        <w:t xml:space="preserve"> </w:t>
      </w:r>
      <w:r>
        <w:rPr>
          <w:sz w:val="20"/>
        </w:rPr>
        <w:t>of</w:t>
      </w:r>
      <w:r>
        <w:rPr>
          <w:spacing w:val="-3"/>
          <w:sz w:val="20"/>
        </w:rPr>
        <w:t xml:space="preserve"> </w:t>
      </w:r>
      <w:r>
        <w:rPr>
          <w:sz w:val="20"/>
        </w:rPr>
        <w:t>BWH</w:t>
      </w:r>
      <w:r>
        <w:rPr>
          <w:spacing w:val="-4"/>
          <w:sz w:val="20"/>
        </w:rPr>
        <w:t xml:space="preserve"> </w:t>
      </w:r>
      <w:r>
        <w:rPr>
          <w:sz w:val="20"/>
        </w:rPr>
        <w:t>and Medicare</w:t>
      </w:r>
      <w:r>
        <w:rPr>
          <w:spacing w:val="-4"/>
          <w:sz w:val="20"/>
        </w:rPr>
        <w:t xml:space="preserve"> </w:t>
      </w:r>
      <w:r>
        <w:rPr>
          <w:sz w:val="20"/>
        </w:rPr>
        <w:t>prices</w:t>
      </w:r>
      <w:r>
        <w:rPr>
          <w:spacing w:val="-2"/>
          <w:sz w:val="20"/>
        </w:rPr>
        <w:t xml:space="preserve"> </w:t>
      </w:r>
      <w:r>
        <w:rPr>
          <w:sz w:val="20"/>
        </w:rPr>
        <w:t>more similar to those of other freestanding cancer centers).</w:t>
      </w:r>
    </w:p>
    <w:p w14:paraId="4677018D" w14:textId="78F41002" w:rsidR="00197F90" w:rsidRDefault="00197F90">
      <w:pPr>
        <w:pStyle w:val="FootnoteText"/>
      </w:pPr>
    </w:p>
  </w:footnote>
  <w:footnote w:id="147">
    <w:p w14:paraId="2EBC0E6B" w14:textId="343266F8" w:rsidR="009F6894" w:rsidRDefault="009F6894" w:rsidP="005A5BB9">
      <w:pPr>
        <w:pStyle w:val="FootnoteText"/>
        <w:ind w:left="900" w:right="940"/>
      </w:pPr>
      <w:r>
        <w:rPr>
          <w:rStyle w:val="FootnoteReference"/>
        </w:rPr>
        <w:footnoteRef/>
      </w:r>
      <w:r>
        <w:t xml:space="preserve"> </w:t>
      </w:r>
      <w:hyperlink r:id="rId163" w:history="1">
        <w:r w:rsidRPr="00E530B0">
          <w:rPr>
            <w:rStyle w:val="Hyperlink"/>
            <w:i/>
            <w:color w:val="000000" w:themeColor="text1"/>
            <w:u w:val="none"/>
          </w:rPr>
          <w:t>Best Hospitals for Cancer</w:t>
        </w:r>
      </w:hyperlink>
      <w:r w:rsidRPr="00E530B0">
        <w:rPr>
          <w:color w:val="000000" w:themeColor="text1"/>
        </w:rPr>
        <w:t xml:space="preserve">, US </w:t>
      </w:r>
      <w:r>
        <w:t>N</w:t>
      </w:r>
      <w:r>
        <w:rPr>
          <w:sz w:val="16"/>
        </w:rPr>
        <w:t>EWS</w:t>
      </w:r>
      <w:r>
        <w:t xml:space="preserve">, </w:t>
      </w:r>
      <w:r>
        <w:rPr>
          <w:i/>
        </w:rPr>
        <w:t xml:space="preserve">available at </w:t>
      </w:r>
      <w:hyperlink r:id="rId164">
        <w:r>
          <w:rPr>
            <w:color w:val="486794"/>
            <w:u w:val="single" w:color="486794"/>
          </w:rPr>
          <w:t>https://health.usnews.com/best-</w:t>
        </w:r>
      </w:hyperlink>
      <w:r>
        <w:rPr>
          <w:color w:val="486794"/>
        </w:rPr>
        <w:t xml:space="preserve"> </w:t>
      </w:r>
      <w:hyperlink r:id="rId165">
        <w:r>
          <w:rPr>
            <w:color w:val="486794"/>
            <w:u w:val="single" w:color="486794"/>
          </w:rPr>
          <w:t>hospitals/rankings/cancer</w:t>
        </w:r>
      </w:hyperlink>
      <w:r>
        <w:rPr>
          <w:color w:val="486794"/>
        </w:rPr>
        <w:t xml:space="preserve"> </w:t>
      </w:r>
      <w:r>
        <w:t>(last visited February 27, 2025) (“U.S. News includes Brigham and Women's Hospital in evaluating the performance of Dana-Farber Cancer Institute in Cancer, Colon Cancer Surgery and</w:t>
      </w:r>
      <w:r>
        <w:rPr>
          <w:spacing w:val="-3"/>
        </w:rPr>
        <w:t xml:space="preserve"> </w:t>
      </w:r>
      <w:r>
        <w:t>Lung</w:t>
      </w:r>
      <w:r>
        <w:rPr>
          <w:spacing w:val="-3"/>
        </w:rPr>
        <w:t xml:space="preserve"> </w:t>
      </w:r>
      <w:r>
        <w:t>Cancer</w:t>
      </w:r>
      <w:r>
        <w:rPr>
          <w:spacing w:val="-4"/>
        </w:rPr>
        <w:t xml:space="preserve"> </w:t>
      </w:r>
      <w:r>
        <w:t>Surgery</w:t>
      </w:r>
      <w:r>
        <w:rPr>
          <w:spacing w:val="-4"/>
        </w:rPr>
        <w:t xml:space="preserve"> </w:t>
      </w:r>
      <w:r>
        <w:t>and</w:t>
      </w:r>
      <w:r>
        <w:rPr>
          <w:spacing w:val="-3"/>
        </w:rPr>
        <w:t xml:space="preserve"> </w:t>
      </w:r>
      <w:r>
        <w:t>includes</w:t>
      </w:r>
      <w:r>
        <w:rPr>
          <w:spacing w:val="-3"/>
        </w:rPr>
        <w:t xml:space="preserve"> </w:t>
      </w:r>
      <w:r>
        <w:t>Boston</w:t>
      </w:r>
      <w:r>
        <w:rPr>
          <w:spacing w:val="-3"/>
        </w:rPr>
        <w:t xml:space="preserve"> </w:t>
      </w:r>
      <w:r>
        <w:t>Children's</w:t>
      </w:r>
      <w:r>
        <w:rPr>
          <w:spacing w:val="-3"/>
        </w:rPr>
        <w:t xml:space="preserve"> </w:t>
      </w:r>
      <w:r>
        <w:t>Hospital</w:t>
      </w:r>
      <w:r>
        <w:rPr>
          <w:spacing w:val="-3"/>
        </w:rPr>
        <w:t xml:space="preserve"> </w:t>
      </w:r>
      <w:r>
        <w:t>in</w:t>
      </w:r>
      <w:r>
        <w:rPr>
          <w:spacing w:val="-3"/>
        </w:rPr>
        <w:t xml:space="preserve"> </w:t>
      </w:r>
      <w:r>
        <w:t>evaluating</w:t>
      </w:r>
      <w:r>
        <w:rPr>
          <w:spacing w:val="-3"/>
        </w:rPr>
        <w:t xml:space="preserve"> </w:t>
      </w:r>
      <w:r>
        <w:t>the</w:t>
      </w:r>
      <w:r>
        <w:rPr>
          <w:spacing w:val="-4"/>
        </w:rPr>
        <w:t xml:space="preserve"> </w:t>
      </w:r>
      <w:r>
        <w:t>performance</w:t>
      </w:r>
      <w:r>
        <w:rPr>
          <w:spacing w:val="-2"/>
        </w:rPr>
        <w:t xml:space="preserve"> </w:t>
      </w:r>
      <w:r>
        <w:t>of</w:t>
      </w:r>
      <w:r>
        <w:rPr>
          <w:spacing w:val="-3"/>
        </w:rPr>
        <w:t xml:space="preserve"> </w:t>
      </w:r>
      <w:r>
        <w:t xml:space="preserve">Dana- </w:t>
      </w:r>
      <w:bookmarkStart w:id="144" w:name="_bookmark174"/>
      <w:bookmarkEnd w:id="144"/>
      <w:r>
        <w:t>Farber Cancer Institute in Pediatric Cancer”).</w:t>
      </w:r>
    </w:p>
  </w:footnote>
  <w:footnote w:id="148">
    <w:p w14:paraId="1DD0DF59" w14:textId="2D41DB53" w:rsidR="005A5BB9" w:rsidRDefault="005A5BB9" w:rsidP="005A5BB9">
      <w:pPr>
        <w:pStyle w:val="FootnoteText"/>
        <w:ind w:left="900" w:right="940"/>
      </w:pPr>
      <w:r>
        <w:rPr>
          <w:rStyle w:val="FootnoteReference"/>
        </w:rPr>
        <w:footnoteRef/>
      </w:r>
      <w:r>
        <w:t xml:space="preserve"> See </w:t>
      </w:r>
      <w:hyperlink r:id="rId166" w:history="1">
        <w:r w:rsidRPr="00E530B0">
          <w:rPr>
            <w:rStyle w:val="Hyperlink"/>
            <w:i/>
            <w:color w:val="000000" w:themeColor="text1"/>
            <w:u w:val="none"/>
          </w:rPr>
          <w:t>Medical Oncology Patient Care</w:t>
        </w:r>
      </w:hyperlink>
      <w:r w:rsidRPr="00E530B0">
        <w:rPr>
          <w:color w:val="000000" w:themeColor="text1"/>
        </w:rPr>
        <w:t xml:space="preserve">, </w:t>
      </w:r>
      <w:r>
        <w:t>D</w:t>
      </w:r>
      <w:r>
        <w:rPr>
          <w:sz w:val="16"/>
        </w:rPr>
        <w:t>ANA</w:t>
      </w:r>
      <w:r>
        <w:t>-F</w:t>
      </w:r>
      <w:r>
        <w:rPr>
          <w:sz w:val="16"/>
        </w:rPr>
        <w:t xml:space="preserve">ARBER </w:t>
      </w:r>
      <w:r>
        <w:t>C</w:t>
      </w:r>
      <w:r>
        <w:rPr>
          <w:sz w:val="16"/>
        </w:rPr>
        <w:t xml:space="preserve">ANCER </w:t>
      </w:r>
      <w:r>
        <w:t>I</w:t>
      </w:r>
      <w:r>
        <w:rPr>
          <w:sz w:val="16"/>
        </w:rPr>
        <w:t>NSTITUTE</w:t>
      </w:r>
      <w:r>
        <w:t xml:space="preserve">, </w:t>
      </w:r>
      <w:r>
        <w:rPr>
          <w:i/>
        </w:rPr>
        <w:t xml:space="preserve">available at </w:t>
      </w:r>
      <w:hyperlink r:id="rId167">
        <w:r>
          <w:rPr>
            <w:color w:val="486794"/>
            <w:u w:val="single" w:color="486794"/>
          </w:rPr>
          <w:t>https://www.dana-</w:t>
        </w:r>
      </w:hyperlink>
      <w:r>
        <w:rPr>
          <w:color w:val="486794"/>
        </w:rPr>
        <w:t xml:space="preserve"> </w:t>
      </w:r>
      <w:hyperlink r:id="rId168">
        <w:r>
          <w:rPr>
            <w:color w:val="486794"/>
            <w:u w:val="single" w:color="486794"/>
          </w:rPr>
          <w:t>farber.org/research/departments-centers/medical-oncology/clinical-activities</w:t>
        </w:r>
      </w:hyperlink>
      <w:r>
        <w:rPr>
          <w:color w:val="486794"/>
          <w:spacing w:val="-9"/>
        </w:rPr>
        <w:t xml:space="preserve"> </w:t>
      </w:r>
      <w:r>
        <w:t>(last</w:t>
      </w:r>
      <w:r>
        <w:rPr>
          <w:spacing w:val="-9"/>
        </w:rPr>
        <w:t xml:space="preserve"> </w:t>
      </w:r>
      <w:r>
        <w:t>visited</w:t>
      </w:r>
      <w:r>
        <w:rPr>
          <w:spacing w:val="-9"/>
        </w:rPr>
        <w:t xml:space="preserve"> </w:t>
      </w:r>
      <w:r>
        <w:t>February</w:t>
      </w:r>
      <w:r>
        <w:rPr>
          <w:spacing w:val="-10"/>
        </w:rPr>
        <w:t xml:space="preserve"> </w:t>
      </w:r>
      <w:r>
        <w:t xml:space="preserve">27, </w:t>
      </w:r>
      <w:bookmarkStart w:id="145" w:name="_bookmark175"/>
      <w:bookmarkEnd w:id="145"/>
      <w:r>
        <w:rPr>
          <w:spacing w:val="-2"/>
        </w:rPr>
        <w:t>2025).</w:t>
      </w:r>
    </w:p>
  </w:footnote>
  <w:footnote w:id="149">
    <w:p w14:paraId="57774F5F" w14:textId="5221F544" w:rsidR="005A5BB9" w:rsidRDefault="005A5BB9" w:rsidP="005A5BB9">
      <w:pPr>
        <w:spacing w:before="1"/>
        <w:ind w:left="900" w:right="940"/>
        <w:rPr>
          <w:i/>
          <w:sz w:val="20"/>
        </w:rPr>
      </w:pPr>
      <w:r>
        <w:rPr>
          <w:rStyle w:val="FootnoteReference"/>
        </w:rPr>
        <w:footnoteRef/>
      </w:r>
      <w:r>
        <w:t xml:space="preserve"> </w:t>
      </w:r>
      <w:hyperlink r:id="rId169" w:history="1">
        <w:r w:rsidRPr="00E530B0">
          <w:rPr>
            <w:rStyle w:val="Hyperlink"/>
            <w:i/>
            <w:color w:val="000000" w:themeColor="text1"/>
            <w:sz w:val="20"/>
            <w:u w:val="none"/>
          </w:rPr>
          <w:t>Find a Magnet Organization</w:t>
        </w:r>
        <w:r w:rsidRPr="00E530B0">
          <w:rPr>
            <w:rStyle w:val="Hyperlink"/>
            <w:color w:val="000000" w:themeColor="text1"/>
            <w:sz w:val="20"/>
            <w:u w:val="none"/>
          </w:rPr>
          <w:t>, A</w:t>
        </w:r>
        <w:r w:rsidRPr="00E530B0">
          <w:rPr>
            <w:rStyle w:val="Hyperlink"/>
            <w:color w:val="000000" w:themeColor="text1"/>
            <w:sz w:val="16"/>
            <w:u w:val="none"/>
          </w:rPr>
          <w:t xml:space="preserve">MERICAN </w:t>
        </w:r>
        <w:r w:rsidRPr="00E530B0">
          <w:rPr>
            <w:rStyle w:val="Hyperlink"/>
            <w:color w:val="000000" w:themeColor="text1"/>
            <w:sz w:val="20"/>
            <w:u w:val="none"/>
          </w:rPr>
          <w:t>N</w:t>
        </w:r>
        <w:r w:rsidRPr="00E530B0">
          <w:rPr>
            <w:rStyle w:val="Hyperlink"/>
            <w:color w:val="000000" w:themeColor="text1"/>
            <w:sz w:val="16"/>
            <w:u w:val="none"/>
          </w:rPr>
          <w:t xml:space="preserve">URSES </w:t>
        </w:r>
        <w:r w:rsidRPr="00E530B0">
          <w:rPr>
            <w:rStyle w:val="Hyperlink"/>
            <w:color w:val="000000" w:themeColor="text1"/>
            <w:sz w:val="20"/>
            <w:u w:val="none"/>
          </w:rPr>
          <w:t>C</w:t>
        </w:r>
        <w:r w:rsidRPr="00E530B0">
          <w:rPr>
            <w:rStyle w:val="Hyperlink"/>
            <w:color w:val="000000" w:themeColor="text1"/>
            <w:sz w:val="16"/>
            <w:u w:val="none"/>
          </w:rPr>
          <w:t xml:space="preserve">REDENTIALING </w:t>
        </w:r>
        <w:r w:rsidRPr="00E530B0">
          <w:rPr>
            <w:rStyle w:val="Hyperlink"/>
            <w:color w:val="000000" w:themeColor="text1"/>
            <w:sz w:val="20"/>
            <w:u w:val="none"/>
          </w:rPr>
          <w:t>C</w:t>
        </w:r>
        <w:r w:rsidRPr="00E530B0">
          <w:rPr>
            <w:rStyle w:val="Hyperlink"/>
            <w:color w:val="000000" w:themeColor="text1"/>
            <w:sz w:val="16"/>
            <w:u w:val="none"/>
          </w:rPr>
          <w:t>ENTER</w:t>
        </w:r>
        <w:r w:rsidRPr="00E530B0">
          <w:rPr>
            <w:rStyle w:val="Hyperlink"/>
            <w:color w:val="000000" w:themeColor="text1"/>
            <w:sz w:val="20"/>
            <w:u w:val="none"/>
          </w:rPr>
          <w:t>,</w:t>
        </w:r>
      </w:hyperlink>
      <w:r w:rsidRPr="00E530B0">
        <w:rPr>
          <w:color w:val="000000" w:themeColor="text1"/>
          <w:sz w:val="20"/>
        </w:rPr>
        <w:t xml:space="preserve"> </w:t>
      </w:r>
      <w:r>
        <w:rPr>
          <w:i/>
          <w:sz w:val="20"/>
        </w:rPr>
        <w:t xml:space="preserve">available at </w:t>
      </w:r>
      <w:hyperlink r:id="rId170">
        <w:r>
          <w:rPr>
            <w:color w:val="486794"/>
            <w:sz w:val="20"/>
            <w:u w:val="single" w:color="486794"/>
          </w:rPr>
          <w:t>https://www.nursingworld.org/organizational-programs/magnet/find-a-magnet-organization/</w:t>
        </w:r>
      </w:hyperlink>
      <w:r>
        <w:rPr>
          <w:color w:val="486794"/>
          <w:spacing w:val="-13"/>
          <w:sz w:val="20"/>
        </w:rPr>
        <w:t xml:space="preserve"> </w:t>
      </w:r>
      <w:r>
        <w:rPr>
          <w:sz w:val="20"/>
        </w:rPr>
        <w:t>(last</w:t>
      </w:r>
      <w:r>
        <w:rPr>
          <w:spacing w:val="-12"/>
          <w:sz w:val="20"/>
        </w:rPr>
        <w:t xml:space="preserve"> </w:t>
      </w:r>
      <w:r>
        <w:rPr>
          <w:sz w:val="20"/>
        </w:rPr>
        <w:t xml:space="preserve">visited February 27, 2025); </w:t>
      </w:r>
      <w:hyperlink r:id="rId171" w:history="1">
        <w:r w:rsidRPr="00807015">
          <w:rPr>
            <w:rStyle w:val="Hyperlink"/>
            <w:color w:val="000000" w:themeColor="text1"/>
            <w:sz w:val="20"/>
            <w:u w:val="none"/>
          </w:rPr>
          <w:t>F</w:t>
        </w:r>
        <w:r w:rsidRPr="00807015">
          <w:rPr>
            <w:rStyle w:val="Hyperlink"/>
            <w:color w:val="000000" w:themeColor="text1"/>
            <w:sz w:val="16"/>
            <w:u w:val="none"/>
          </w:rPr>
          <w:t xml:space="preserve">OUNDATION FOR </w:t>
        </w:r>
        <w:r w:rsidRPr="00807015">
          <w:rPr>
            <w:rStyle w:val="Hyperlink"/>
            <w:color w:val="000000" w:themeColor="text1"/>
            <w:sz w:val="20"/>
            <w:u w:val="none"/>
          </w:rPr>
          <w:t>A</w:t>
        </w:r>
        <w:r w:rsidRPr="00807015">
          <w:rPr>
            <w:rStyle w:val="Hyperlink"/>
            <w:color w:val="000000" w:themeColor="text1"/>
            <w:sz w:val="16"/>
            <w:u w:val="none"/>
          </w:rPr>
          <w:t xml:space="preserve">CCREDITATION OF </w:t>
        </w:r>
        <w:r w:rsidRPr="00807015">
          <w:rPr>
            <w:rStyle w:val="Hyperlink"/>
            <w:color w:val="000000" w:themeColor="text1"/>
            <w:sz w:val="20"/>
            <w:u w:val="none"/>
          </w:rPr>
          <w:t>C</w:t>
        </w:r>
        <w:r w:rsidRPr="00807015">
          <w:rPr>
            <w:rStyle w:val="Hyperlink"/>
            <w:color w:val="000000" w:themeColor="text1"/>
            <w:sz w:val="16"/>
            <w:u w:val="none"/>
          </w:rPr>
          <w:t xml:space="preserve">ELLULAR </w:t>
        </w:r>
        <w:r w:rsidRPr="00807015">
          <w:rPr>
            <w:rStyle w:val="Hyperlink"/>
            <w:color w:val="000000" w:themeColor="text1"/>
            <w:sz w:val="20"/>
            <w:u w:val="none"/>
          </w:rPr>
          <w:t>T</w:t>
        </w:r>
        <w:r w:rsidRPr="00807015">
          <w:rPr>
            <w:rStyle w:val="Hyperlink"/>
            <w:color w:val="000000" w:themeColor="text1"/>
            <w:sz w:val="16"/>
            <w:u w:val="none"/>
          </w:rPr>
          <w:t xml:space="preserve">HERAPY </w:t>
        </w:r>
        <w:r w:rsidRPr="00807015">
          <w:rPr>
            <w:rStyle w:val="Hyperlink"/>
            <w:color w:val="000000" w:themeColor="text1"/>
            <w:sz w:val="20"/>
            <w:u w:val="none"/>
          </w:rPr>
          <w:t>(FACT),</w:t>
        </w:r>
      </w:hyperlink>
      <w:r w:rsidRPr="00807015">
        <w:rPr>
          <w:color w:val="000000" w:themeColor="text1"/>
          <w:sz w:val="20"/>
        </w:rPr>
        <w:t xml:space="preserve"> </w:t>
      </w:r>
      <w:r>
        <w:rPr>
          <w:i/>
          <w:sz w:val="20"/>
        </w:rPr>
        <w:t>available at</w:t>
      </w:r>
    </w:p>
    <w:p w14:paraId="175B9886" w14:textId="2F29D794" w:rsidR="005A5BB9" w:rsidRPr="002C4AD0" w:rsidRDefault="005A5BB9" w:rsidP="00C42D53">
      <w:pPr>
        <w:ind w:left="900" w:right="940"/>
        <w:rPr>
          <w:sz w:val="20"/>
        </w:rPr>
      </w:pPr>
      <w:hyperlink r:id="rId172">
        <w:r>
          <w:rPr>
            <w:color w:val="486794"/>
            <w:sz w:val="20"/>
            <w:u w:val="single" w:color="486794"/>
          </w:rPr>
          <w:t>https://accredited.factglobal.org/state/massachusetts/</w:t>
        </w:r>
      </w:hyperlink>
      <w:r>
        <w:rPr>
          <w:color w:val="486794"/>
          <w:sz w:val="20"/>
        </w:rPr>
        <w:t xml:space="preserve"> </w:t>
      </w:r>
      <w:r>
        <w:rPr>
          <w:sz w:val="20"/>
        </w:rPr>
        <w:t xml:space="preserve">(last visited February 27, 2025); </w:t>
      </w:r>
      <w:hyperlink r:id="rId173" w:anchor="numberOfResults=25&amp;f:State=[Massachusetts]" w:history="1">
        <w:r w:rsidRPr="00807015">
          <w:rPr>
            <w:rStyle w:val="Hyperlink"/>
            <w:i/>
            <w:color w:val="000000" w:themeColor="text1"/>
            <w:sz w:val="20"/>
            <w:u w:val="none"/>
          </w:rPr>
          <w:t>Find Accredited Organizations</w:t>
        </w:r>
        <w:r w:rsidRPr="00807015">
          <w:rPr>
            <w:rStyle w:val="Hyperlink"/>
            <w:color w:val="000000" w:themeColor="text1"/>
            <w:sz w:val="20"/>
            <w:u w:val="none"/>
          </w:rPr>
          <w:t>, T</w:t>
        </w:r>
        <w:r w:rsidRPr="00807015">
          <w:rPr>
            <w:rStyle w:val="Hyperlink"/>
            <w:color w:val="000000" w:themeColor="text1"/>
            <w:sz w:val="16"/>
            <w:u w:val="none"/>
          </w:rPr>
          <w:t xml:space="preserve">HE </w:t>
        </w:r>
        <w:r w:rsidRPr="00807015">
          <w:rPr>
            <w:rStyle w:val="Hyperlink"/>
            <w:color w:val="000000" w:themeColor="text1"/>
            <w:sz w:val="20"/>
            <w:u w:val="none"/>
          </w:rPr>
          <w:t>J</w:t>
        </w:r>
        <w:r w:rsidRPr="00807015">
          <w:rPr>
            <w:rStyle w:val="Hyperlink"/>
            <w:color w:val="000000" w:themeColor="text1"/>
            <w:sz w:val="16"/>
            <w:u w:val="none"/>
          </w:rPr>
          <w:t xml:space="preserve">OINT </w:t>
        </w:r>
        <w:r w:rsidRPr="00807015">
          <w:rPr>
            <w:rStyle w:val="Hyperlink"/>
            <w:color w:val="000000" w:themeColor="text1"/>
            <w:sz w:val="20"/>
            <w:u w:val="none"/>
          </w:rPr>
          <w:t>C</w:t>
        </w:r>
        <w:r w:rsidRPr="00807015">
          <w:rPr>
            <w:rStyle w:val="Hyperlink"/>
            <w:color w:val="000000" w:themeColor="text1"/>
            <w:sz w:val="16"/>
            <w:u w:val="none"/>
          </w:rPr>
          <w:t>OMMISSIONS</w:t>
        </w:r>
      </w:hyperlink>
      <w:r w:rsidRPr="00807015">
        <w:rPr>
          <w:color w:val="000000" w:themeColor="text1"/>
          <w:sz w:val="20"/>
        </w:rPr>
        <w:t xml:space="preserve">, </w:t>
      </w:r>
      <w:r w:rsidRPr="00807015">
        <w:rPr>
          <w:i/>
          <w:color w:val="000000" w:themeColor="text1"/>
          <w:sz w:val="20"/>
        </w:rPr>
        <w:t xml:space="preserve">available </w:t>
      </w:r>
      <w:r>
        <w:rPr>
          <w:i/>
          <w:sz w:val="20"/>
        </w:rPr>
        <w:t xml:space="preserve">at </w:t>
      </w:r>
      <w:hyperlink r:id="rId174" w:anchor="numberOfResults%3D25%26f%3AState%3D%5BMassachusetts">
        <w:r>
          <w:rPr>
            <w:color w:val="486794"/>
            <w:sz w:val="20"/>
            <w:u w:val="single" w:color="486794"/>
          </w:rPr>
          <w:t>https://www.jointcommission.org/who-we-are/who-we-</w:t>
        </w:r>
      </w:hyperlink>
      <w:r>
        <w:rPr>
          <w:color w:val="486794"/>
          <w:sz w:val="20"/>
        </w:rPr>
        <w:t xml:space="preserve"> </w:t>
      </w:r>
      <w:hyperlink r:id="rId175" w:anchor="numberOfResults%3D25%26f%3AState%3D%5BMassachusetts">
        <w:r>
          <w:rPr>
            <w:color w:val="486794"/>
            <w:sz w:val="20"/>
            <w:u w:val="single" w:color="486794"/>
          </w:rPr>
          <w:t>work-with/find-accredited-organizations/#numberOfResults=25&amp;f:State=[Massachusetts</w:t>
        </w:r>
      </w:hyperlink>
      <w:r>
        <w:rPr>
          <w:sz w:val="20"/>
        </w:rPr>
        <w:t xml:space="preserve">] (last visited February 27, 2025); </w:t>
      </w:r>
      <w:hyperlink r:id="rId176" w:history="1">
        <w:r w:rsidRPr="00807015">
          <w:rPr>
            <w:rStyle w:val="Hyperlink"/>
            <w:i/>
            <w:color w:val="000000" w:themeColor="text1"/>
            <w:sz w:val="20"/>
            <w:u w:val="none"/>
          </w:rPr>
          <w:t xml:space="preserve">Find a CoC-Accredited Program, </w:t>
        </w:r>
        <w:r w:rsidRPr="00807015">
          <w:rPr>
            <w:rStyle w:val="Hyperlink"/>
            <w:color w:val="000000" w:themeColor="text1"/>
            <w:sz w:val="20"/>
            <w:u w:val="none"/>
          </w:rPr>
          <w:t>A</w:t>
        </w:r>
        <w:r w:rsidRPr="00807015">
          <w:rPr>
            <w:rStyle w:val="Hyperlink"/>
            <w:color w:val="000000" w:themeColor="text1"/>
            <w:sz w:val="16"/>
            <w:u w:val="none"/>
          </w:rPr>
          <w:t xml:space="preserve">MERICAN </w:t>
        </w:r>
        <w:r w:rsidRPr="00807015">
          <w:rPr>
            <w:rStyle w:val="Hyperlink"/>
            <w:color w:val="000000" w:themeColor="text1"/>
            <w:sz w:val="20"/>
            <w:u w:val="none"/>
          </w:rPr>
          <w:t>C</w:t>
        </w:r>
        <w:r w:rsidRPr="00807015">
          <w:rPr>
            <w:rStyle w:val="Hyperlink"/>
            <w:color w:val="000000" w:themeColor="text1"/>
            <w:sz w:val="16"/>
            <w:u w:val="none"/>
          </w:rPr>
          <w:t xml:space="preserve">OLLEGE OF </w:t>
        </w:r>
        <w:r w:rsidRPr="00807015">
          <w:rPr>
            <w:rStyle w:val="Hyperlink"/>
            <w:color w:val="000000" w:themeColor="text1"/>
            <w:sz w:val="20"/>
            <w:u w:val="none"/>
          </w:rPr>
          <w:t>S</w:t>
        </w:r>
        <w:r w:rsidRPr="00807015">
          <w:rPr>
            <w:rStyle w:val="Hyperlink"/>
            <w:color w:val="000000" w:themeColor="text1"/>
            <w:sz w:val="16"/>
            <w:u w:val="none"/>
          </w:rPr>
          <w:t>URGEONS</w:t>
        </w:r>
        <w:r w:rsidRPr="00807015">
          <w:rPr>
            <w:rStyle w:val="Hyperlink"/>
            <w:color w:val="000000" w:themeColor="text1"/>
            <w:sz w:val="20"/>
            <w:u w:val="none"/>
          </w:rPr>
          <w:t>,</w:t>
        </w:r>
      </w:hyperlink>
      <w:r w:rsidRPr="00807015">
        <w:rPr>
          <w:color w:val="000000" w:themeColor="text1"/>
          <w:sz w:val="20"/>
        </w:rPr>
        <w:t xml:space="preserve"> </w:t>
      </w:r>
      <w:r>
        <w:rPr>
          <w:i/>
          <w:sz w:val="20"/>
        </w:rPr>
        <w:t xml:space="preserve">available at </w:t>
      </w:r>
      <w:hyperlink r:id="rId177">
        <w:r>
          <w:rPr>
            <w:color w:val="486794"/>
            <w:sz w:val="20"/>
            <w:u w:val="single" w:color="486794"/>
          </w:rPr>
          <w:t>https://www.facs.org/quality-programs/cancer-programs/commission-on-cancer/</w:t>
        </w:r>
      </w:hyperlink>
      <w:r>
        <w:rPr>
          <w:color w:val="486794"/>
          <w:spacing w:val="-9"/>
          <w:sz w:val="20"/>
        </w:rPr>
        <w:t xml:space="preserve"> </w:t>
      </w:r>
      <w:r>
        <w:rPr>
          <w:sz w:val="20"/>
        </w:rPr>
        <w:t>(last</w:t>
      </w:r>
      <w:r>
        <w:rPr>
          <w:spacing w:val="-9"/>
          <w:sz w:val="20"/>
        </w:rPr>
        <w:t xml:space="preserve"> </w:t>
      </w:r>
      <w:r>
        <w:rPr>
          <w:sz w:val="20"/>
        </w:rPr>
        <w:t>visited</w:t>
      </w:r>
      <w:r>
        <w:rPr>
          <w:spacing w:val="-9"/>
          <w:sz w:val="20"/>
        </w:rPr>
        <w:t xml:space="preserve"> </w:t>
      </w:r>
      <w:r>
        <w:rPr>
          <w:sz w:val="20"/>
        </w:rPr>
        <w:t>February</w:t>
      </w:r>
      <w:r>
        <w:rPr>
          <w:spacing w:val="-11"/>
          <w:sz w:val="20"/>
        </w:rPr>
        <w:t xml:space="preserve"> </w:t>
      </w:r>
      <w:r>
        <w:rPr>
          <w:sz w:val="20"/>
        </w:rPr>
        <w:t xml:space="preserve">27, </w:t>
      </w:r>
      <w:r>
        <w:rPr>
          <w:spacing w:val="-2"/>
          <w:sz w:val="20"/>
        </w:rPr>
        <w:t>2025).</w:t>
      </w:r>
    </w:p>
  </w:footnote>
  <w:footnote w:id="150">
    <w:p w14:paraId="5EA63128" w14:textId="5A27BDDE" w:rsidR="002C4AD0" w:rsidRDefault="002C4AD0" w:rsidP="00C42D53">
      <w:pPr>
        <w:pStyle w:val="FootnoteText"/>
        <w:ind w:left="900" w:right="940"/>
      </w:pPr>
      <w:r>
        <w:rPr>
          <w:rStyle w:val="FootnoteReference"/>
        </w:rPr>
        <w:footnoteRef/>
      </w:r>
      <w:r>
        <w:t xml:space="preserve"> </w:t>
      </w:r>
      <w:r>
        <w:rPr>
          <w:i/>
        </w:rPr>
        <w:t>See</w:t>
      </w:r>
      <w:r>
        <w:rPr>
          <w:i/>
          <w:spacing w:val="-1"/>
        </w:rPr>
        <w:t xml:space="preserve"> </w:t>
      </w:r>
      <w:r>
        <w:t>Anamika</w:t>
      </w:r>
      <w:r>
        <w:rPr>
          <w:spacing w:val="-3"/>
        </w:rPr>
        <w:t xml:space="preserve"> </w:t>
      </w:r>
      <w:r>
        <w:t>Chaudhuri,</w:t>
      </w:r>
      <w:r>
        <w:rPr>
          <w:spacing w:val="-2"/>
        </w:rPr>
        <w:t xml:space="preserve"> </w:t>
      </w:r>
      <w:r>
        <w:t>et</w:t>
      </w:r>
      <w:r>
        <w:rPr>
          <w:spacing w:val="-2"/>
        </w:rPr>
        <w:t xml:space="preserve"> </w:t>
      </w:r>
      <w:r>
        <w:t>al.,</w:t>
      </w:r>
      <w:r>
        <w:rPr>
          <w:spacing w:val="-2"/>
        </w:rPr>
        <w:t xml:space="preserve"> </w:t>
      </w:r>
      <w:hyperlink r:id="rId178" w:history="1">
        <w:r w:rsidRPr="00366284">
          <w:rPr>
            <w:rStyle w:val="Hyperlink"/>
            <w:i/>
            <w:color w:val="000000" w:themeColor="text1"/>
            <w:u w:val="none"/>
          </w:rPr>
          <w:t>Impact</w:t>
        </w:r>
        <w:r w:rsidRPr="00366284">
          <w:rPr>
            <w:rStyle w:val="Hyperlink"/>
            <w:i/>
            <w:color w:val="000000" w:themeColor="text1"/>
            <w:spacing w:val="-4"/>
            <w:u w:val="none"/>
          </w:rPr>
          <w:t xml:space="preserve"> </w:t>
        </w:r>
        <w:r w:rsidRPr="00366284">
          <w:rPr>
            <w:rStyle w:val="Hyperlink"/>
            <w:i/>
            <w:color w:val="000000" w:themeColor="text1"/>
            <w:u w:val="none"/>
          </w:rPr>
          <w:t>of</w:t>
        </w:r>
        <w:r w:rsidRPr="00366284">
          <w:rPr>
            <w:rStyle w:val="Hyperlink"/>
            <w:i/>
            <w:color w:val="000000" w:themeColor="text1"/>
            <w:spacing w:val="-3"/>
            <w:u w:val="none"/>
          </w:rPr>
          <w:t xml:space="preserve"> </w:t>
        </w:r>
        <w:r w:rsidRPr="00366284">
          <w:rPr>
            <w:rStyle w:val="Hyperlink"/>
            <w:i/>
            <w:color w:val="000000" w:themeColor="text1"/>
            <w:u w:val="none"/>
          </w:rPr>
          <w:t>an</w:t>
        </w:r>
        <w:r w:rsidRPr="00366284">
          <w:rPr>
            <w:rStyle w:val="Hyperlink"/>
            <w:i/>
            <w:color w:val="000000" w:themeColor="text1"/>
            <w:spacing w:val="-2"/>
            <w:u w:val="none"/>
          </w:rPr>
          <w:t xml:space="preserve"> </w:t>
        </w:r>
        <w:r w:rsidRPr="00366284">
          <w:rPr>
            <w:rStyle w:val="Hyperlink"/>
            <w:i/>
            <w:color w:val="000000" w:themeColor="text1"/>
            <w:u w:val="none"/>
          </w:rPr>
          <w:t>oncology</w:t>
        </w:r>
        <w:r w:rsidRPr="00366284">
          <w:rPr>
            <w:rStyle w:val="Hyperlink"/>
            <w:i/>
            <w:color w:val="000000" w:themeColor="text1"/>
            <w:spacing w:val="-4"/>
            <w:u w:val="none"/>
          </w:rPr>
          <w:t xml:space="preserve"> </w:t>
        </w:r>
        <w:r w:rsidRPr="00366284">
          <w:rPr>
            <w:rStyle w:val="Hyperlink"/>
            <w:i/>
            <w:color w:val="000000" w:themeColor="text1"/>
            <w:u w:val="none"/>
          </w:rPr>
          <w:t>acute</w:t>
        </w:r>
        <w:r w:rsidRPr="00366284">
          <w:rPr>
            <w:rStyle w:val="Hyperlink"/>
            <w:i/>
            <w:color w:val="000000" w:themeColor="text1"/>
            <w:spacing w:val="-3"/>
            <w:u w:val="none"/>
          </w:rPr>
          <w:t xml:space="preserve"> </w:t>
        </w:r>
        <w:r w:rsidRPr="00366284">
          <w:rPr>
            <w:rStyle w:val="Hyperlink"/>
            <w:i/>
            <w:color w:val="000000" w:themeColor="text1"/>
            <w:u w:val="none"/>
          </w:rPr>
          <w:t>care</w:t>
        </w:r>
        <w:r w:rsidRPr="00366284">
          <w:rPr>
            <w:rStyle w:val="Hyperlink"/>
            <w:i/>
            <w:color w:val="000000" w:themeColor="text1"/>
            <w:spacing w:val="-3"/>
            <w:u w:val="none"/>
          </w:rPr>
          <w:t xml:space="preserve"> </w:t>
        </w:r>
        <w:r w:rsidRPr="00366284">
          <w:rPr>
            <w:rStyle w:val="Hyperlink"/>
            <w:i/>
            <w:color w:val="000000" w:themeColor="text1"/>
            <w:u w:val="none"/>
          </w:rPr>
          <w:t>clinic</w:t>
        </w:r>
        <w:r w:rsidRPr="00366284">
          <w:rPr>
            <w:rStyle w:val="Hyperlink"/>
            <w:i/>
            <w:color w:val="000000" w:themeColor="text1"/>
            <w:spacing w:val="-4"/>
            <w:u w:val="none"/>
          </w:rPr>
          <w:t xml:space="preserve"> </w:t>
        </w:r>
        <w:r w:rsidRPr="00366284">
          <w:rPr>
            <w:rStyle w:val="Hyperlink"/>
            <w:i/>
            <w:color w:val="000000" w:themeColor="text1"/>
            <w:u w:val="none"/>
          </w:rPr>
          <w:t>(ACC)</w:t>
        </w:r>
        <w:r w:rsidRPr="00366284">
          <w:rPr>
            <w:rStyle w:val="Hyperlink"/>
            <w:i/>
            <w:color w:val="000000" w:themeColor="text1"/>
            <w:spacing w:val="-4"/>
            <w:u w:val="none"/>
          </w:rPr>
          <w:t xml:space="preserve"> </w:t>
        </w:r>
        <w:r w:rsidRPr="00366284">
          <w:rPr>
            <w:rStyle w:val="Hyperlink"/>
            <w:i/>
            <w:color w:val="000000" w:themeColor="text1"/>
            <w:u w:val="none"/>
          </w:rPr>
          <w:t>in</w:t>
        </w:r>
        <w:r w:rsidRPr="00366284">
          <w:rPr>
            <w:rStyle w:val="Hyperlink"/>
            <w:i/>
            <w:color w:val="000000" w:themeColor="text1"/>
            <w:spacing w:val="-2"/>
            <w:u w:val="none"/>
          </w:rPr>
          <w:t xml:space="preserve"> </w:t>
        </w:r>
        <w:r w:rsidRPr="00366284">
          <w:rPr>
            <w:rStyle w:val="Hyperlink"/>
            <w:i/>
            <w:color w:val="000000" w:themeColor="text1"/>
            <w:u w:val="none"/>
          </w:rPr>
          <w:t>a</w:t>
        </w:r>
        <w:r w:rsidRPr="00366284">
          <w:rPr>
            <w:rStyle w:val="Hyperlink"/>
            <w:i/>
            <w:color w:val="000000" w:themeColor="text1"/>
            <w:spacing w:val="-2"/>
            <w:u w:val="none"/>
          </w:rPr>
          <w:t xml:space="preserve"> </w:t>
        </w:r>
        <w:r w:rsidRPr="00366284">
          <w:rPr>
            <w:rStyle w:val="Hyperlink"/>
            <w:i/>
            <w:color w:val="000000" w:themeColor="text1"/>
            <w:u w:val="none"/>
          </w:rPr>
          <w:t>comprehensive</w:t>
        </w:r>
        <w:r w:rsidRPr="00366284">
          <w:rPr>
            <w:rStyle w:val="Hyperlink"/>
            <w:i/>
            <w:color w:val="000000" w:themeColor="text1"/>
            <w:spacing w:val="-3"/>
            <w:u w:val="none"/>
          </w:rPr>
          <w:t xml:space="preserve"> </w:t>
        </w:r>
        <w:r w:rsidRPr="00366284">
          <w:rPr>
            <w:rStyle w:val="Hyperlink"/>
            <w:i/>
            <w:color w:val="000000" w:themeColor="text1"/>
            <w:u w:val="none"/>
          </w:rPr>
          <w:t>cancer care setting to reduce emergency visits and subsequent hospitalizations: A pilot study</w:t>
        </w:r>
      </w:hyperlink>
      <w:r w:rsidRPr="00366284">
        <w:rPr>
          <w:color w:val="000000" w:themeColor="text1"/>
        </w:rPr>
        <w:t xml:space="preserve">, </w:t>
      </w:r>
      <w:r>
        <w:t>J</w:t>
      </w:r>
      <w:r>
        <w:rPr>
          <w:sz w:val="16"/>
        </w:rPr>
        <w:t xml:space="preserve">OURNAL OF </w:t>
      </w:r>
      <w:r>
        <w:t>C</w:t>
      </w:r>
      <w:r>
        <w:rPr>
          <w:sz w:val="16"/>
        </w:rPr>
        <w:t>LINICAL</w:t>
      </w:r>
      <w:r>
        <w:rPr>
          <w:spacing w:val="40"/>
          <w:sz w:val="16"/>
        </w:rPr>
        <w:t xml:space="preserve"> </w:t>
      </w:r>
      <w:r>
        <w:t>O</w:t>
      </w:r>
      <w:r>
        <w:rPr>
          <w:sz w:val="16"/>
        </w:rPr>
        <w:t xml:space="preserve">NCOLOGY </w:t>
      </w:r>
      <w:r>
        <w:t xml:space="preserve">(2019), </w:t>
      </w:r>
      <w:r>
        <w:rPr>
          <w:i/>
        </w:rPr>
        <w:t xml:space="preserve">available at </w:t>
      </w:r>
      <w:hyperlink r:id="rId179">
        <w:r>
          <w:rPr>
            <w:color w:val="486794"/>
            <w:u w:val="single" w:color="486794"/>
          </w:rPr>
          <w:t>https://ascopubs.org/doi/10.1200/JCO.2019.37.27_suppl.110</w:t>
        </w:r>
        <w:r>
          <w:t>.</w:t>
        </w:r>
      </w:hyperlink>
    </w:p>
  </w:footnote>
  <w:footnote w:id="151">
    <w:p w14:paraId="5A4C3AE7" w14:textId="180E8324" w:rsidR="00AC62F9" w:rsidRDefault="00AC62F9" w:rsidP="00C42D53">
      <w:pPr>
        <w:pStyle w:val="FootnoteText"/>
        <w:ind w:left="900" w:right="940"/>
      </w:pPr>
      <w:r>
        <w:rPr>
          <w:rStyle w:val="FootnoteReference"/>
        </w:rPr>
        <w:footnoteRef/>
      </w:r>
      <w:r>
        <w:t xml:space="preserve"> </w:t>
      </w:r>
      <w:hyperlink r:id="rId180" w:history="1">
        <w:r w:rsidRPr="00597EE4">
          <w:rPr>
            <w:rStyle w:val="Hyperlink"/>
            <w:i/>
            <w:color w:val="000000" w:themeColor="text1"/>
            <w:u w:val="none"/>
          </w:rPr>
          <w:t>About the Adult Survivorship Program</w:t>
        </w:r>
        <w:r w:rsidRPr="00597EE4">
          <w:rPr>
            <w:rStyle w:val="Hyperlink"/>
            <w:color w:val="000000" w:themeColor="text1"/>
            <w:u w:val="none"/>
          </w:rPr>
          <w:t>, D</w:t>
        </w:r>
        <w:r w:rsidRPr="00597EE4">
          <w:rPr>
            <w:rStyle w:val="Hyperlink"/>
            <w:color w:val="000000" w:themeColor="text1"/>
            <w:sz w:val="16"/>
            <w:u w:val="none"/>
          </w:rPr>
          <w:t>ANA</w:t>
        </w:r>
        <w:r w:rsidRPr="00597EE4">
          <w:rPr>
            <w:rStyle w:val="Hyperlink"/>
            <w:color w:val="000000" w:themeColor="text1"/>
            <w:u w:val="none"/>
          </w:rPr>
          <w:t>-F</w:t>
        </w:r>
        <w:r w:rsidRPr="00597EE4">
          <w:rPr>
            <w:rStyle w:val="Hyperlink"/>
            <w:color w:val="000000" w:themeColor="text1"/>
            <w:sz w:val="16"/>
            <w:u w:val="none"/>
          </w:rPr>
          <w:t xml:space="preserve">ARBER </w:t>
        </w:r>
        <w:r w:rsidRPr="00597EE4">
          <w:rPr>
            <w:rStyle w:val="Hyperlink"/>
            <w:color w:val="000000" w:themeColor="text1"/>
            <w:u w:val="none"/>
          </w:rPr>
          <w:t>C</w:t>
        </w:r>
        <w:r w:rsidRPr="00597EE4">
          <w:rPr>
            <w:rStyle w:val="Hyperlink"/>
            <w:color w:val="000000" w:themeColor="text1"/>
            <w:sz w:val="16"/>
            <w:u w:val="none"/>
          </w:rPr>
          <w:t xml:space="preserve">ANCER </w:t>
        </w:r>
        <w:r w:rsidRPr="00597EE4">
          <w:rPr>
            <w:rStyle w:val="Hyperlink"/>
            <w:color w:val="000000" w:themeColor="text1"/>
            <w:u w:val="none"/>
          </w:rPr>
          <w:t>I</w:t>
        </w:r>
        <w:r w:rsidRPr="00597EE4">
          <w:rPr>
            <w:rStyle w:val="Hyperlink"/>
            <w:color w:val="000000" w:themeColor="text1"/>
            <w:sz w:val="16"/>
            <w:u w:val="none"/>
          </w:rPr>
          <w:t>NSTITUTE</w:t>
        </w:r>
      </w:hyperlink>
      <w:r w:rsidRPr="00597EE4">
        <w:rPr>
          <w:color w:val="000000" w:themeColor="text1"/>
        </w:rPr>
        <w:t xml:space="preserve">, </w:t>
      </w:r>
      <w:r>
        <w:rPr>
          <w:i/>
        </w:rPr>
        <w:t xml:space="preserve">available at </w:t>
      </w:r>
      <w:hyperlink r:id="rId181">
        <w:r>
          <w:rPr>
            <w:color w:val="486794"/>
            <w:u w:val="single" w:color="486794"/>
          </w:rPr>
          <w:t>https://www.dana-</w:t>
        </w:r>
      </w:hyperlink>
      <w:r>
        <w:rPr>
          <w:color w:val="486794"/>
        </w:rPr>
        <w:t xml:space="preserve"> </w:t>
      </w:r>
      <w:hyperlink r:id="rId182">
        <w:r>
          <w:rPr>
            <w:color w:val="486794"/>
            <w:u w:val="single" w:color="486794"/>
          </w:rPr>
          <w:t>farber.org/cancer-care/treatment/adult-survivorship-program</w:t>
        </w:r>
      </w:hyperlink>
      <w:r>
        <w:rPr>
          <w:color w:val="486794"/>
          <w:spacing w:val="-5"/>
        </w:rPr>
        <w:t xml:space="preserve"> </w:t>
      </w:r>
      <w:r>
        <w:t>(last</w:t>
      </w:r>
      <w:r>
        <w:rPr>
          <w:spacing w:val="-5"/>
        </w:rPr>
        <w:t xml:space="preserve"> </w:t>
      </w:r>
      <w:r>
        <w:t>visited</w:t>
      </w:r>
      <w:r>
        <w:rPr>
          <w:spacing w:val="-5"/>
        </w:rPr>
        <w:t xml:space="preserve"> </w:t>
      </w:r>
      <w:r>
        <w:t>February</w:t>
      </w:r>
      <w:r>
        <w:rPr>
          <w:spacing w:val="-7"/>
        </w:rPr>
        <w:t xml:space="preserve"> </w:t>
      </w:r>
      <w:r>
        <w:t>27,</w:t>
      </w:r>
      <w:r>
        <w:rPr>
          <w:spacing w:val="-5"/>
        </w:rPr>
        <w:t xml:space="preserve"> </w:t>
      </w:r>
      <w:r>
        <w:t>2025);</w:t>
      </w:r>
      <w:hyperlink r:id="rId183" w:history="1">
        <w:r w:rsidRPr="00597EE4">
          <w:rPr>
            <w:rStyle w:val="Hyperlink"/>
            <w:color w:val="000000" w:themeColor="text1"/>
            <w:spacing w:val="-5"/>
            <w:u w:val="none"/>
          </w:rPr>
          <w:t xml:space="preserve"> </w:t>
        </w:r>
        <w:r w:rsidRPr="00597EE4">
          <w:rPr>
            <w:rStyle w:val="Hyperlink"/>
            <w:i/>
            <w:color w:val="000000" w:themeColor="text1"/>
            <w:u w:val="none"/>
          </w:rPr>
          <w:t>Adult</w:t>
        </w:r>
        <w:r w:rsidRPr="00597EE4">
          <w:rPr>
            <w:rStyle w:val="Hyperlink"/>
            <w:i/>
            <w:color w:val="000000" w:themeColor="text1"/>
            <w:spacing w:val="-7"/>
            <w:u w:val="none"/>
          </w:rPr>
          <w:t xml:space="preserve"> </w:t>
        </w:r>
        <w:r w:rsidRPr="00597EE4">
          <w:rPr>
            <w:rStyle w:val="Hyperlink"/>
            <w:i/>
            <w:color w:val="000000" w:themeColor="text1"/>
            <w:u w:val="none"/>
          </w:rPr>
          <w:t>Patient and Family Advisory Council (APFAC)</w:t>
        </w:r>
        <w:r w:rsidRPr="00597EE4">
          <w:rPr>
            <w:rStyle w:val="Hyperlink"/>
            <w:color w:val="000000" w:themeColor="text1"/>
            <w:u w:val="none"/>
          </w:rPr>
          <w:t>, D</w:t>
        </w:r>
        <w:r w:rsidRPr="00597EE4">
          <w:rPr>
            <w:rStyle w:val="Hyperlink"/>
            <w:color w:val="000000" w:themeColor="text1"/>
            <w:sz w:val="16"/>
            <w:u w:val="none"/>
          </w:rPr>
          <w:t>ANA</w:t>
        </w:r>
        <w:r w:rsidRPr="00597EE4">
          <w:rPr>
            <w:rStyle w:val="Hyperlink"/>
            <w:color w:val="000000" w:themeColor="text1"/>
            <w:u w:val="none"/>
          </w:rPr>
          <w:t>-F</w:t>
        </w:r>
        <w:r w:rsidRPr="00597EE4">
          <w:rPr>
            <w:rStyle w:val="Hyperlink"/>
            <w:color w:val="000000" w:themeColor="text1"/>
            <w:sz w:val="16"/>
            <w:u w:val="none"/>
          </w:rPr>
          <w:t xml:space="preserve">ARBER </w:t>
        </w:r>
        <w:r w:rsidRPr="00597EE4">
          <w:rPr>
            <w:rStyle w:val="Hyperlink"/>
            <w:color w:val="000000" w:themeColor="text1"/>
            <w:u w:val="none"/>
          </w:rPr>
          <w:t>C</w:t>
        </w:r>
        <w:r w:rsidRPr="00597EE4">
          <w:rPr>
            <w:rStyle w:val="Hyperlink"/>
            <w:color w:val="000000" w:themeColor="text1"/>
            <w:sz w:val="16"/>
            <w:u w:val="none"/>
          </w:rPr>
          <w:t xml:space="preserve">ANCER </w:t>
        </w:r>
        <w:r w:rsidRPr="00597EE4">
          <w:rPr>
            <w:rStyle w:val="Hyperlink"/>
            <w:color w:val="000000" w:themeColor="text1"/>
            <w:u w:val="none"/>
          </w:rPr>
          <w:t>I</w:t>
        </w:r>
        <w:r w:rsidRPr="00597EE4">
          <w:rPr>
            <w:rStyle w:val="Hyperlink"/>
            <w:color w:val="000000" w:themeColor="text1"/>
            <w:sz w:val="16"/>
            <w:u w:val="none"/>
          </w:rPr>
          <w:t>NSTITUTE</w:t>
        </w:r>
      </w:hyperlink>
      <w:r w:rsidRPr="00597EE4">
        <w:rPr>
          <w:color w:val="000000" w:themeColor="text1"/>
        </w:rPr>
        <w:t xml:space="preserve">, </w:t>
      </w:r>
      <w:r w:rsidRPr="00597EE4">
        <w:rPr>
          <w:i/>
          <w:color w:val="000000" w:themeColor="text1"/>
        </w:rPr>
        <w:t xml:space="preserve">available </w:t>
      </w:r>
      <w:r>
        <w:rPr>
          <w:i/>
        </w:rPr>
        <w:t xml:space="preserve">at </w:t>
      </w:r>
      <w:hyperlink r:id="rId184">
        <w:r>
          <w:rPr>
            <w:color w:val="486794"/>
            <w:u w:val="single" w:color="486794"/>
          </w:rPr>
          <w:t>https://www.dana-</w:t>
        </w:r>
      </w:hyperlink>
      <w:r>
        <w:rPr>
          <w:color w:val="486794"/>
        </w:rPr>
        <w:t xml:space="preserve"> </w:t>
      </w:r>
      <w:hyperlink r:id="rId185">
        <w:r>
          <w:rPr>
            <w:color w:val="486794"/>
            <w:u w:val="single" w:color="486794"/>
          </w:rPr>
          <w:t>farber.org/patient-family/safety-advocacy/patient-family-advisory-councils/adult-patients</w:t>
        </w:r>
      </w:hyperlink>
      <w:r>
        <w:rPr>
          <w:color w:val="486794"/>
        </w:rPr>
        <w:t xml:space="preserve"> </w:t>
      </w:r>
      <w:r>
        <w:t xml:space="preserve">(last visited February 27, 2025); </w:t>
      </w:r>
      <w:hyperlink r:id="rId186" w:history="1">
        <w:r w:rsidRPr="00597EE4">
          <w:rPr>
            <w:rStyle w:val="Hyperlink"/>
            <w:i/>
            <w:color w:val="000000" w:themeColor="text1"/>
            <w:u w:val="none"/>
          </w:rPr>
          <w:t>Patient Navigator Program</w:t>
        </w:r>
        <w:r w:rsidRPr="00597EE4">
          <w:rPr>
            <w:rStyle w:val="Hyperlink"/>
            <w:color w:val="000000" w:themeColor="text1"/>
            <w:u w:val="none"/>
          </w:rPr>
          <w:t>, D</w:t>
        </w:r>
        <w:r w:rsidRPr="00597EE4">
          <w:rPr>
            <w:rStyle w:val="Hyperlink"/>
            <w:color w:val="000000" w:themeColor="text1"/>
            <w:sz w:val="16"/>
            <w:u w:val="none"/>
          </w:rPr>
          <w:t>ANA</w:t>
        </w:r>
        <w:r w:rsidRPr="00597EE4">
          <w:rPr>
            <w:rStyle w:val="Hyperlink"/>
            <w:color w:val="000000" w:themeColor="text1"/>
            <w:u w:val="none"/>
          </w:rPr>
          <w:t>-F</w:t>
        </w:r>
        <w:r w:rsidRPr="00597EE4">
          <w:rPr>
            <w:rStyle w:val="Hyperlink"/>
            <w:color w:val="000000" w:themeColor="text1"/>
            <w:sz w:val="16"/>
            <w:u w:val="none"/>
          </w:rPr>
          <w:t xml:space="preserve">ARBER </w:t>
        </w:r>
        <w:r w:rsidRPr="00597EE4">
          <w:rPr>
            <w:rStyle w:val="Hyperlink"/>
            <w:color w:val="000000" w:themeColor="text1"/>
            <w:u w:val="none"/>
          </w:rPr>
          <w:t>C</w:t>
        </w:r>
        <w:r w:rsidRPr="00597EE4">
          <w:rPr>
            <w:rStyle w:val="Hyperlink"/>
            <w:color w:val="000000" w:themeColor="text1"/>
            <w:sz w:val="16"/>
            <w:u w:val="none"/>
          </w:rPr>
          <w:t xml:space="preserve">ANCER </w:t>
        </w:r>
        <w:r w:rsidRPr="00597EE4">
          <w:rPr>
            <w:rStyle w:val="Hyperlink"/>
            <w:color w:val="000000" w:themeColor="text1"/>
            <w:u w:val="none"/>
          </w:rPr>
          <w:t>I</w:t>
        </w:r>
        <w:r w:rsidRPr="00597EE4">
          <w:rPr>
            <w:rStyle w:val="Hyperlink"/>
            <w:color w:val="000000" w:themeColor="text1"/>
            <w:sz w:val="16"/>
            <w:u w:val="none"/>
          </w:rPr>
          <w:t>NSTITUTE</w:t>
        </w:r>
        <w:r w:rsidRPr="00597EE4">
          <w:rPr>
            <w:rStyle w:val="Hyperlink"/>
            <w:color w:val="000000" w:themeColor="text1"/>
            <w:u w:val="none"/>
          </w:rPr>
          <w:t>,</w:t>
        </w:r>
      </w:hyperlink>
      <w:r w:rsidRPr="00597EE4">
        <w:rPr>
          <w:color w:val="000000" w:themeColor="text1"/>
        </w:rPr>
        <w:t xml:space="preserve"> </w:t>
      </w:r>
      <w:r>
        <w:rPr>
          <w:i/>
        </w:rPr>
        <w:t xml:space="preserve">available at </w:t>
      </w:r>
      <w:hyperlink r:id="rId187">
        <w:r>
          <w:rPr>
            <w:color w:val="486794"/>
            <w:u w:val="single" w:color="486794"/>
          </w:rPr>
          <w:t>https://www.dana-farber.org/patient-family/support-services/patient-navigator</w:t>
        </w:r>
      </w:hyperlink>
      <w:r>
        <w:rPr>
          <w:color w:val="486794"/>
        </w:rPr>
        <w:t xml:space="preserve"> </w:t>
      </w:r>
      <w:r>
        <w:t>(last visited February 27, 2025). More specific details on each of these programs were provided by DFCI to the HPC.</w:t>
      </w:r>
    </w:p>
  </w:footnote>
  <w:footnote w:id="152">
    <w:p w14:paraId="6FEC5F86" w14:textId="7F4341EF" w:rsidR="00C42D53" w:rsidRDefault="00C42D53" w:rsidP="000B03A9">
      <w:pPr>
        <w:pStyle w:val="FootnoteText"/>
        <w:ind w:left="900" w:right="940"/>
      </w:pPr>
      <w:r>
        <w:rPr>
          <w:rStyle w:val="FootnoteReference"/>
        </w:rPr>
        <w:footnoteRef/>
      </w:r>
      <w:r>
        <w:t xml:space="preserve"> </w:t>
      </w:r>
      <w:r>
        <w:rPr>
          <w:i/>
        </w:rPr>
        <w:t>See</w:t>
      </w:r>
      <w:r>
        <w:rPr>
          <w:i/>
          <w:spacing w:val="-1"/>
        </w:rPr>
        <w:t xml:space="preserve"> </w:t>
      </w:r>
      <w:r>
        <w:t>Michael</w:t>
      </w:r>
      <w:r>
        <w:rPr>
          <w:spacing w:val="-3"/>
        </w:rPr>
        <w:t xml:space="preserve"> </w:t>
      </w:r>
      <w:r>
        <w:t>J.</w:t>
      </w:r>
      <w:r>
        <w:rPr>
          <w:spacing w:val="-2"/>
        </w:rPr>
        <w:t xml:space="preserve"> </w:t>
      </w:r>
      <w:r>
        <w:t>Hassett</w:t>
      </w:r>
      <w:r>
        <w:rPr>
          <w:spacing w:val="-2"/>
        </w:rPr>
        <w:t xml:space="preserve"> </w:t>
      </w:r>
      <w:r>
        <w:t>et</w:t>
      </w:r>
      <w:r>
        <w:rPr>
          <w:spacing w:val="-2"/>
        </w:rPr>
        <w:t xml:space="preserve"> </w:t>
      </w:r>
      <w:r>
        <w:t>al.,</w:t>
      </w:r>
      <w:r>
        <w:rPr>
          <w:spacing w:val="-2"/>
        </w:rPr>
        <w:t xml:space="preserve"> </w:t>
      </w:r>
      <w:hyperlink r:id="rId188" w:history="1">
        <w:r w:rsidRPr="008459AD">
          <w:rPr>
            <w:rStyle w:val="Hyperlink"/>
            <w:i/>
            <w:color w:val="000000" w:themeColor="text1"/>
            <w:u w:val="none"/>
          </w:rPr>
          <w:t>Efficacy</w:t>
        </w:r>
        <w:r w:rsidRPr="008459AD">
          <w:rPr>
            <w:rStyle w:val="Hyperlink"/>
            <w:i/>
            <w:color w:val="000000" w:themeColor="text1"/>
            <w:spacing w:val="-1"/>
            <w:u w:val="none"/>
          </w:rPr>
          <w:t xml:space="preserve"> </w:t>
        </w:r>
        <w:r w:rsidRPr="008459AD">
          <w:rPr>
            <w:rStyle w:val="Hyperlink"/>
            <w:i/>
            <w:color w:val="000000" w:themeColor="text1"/>
            <w:u w:val="none"/>
          </w:rPr>
          <w:t>of</w:t>
        </w:r>
        <w:r w:rsidRPr="008459AD">
          <w:rPr>
            <w:rStyle w:val="Hyperlink"/>
            <w:i/>
            <w:color w:val="000000" w:themeColor="text1"/>
            <w:spacing w:val="-3"/>
            <w:u w:val="none"/>
          </w:rPr>
          <w:t xml:space="preserve"> </w:t>
        </w:r>
        <w:r w:rsidRPr="008459AD">
          <w:rPr>
            <w:rStyle w:val="Hyperlink"/>
            <w:i/>
            <w:color w:val="000000" w:themeColor="text1"/>
            <w:u w:val="none"/>
          </w:rPr>
          <w:t>eSyM:</w:t>
        </w:r>
        <w:r w:rsidRPr="008459AD">
          <w:rPr>
            <w:rStyle w:val="Hyperlink"/>
            <w:i/>
            <w:color w:val="000000" w:themeColor="text1"/>
            <w:spacing w:val="-2"/>
            <w:u w:val="none"/>
          </w:rPr>
          <w:t xml:space="preserve"> </w:t>
        </w:r>
        <w:r w:rsidRPr="008459AD">
          <w:rPr>
            <w:rStyle w:val="Hyperlink"/>
            <w:i/>
            <w:color w:val="000000" w:themeColor="text1"/>
            <w:u w:val="none"/>
          </w:rPr>
          <w:t>Acute</w:t>
        </w:r>
        <w:r w:rsidRPr="008459AD">
          <w:rPr>
            <w:rStyle w:val="Hyperlink"/>
            <w:i/>
            <w:color w:val="000000" w:themeColor="text1"/>
            <w:spacing w:val="-3"/>
            <w:u w:val="none"/>
          </w:rPr>
          <w:t xml:space="preserve"> </w:t>
        </w:r>
        <w:r w:rsidRPr="008459AD">
          <w:rPr>
            <w:rStyle w:val="Hyperlink"/>
            <w:i/>
            <w:color w:val="000000" w:themeColor="text1"/>
            <w:u w:val="none"/>
          </w:rPr>
          <w:t>care</w:t>
        </w:r>
        <w:r w:rsidRPr="008459AD">
          <w:rPr>
            <w:rStyle w:val="Hyperlink"/>
            <w:i/>
            <w:color w:val="000000" w:themeColor="text1"/>
            <w:spacing w:val="-3"/>
            <w:u w:val="none"/>
          </w:rPr>
          <w:t xml:space="preserve"> </w:t>
        </w:r>
        <w:r w:rsidRPr="008459AD">
          <w:rPr>
            <w:rStyle w:val="Hyperlink"/>
            <w:i/>
            <w:color w:val="000000" w:themeColor="text1"/>
            <w:u w:val="none"/>
          </w:rPr>
          <w:t>utilization</w:t>
        </w:r>
        <w:r w:rsidRPr="008459AD">
          <w:rPr>
            <w:rStyle w:val="Hyperlink"/>
            <w:i/>
            <w:color w:val="000000" w:themeColor="text1"/>
            <w:spacing w:val="-2"/>
            <w:u w:val="none"/>
          </w:rPr>
          <w:t xml:space="preserve"> </w:t>
        </w:r>
        <w:r w:rsidRPr="008459AD">
          <w:rPr>
            <w:rStyle w:val="Hyperlink"/>
            <w:i/>
            <w:color w:val="000000" w:themeColor="text1"/>
            <w:u w:val="none"/>
          </w:rPr>
          <w:t>among</w:t>
        </w:r>
        <w:r w:rsidRPr="008459AD">
          <w:rPr>
            <w:rStyle w:val="Hyperlink"/>
            <w:i/>
            <w:color w:val="000000" w:themeColor="text1"/>
            <w:spacing w:val="-1"/>
            <w:u w:val="none"/>
          </w:rPr>
          <w:t xml:space="preserve"> </w:t>
        </w:r>
        <w:r w:rsidRPr="008459AD">
          <w:rPr>
            <w:rStyle w:val="Hyperlink"/>
            <w:i/>
            <w:color w:val="000000" w:themeColor="text1"/>
            <w:u w:val="none"/>
          </w:rPr>
          <w:t>patients</w:t>
        </w:r>
        <w:r w:rsidRPr="008459AD">
          <w:rPr>
            <w:rStyle w:val="Hyperlink"/>
            <w:i/>
            <w:color w:val="000000" w:themeColor="text1"/>
            <w:spacing w:val="-1"/>
            <w:u w:val="none"/>
          </w:rPr>
          <w:t xml:space="preserve"> </w:t>
        </w:r>
        <w:r w:rsidRPr="008459AD">
          <w:rPr>
            <w:rStyle w:val="Hyperlink"/>
            <w:i/>
            <w:color w:val="000000" w:themeColor="text1"/>
            <w:u w:val="none"/>
          </w:rPr>
          <w:t>with</w:t>
        </w:r>
        <w:r w:rsidRPr="008459AD">
          <w:rPr>
            <w:rStyle w:val="Hyperlink"/>
            <w:i/>
            <w:color w:val="000000" w:themeColor="text1"/>
            <w:spacing w:val="-1"/>
            <w:u w:val="none"/>
          </w:rPr>
          <w:t xml:space="preserve"> </w:t>
        </w:r>
        <w:r w:rsidRPr="008459AD">
          <w:rPr>
            <w:rStyle w:val="Hyperlink"/>
            <w:i/>
            <w:color w:val="000000" w:themeColor="text1"/>
            <w:u w:val="none"/>
          </w:rPr>
          <w:t>cancer</w:t>
        </w:r>
        <w:r w:rsidRPr="008459AD">
          <w:rPr>
            <w:rStyle w:val="Hyperlink"/>
            <w:i/>
            <w:color w:val="000000" w:themeColor="text1"/>
            <w:spacing w:val="-3"/>
            <w:u w:val="none"/>
          </w:rPr>
          <w:t xml:space="preserve"> </w:t>
        </w:r>
        <w:r w:rsidRPr="008459AD">
          <w:rPr>
            <w:rStyle w:val="Hyperlink"/>
            <w:i/>
            <w:color w:val="000000" w:themeColor="text1"/>
            <w:u w:val="none"/>
          </w:rPr>
          <w:t>who</w:t>
        </w:r>
        <w:r w:rsidRPr="008459AD">
          <w:rPr>
            <w:rStyle w:val="Hyperlink"/>
            <w:i/>
            <w:color w:val="000000" w:themeColor="text1"/>
            <w:spacing w:val="-4"/>
            <w:u w:val="none"/>
          </w:rPr>
          <w:t xml:space="preserve"> </w:t>
        </w:r>
        <w:r w:rsidRPr="008459AD">
          <w:rPr>
            <w:rStyle w:val="Hyperlink"/>
            <w:i/>
            <w:color w:val="000000" w:themeColor="text1"/>
            <w:u w:val="none"/>
          </w:rPr>
          <w:t>do versus do not report ePROs</w:t>
        </w:r>
        <w:r w:rsidRPr="008459AD">
          <w:rPr>
            <w:rStyle w:val="Hyperlink"/>
            <w:color w:val="000000" w:themeColor="text1"/>
            <w:u w:val="none"/>
          </w:rPr>
          <w:t>, J</w:t>
        </w:r>
        <w:r w:rsidRPr="008459AD">
          <w:rPr>
            <w:rStyle w:val="Hyperlink"/>
            <w:color w:val="000000" w:themeColor="text1"/>
            <w:sz w:val="16"/>
            <w:u w:val="none"/>
          </w:rPr>
          <w:t>OURNAL OF CLINICAL ONCOLOGY</w:t>
        </w:r>
      </w:hyperlink>
      <w:r w:rsidRPr="008459AD">
        <w:rPr>
          <w:color w:val="000000" w:themeColor="text1"/>
          <w:sz w:val="16"/>
        </w:rPr>
        <w:t xml:space="preserve"> </w:t>
      </w:r>
      <w:r w:rsidRPr="008459AD">
        <w:rPr>
          <w:color w:val="000000" w:themeColor="text1"/>
        </w:rPr>
        <w:t>(2024</w:t>
      </w:r>
      <w:r>
        <w:t xml:space="preserve">), </w:t>
      </w:r>
      <w:r>
        <w:rPr>
          <w:i/>
        </w:rPr>
        <w:t xml:space="preserve">available at </w:t>
      </w:r>
      <w:hyperlink r:id="rId189">
        <w:r>
          <w:rPr>
            <w:color w:val="486794"/>
            <w:spacing w:val="-2"/>
            <w:u w:val="single" w:color="486794"/>
          </w:rPr>
          <w:t>https://ascopubs.org/doi/pdf/10.1200/JCO.2024.42.16_suppl.11001</w:t>
        </w:r>
        <w:r>
          <w:rPr>
            <w:spacing w:val="-2"/>
          </w:rPr>
          <w:t>.</w:t>
        </w:r>
      </w:hyperlink>
    </w:p>
  </w:footnote>
  <w:footnote w:id="153">
    <w:p w14:paraId="5A3D0320" w14:textId="0594D51E" w:rsidR="000B03A9" w:rsidRDefault="000B03A9" w:rsidP="000B03A9">
      <w:pPr>
        <w:pStyle w:val="FootnoteText"/>
        <w:ind w:left="900" w:right="940"/>
      </w:pPr>
      <w:r>
        <w:rPr>
          <w:rStyle w:val="FootnoteReference"/>
        </w:rPr>
        <w:footnoteRef/>
      </w:r>
      <w:r>
        <w:t xml:space="preserve"> </w:t>
      </w:r>
      <w:r>
        <w:rPr>
          <w:i/>
        </w:rPr>
        <w:t>See</w:t>
      </w:r>
      <w:r>
        <w:rPr>
          <w:i/>
          <w:spacing w:val="-5"/>
        </w:rPr>
        <w:t xml:space="preserve"> </w:t>
      </w:r>
      <w:r>
        <w:rPr>
          <w:i/>
        </w:rPr>
        <w:t>Best</w:t>
      </w:r>
      <w:r>
        <w:rPr>
          <w:i/>
          <w:spacing w:val="-4"/>
        </w:rPr>
        <w:t xml:space="preserve"> </w:t>
      </w:r>
      <w:r>
        <w:rPr>
          <w:i/>
        </w:rPr>
        <w:t>Hospitals</w:t>
      </w:r>
      <w:r>
        <w:rPr>
          <w:i/>
          <w:spacing w:val="-6"/>
        </w:rPr>
        <w:t xml:space="preserve"> </w:t>
      </w:r>
      <w:r>
        <w:rPr>
          <w:i/>
        </w:rPr>
        <w:t>for</w:t>
      </w:r>
      <w:r>
        <w:rPr>
          <w:i/>
          <w:spacing w:val="-5"/>
        </w:rPr>
        <w:t xml:space="preserve"> </w:t>
      </w:r>
      <w:r>
        <w:rPr>
          <w:i/>
        </w:rPr>
        <w:t>Cancer,</w:t>
      </w:r>
      <w:r>
        <w:rPr>
          <w:i/>
          <w:spacing w:val="-4"/>
        </w:rPr>
        <w:t xml:space="preserve"> </w:t>
      </w:r>
      <w:r>
        <w:rPr>
          <w:i/>
        </w:rPr>
        <w:t>supra</w:t>
      </w:r>
      <w:r>
        <w:rPr>
          <w:i/>
          <w:spacing w:val="-6"/>
        </w:rPr>
        <w:t xml:space="preserve"> </w:t>
      </w:r>
      <w:r>
        <w:t>note</w:t>
      </w:r>
      <w:r>
        <w:rPr>
          <w:spacing w:val="-6"/>
        </w:rPr>
        <w:t xml:space="preserve"> </w:t>
      </w:r>
      <w:hyperlink w:anchor="_bookmark172" w:history="1">
        <w:r>
          <w:rPr>
            <w:spacing w:val="-4"/>
          </w:rPr>
          <w:t>147.</w:t>
        </w:r>
      </w:hyperlink>
    </w:p>
  </w:footnote>
  <w:footnote w:id="154">
    <w:p w14:paraId="1068B1D2" w14:textId="0669ACB7" w:rsidR="007E117D" w:rsidRPr="00025EB0" w:rsidRDefault="00904D30" w:rsidP="007E117D">
      <w:pPr>
        <w:spacing w:before="92"/>
        <w:ind w:left="960" w:right="940"/>
        <w:rPr>
          <w:color w:val="000000" w:themeColor="text1"/>
          <w:sz w:val="20"/>
        </w:rPr>
      </w:pPr>
      <w:r>
        <w:rPr>
          <w:rStyle w:val="FootnoteReference"/>
        </w:rPr>
        <w:footnoteRef/>
      </w:r>
      <w:r>
        <w:t xml:space="preserve"> </w:t>
      </w:r>
      <w:hyperlink r:id="rId190" w:history="1">
        <w:r w:rsidR="007E117D" w:rsidRPr="00025EB0">
          <w:rPr>
            <w:rStyle w:val="Hyperlink"/>
            <w:i/>
            <w:color w:val="000000" w:themeColor="text1"/>
            <w:sz w:val="20"/>
            <w:u w:val="none"/>
          </w:rPr>
          <w:t>Becoming</w:t>
        </w:r>
        <w:r w:rsidR="007E117D" w:rsidRPr="00025EB0">
          <w:rPr>
            <w:rStyle w:val="Hyperlink"/>
            <w:i/>
            <w:color w:val="000000" w:themeColor="text1"/>
            <w:spacing w:val="-7"/>
            <w:sz w:val="20"/>
            <w:u w:val="none"/>
          </w:rPr>
          <w:t xml:space="preserve"> </w:t>
        </w:r>
        <w:r w:rsidR="007E117D" w:rsidRPr="00025EB0">
          <w:rPr>
            <w:rStyle w:val="Hyperlink"/>
            <w:i/>
            <w:color w:val="000000" w:themeColor="text1"/>
            <w:sz w:val="20"/>
            <w:u w:val="none"/>
          </w:rPr>
          <w:t>a</w:t>
        </w:r>
        <w:r w:rsidR="007E117D" w:rsidRPr="00025EB0">
          <w:rPr>
            <w:rStyle w:val="Hyperlink"/>
            <w:i/>
            <w:color w:val="000000" w:themeColor="text1"/>
            <w:spacing w:val="-8"/>
            <w:sz w:val="20"/>
            <w:u w:val="none"/>
          </w:rPr>
          <w:t xml:space="preserve"> </w:t>
        </w:r>
        <w:r w:rsidR="007E117D" w:rsidRPr="00025EB0">
          <w:rPr>
            <w:rStyle w:val="Hyperlink"/>
            <w:i/>
            <w:color w:val="000000" w:themeColor="text1"/>
            <w:sz w:val="20"/>
            <w:u w:val="none"/>
          </w:rPr>
          <w:t>Patient/Family</w:t>
        </w:r>
        <w:r w:rsidR="007E117D" w:rsidRPr="00025EB0">
          <w:rPr>
            <w:rStyle w:val="Hyperlink"/>
            <w:i/>
            <w:color w:val="000000" w:themeColor="text1"/>
            <w:spacing w:val="-6"/>
            <w:sz w:val="20"/>
            <w:u w:val="none"/>
          </w:rPr>
          <w:t xml:space="preserve"> </w:t>
        </w:r>
        <w:r w:rsidR="007E117D" w:rsidRPr="00025EB0">
          <w:rPr>
            <w:rStyle w:val="Hyperlink"/>
            <w:i/>
            <w:color w:val="000000" w:themeColor="text1"/>
            <w:sz w:val="20"/>
            <w:u w:val="none"/>
          </w:rPr>
          <w:t>Advisor</w:t>
        </w:r>
        <w:r w:rsidR="007E117D" w:rsidRPr="00025EB0">
          <w:rPr>
            <w:rStyle w:val="Hyperlink"/>
            <w:color w:val="000000" w:themeColor="text1"/>
            <w:sz w:val="20"/>
            <w:u w:val="none"/>
          </w:rPr>
          <w:t>,</w:t>
        </w:r>
        <w:r w:rsidR="007E117D" w:rsidRPr="00025EB0">
          <w:rPr>
            <w:rStyle w:val="Hyperlink"/>
            <w:color w:val="000000" w:themeColor="text1"/>
            <w:spacing w:val="-6"/>
            <w:sz w:val="20"/>
            <w:u w:val="none"/>
          </w:rPr>
          <w:t xml:space="preserve"> </w:t>
        </w:r>
        <w:r w:rsidR="007E117D" w:rsidRPr="00025EB0">
          <w:rPr>
            <w:rStyle w:val="Hyperlink"/>
            <w:color w:val="000000" w:themeColor="text1"/>
            <w:sz w:val="20"/>
            <w:u w:val="none"/>
          </w:rPr>
          <w:t>B</w:t>
        </w:r>
        <w:r w:rsidR="007E117D" w:rsidRPr="00025EB0">
          <w:rPr>
            <w:rStyle w:val="Hyperlink"/>
            <w:color w:val="000000" w:themeColor="text1"/>
            <w:sz w:val="16"/>
            <w:u w:val="none"/>
          </w:rPr>
          <w:t>EATH</w:t>
        </w:r>
        <w:r w:rsidR="007E117D" w:rsidRPr="00025EB0">
          <w:rPr>
            <w:rStyle w:val="Hyperlink"/>
            <w:color w:val="000000" w:themeColor="text1"/>
            <w:spacing w:val="-6"/>
            <w:sz w:val="16"/>
            <w:u w:val="none"/>
          </w:rPr>
          <w:t xml:space="preserve"> </w:t>
        </w:r>
        <w:r w:rsidR="007E117D" w:rsidRPr="00025EB0">
          <w:rPr>
            <w:rStyle w:val="Hyperlink"/>
            <w:color w:val="000000" w:themeColor="text1"/>
            <w:sz w:val="20"/>
            <w:u w:val="none"/>
          </w:rPr>
          <w:t>I</w:t>
        </w:r>
        <w:r w:rsidR="007E117D" w:rsidRPr="00025EB0">
          <w:rPr>
            <w:rStyle w:val="Hyperlink"/>
            <w:color w:val="000000" w:themeColor="text1"/>
            <w:sz w:val="16"/>
            <w:u w:val="none"/>
          </w:rPr>
          <w:t>SRAEL</w:t>
        </w:r>
        <w:r w:rsidR="007E117D" w:rsidRPr="00025EB0">
          <w:rPr>
            <w:rStyle w:val="Hyperlink"/>
            <w:color w:val="000000" w:themeColor="text1"/>
            <w:spacing w:val="-7"/>
            <w:sz w:val="16"/>
            <w:u w:val="none"/>
          </w:rPr>
          <w:t xml:space="preserve"> </w:t>
        </w:r>
        <w:r w:rsidR="007E117D" w:rsidRPr="00025EB0">
          <w:rPr>
            <w:rStyle w:val="Hyperlink"/>
            <w:color w:val="000000" w:themeColor="text1"/>
            <w:sz w:val="20"/>
            <w:u w:val="none"/>
          </w:rPr>
          <w:t>L</w:t>
        </w:r>
        <w:r w:rsidR="007E117D" w:rsidRPr="00025EB0">
          <w:rPr>
            <w:rStyle w:val="Hyperlink"/>
            <w:color w:val="000000" w:themeColor="text1"/>
            <w:sz w:val="16"/>
            <w:u w:val="none"/>
          </w:rPr>
          <w:t>AHEY</w:t>
        </w:r>
        <w:r w:rsidR="007E117D" w:rsidRPr="00025EB0">
          <w:rPr>
            <w:rStyle w:val="Hyperlink"/>
            <w:color w:val="000000" w:themeColor="text1"/>
            <w:spacing w:val="-6"/>
            <w:sz w:val="16"/>
            <w:u w:val="none"/>
          </w:rPr>
          <w:t xml:space="preserve"> </w:t>
        </w:r>
        <w:r w:rsidR="007E117D" w:rsidRPr="00025EB0">
          <w:rPr>
            <w:rStyle w:val="Hyperlink"/>
            <w:color w:val="000000" w:themeColor="text1"/>
            <w:sz w:val="20"/>
            <w:u w:val="none"/>
          </w:rPr>
          <w:t>H</w:t>
        </w:r>
        <w:r w:rsidR="007E117D" w:rsidRPr="00025EB0">
          <w:rPr>
            <w:rStyle w:val="Hyperlink"/>
            <w:color w:val="000000" w:themeColor="text1"/>
            <w:sz w:val="16"/>
            <w:u w:val="none"/>
          </w:rPr>
          <w:t>EALTH</w:t>
        </w:r>
        <w:r w:rsidR="007E117D" w:rsidRPr="00025EB0">
          <w:rPr>
            <w:rStyle w:val="Hyperlink"/>
            <w:color w:val="000000" w:themeColor="text1"/>
            <w:sz w:val="20"/>
            <w:u w:val="none"/>
          </w:rPr>
          <w:t>:</w:t>
        </w:r>
        <w:r w:rsidR="007E117D" w:rsidRPr="00025EB0">
          <w:rPr>
            <w:rStyle w:val="Hyperlink"/>
            <w:color w:val="000000" w:themeColor="text1"/>
            <w:spacing w:val="-12"/>
            <w:sz w:val="20"/>
            <w:u w:val="none"/>
          </w:rPr>
          <w:t xml:space="preserve"> </w:t>
        </w:r>
        <w:r w:rsidR="007E117D" w:rsidRPr="00025EB0">
          <w:rPr>
            <w:rStyle w:val="Hyperlink"/>
            <w:color w:val="000000" w:themeColor="text1"/>
            <w:sz w:val="20"/>
            <w:u w:val="none"/>
          </w:rPr>
          <w:t>B</w:t>
        </w:r>
        <w:r w:rsidR="007E117D" w:rsidRPr="00025EB0">
          <w:rPr>
            <w:rStyle w:val="Hyperlink"/>
            <w:color w:val="000000" w:themeColor="text1"/>
            <w:sz w:val="16"/>
            <w:u w:val="none"/>
          </w:rPr>
          <w:t>EATH</w:t>
        </w:r>
        <w:r w:rsidR="007E117D" w:rsidRPr="00025EB0">
          <w:rPr>
            <w:rStyle w:val="Hyperlink"/>
            <w:color w:val="000000" w:themeColor="text1"/>
            <w:spacing w:val="-6"/>
            <w:sz w:val="16"/>
            <w:u w:val="none"/>
          </w:rPr>
          <w:t xml:space="preserve"> </w:t>
        </w:r>
        <w:r w:rsidR="007E117D" w:rsidRPr="00025EB0">
          <w:rPr>
            <w:rStyle w:val="Hyperlink"/>
            <w:color w:val="000000" w:themeColor="text1"/>
            <w:sz w:val="20"/>
            <w:u w:val="none"/>
          </w:rPr>
          <w:t>I</w:t>
        </w:r>
        <w:r w:rsidR="007E117D" w:rsidRPr="00025EB0">
          <w:rPr>
            <w:rStyle w:val="Hyperlink"/>
            <w:color w:val="000000" w:themeColor="text1"/>
            <w:sz w:val="16"/>
            <w:u w:val="none"/>
          </w:rPr>
          <w:t>SRAEL</w:t>
        </w:r>
        <w:r w:rsidR="007E117D" w:rsidRPr="00025EB0">
          <w:rPr>
            <w:rStyle w:val="Hyperlink"/>
            <w:color w:val="000000" w:themeColor="text1"/>
            <w:spacing w:val="-7"/>
            <w:sz w:val="16"/>
            <w:u w:val="none"/>
          </w:rPr>
          <w:t xml:space="preserve"> </w:t>
        </w:r>
        <w:r w:rsidR="007E117D" w:rsidRPr="00025EB0">
          <w:rPr>
            <w:rStyle w:val="Hyperlink"/>
            <w:color w:val="000000" w:themeColor="text1"/>
            <w:sz w:val="20"/>
            <w:u w:val="none"/>
          </w:rPr>
          <w:t>D</w:t>
        </w:r>
        <w:r w:rsidR="007E117D" w:rsidRPr="00025EB0">
          <w:rPr>
            <w:rStyle w:val="Hyperlink"/>
            <w:color w:val="000000" w:themeColor="text1"/>
            <w:sz w:val="16"/>
            <w:u w:val="none"/>
          </w:rPr>
          <w:t>EACONESS</w:t>
        </w:r>
        <w:r w:rsidR="007E117D" w:rsidRPr="00025EB0">
          <w:rPr>
            <w:rStyle w:val="Hyperlink"/>
            <w:color w:val="000000" w:themeColor="text1"/>
            <w:spacing w:val="-8"/>
            <w:sz w:val="16"/>
            <w:u w:val="none"/>
          </w:rPr>
          <w:t xml:space="preserve"> </w:t>
        </w:r>
        <w:r w:rsidR="007E117D" w:rsidRPr="00025EB0">
          <w:rPr>
            <w:rStyle w:val="Hyperlink"/>
            <w:color w:val="000000" w:themeColor="text1"/>
            <w:sz w:val="20"/>
            <w:u w:val="none"/>
          </w:rPr>
          <w:t>M</w:t>
        </w:r>
        <w:r w:rsidR="007E117D" w:rsidRPr="00025EB0">
          <w:rPr>
            <w:rStyle w:val="Hyperlink"/>
            <w:color w:val="000000" w:themeColor="text1"/>
            <w:sz w:val="16"/>
            <w:u w:val="none"/>
          </w:rPr>
          <w:t>EDICAL</w:t>
        </w:r>
        <w:r w:rsidR="007E117D" w:rsidRPr="00025EB0">
          <w:rPr>
            <w:rStyle w:val="Hyperlink"/>
            <w:color w:val="000000" w:themeColor="text1"/>
            <w:spacing w:val="-5"/>
            <w:sz w:val="16"/>
            <w:u w:val="none"/>
          </w:rPr>
          <w:t xml:space="preserve"> </w:t>
        </w:r>
        <w:r w:rsidR="007E117D" w:rsidRPr="00025EB0">
          <w:rPr>
            <w:rStyle w:val="Hyperlink"/>
            <w:color w:val="000000" w:themeColor="text1"/>
            <w:spacing w:val="-2"/>
            <w:sz w:val="20"/>
            <w:u w:val="none"/>
          </w:rPr>
          <w:t>C</w:t>
        </w:r>
        <w:r w:rsidR="007E117D" w:rsidRPr="00025EB0">
          <w:rPr>
            <w:rStyle w:val="Hyperlink"/>
            <w:color w:val="000000" w:themeColor="text1"/>
            <w:spacing w:val="-2"/>
            <w:sz w:val="16"/>
            <w:u w:val="none"/>
          </w:rPr>
          <w:t>ENTER</w:t>
        </w:r>
      </w:hyperlink>
      <w:r w:rsidR="007E117D" w:rsidRPr="00025EB0">
        <w:rPr>
          <w:color w:val="000000" w:themeColor="text1"/>
          <w:spacing w:val="-2"/>
          <w:sz w:val="20"/>
        </w:rPr>
        <w:t>,</w:t>
      </w:r>
    </w:p>
    <w:p w14:paraId="4F1C0D77" w14:textId="1DBED90B" w:rsidR="00904D30" w:rsidRPr="007E117D" w:rsidRDefault="007E117D" w:rsidP="00322EEF">
      <w:pPr>
        <w:spacing w:before="2"/>
        <w:ind w:left="960" w:right="940"/>
        <w:rPr>
          <w:sz w:val="20"/>
        </w:rPr>
      </w:pPr>
      <w:r>
        <w:rPr>
          <w:sz w:val="20"/>
        </w:rPr>
        <w:t xml:space="preserve">available at </w:t>
      </w:r>
      <w:hyperlink r:id="rId191">
        <w:r>
          <w:rPr>
            <w:color w:val="486794"/>
            <w:sz w:val="20"/>
            <w:u w:val="single" w:color="486794"/>
          </w:rPr>
          <w:t>https://www.bidmc.org/centers-and-departments/social-work/patient-and-family-engagement-</w:t>
        </w:r>
      </w:hyperlink>
      <w:r>
        <w:rPr>
          <w:color w:val="486794"/>
          <w:sz w:val="20"/>
        </w:rPr>
        <w:t xml:space="preserve"> </w:t>
      </w:r>
      <w:hyperlink r:id="rId192">
        <w:r>
          <w:rPr>
            <w:color w:val="486794"/>
            <w:sz w:val="20"/>
            <w:u w:val="single" w:color="486794"/>
          </w:rPr>
          <w:t>at-bidmc</w:t>
        </w:r>
      </w:hyperlink>
      <w:r>
        <w:rPr>
          <w:color w:val="486794"/>
          <w:spacing w:val="-3"/>
          <w:sz w:val="20"/>
        </w:rPr>
        <w:t xml:space="preserve"> </w:t>
      </w:r>
      <w:r>
        <w:rPr>
          <w:sz w:val="20"/>
        </w:rPr>
        <w:t>(last</w:t>
      </w:r>
      <w:r>
        <w:rPr>
          <w:spacing w:val="-2"/>
          <w:sz w:val="20"/>
        </w:rPr>
        <w:t xml:space="preserve"> </w:t>
      </w:r>
      <w:r>
        <w:rPr>
          <w:sz w:val="20"/>
        </w:rPr>
        <w:t>visited</w:t>
      </w:r>
      <w:r>
        <w:rPr>
          <w:spacing w:val="-2"/>
          <w:sz w:val="20"/>
        </w:rPr>
        <w:t xml:space="preserve"> </w:t>
      </w:r>
      <w:r>
        <w:rPr>
          <w:sz w:val="20"/>
        </w:rPr>
        <w:t>February</w:t>
      </w:r>
      <w:r>
        <w:rPr>
          <w:spacing w:val="-4"/>
          <w:sz w:val="20"/>
        </w:rPr>
        <w:t xml:space="preserve"> </w:t>
      </w:r>
      <w:r>
        <w:rPr>
          <w:sz w:val="20"/>
        </w:rPr>
        <w:t>27,</w:t>
      </w:r>
      <w:r>
        <w:rPr>
          <w:spacing w:val="-2"/>
          <w:sz w:val="20"/>
        </w:rPr>
        <w:t xml:space="preserve"> </w:t>
      </w:r>
      <w:r>
        <w:rPr>
          <w:sz w:val="20"/>
        </w:rPr>
        <w:t>2025);</w:t>
      </w:r>
      <w:r>
        <w:rPr>
          <w:spacing w:val="-3"/>
          <w:sz w:val="20"/>
        </w:rPr>
        <w:t xml:space="preserve"> </w:t>
      </w:r>
      <w:hyperlink r:id="rId193" w:history="1">
        <w:r w:rsidRPr="00025EB0">
          <w:rPr>
            <w:rStyle w:val="Hyperlink"/>
            <w:i/>
            <w:color w:val="000000" w:themeColor="text1"/>
            <w:sz w:val="20"/>
            <w:u w:val="none"/>
          </w:rPr>
          <w:t>Patient</w:t>
        </w:r>
        <w:r w:rsidRPr="00025EB0">
          <w:rPr>
            <w:rStyle w:val="Hyperlink"/>
            <w:i/>
            <w:color w:val="000000" w:themeColor="text1"/>
            <w:spacing w:val="-4"/>
            <w:sz w:val="20"/>
            <w:u w:val="none"/>
          </w:rPr>
          <w:t xml:space="preserve"> </w:t>
        </w:r>
        <w:r w:rsidRPr="00025EB0">
          <w:rPr>
            <w:rStyle w:val="Hyperlink"/>
            <w:i/>
            <w:color w:val="000000" w:themeColor="text1"/>
            <w:sz w:val="20"/>
            <w:u w:val="none"/>
          </w:rPr>
          <w:t>Navigator</w:t>
        </w:r>
        <w:r w:rsidRPr="00025EB0">
          <w:rPr>
            <w:rStyle w:val="Hyperlink"/>
            <w:i/>
            <w:color w:val="000000" w:themeColor="text1"/>
            <w:spacing w:val="-3"/>
            <w:sz w:val="20"/>
            <w:u w:val="none"/>
          </w:rPr>
          <w:t xml:space="preserve"> </w:t>
        </w:r>
        <w:r w:rsidRPr="00025EB0">
          <w:rPr>
            <w:rStyle w:val="Hyperlink"/>
            <w:i/>
            <w:color w:val="000000" w:themeColor="text1"/>
            <w:sz w:val="20"/>
            <w:u w:val="none"/>
          </w:rPr>
          <w:t>Services</w:t>
        </w:r>
        <w:r w:rsidRPr="00025EB0">
          <w:rPr>
            <w:rStyle w:val="Hyperlink"/>
            <w:color w:val="000000" w:themeColor="text1"/>
            <w:sz w:val="20"/>
            <w:u w:val="none"/>
          </w:rPr>
          <w:t>,</w:t>
        </w:r>
        <w:r w:rsidRPr="00025EB0">
          <w:rPr>
            <w:rStyle w:val="Hyperlink"/>
            <w:color w:val="000000" w:themeColor="text1"/>
            <w:spacing w:val="-2"/>
            <w:sz w:val="20"/>
            <w:u w:val="none"/>
          </w:rPr>
          <w:t xml:space="preserve"> </w:t>
        </w:r>
        <w:r w:rsidRPr="00025EB0">
          <w:rPr>
            <w:rStyle w:val="Hyperlink"/>
            <w:color w:val="000000" w:themeColor="text1"/>
            <w:sz w:val="20"/>
            <w:u w:val="none"/>
          </w:rPr>
          <w:t>B</w:t>
        </w:r>
        <w:r w:rsidRPr="00025EB0">
          <w:rPr>
            <w:rStyle w:val="Hyperlink"/>
            <w:color w:val="000000" w:themeColor="text1"/>
            <w:sz w:val="16"/>
            <w:u w:val="none"/>
          </w:rPr>
          <w:t>EATH</w:t>
        </w:r>
        <w:r w:rsidRPr="00025EB0">
          <w:rPr>
            <w:rStyle w:val="Hyperlink"/>
            <w:color w:val="000000" w:themeColor="text1"/>
            <w:spacing w:val="-3"/>
            <w:sz w:val="16"/>
            <w:u w:val="none"/>
          </w:rPr>
          <w:t xml:space="preserve"> </w:t>
        </w:r>
        <w:r w:rsidRPr="00025EB0">
          <w:rPr>
            <w:rStyle w:val="Hyperlink"/>
            <w:color w:val="000000" w:themeColor="text1"/>
            <w:sz w:val="20"/>
            <w:u w:val="none"/>
          </w:rPr>
          <w:t>I</w:t>
        </w:r>
        <w:r w:rsidRPr="00025EB0">
          <w:rPr>
            <w:rStyle w:val="Hyperlink"/>
            <w:color w:val="000000" w:themeColor="text1"/>
            <w:sz w:val="16"/>
            <w:u w:val="none"/>
          </w:rPr>
          <w:t>SRAEL</w:t>
        </w:r>
        <w:r w:rsidRPr="00025EB0">
          <w:rPr>
            <w:rStyle w:val="Hyperlink"/>
            <w:color w:val="000000" w:themeColor="text1"/>
            <w:spacing w:val="-5"/>
            <w:sz w:val="16"/>
            <w:u w:val="none"/>
          </w:rPr>
          <w:t xml:space="preserve"> </w:t>
        </w:r>
        <w:r w:rsidRPr="00025EB0">
          <w:rPr>
            <w:rStyle w:val="Hyperlink"/>
            <w:color w:val="000000" w:themeColor="text1"/>
            <w:sz w:val="20"/>
            <w:u w:val="none"/>
          </w:rPr>
          <w:t>L</w:t>
        </w:r>
        <w:r w:rsidRPr="00025EB0">
          <w:rPr>
            <w:rStyle w:val="Hyperlink"/>
            <w:color w:val="000000" w:themeColor="text1"/>
            <w:sz w:val="16"/>
            <w:u w:val="none"/>
          </w:rPr>
          <w:t>AHEY</w:t>
        </w:r>
        <w:r w:rsidRPr="00025EB0">
          <w:rPr>
            <w:rStyle w:val="Hyperlink"/>
            <w:color w:val="000000" w:themeColor="text1"/>
            <w:spacing w:val="-3"/>
            <w:sz w:val="16"/>
            <w:u w:val="none"/>
          </w:rPr>
          <w:t xml:space="preserve"> </w:t>
        </w:r>
        <w:r w:rsidRPr="00025EB0">
          <w:rPr>
            <w:rStyle w:val="Hyperlink"/>
            <w:color w:val="000000" w:themeColor="text1"/>
            <w:sz w:val="20"/>
            <w:u w:val="none"/>
          </w:rPr>
          <w:t>H</w:t>
        </w:r>
        <w:r w:rsidRPr="00025EB0">
          <w:rPr>
            <w:rStyle w:val="Hyperlink"/>
            <w:color w:val="000000" w:themeColor="text1"/>
            <w:sz w:val="16"/>
            <w:u w:val="none"/>
          </w:rPr>
          <w:t>EALTH</w:t>
        </w:r>
        <w:r w:rsidRPr="00025EB0">
          <w:rPr>
            <w:rStyle w:val="Hyperlink"/>
            <w:color w:val="000000" w:themeColor="text1"/>
            <w:sz w:val="20"/>
            <w:u w:val="none"/>
          </w:rPr>
          <w:t>:</w:t>
        </w:r>
        <w:r w:rsidRPr="00025EB0">
          <w:rPr>
            <w:rStyle w:val="Hyperlink"/>
            <w:color w:val="000000" w:themeColor="text1"/>
            <w:spacing w:val="-12"/>
            <w:sz w:val="20"/>
            <w:u w:val="none"/>
          </w:rPr>
          <w:t xml:space="preserve"> </w:t>
        </w:r>
        <w:r w:rsidRPr="00025EB0">
          <w:rPr>
            <w:rStyle w:val="Hyperlink"/>
            <w:color w:val="000000" w:themeColor="text1"/>
            <w:sz w:val="20"/>
            <w:u w:val="none"/>
          </w:rPr>
          <w:t>B</w:t>
        </w:r>
        <w:r w:rsidRPr="00025EB0">
          <w:rPr>
            <w:rStyle w:val="Hyperlink"/>
            <w:color w:val="000000" w:themeColor="text1"/>
            <w:sz w:val="16"/>
            <w:u w:val="none"/>
          </w:rPr>
          <w:t>EATH</w:t>
        </w:r>
        <w:r w:rsidRPr="00025EB0">
          <w:rPr>
            <w:rStyle w:val="Hyperlink"/>
            <w:color w:val="000000" w:themeColor="text1"/>
            <w:spacing w:val="-5"/>
            <w:sz w:val="16"/>
            <w:u w:val="none"/>
          </w:rPr>
          <w:t xml:space="preserve"> </w:t>
        </w:r>
        <w:r w:rsidRPr="00025EB0">
          <w:rPr>
            <w:rStyle w:val="Hyperlink"/>
            <w:color w:val="000000" w:themeColor="text1"/>
            <w:sz w:val="20"/>
            <w:u w:val="none"/>
          </w:rPr>
          <w:t>I</w:t>
        </w:r>
        <w:r w:rsidRPr="00025EB0">
          <w:rPr>
            <w:rStyle w:val="Hyperlink"/>
            <w:color w:val="000000" w:themeColor="text1"/>
            <w:sz w:val="16"/>
            <w:u w:val="none"/>
          </w:rPr>
          <w:t>SRAEL</w:t>
        </w:r>
        <w:r w:rsidRPr="00025EB0">
          <w:rPr>
            <w:rStyle w:val="Hyperlink"/>
            <w:color w:val="000000" w:themeColor="text1"/>
            <w:spacing w:val="40"/>
            <w:sz w:val="16"/>
            <w:u w:val="none"/>
          </w:rPr>
          <w:t xml:space="preserve"> </w:t>
        </w:r>
        <w:r w:rsidRPr="00025EB0">
          <w:rPr>
            <w:rStyle w:val="Hyperlink"/>
            <w:color w:val="000000" w:themeColor="text1"/>
            <w:sz w:val="20"/>
            <w:u w:val="none"/>
          </w:rPr>
          <w:t>D</w:t>
        </w:r>
        <w:r w:rsidRPr="00025EB0">
          <w:rPr>
            <w:rStyle w:val="Hyperlink"/>
            <w:color w:val="000000" w:themeColor="text1"/>
            <w:sz w:val="16"/>
            <w:u w:val="none"/>
          </w:rPr>
          <w:t xml:space="preserve">EACONESS </w:t>
        </w:r>
        <w:r w:rsidRPr="00025EB0">
          <w:rPr>
            <w:rStyle w:val="Hyperlink"/>
            <w:color w:val="000000" w:themeColor="text1"/>
            <w:sz w:val="20"/>
            <w:u w:val="none"/>
          </w:rPr>
          <w:t>M</w:t>
        </w:r>
        <w:r w:rsidRPr="00025EB0">
          <w:rPr>
            <w:rStyle w:val="Hyperlink"/>
            <w:color w:val="000000" w:themeColor="text1"/>
            <w:sz w:val="16"/>
            <w:u w:val="none"/>
          </w:rPr>
          <w:t xml:space="preserve">EDICAL </w:t>
        </w:r>
        <w:r w:rsidRPr="00025EB0">
          <w:rPr>
            <w:rStyle w:val="Hyperlink"/>
            <w:color w:val="000000" w:themeColor="text1"/>
            <w:sz w:val="20"/>
            <w:u w:val="none"/>
          </w:rPr>
          <w:t>C</w:t>
        </w:r>
        <w:r w:rsidRPr="00025EB0">
          <w:rPr>
            <w:rStyle w:val="Hyperlink"/>
            <w:color w:val="000000" w:themeColor="text1"/>
            <w:sz w:val="16"/>
            <w:u w:val="none"/>
          </w:rPr>
          <w:t>ENTER</w:t>
        </w:r>
      </w:hyperlink>
      <w:r w:rsidRPr="00025EB0">
        <w:rPr>
          <w:color w:val="000000" w:themeColor="text1"/>
          <w:sz w:val="20"/>
        </w:rPr>
        <w:t xml:space="preserve">, available </w:t>
      </w:r>
      <w:r>
        <w:rPr>
          <w:sz w:val="20"/>
        </w:rPr>
        <w:t xml:space="preserve">at </w:t>
      </w:r>
      <w:hyperlink r:id="rId194">
        <w:r>
          <w:rPr>
            <w:color w:val="486794"/>
            <w:sz w:val="20"/>
            <w:u w:val="single" w:color="486794"/>
          </w:rPr>
          <w:t>https://www.bidmc.org/centers-and-departments/cancer-</w:t>
        </w:r>
      </w:hyperlink>
      <w:r>
        <w:rPr>
          <w:color w:val="486794"/>
          <w:sz w:val="20"/>
        </w:rPr>
        <w:t xml:space="preserve"> </w:t>
      </w:r>
      <w:hyperlink r:id="rId195">
        <w:r>
          <w:rPr>
            <w:color w:val="486794"/>
            <w:sz w:val="20"/>
            <w:u w:val="single" w:color="486794"/>
          </w:rPr>
          <w:t>center/cancer-support-services/patient-navigator-services</w:t>
        </w:r>
      </w:hyperlink>
      <w:r>
        <w:rPr>
          <w:color w:val="486794"/>
          <w:sz w:val="20"/>
        </w:rPr>
        <w:t xml:space="preserve"> </w:t>
      </w:r>
      <w:r>
        <w:rPr>
          <w:sz w:val="20"/>
        </w:rPr>
        <w:t xml:space="preserve">(last visited February 27, 2025). More specific </w:t>
      </w:r>
      <w:bookmarkStart w:id="148" w:name="_bookmark181"/>
      <w:bookmarkEnd w:id="148"/>
      <w:r>
        <w:rPr>
          <w:sz w:val="20"/>
        </w:rPr>
        <w:t>details on each of these programs were provided by BIDMC to the HPC.</w:t>
      </w:r>
    </w:p>
  </w:footnote>
  <w:footnote w:id="155">
    <w:p w14:paraId="2742356D" w14:textId="270216F6" w:rsidR="007E117D" w:rsidRDefault="007E117D" w:rsidP="00322EEF">
      <w:pPr>
        <w:pStyle w:val="FootnoteText"/>
        <w:ind w:left="960" w:right="940"/>
      </w:pPr>
      <w:r>
        <w:rPr>
          <w:rStyle w:val="FootnoteReference"/>
        </w:rPr>
        <w:footnoteRef/>
      </w:r>
      <w:r>
        <w:t xml:space="preserve"> See </w:t>
      </w:r>
      <w:hyperlink r:id="rId196" w:history="1">
        <w:r w:rsidRPr="00927AB9">
          <w:rPr>
            <w:rStyle w:val="Hyperlink"/>
            <w:i/>
            <w:color w:val="000000" w:themeColor="text1"/>
            <w:u w:val="none"/>
          </w:rPr>
          <w:t>Grants to NCI-Designated Cancer Centers</w:t>
        </w:r>
        <w:r w:rsidRPr="00927AB9">
          <w:rPr>
            <w:rStyle w:val="Hyperlink"/>
            <w:color w:val="000000" w:themeColor="text1"/>
            <w:u w:val="none"/>
          </w:rPr>
          <w:t>, N</w:t>
        </w:r>
        <w:r w:rsidRPr="00927AB9">
          <w:rPr>
            <w:rStyle w:val="Hyperlink"/>
            <w:color w:val="000000" w:themeColor="text1"/>
            <w:sz w:val="16"/>
            <w:u w:val="none"/>
          </w:rPr>
          <w:t xml:space="preserve">ATIONAL </w:t>
        </w:r>
        <w:r w:rsidRPr="00927AB9">
          <w:rPr>
            <w:rStyle w:val="Hyperlink"/>
            <w:color w:val="000000" w:themeColor="text1"/>
            <w:u w:val="none"/>
          </w:rPr>
          <w:t>C</w:t>
        </w:r>
        <w:r w:rsidRPr="00927AB9">
          <w:rPr>
            <w:rStyle w:val="Hyperlink"/>
            <w:color w:val="000000" w:themeColor="text1"/>
            <w:sz w:val="16"/>
            <w:u w:val="none"/>
          </w:rPr>
          <w:t xml:space="preserve">ANCER </w:t>
        </w:r>
        <w:r w:rsidRPr="00927AB9">
          <w:rPr>
            <w:rStyle w:val="Hyperlink"/>
            <w:color w:val="000000" w:themeColor="text1"/>
            <w:u w:val="none"/>
          </w:rPr>
          <w:t>I</w:t>
        </w:r>
        <w:r w:rsidRPr="00927AB9">
          <w:rPr>
            <w:rStyle w:val="Hyperlink"/>
            <w:color w:val="000000" w:themeColor="text1"/>
            <w:sz w:val="16"/>
            <w:u w:val="none"/>
          </w:rPr>
          <w:t>NSTITUTE</w:t>
        </w:r>
      </w:hyperlink>
      <w:r w:rsidRPr="00927AB9">
        <w:rPr>
          <w:color w:val="000000" w:themeColor="text1"/>
        </w:rPr>
        <w:t xml:space="preserve">, </w:t>
      </w:r>
      <w:r w:rsidRPr="00927AB9">
        <w:rPr>
          <w:i/>
          <w:color w:val="000000" w:themeColor="text1"/>
        </w:rPr>
        <w:t xml:space="preserve">available </w:t>
      </w:r>
      <w:r>
        <w:rPr>
          <w:i/>
        </w:rPr>
        <w:t xml:space="preserve">at </w:t>
      </w:r>
      <w:hyperlink r:id="rId197">
        <w:r>
          <w:rPr>
            <w:color w:val="486794"/>
            <w:u w:val="single" w:color="486794"/>
          </w:rPr>
          <w:t>https://www.cancer.gov/about-nci/budget/fact-book/extramural-programs/cancer-centers</w:t>
        </w:r>
      </w:hyperlink>
      <w:r>
        <w:rPr>
          <w:color w:val="486794"/>
          <w:spacing w:val="-13"/>
          <w:u w:val="single" w:color="486794"/>
        </w:rPr>
        <w:t xml:space="preserve"> </w:t>
      </w:r>
      <w:r>
        <w:t>(last</w:t>
      </w:r>
      <w:r>
        <w:rPr>
          <w:spacing w:val="-12"/>
        </w:rPr>
        <w:t xml:space="preserve"> </w:t>
      </w:r>
      <w:r>
        <w:t xml:space="preserve">visited </w:t>
      </w:r>
      <w:bookmarkStart w:id="149" w:name="_bookmark182"/>
      <w:bookmarkEnd w:id="149"/>
      <w:r>
        <w:t>February 27, 2025) for a breakdown of NIH funding for each NCI designated cancer center.</w:t>
      </w:r>
    </w:p>
  </w:footnote>
  <w:footnote w:id="156">
    <w:p w14:paraId="1306E137" w14:textId="722FA04B" w:rsidR="007E117D" w:rsidRDefault="007E117D" w:rsidP="00EB6DFF">
      <w:pPr>
        <w:pStyle w:val="FootnoteText"/>
        <w:ind w:left="965" w:right="940"/>
      </w:pPr>
      <w:r>
        <w:rPr>
          <w:rStyle w:val="FootnoteReference"/>
        </w:rPr>
        <w:footnoteRef/>
      </w:r>
      <w:r>
        <w:t xml:space="preserve"> PPS-exempt cancer hospitals are required to report data through the PCHQR system. Much of that data is published by CMS. </w:t>
      </w:r>
      <w:r>
        <w:rPr>
          <w:i/>
        </w:rPr>
        <w:t xml:space="preserve">See </w:t>
      </w:r>
      <w:hyperlink r:id="rId198" w:history="1">
        <w:r w:rsidRPr="004C49A3">
          <w:rPr>
            <w:rStyle w:val="Hyperlink"/>
            <w:i/>
            <w:color w:val="000000" w:themeColor="text1"/>
            <w:u w:val="none"/>
          </w:rPr>
          <w:t>PPS-Exempt Cancer Hospital Quality Reporting (PCHQR) Program</w:t>
        </w:r>
        <w:r w:rsidRPr="004C49A3">
          <w:rPr>
            <w:rStyle w:val="Hyperlink"/>
            <w:color w:val="000000" w:themeColor="text1"/>
            <w:u w:val="none"/>
          </w:rPr>
          <w:t>, C</w:t>
        </w:r>
        <w:r w:rsidRPr="004C49A3">
          <w:rPr>
            <w:rStyle w:val="Hyperlink"/>
            <w:color w:val="000000" w:themeColor="text1"/>
            <w:sz w:val="16"/>
            <w:u w:val="none"/>
          </w:rPr>
          <w:t>TRS</w:t>
        </w:r>
        <w:r w:rsidRPr="004C49A3">
          <w:rPr>
            <w:rStyle w:val="Hyperlink"/>
            <w:color w:val="000000" w:themeColor="text1"/>
            <w:u w:val="none"/>
          </w:rPr>
          <w:t>.</w:t>
        </w:r>
        <w:r w:rsidRPr="004C49A3">
          <w:rPr>
            <w:rStyle w:val="Hyperlink"/>
            <w:color w:val="000000" w:themeColor="text1"/>
            <w:spacing w:val="-3"/>
            <w:u w:val="none"/>
          </w:rPr>
          <w:t xml:space="preserve"> </w:t>
        </w:r>
        <w:r w:rsidRPr="004C49A3">
          <w:rPr>
            <w:rStyle w:val="Hyperlink"/>
            <w:color w:val="000000" w:themeColor="text1"/>
            <w:sz w:val="16"/>
            <w:u w:val="none"/>
          </w:rPr>
          <w:t>FOR</w:t>
        </w:r>
        <w:r w:rsidRPr="004C49A3">
          <w:rPr>
            <w:rStyle w:val="Hyperlink"/>
            <w:color w:val="000000" w:themeColor="text1"/>
            <w:spacing w:val="40"/>
            <w:sz w:val="16"/>
            <w:u w:val="none"/>
          </w:rPr>
          <w:t xml:space="preserve"> </w:t>
        </w:r>
        <w:r w:rsidRPr="004C49A3">
          <w:rPr>
            <w:rStyle w:val="Hyperlink"/>
            <w:color w:val="000000" w:themeColor="text1"/>
            <w:u w:val="none"/>
          </w:rPr>
          <w:t>M</w:t>
        </w:r>
        <w:r w:rsidRPr="004C49A3">
          <w:rPr>
            <w:rStyle w:val="Hyperlink"/>
            <w:color w:val="000000" w:themeColor="text1"/>
            <w:sz w:val="16"/>
            <w:u w:val="none"/>
          </w:rPr>
          <w:t>EDICARE</w:t>
        </w:r>
        <w:r w:rsidRPr="004C49A3">
          <w:rPr>
            <w:rStyle w:val="Hyperlink"/>
            <w:color w:val="000000" w:themeColor="text1"/>
            <w:spacing w:val="-10"/>
            <w:sz w:val="16"/>
            <w:u w:val="none"/>
          </w:rPr>
          <w:t xml:space="preserve"> </w:t>
        </w:r>
        <w:r w:rsidRPr="004C49A3">
          <w:rPr>
            <w:rStyle w:val="Hyperlink"/>
            <w:color w:val="000000" w:themeColor="text1"/>
            <w:u w:val="none"/>
          </w:rPr>
          <w:t>&amp;</w:t>
        </w:r>
        <w:r w:rsidRPr="004C49A3">
          <w:rPr>
            <w:rStyle w:val="Hyperlink"/>
            <w:color w:val="000000" w:themeColor="text1"/>
            <w:spacing w:val="-12"/>
            <w:u w:val="none"/>
          </w:rPr>
          <w:t xml:space="preserve"> </w:t>
        </w:r>
        <w:r w:rsidRPr="004C49A3">
          <w:rPr>
            <w:rStyle w:val="Hyperlink"/>
            <w:color w:val="000000" w:themeColor="text1"/>
            <w:u w:val="none"/>
          </w:rPr>
          <w:t>M</w:t>
        </w:r>
        <w:r w:rsidRPr="004C49A3">
          <w:rPr>
            <w:rStyle w:val="Hyperlink"/>
            <w:color w:val="000000" w:themeColor="text1"/>
            <w:sz w:val="16"/>
            <w:u w:val="none"/>
          </w:rPr>
          <w:t>EDICAID</w:t>
        </w:r>
        <w:r w:rsidRPr="004C49A3">
          <w:rPr>
            <w:rStyle w:val="Hyperlink"/>
            <w:color w:val="000000" w:themeColor="text1"/>
            <w:spacing w:val="-7"/>
            <w:sz w:val="16"/>
            <w:u w:val="none"/>
          </w:rPr>
          <w:t xml:space="preserve"> </w:t>
        </w:r>
        <w:r w:rsidRPr="004C49A3">
          <w:rPr>
            <w:rStyle w:val="Hyperlink"/>
            <w:color w:val="000000" w:themeColor="text1"/>
            <w:u w:val="none"/>
          </w:rPr>
          <w:t>S</w:t>
        </w:r>
        <w:r w:rsidRPr="004C49A3">
          <w:rPr>
            <w:rStyle w:val="Hyperlink"/>
            <w:color w:val="000000" w:themeColor="text1"/>
            <w:sz w:val="16"/>
            <w:u w:val="none"/>
          </w:rPr>
          <w:t>ERVS</w:t>
        </w:r>
        <w:r w:rsidRPr="004C49A3">
          <w:rPr>
            <w:rStyle w:val="Hyperlink"/>
            <w:color w:val="000000" w:themeColor="text1"/>
            <w:u w:val="none"/>
          </w:rPr>
          <w:t>.,</w:t>
        </w:r>
      </w:hyperlink>
      <w:r w:rsidRPr="004C49A3">
        <w:rPr>
          <w:color w:val="000000" w:themeColor="text1"/>
          <w:spacing w:val="-9"/>
        </w:rPr>
        <w:t xml:space="preserve"> </w:t>
      </w:r>
      <w:r>
        <w:rPr>
          <w:i/>
        </w:rPr>
        <w:t>available</w:t>
      </w:r>
      <w:r>
        <w:rPr>
          <w:i/>
          <w:spacing w:val="-6"/>
        </w:rPr>
        <w:t xml:space="preserve"> </w:t>
      </w:r>
      <w:r>
        <w:rPr>
          <w:i/>
        </w:rPr>
        <w:t>at</w:t>
      </w:r>
      <w:r>
        <w:rPr>
          <w:i/>
          <w:spacing w:val="-8"/>
        </w:rPr>
        <w:t xml:space="preserve"> </w:t>
      </w:r>
      <w:hyperlink r:id="rId199">
        <w:r>
          <w:rPr>
            <w:color w:val="486794"/>
            <w:u w:val="single" w:color="486794"/>
          </w:rPr>
          <w:t>https://www.cms.gov/medicare/quality/initiatives/hospital-quality-</w:t>
        </w:r>
      </w:hyperlink>
      <w:r>
        <w:rPr>
          <w:color w:val="486794"/>
        </w:rPr>
        <w:t xml:space="preserve"> </w:t>
      </w:r>
      <w:hyperlink r:id="rId200">
        <w:r>
          <w:rPr>
            <w:color w:val="486794"/>
            <w:u w:val="single" w:color="486794"/>
          </w:rPr>
          <w:t>initiative/pps-exempt-cancer-hospital-quality-reporting-pchqr-program</w:t>
        </w:r>
      </w:hyperlink>
      <w:r>
        <w:rPr>
          <w:color w:val="486794"/>
        </w:rPr>
        <w:t xml:space="preserve"> </w:t>
      </w:r>
      <w:r>
        <w:t>(last visited February 27, 2025).</w:t>
      </w:r>
    </w:p>
  </w:footnote>
  <w:footnote w:id="157">
    <w:p w14:paraId="49D26E59" w14:textId="690A27E9" w:rsidR="00322EEF" w:rsidRPr="00322EEF" w:rsidRDefault="00322EEF" w:rsidP="00EB6DFF">
      <w:pPr>
        <w:ind w:left="965" w:right="799"/>
        <w:rPr>
          <w:sz w:val="20"/>
        </w:rPr>
      </w:pPr>
      <w:r>
        <w:rPr>
          <w:rStyle w:val="FootnoteReference"/>
        </w:rPr>
        <w:footnoteRef/>
      </w:r>
      <w:r>
        <w:t xml:space="preserve"> </w:t>
      </w:r>
      <w:hyperlink r:id="rId201" w:history="1">
        <w:r w:rsidRPr="00EB6DFF">
          <w:rPr>
            <w:rStyle w:val="Hyperlink"/>
            <w:i/>
            <w:color w:val="000000" w:themeColor="text1"/>
            <w:sz w:val="20"/>
            <w:u w:val="none"/>
          </w:rPr>
          <w:t>Cancer Readmissions Measure (PCH-36)</w:t>
        </w:r>
        <w:r w:rsidRPr="00EB6DFF">
          <w:rPr>
            <w:rStyle w:val="Hyperlink"/>
            <w:color w:val="000000" w:themeColor="text1"/>
            <w:sz w:val="20"/>
            <w:u w:val="none"/>
          </w:rPr>
          <w:t>, C</w:t>
        </w:r>
        <w:r w:rsidRPr="00EB6DFF">
          <w:rPr>
            <w:rStyle w:val="Hyperlink"/>
            <w:color w:val="000000" w:themeColor="text1"/>
            <w:sz w:val="16"/>
            <w:u w:val="none"/>
          </w:rPr>
          <w:t>TRS</w:t>
        </w:r>
        <w:r w:rsidRPr="00EB6DFF">
          <w:rPr>
            <w:rStyle w:val="Hyperlink"/>
            <w:color w:val="000000" w:themeColor="text1"/>
            <w:sz w:val="20"/>
            <w:u w:val="none"/>
          </w:rPr>
          <w:t>.</w:t>
        </w:r>
        <w:r w:rsidRPr="00EB6DFF">
          <w:rPr>
            <w:rStyle w:val="Hyperlink"/>
            <w:color w:val="000000" w:themeColor="text1"/>
            <w:spacing w:val="-1"/>
            <w:sz w:val="20"/>
            <w:u w:val="none"/>
          </w:rPr>
          <w:t xml:space="preserve"> </w:t>
        </w:r>
        <w:r w:rsidRPr="00EB6DFF">
          <w:rPr>
            <w:rStyle w:val="Hyperlink"/>
            <w:color w:val="000000" w:themeColor="text1"/>
            <w:sz w:val="16"/>
            <w:u w:val="none"/>
          </w:rPr>
          <w:t xml:space="preserve">FOR </w:t>
        </w:r>
        <w:r w:rsidRPr="00EB6DFF">
          <w:rPr>
            <w:rStyle w:val="Hyperlink"/>
            <w:color w:val="000000" w:themeColor="text1"/>
            <w:sz w:val="20"/>
            <w:u w:val="none"/>
          </w:rPr>
          <w:t>M</w:t>
        </w:r>
        <w:r w:rsidRPr="00EB6DFF">
          <w:rPr>
            <w:rStyle w:val="Hyperlink"/>
            <w:color w:val="000000" w:themeColor="text1"/>
            <w:sz w:val="16"/>
            <w:u w:val="none"/>
          </w:rPr>
          <w:t xml:space="preserve">EDICARE </w:t>
        </w:r>
        <w:r w:rsidRPr="00EB6DFF">
          <w:rPr>
            <w:rStyle w:val="Hyperlink"/>
            <w:color w:val="000000" w:themeColor="text1"/>
            <w:sz w:val="20"/>
            <w:u w:val="none"/>
          </w:rPr>
          <w:t>&amp;</w:t>
        </w:r>
        <w:r w:rsidRPr="00EB6DFF">
          <w:rPr>
            <w:rStyle w:val="Hyperlink"/>
            <w:color w:val="000000" w:themeColor="text1"/>
            <w:spacing w:val="-2"/>
            <w:sz w:val="20"/>
            <w:u w:val="none"/>
          </w:rPr>
          <w:t xml:space="preserve"> </w:t>
        </w:r>
        <w:r w:rsidRPr="00EB6DFF">
          <w:rPr>
            <w:rStyle w:val="Hyperlink"/>
            <w:color w:val="000000" w:themeColor="text1"/>
            <w:sz w:val="20"/>
            <w:u w:val="none"/>
          </w:rPr>
          <w:t>M</w:t>
        </w:r>
        <w:r w:rsidRPr="00EB6DFF">
          <w:rPr>
            <w:rStyle w:val="Hyperlink"/>
            <w:color w:val="000000" w:themeColor="text1"/>
            <w:sz w:val="16"/>
            <w:u w:val="none"/>
          </w:rPr>
          <w:t xml:space="preserve">EDICAID </w:t>
        </w:r>
        <w:r w:rsidRPr="00EB6DFF">
          <w:rPr>
            <w:rStyle w:val="Hyperlink"/>
            <w:color w:val="000000" w:themeColor="text1"/>
            <w:sz w:val="20"/>
            <w:u w:val="none"/>
          </w:rPr>
          <w:t>S</w:t>
        </w:r>
        <w:r w:rsidRPr="00EB6DFF">
          <w:rPr>
            <w:rStyle w:val="Hyperlink"/>
            <w:color w:val="000000" w:themeColor="text1"/>
            <w:sz w:val="16"/>
            <w:u w:val="none"/>
          </w:rPr>
          <w:t>ERVS</w:t>
        </w:r>
        <w:r w:rsidRPr="00EB6DFF">
          <w:rPr>
            <w:rStyle w:val="Hyperlink"/>
            <w:color w:val="000000" w:themeColor="text1"/>
            <w:sz w:val="20"/>
            <w:u w:val="none"/>
          </w:rPr>
          <w:t>.</w:t>
        </w:r>
      </w:hyperlink>
      <w:r w:rsidRPr="00EB6DFF">
        <w:rPr>
          <w:color w:val="000000" w:themeColor="text1"/>
          <w:sz w:val="20"/>
        </w:rPr>
        <w:t xml:space="preserve"> (August </w:t>
      </w:r>
      <w:r>
        <w:rPr>
          <w:sz w:val="20"/>
        </w:rPr>
        <w:t xml:space="preserve">18, 2021), </w:t>
      </w:r>
      <w:r>
        <w:rPr>
          <w:i/>
          <w:sz w:val="20"/>
        </w:rPr>
        <w:t>available</w:t>
      </w:r>
      <w:r>
        <w:rPr>
          <w:i/>
          <w:spacing w:val="-4"/>
          <w:sz w:val="20"/>
        </w:rPr>
        <w:t xml:space="preserve"> </w:t>
      </w:r>
      <w:r>
        <w:rPr>
          <w:i/>
          <w:sz w:val="20"/>
        </w:rPr>
        <w:t>at</w:t>
      </w:r>
      <w:r>
        <w:rPr>
          <w:i/>
          <w:spacing w:val="-7"/>
          <w:sz w:val="20"/>
        </w:rPr>
        <w:t xml:space="preserve"> </w:t>
      </w:r>
      <w:hyperlink r:id="rId202">
        <w:r>
          <w:rPr>
            <w:color w:val="486794"/>
            <w:sz w:val="20"/>
            <w:u w:val="single" w:color="486794"/>
          </w:rPr>
          <w:t>https://qualitynet.cms.gov/pch/measures/readmissions</w:t>
        </w:r>
        <w:r w:rsidRPr="00961C23">
          <w:rPr>
            <w:sz w:val="20"/>
          </w:rPr>
          <w:t>.</w:t>
        </w:r>
      </w:hyperlink>
      <w:r>
        <w:rPr>
          <w:color w:val="A4A4A4"/>
          <w:spacing w:val="-5"/>
          <w:sz w:val="20"/>
        </w:rPr>
        <w:t xml:space="preserve"> </w:t>
      </w:r>
      <w:r>
        <w:rPr>
          <w:sz w:val="20"/>
        </w:rPr>
        <w:t>Performance</w:t>
      </w:r>
      <w:r>
        <w:rPr>
          <w:spacing w:val="-7"/>
          <w:sz w:val="20"/>
        </w:rPr>
        <w:t xml:space="preserve"> </w:t>
      </w:r>
      <w:r>
        <w:rPr>
          <w:sz w:val="20"/>
        </w:rPr>
        <w:t>levels</w:t>
      </w:r>
      <w:r>
        <w:rPr>
          <w:spacing w:val="-5"/>
          <w:sz w:val="20"/>
        </w:rPr>
        <w:t xml:space="preserve"> </w:t>
      </w:r>
      <w:r>
        <w:rPr>
          <w:sz w:val="20"/>
        </w:rPr>
        <w:t>for</w:t>
      </w:r>
      <w:r>
        <w:rPr>
          <w:spacing w:val="-5"/>
          <w:sz w:val="20"/>
        </w:rPr>
        <w:t xml:space="preserve"> </w:t>
      </w:r>
      <w:r>
        <w:rPr>
          <w:sz w:val="20"/>
        </w:rPr>
        <w:t>each</w:t>
      </w:r>
      <w:r>
        <w:rPr>
          <w:spacing w:val="-6"/>
          <w:sz w:val="20"/>
        </w:rPr>
        <w:t xml:space="preserve"> </w:t>
      </w:r>
      <w:r>
        <w:rPr>
          <w:sz w:val="20"/>
        </w:rPr>
        <w:t>hospital were analyzed relative to statewide levels using a two-sided z-test for statistical significance. The HPC also</w:t>
      </w:r>
      <w:r w:rsidRPr="00322EEF">
        <w:rPr>
          <w:sz w:val="20"/>
        </w:rPr>
        <w:t xml:space="preserve"> </w:t>
      </w:r>
      <w:r>
        <w:rPr>
          <w:sz w:val="20"/>
        </w:rPr>
        <w:t>analyzed</w:t>
      </w:r>
      <w:r>
        <w:rPr>
          <w:spacing w:val="-3"/>
          <w:sz w:val="20"/>
        </w:rPr>
        <w:t xml:space="preserve"> </w:t>
      </w:r>
      <w:r>
        <w:rPr>
          <w:sz w:val="20"/>
        </w:rPr>
        <w:t>performance</w:t>
      </w:r>
      <w:r>
        <w:rPr>
          <w:spacing w:val="-5"/>
          <w:sz w:val="20"/>
        </w:rPr>
        <w:t xml:space="preserve"> </w:t>
      </w:r>
      <w:r>
        <w:rPr>
          <w:sz w:val="20"/>
        </w:rPr>
        <w:t>levels</w:t>
      </w:r>
      <w:r>
        <w:rPr>
          <w:spacing w:val="-1"/>
          <w:sz w:val="20"/>
        </w:rPr>
        <w:t xml:space="preserve"> </w:t>
      </w:r>
      <w:r>
        <w:rPr>
          <w:sz w:val="20"/>
        </w:rPr>
        <w:t>for</w:t>
      </w:r>
      <w:r>
        <w:rPr>
          <w:spacing w:val="-5"/>
          <w:sz w:val="20"/>
        </w:rPr>
        <w:t xml:space="preserve"> </w:t>
      </w:r>
      <w:r>
        <w:rPr>
          <w:sz w:val="20"/>
        </w:rPr>
        <w:t>several</w:t>
      </w:r>
      <w:r>
        <w:rPr>
          <w:spacing w:val="-4"/>
          <w:sz w:val="20"/>
        </w:rPr>
        <w:t xml:space="preserve"> </w:t>
      </w:r>
      <w:r>
        <w:rPr>
          <w:sz w:val="20"/>
        </w:rPr>
        <w:t>additional</w:t>
      </w:r>
      <w:r>
        <w:rPr>
          <w:spacing w:val="-2"/>
          <w:sz w:val="20"/>
        </w:rPr>
        <w:t xml:space="preserve"> </w:t>
      </w:r>
      <w:r>
        <w:rPr>
          <w:sz w:val="20"/>
        </w:rPr>
        <w:t>AMCs</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Commonwealth</w:t>
      </w:r>
      <w:r>
        <w:rPr>
          <w:spacing w:val="-4"/>
          <w:sz w:val="20"/>
        </w:rPr>
        <w:t xml:space="preserve"> </w:t>
      </w:r>
      <w:r>
        <w:rPr>
          <w:sz w:val="20"/>
        </w:rPr>
        <w:t>for</w:t>
      </w:r>
      <w:r>
        <w:rPr>
          <w:spacing w:val="-5"/>
          <w:sz w:val="20"/>
        </w:rPr>
        <w:t xml:space="preserve"> </w:t>
      </w:r>
      <w:r>
        <w:rPr>
          <w:sz w:val="20"/>
        </w:rPr>
        <w:t>comparative</w:t>
      </w:r>
      <w:r>
        <w:rPr>
          <w:spacing w:val="-5"/>
          <w:sz w:val="20"/>
        </w:rPr>
        <w:t xml:space="preserve"> </w:t>
      </w:r>
      <w:r>
        <w:rPr>
          <w:sz w:val="20"/>
        </w:rPr>
        <w:t xml:space="preserve">purposes. MGH performed statistically better than the statewide average for this metric. Salem Hospital and Lahey </w:t>
      </w:r>
      <w:bookmarkStart w:id="152" w:name="_bookmark185"/>
      <w:bookmarkEnd w:id="152"/>
      <w:r>
        <w:rPr>
          <w:sz w:val="20"/>
        </w:rPr>
        <w:t>performances were in line with the statewide average.</w:t>
      </w:r>
    </w:p>
  </w:footnote>
  <w:footnote w:id="158">
    <w:p w14:paraId="2805DF8A" w14:textId="386ACEEB" w:rsidR="00DB049D" w:rsidRDefault="00DB049D" w:rsidP="00DB049D">
      <w:pPr>
        <w:pStyle w:val="FootnoteText"/>
        <w:ind w:left="900" w:right="940"/>
      </w:pPr>
      <w:r>
        <w:rPr>
          <w:rStyle w:val="FootnoteReference"/>
        </w:rPr>
        <w:footnoteRef/>
      </w:r>
      <w:r>
        <w:t xml:space="preserve"> </w:t>
      </w:r>
      <w:hyperlink r:id="rId203" w:history="1">
        <w:r w:rsidRPr="0074339A">
          <w:rPr>
            <w:rStyle w:val="Hyperlink"/>
            <w:i/>
            <w:color w:val="000000" w:themeColor="text1"/>
            <w:u w:val="none"/>
          </w:rPr>
          <w:t>Home Health Claims-Based Utilization Measures</w:t>
        </w:r>
        <w:r w:rsidRPr="0074339A">
          <w:rPr>
            <w:rStyle w:val="Hyperlink"/>
            <w:color w:val="000000" w:themeColor="text1"/>
            <w:u w:val="none"/>
          </w:rPr>
          <w:t>, C</w:t>
        </w:r>
        <w:r w:rsidRPr="0074339A">
          <w:rPr>
            <w:rStyle w:val="Hyperlink"/>
            <w:color w:val="000000" w:themeColor="text1"/>
            <w:sz w:val="16"/>
            <w:u w:val="none"/>
          </w:rPr>
          <w:t>TRS</w:t>
        </w:r>
        <w:r w:rsidRPr="0074339A">
          <w:rPr>
            <w:rStyle w:val="Hyperlink"/>
            <w:color w:val="000000" w:themeColor="text1"/>
            <w:u w:val="none"/>
          </w:rPr>
          <w:t>.</w:t>
        </w:r>
        <w:r w:rsidRPr="0074339A">
          <w:rPr>
            <w:rStyle w:val="Hyperlink"/>
            <w:color w:val="000000" w:themeColor="text1"/>
            <w:spacing w:val="-2"/>
            <w:u w:val="none"/>
          </w:rPr>
          <w:t xml:space="preserve"> </w:t>
        </w:r>
        <w:r w:rsidRPr="0074339A">
          <w:rPr>
            <w:rStyle w:val="Hyperlink"/>
            <w:color w:val="000000" w:themeColor="text1"/>
            <w:sz w:val="16"/>
            <w:u w:val="none"/>
          </w:rPr>
          <w:t xml:space="preserve">FOR </w:t>
        </w:r>
        <w:r w:rsidRPr="0074339A">
          <w:rPr>
            <w:rStyle w:val="Hyperlink"/>
            <w:color w:val="000000" w:themeColor="text1"/>
            <w:u w:val="none"/>
          </w:rPr>
          <w:t>M</w:t>
        </w:r>
        <w:r w:rsidRPr="0074339A">
          <w:rPr>
            <w:rStyle w:val="Hyperlink"/>
            <w:color w:val="000000" w:themeColor="text1"/>
            <w:sz w:val="16"/>
            <w:u w:val="none"/>
          </w:rPr>
          <w:t xml:space="preserve">EDICARE </w:t>
        </w:r>
        <w:r w:rsidRPr="0074339A">
          <w:rPr>
            <w:rStyle w:val="Hyperlink"/>
            <w:color w:val="000000" w:themeColor="text1"/>
            <w:u w:val="none"/>
          </w:rPr>
          <w:t>&amp;</w:t>
        </w:r>
        <w:r w:rsidRPr="0074339A">
          <w:rPr>
            <w:rStyle w:val="Hyperlink"/>
            <w:color w:val="000000" w:themeColor="text1"/>
            <w:spacing w:val="-3"/>
            <w:u w:val="none"/>
          </w:rPr>
          <w:t xml:space="preserve"> </w:t>
        </w:r>
        <w:r w:rsidRPr="0074339A">
          <w:rPr>
            <w:rStyle w:val="Hyperlink"/>
            <w:color w:val="000000" w:themeColor="text1"/>
            <w:u w:val="none"/>
          </w:rPr>
          <w:t>M</w:t>
        </w:r>
        <w:r w:rsidRPr="0074339A">
          <w:rPr>
            <w:rStyle w:val="Hyperlink"/>
            <w:color w:val="000000" w:themeColor="text1"/>
            <w:sz w:val="16"/>
            <w:u w:val="none"/>
          </w:rPr>
          <w:t xml:space="preserve">EDICAID </w:t>
        </w:r>
        <w:r w:rsidRPr="0074339A">
          <w:rPr>
            <w:rStyle w:val="Hyperlink"/>
            <w:color w:val="000000" w:themeColor="text1"/>
            <w:u w:val="none"/>
          </w:rPr>
          <w:t>S</w:t>
        </w:r>
        <w:r w:rsidRPr="0074339A">
          <w:rPr>
            <w:rStyle w:val="Hyperlink"/>
            <w:color w:val="000000" w:themeColor="text1"/>
            <w:sz w:val="16"/>
            <w:u w:val="none"/>
          </w:rPr>
          <w:t>ERVS</w:t>
        </w:r>
      </w:hyperlink>
      <w:r w:rsidRPr="0074339A">
        <w:rPr>
          <w:color w:val="000000" w:themeColor="text1"/>
        </w:rPr>
        <w:t xml:space="preserve">. (August </w:t>
      </w:r>
      <w:r>
        <w:t xml:space="preserve">21, 2012), </w:t>
      </w:r>
      <w:r>
        <w:rPr>
          <w:i/>
        </w:rPr>
        <w:t xml:space="preserve">available at </w:t>
      </w:r>
      <w:hyperlink r:id="rId204">
        <w:r>
          <w:rPr>
            <w:color w:val="486794"/>
            <w:u w:val="single" w:color="486794"/>
          </w:rPr>
          <w:t>https://www.cms.gov/Medicare/Quality-Initiatives-Patient-Assessment-</w:t>
        </w:r>
      </w:hyperlink>
      <w:r>
        <w:rPr>
          <w:color w:val="486794"/>
        </w:rPr>
        <w:t xml:space="preserve"> </w:t>
      </w:r>
      <w:hyperlink r:id="rId205">
        <w:r>
          <w:rPr>
            <w:color w:val="486794"/>
            <w:spacing w:val="-2"/>
            <w:u w:val="single" w:color="486794"/>
          </w:rPr>
          <w:t>Instruments/HomeHealthQualityInits/Downloads/ClaimsBasedUtilizationMeasuresSpecifications.pdf</w:t>
        </w:r>
        <w:r>
          <w:rPr>
            <w:spacing w:val="-2"/>
          </w:rPr>
          <w:t>.</w:t>
        </w:r>
      </w:hyperlink>
      <w:r>
        <w:rPr>
          <w:spacing w:val="-2"/>
        </w:rPr>
        <w:t xml:space="preserve"> </w:t>
      </w:r>
      <w:r>
        <w:t>Performance levels for each hospital were analyzed relative to statewide levels using a two-sided z-test for statistical significance. The HPC also analyzed performance levels for several additional AMCs in the Commonwealth</w:t>
      </w:r>
      <w:r>
        <w:rPr>
          <w:spacing w:val="-4"/>
        </w:rPr>
        <w:t xml:space="preserve"> </w:t>
      </w:r>
      <w:r>
        <w:t>for</w:t>
      </w:r>
      <w:r>
        <w:rPr>
          <w:spacing w:val="-5"/>
        </w:rPr>
        <w:t xml:space="preserve"> </w:t>
      </w:r>
      <w:r>
        <w:t>comparative</w:t>
      </w:r>
      <w:r>
        <w:rPr>
          <w:spacing w:val="-5"/>
        </w:rPr>
        <w:t xml:space="preserve"> </w:t>
      </w:r>
      <w:r>
        <w:t>purposes.</w:t>
      </w:r>
      <w:r>
        <w:rPr>
          <w:spacing w:val="-3"/>
        </w:rPr>
        <w:t xml:space="preserve"> </w:t>
      </w:r>
      <w:r>
        <w:t>Salem</w:t>
      </w:r>
      <w:r>
        <w:rPr>
          <w:spacing w:val="-3"/>
        </w:rPr>
        <w:t xml:space="preserve"> </w:t>
      </w:r>
      <w:r>
        <w:t>Hospital</w:t>
      </w:r>
      <w:r>
        <w:rPr>
          <w:spacing w:val="-2"/>
        </w:rPr>
        <w:t xml:space="preserve"> </w:t>
      </w:r>
      <w:r>
        <w:t>and</w:t>
      </w:r>
      <w:r>
        <w:rPr>
          <w:spacing w:val="-3"/>
        </w:rPr>
        <w:t xml:space="preserve"> </w:t>
      </w:r>
      <w:r>
        <w:t>South</w:t>
      </w:r>
      <w:r>
        <w:rPr>
          <w:spacing w:val="-4"/>
        </w:rPr>
        <w:t xml:space="preserve"> </w:t>
      </w:r>
      <w:r>
        <w:t>Shore</w:t>
      </w:r>
      <w:r>
        <w:rPr>
          <w:spacing w:val="-5"/>
        </w:rPr>
        <w:t xml:space="preserve"> </w:t>
      </w:r>
      <w:r>
        <w:t>Hospital</w:t>
      </w:r>
      <w:r>
        <w:rPr>
          <w:spacing w:val="-5"/>
        </w:rPr>
        <w:t xml:space="preserve"> </w:t>
      </w:r>
      <w:r>
        <w:t>performed</w:t>
      </w:r>
      <w:r>
        <w:rPr>
          <w:spacing w:val="-3"/>
        </w:rPr>
        <w:t xml:space="preserve"> </w:t>
      </w:r>
      <w:r>
        <w:t>statistically better than the statewide average. Lahey’s performance was in line with the statewide average.</w:t>
      </w:r>
    </w:p>
  </w:footnote>
  <w:footnote w:id="159">
    <w:p w14:paraId="51EA9D03" w14:textId="5F40DD97" w:rsidR="00DB049D" w:rsidRDefault="00DB049D" w:rsidP="00DB049D">
      <w:pPr>
        <w:pStyle w:val="FootnoteText"/>
        <w:ind w:left="900" w:right="940"/>
      </w:pPr>
      <w:r>
        <w:rPr>
          <w:rStyle w:val="FootnoteReference"/>
        </w:rPr>
        <w:footnoteRef/>
      </w:r>
      <w:r>
        <w:t xml:space="preserve"> </w:t>
      </w:r>
      <w:r>
        <w:rPr>
          <w:i/>
        </w:rPr>
        <w:t xml:space="preserve">See </w:t>
      </w:r>
      <w:r>
        <w:t>Joanna-Grace M Manzano et al.,</w:t>
      </w:r>
      <w:hyperlink r:id="rId206" w:history="1">
        <w:r w:rsidRPr="0074339A">
          <w:rPr>
            <w:rStyle w:val="Hyperlink"/>
            <w:color w:val="000000" w:themeColor="text1"/>
            <w:u w:val="none"/>
          </w:rPr>
          <w:t xml:space="preserve"> </w:t>
        </w:r>
        <w:r w:rsidRPr="0074339A">
          <w:rPr>
            <w:rStyle w:val="Hyperlink"/>
            <w:i/>
            <w:color w:val="000000" w:themeColor="text1"/>
            <w:u w:val="none"/>
          </w:rPr>
          <w:t>Readmission Patterns After GI Cancer Hospitalizations: The Medical Versus Surgical Patient</w:t>
        </w:r>
        <w:r w:rsidRPr="0074339A">
          <w:rPr>
            <w:rStyle w:val="Hyperlink"/>
            <w:color w:val="000000" w:themeColor="text1"/>
            <w:u w:val="none"/>
          </w:rPr>
          <w:t>, J O</w:t>
        </w:r>
        <w:r w:rsidRPr="0074339A">
          <w:rPr>
            <w:rStyle w:val="Hyperlink"/>
            <w:color w:val="000000" w:themeColor="text1"/>
            <w:sz w:val="16"/>
            <w:u w:val="none"/>
          </w:rPr>
          <w:t xml:space="preserve">NCOL </w:t>
        </w:r>
        <w:r w:rsidRPr="0074339A">
          <w:rPr>
            <w:rStyle w:val="Hyperlink"/>
            <w:color w:val="000000" w:themeColor="text1"/>
            <w:u w:val="none"/>
          </w:rPr>
          <w:t>P</w:t>
        </w:r>
        <w:r w:rsidRPr="0074339A">
          <w:rPr>
            <w:rStyle w:val="Hyperlink"/>
            <w:color w:val="000000" w:themeColor="text1"/>
            <w:sz w:val="16"/>
            <w:u w:val="none"/>
          </w:rPr>
          <w:t>RACT</w:t>
        </w:r>
      </w:hyperlink>
      <w:r w:rsidRPr="0074339A">
        <w:rPr>
          <w:color w:val="000000" w:themeColor="text1"/>
          <w:sz w:val="16"/>
        </w:rPr>
        <w:t xml:space="preserve"> </w:t>
      </w:r>
      <w:r w:rsidRPr="0074339A">
        <w:rPr>
          <w:color w:val="000000" w:themeColor="text1"/>
        </w:rPr>
        <w:t>(</w:t>
      </w:r>
      <w:r>
        <w:t xml:space="preserve">2018), </w:t>
      </w:r>
      <w:r>
        <w:rPr>
          <w:i/>
        </w:rPr>
        <w:t xml:space="preserve">available at </w:t>
      </w:r>
      <w:hyperlink r:id="rId207">
        <w:r>
          <w:rPr>
            <w:color w:val="486794"/>
            <w:u w:val="single" w:color="486794"/>
          </w:rPr>
          <w:t>https://pmc.ncbi.nlm.nih.gov/articles/PMC6550055/</w:t>
        </w:r>
        <w:r>
          <w:t>.</w:t>
        </w:r>
      </w:hyperlink>
      <w:r>
        <w:rPr>
          <w:spacing w:val="-5"/>
        </w:rPr>
        <w:t xml:space="preserve"> </w:t>
      </w:r>
      <w:r>
        <w:t>While</w:t>
      </w:r>
      <w:r>
        <w:rPr>
          <w:spacing w:val="-6"/>
        </w:rPr>
        <w:t xml:space="preserve"> </w:t>
      </w:r>
      <w:r>
        <w:t>the</w:t>
      </w:r>
      <w:r>
        <w:rPr>
          <w:spacing w:val="-6"/>
        </w:rPr>
        <w:t xml:space="preserve"> </w:t>
      </w:r>
      <w:r>
        <w:t>two</w:t>
      </w:r>
      <w:r>
        <w:rPr>
          <w:spacing w:val="-5"/>
        </w:rPr>
        <w:t xml:space="preserve"> </w:t>
      </w:r>
      <w:r>
        <w:t>measures</w:t>
      </w:r>
      <w:r>
        <w:rPr>
          <w:spacing w:val="-4"/>
        </w:rPr>
        <w:t xml:space="preserve"> </w:t>
      </w:r>
      <w:r>
        <w:t>examined</w:t>
      </w:r>
      <w:r>
        <w:rPr>
          <w:spacing w:val="-4"/>
        </w:rPr>
        <w:t xml:space="preserve"> </w:t>
      </w:r>
      <w:r>
        <w:t>are</w:t>
      </w:r>
      <w:r>
        <w:rPr>
          <w:spacing w:val="-6"/>
        </w:rPr>
        <w:t xml:space="preserve"> </w:t>
      </w:r>
      <w:r>
        <w:t>not</w:t>
      </w:r>
      <w:r>
        <w:rPr>
          <w:spacing w:val="-4"/>
        </w:rPr>
        <w:t xml:space="preserve"> </w:t>
      </w:r>
      <w:r>
        <w:t>adjusted for</w:t>
      </w:r>
      <w:r>
        <w:rPr>
          <w:spacing w:val="-2"/>
        </w:rPr>
        <w:t xml:space="preserve"> </w:t>
      </w:r>
      <w:r>
        <w:t>patient risk, the</w:t>
      </w:r>
      <w:r>
        <w:rPr>
          <w:spacing w:val="-2"/>
        </w:rPr>
        <w:t xml:space="preserve"> </w:t>
      </w:r>
      <w:r>
        <w:t>HPC</w:t>
      </w:r>
      <w:r>
        <w:rPr>
          <w:spacing w:val="-1"/>
        </w:rPr>
        <w:t xml:space="preserve"> </w:t>
      </w:r>
      <w:r>
        <w:t>did not find a</w:t>
      </w:r>
      <w:r>
        <w:rPr>
          <w:spacing w:val="-1"/>
        </w:rPr>
        <w:t xml:space="preserve"> </w:t>
      </w:r>
      <w:r>
        <w:t>higher</w:t>
      </w:r>
      <w:r>
        <w:rPr>
          <w:spacing w:val="-2"/>
        </w:rPr>
        <w:t xml:space="preserve"> </w:t>
      </w:r>
      <w:r>
        <w:t>complexity patient panel</w:t>
      </w:r>
      <w:r>
        <w:rPr>
          <w:spacing w:val="-1"/>
        </w:rPr>
        <w:t xml:space="preserve"> </w:t>
      </w:r>
      <w:r>
        <w:t>at DFCI relative to</w:t>
      </w:r>
      <w:r>
        <w:rPr>
          <w:spacing w:val="-1"/>
        </w:rPr>
        <w:t xml:space="preserve"> </w:t>
      </w:r>
      <w:r>
        <w:t>oncology patients treated at BWH or MGB based on MS-DRG case weight in the 2022 CHIA hospital discharge database.</w:t>
      </w:r>
    </w:p>
  </w:footnote>
  <w:footnote w:id="160">
    <w:p w14:paraId="1040832F" w14:textId="7822A7AB" w:rsidR="00DB049D" w:rsidRDefault="00DB049D" w:rsidP="00CF73F6">
      <w:pPr>
        <w:pStyle w:val="FootnoteText"/>
        <w:ind w:left="900" w:right="940"/>
      </w:pPr>
      <w:r>
        <w:rPr>
          <w:rStyle w:val="FootnoteReference"/>
        </w:rPr>
        <w:footnoteRef/>
      </w:r>
      <w:r>
        <w:t xml:space="preserve"> </w:t>
      </w:r>
      <w:hyperlink r:id="rId208" w:history="1">
        <w:r w:rsidRPr="00EB5B20">
          <w:rPr>
            <w:rStyle w:val="Hyperlink"/>
            <w:i/>
            <w:color w:val="000000" w:themeColor="text1"/>
            <w:u w:val="none"/>
          </w:rPr>
          <w:t>U.S. Transplant</w:t>
        </w:r>
        <w:r w:rsidRPr="00EB5B20">
          <w:rPr>
            <w:rStyle w:val="Hyperlink"/>
            <w:i/>
            <w:color w:val="000000" w:themeColor="text1"/>
            <w:spacing w:val="-2"/>
            <w:u w:val="none"/>
          </w:rPr>
          <w:t xml:space="preserve"> </w:t>
        </w:r>
        <w:r w:rsidRPr="00EB5B20">
          <w:rPr>
            <w:rStyle w:val="Hyperlink"/>
            <w:i/>
            <w:color w:val="000000" w:themeColor="text1"/>
            <w:u w:val="none"/>
          </w:rPr>
          <w:t>Centers</w:t>
        </w:r>
        <w:r w:rsidRPr="00EB5B20">
          <w:rPr>
            <w:rStyle w:val="Hyperlink"/>
            <w:color w:val="000000" w:themeColor="text1"/>
            <w:u w:val="none"/>
          </w:rPr>
          <w:t>, N</w:t>
        </w:r>
        <w:r w:rsidRPr="00EB5B20">
          <w:rPr>
            <w:rStyle w:val="Hyperlink"/>
            <w:color w:val="000000" w:themeColor="text1"/>
            <w:sz w:val="16"/>
            <w:u w:val="none"/>
          </w:rPr>
          <w:t xml:space="preserve">ATIONAL </w:t>
        </w:r>
        <w:r w:rsidRPr="00EB5B20">
          <w:rPr>
            <w:rStyle w:val="Hyperlink"/>
            <w:color w:val="000000" w:themeColor="text1"/>
            <w:u w:val="none"/>
          </w:rPr>
          <w:t>M</w:t>
        </w:r>
        <w:r w:rsidRPr="00EB5B20">
          <w:rPr>
            <w:rStyle w:val="Hyperlink"/>
            <w:color w:val="000000" w:themeColor="text1"/>
            <w:sz w:val="16"/>
            <w:u w:val="none"/>
          </w:rPr>
          <w:t xml:space="preserve">ARROW </w:t>
        </w:r>
        <w:r w:rsidRPr="00EB5B20">
          <w:rPr>
            <w:rStyle w:val="Hyperlink"/>
            <w:color w:val="000000" w:themeColor="text1"/>
            <w:u w:val="none"/>
          </w:rPr>
          <w:t>D</w:t>
        </w:r>
        <w:r w:rsidRPr="00EB5B20">
          <w:rPr>
            <w:rStyle w:val="Hyperlink"/>
            <w:color w:val="000000" w:themeColor="text1"/>
            <w:sz w:val="16"/>
            <w:u w:val="none"/>
          </w:rPr>
          <w:t>ONOR</w:t>
        </w:r>
        <w:r w:rsidRPr="00EB5B20">
          <w:rPr>
            <w:rStyle w:val="Hyperlink"/>
            <w:color w:val="000000" w:themeColor="text1"/>
            <w:spacing w:val="-1"/>
            <w:sz w:val="16"/>
            <w:u w:val="none"/>
          </w:rPr>
          <w:t xml:space="preserve"> </w:t>
        </w:r>
        <w:r w:rsidRPr="00EB5B20">
          <w:rPr>
            <w:rStyle w:val="Hyperlink"/>
            <w:color w:val="000000" w:themeColor="text1"/>
            <w:u w:val="none"/>
          </w:rPr>
          <w:t>P</w:t>
        </w:r>
        <w:r w:rsidRPr="00EB5B20">
          <w:rPr>
            <w:rStyle w:val="Hyperlink"/>
            <w:color w:val="000000" w:themeColor="text1"/>
            <w:sz w:val="16"/>
            <w:u w:val="none"/>
          </w:rPr>
          <w:t>ROGRAM</w:t>
        </w:r>
      </w:hyperlink>
      <w:r w:rsidRPr="00EB5B20">
        <w:rPr>
          <w:color w:val="000000" w:themeColor="text1"/>
        </w:rPr>
        <w:t xml:space="preserve">, </w:t>
      </w:r>
      <w:r>
        <w:rPr>
          <w:i/>
        </w:rPr>
        <w:t>available</w:t>
      </w:r>
      <w:r>
        <w:rPr>
          <w:i/>
          <w:spacing w:val="-1"/>
        </w:rPr>
        <w:t xml:space="preserve"> </w:t>
      </w:r>
      <w:r>
        <w:rPr>
          <w:i/>
        </w:rPr>
        <w:t>at</w:t>
      </w:r>
      <w:r>
        <w:rPr>
          <w:i/>
          <w:spacing w:val="-2"/>
        </w:rPr>
        <w:t xml:space="preserve"> </w:t>
      </w:r>
      <w:hyperlink r:id="rId209">
        <w:r>
          <w:rPr>
            <w:color w:val="486794"/>
            <w:u w:val="single" w:color="486794"/>
          </w:rPr>
          <w:t>https://www.nmdp.org/what-we-</w:t>
        </w:r>
      </w:hyperlink>
      <w:r>
        <w:rPr>
          <w:color w:val="486794"/>
        </w:rPr>
        <w:t xml:space="preserve"> </w:t>
      </w:r>
      <w:hyperlink r:id="rId210">
        <w:r>
          <w:rPr>
            <w:color w:val="486794"/>
            <w:u w:val="single" w:color="486794"/>
          </w:rPr>
          <w:t>do/partnerships/global-transplant-network/transplant-center-directory</w:t>
        </w:r>
      </w:hyperlink>
      <w:r>
        <w:rPr>
          <w:color w:val="486794"/>
          <w:spacing w:val="-8"/>
        </w:rPr>
        <w:t xml:space="preserve"> </w:t>
      </w:r>
      <w:r>
        <w:t>(last</w:t>
      </w:r>
      <w:r>
        <w:rPr>
          <w:spacing w:val="-6"/>
        </w:rPr>
        <w:t xml:space="preserve"> </w:t>
      </w:r>
      <w:r>
        <w:t>visited</w:t>
      </w:r>
      <w:r>
        <w:rPr>
          <w:spacing w:val="-6"/>
        </w:rPr>
        <w:t xml:space="preserve"> </w:t>
      </w:r>
      <w:r>
        <w:t>February</w:t>
      </w:r>
      <w:r>
        <w:rPr>
          <w:spacing w:val="-8"/>
        </w:rPr>
        <w:t xml:space="preserve"> </w:t>
      </w:r>
      <w:r>
        <w:t>27,</w:t>
      </w:r>
      <w:r>
        <w:rPr>
          <w:spacing w:val="-6"/>
        </w:rPr>
        <w:t xml:space="preserve"> </w:t>
      </w:r>
      <w:r>
        <w:t>2025).</w:t>
      </w:r>
      <w:r>
        <w:rPr>
          <w:spacing w:val="-6"/>
        </w:rPr>
        <w:t xml:space="preserve"> </w:t>
      </w:r>
      <w:r>
        <w:t>The Dana-Farber Brigham Cancer Center is the only transplant center in the Commonwealth to outperform expected survival rates for the one-year survival rate for allogeneic stem cell transplant metric.</w:t>
      </w:r>
    </w:p>
  </w:footnote>
  <w:footnote w:id="161">
    <w:p w14:paraId="670A996B" w14:textId="19DAB988" w:rsidR="00CF73F6" w:rsidRDefault="00CF73F6" w:rsidP="00CF73F6">
      <w:pPr>
        <w:pStyle w:val="FootnoteText"/>
        <w:ind w:left="900" w:right="940"/>
      </w:pPr>
      <w:r>
        <w:rPr>
          <w:rStyle w:val="FootnoteReference"/>
        </w:rPr>
        <w:footnoteRef/>
      </w:r>
      <w:r>
        <w:t xml:space="preserve"> The HPC used </w:t>
      </w:r>
      <w:hyperlink r:id="rId211" w:history="1">
        <w:r w:rsidRPr="00EC6A6C">
          <w:rPr>
            <w:rStyle w:val="Hyperlink"/>
            <w:i/>
            <w:color w:val="000000" w:themeColor="text1"/>
            <w:u w:val="none"/>
          </w:rPr>
          <w:t>Hospital Compare Datasets</w:t>
        </w:r>
        <w:r w:rsidRPr="00EC6A6C">
          <w:rPr>
            <w:rStyle w:val="Hyperlink"/>
            <w:color w:val="000000" w:themeColor="text1"/>
            <w:u w:val="none"/>
          </w:rPr>
          <w:t>, C</w:t>
        </w:r>
        <w:r w:rsidRPr="00EC6A6C">
          <w:rPr>
            <w:rStyle w:val="Hyperlink"/>
            <w:color w:val="000000" w:themeColor="text1"/>
            <w:sz w:val="16"/>
            <w:u w:val="none"/>
          </w:rPr>
          <w:t>TRS</w:t>
        </w:r>
        <w:r w:rsidRPr="00EC6A6C">
          <w:rPr>
            <w:rStyle w:val="Hyperlink"/>
            <w:color w:val="000000" w:themeColor="text1"/>
            <w:u w:val="none"/>
          </w:rPr>
          <w:t>.</w:t>
        </w:r>
        <w:r w:rsidRPr="00EC6A6C">
          <w:rPr>
            <w:rStyle w:val="Hyperlink"/>
            <w:color w:val="000000" w:themeColor="text1"/>
            <w:spacing w:val="-2"/>
            <w:u w:val="none"/>
          </w:rPr>
          <w:t xml:space="preserve"> </w:t>
        </w:r>
        <w:r w:rsidRPr="00EC6A6C">
          <w:rPr>
            <w:rStyle w:val="Hyperlink"/>
            <w:color w:val="000000" w:themeColor="text1"/>
            <w:sz w:val="16"/>
            <w:u w:val="none"/>
          </w:rPr>
          <w:t xml:space="preserve">FOR </w:t>
        </w:r>
        <w:r w:rsidRPr="00EC6A6C">
          <w:rPr>
            <w:rStyle w:val="Hyperlink"/>
            <w:color w:val="000000" w:themeColor="text1"/>
            <w:u w:val="none"/>
          </w:rPr>
          <w:t>M</w:t>
        </w:r>
        <w:r w:rsidRPr="00EC6A6C">
          <w:rPr>
            <w:rStyle w:val="Hyperlink"/>
            <w:color w:val="000000" w:themeColor="text1"/>
            <w:sz w:val="16"/>
            <w:u w:val="none"/>
          </w:rPr>
          <w:t xml:space="preserve">EDICARE </w:t>
        </w:r>
        <w:r w:rsidRPr="00EC6A6C">
          <w:rPr>
            <w:rStyle w:val="Hyperlink"/>
            <w:color w:val="000000" w:themeColor="text1"/>
            <w:u w:val="none"/>
          </w:rPr>
          <w:t>&amp;</w:t>
        </w:r>
        <w:r w:rsidRPr="00EC6A6C">
          <w:rPr>
            <w:rStyle w:val="Hyperlink"/>
            <w:color w:val="000000" w:themeColor="text1"/>
            <w:spacing w:val="-3"/>
            <w:u w:val="none"/>
          </w:rPr>
          <w:t xml:space="preserve"> </w:t>
        </w:r>
        <w:r w:rsidRPr="00EC6A6C">
          <w:rPr>
            <w:rStyle w:val="Hyperlink"/>
            <w:color w:val="000000" w:themeColor="text1"/>
            <w:u w:val="none"/>
          </w:rPr>
          <w:t>M</w:t>
        </w:r>
        <w:r w:rsidRPr="00EC6A6C">
          <w:rPr>
            <w:rStyle w:val="Hyperlink"/>
            <w:color w:val="000000" w:themeColor="text1"/>
            <w:sz w:val="16"/>
            <w:u w:val="none"/>
          </w:rPr>
          <w:t xml:space="preserve">EDICAID </w:t>
        </w:r>
        <w:r w:rsidRPr="00EC6A6C">
          <w:rPr>
            <w:rStyle w:val="Hyperlink"/>
            <w:color w:val="000000" w:themeColor="text1"/>
            <w:u w:val="none"/>
          </w:rPr>
          <w:t>S</w:t>
        </w:r>
        <w:r w:rsidRPr="00EC6A6C">
          <w:rPr>
            <w:rStyle w:val="Hyperlink"/>
            <w:color w:val="000000" w:themeColor="text1"/>
            <w:sz w:val="16"/>
            <w:u w:val="none"/>
          </w:rPr>
          <w:t>ERVS</w:t>
        </w:r>
        <w:r w:rsidRPr="00EC6A6C">
          <w:rPr>
            <w:rStyle w:val="Hyperlink"/>
            <w:color w:val="000000" w:themeColor="text1"/>
            <w:u w:val="none"/>
          </w:rPr>
          <w:t>.,</w:t>
        </w:r>
      </w:hyperlink>
      <w:r w:rsidRPr="00EC6A6C">
        <w:rPr>
          <w:color w:val="000000" w:themeColor="text1"/>
        </w:rPr>
        <w:t xml:space="preserve"> </w:t>
      </w:r>
      <w:r w:rsidRPr="00EC6A6C">
        <w:rPr>
          <w:i/>
          <w:color w:val="000000" w:themeColor="text1"/>
        </w:rPr>
        <w:t xml:space="preserve">available </w:t>
      </w:r>
      <w:r>
        <w:rPr>
          <w:i/>
        </w:rPr>
        <w:t xml:space="preserve">at </w:t>
      </w:r>
      <w:hyperlink r:id="rId212">
        <w:r>
          <w:rPr>
            <w:color w:val="486794"/>
            <w:u w:val="single" w:color="486794"/>
          </w:rPr>
          <w:t>https://data.cms.gov/provider-data/</w:t>
        </w:r>
      </w:hyperlink>
      <w:r>
        <w:rPr>
          <w:color w:val="486794"/>
        </w:rPr>
        <w:t xml:space="preserve"> </w:t>
      </w:r>
      <w:r>
        <w:t xml:space="preserve">(last visited February 27, 2025) to compare quality for BIDMC and BWH. The HPC also used the </w:t>
      </w:r>
      <w:r>
        <w:rPr>
          <w:i/>
        </w:rPr>
        <w:t xml:space="preserve">Hospital Compare Datasets </w:t>
      </w:r>
      <w:r>
        <w:t>to analyze performance levels for several other AMCs in the Commonwealth for comparative purposes, including Salem Hospital, MGH, Lahey, and South Shore</w:t>
      </w:r>
      <w:r>
        <w:rPr>
          <w:spacing w:val="-4"/>
        </w:rPr>
        <w:t xml:space="preserve"> </w:t>
      </w:r>
      <w:r>
        <w:t>Hospital.</w:t>
      </w:r>
      <w:r>
        <w:rPr>
          <w:spacing w:val="-3"/>
        </w:rPr>
        <w:t xml:space="preserve"> </w:t>
      </w:r>
      <w:r>
        <w:t>The</w:t>
      </w:r>
      <w:r>
        <w:rPr>
          <w:spacing w:val="-4"/>
        </w:rPr>
        <w:t xml:space="preserve"> </w:t>
      </w:r>
      <w:r>
        <w:t>HPC</w:t>
      </w:r>
      <w:r>
        <w:rPr>
          <w:spacing w:val="-3"/>
        </w:rPr>
        <w:t xml:space="preserve"> </w:t>
      </w:r>
      <w:r>
        <w:t>used</w:t>
      </w:r>
      <w:r>
        <w:rPr>
          <w:spacing w:val="-3"/>
        </w:rPr>
        <w:t xml:space="preserve"> </w:t>
      </w:r>
      <w:r>
        <w:rPr>
          <w:i/>
        </w:rPr>
        <w:t>Complications</w:t>
      </w:r>
      <w:r>
        <w:rPr>
          <w:i/>
          <w:spacing w:val="-2"/>
        </w:rPr>
        <w:t xml:space="preserve"> </w:t>
      </w:r>
      <w:r>
        <w:rPr>
          <w:i/>
        </w:rPr>
        <w:t>and</w:t>
      </w:r>
      <w:r>
        <w:rPr>
          <w:i/>
          <w:spacing w:val="-3"/>
        </w:rPr>
        <w:t xml:space="preserve"> </w:t>
      </w:r>
      <w:r>
        <w:rPr>
          <w:i/>
        </w:rPr>
        <w:t>Unplanned</w:t>
      </w:r>
      <w:r>
        <w:rPr>
          <w:i/>
          <w:spacing w:val="-3"/>
        </w:rPr>
        <w:t xml:space="preserve"> </w:t>
      </w:r>
      <w:r>
        <w:rPr>
          <w:i/>
        </w:rPr>
        <w:t>Hospital</w:t>
      </w:r>
      <w:r>
        <w:rPr>
          <w:i/>
          <w:spacing w:val="-3"/>
        </w:rPr>
        <w:t xml:space="preserve"> </w:t>
      </w:r>
      <w:r>
        <w:rPr>
          <w:i/>
        </w:rPr>
        <w:t>Visits</w:t>
      </w:r>
      <w:r>
        <w:rPr>
          <w:i/>
          <w:spacing w:val="-4"/>
        </w:rPr>
        <w:t xml:space="preserve"> </w:t>
      </w:r>
      <w:r>
        <w:rPr>
          <w:i/>
        </w:rPr>
        <w:t>-</w:t>
      </w:r>
      <w:r>
        <w:rPr>
          <w:i/>
          <w:spacing w:val="-3"/>
        </w:rPr>
        <w:t xml:space="preserve"> </w:t>
      </w:r>
      <w:r>
        <w:rPr>
          <w:i/>
        </w:rPr>
        <w:t>PPS-Exempt</w:t>
      </w:r>
      <w:r>
        <w:rPr>
          <w:i/>
          <w:spacing w:val="-4"/>
        </w:rPr>
        <w:t xml:space="preserve"> </w:t>
      </w:r>
      <w:r>
        <w:rPr>
          <w:i/>
        </w:rPr>
        <w:t>Cancer</w:t>
      </w:r>
      <w:r>
        <w:rPr>
          <w:i/>
          <w:spacing w:val="-2"/>
        </w:rPr>
        <w:t xml:space="preserve"> </w:t>
      </w:r>
      <w:r>
        <w:rPr>
          <w:i/>
        </w:rPr>
        <w:t>Hospital</w:t>
      </w:r>
      <w:r>
        <w:rPr>
          <w:i/>
          <w:spacing w:val="-3"/>
        </w:rPr>
        <w:t xml:space="preserve"> </w:t>
      </w:r>
      <w:r>
        <w:rPr>
          <w:i/>
        </w:rPr>
        <w:t xml:space="preserve">– Hospital, </w:t>
      </w:r>
      <w:r>
        <w:t>C</w:t>
      </w:r>
      <w:r>
        <w:rPr>
          <w:sz w:val="16"/>
        </w:rPr>
        <w:t>TRS</w:t>
      </w:r>
      <w:r>
        <w:t xml:space="preserve">. </w:t>
      </w:r>
      <w:r>
        <w:rPr>
          <w:sz w:val="16"/>
        </w:rPr>
        <w:t xml:space="preserve">FOR </w:t>
      </w:r>
      <w:r>
        <w:t>M</w:t>
      </w:r>
      <w:r>
        <w:rPr>
          <w:sz w:val="16"/>
        </w:rPr>
        <w:t xml:space="preserve">EDICARE </w:t>
      </w:r>
      <w:r>
        <w:t>&amp;</w:t>
      </w:r>
      <w:r>
        <w:rPr>
          <w:spacing w:val="-1"/>
        </w:rPr>
        <w:t xml:space="preserve"> </w:t>
      </w:r>
      <w:r>
        <w:t>M</w:t>
      </w:r>
      <w:r>
        <w:rPr>
          <w:sz w:val="16"/>
        </w:rPr>
        <w:t xml:space="preserve">EDICAID </w:t>
      </w:r>
      <w:r>
        <w:t>S</w:t>
      </w:r>
      <w:r>
        <w:rPr>
          <w:sz w:val="16"/>
        </w:rPr>
        <w:t>ERVS</w:t>
      </w:r>
      <w:r>
        <w:t xml:space="preserve">. (October 10, 2024), </w:t>
      </w:r>
      <w:r>
        <w:rPr>
          <w:i/>
        </w:rPr>
        <w:t xml:space="preserve">available at </w:t>
      </w:r>
      <w:hyperlink r:id="rId213">
        <w:r>
          <w:rPr>
            <w:color w:val="486794"/>
            <w:u w:val="single" w:color="486794"/>
          </w:rPr>
          <w:t>https://data.cms.gov/provider-data/dataset/z8ax-x9j1</w:t>
        </w:r>
      </w:hyperlink>
      <w:r>
        <w:rPr>
          <w:color w:val="486794"/>
        </w:rPr>
        <w:t xml:space="preserve"> </w:t>
      </w:r>
      <w:r>
        <w:t>to analyze performance levels for DFCI.</w:t>
      </w:r>
      <w:r>
        <w:rPr>
          <w:spacing w:val="40"/>
        </w:rPr>
        <w:t xml:space="preserve"> </w:t>
      </w:r>
      <w:r>
        <w:t>Performance levels for each hospital were analyzed relative to statewide levels using a confidence interval test for statistical significance. Salem Hospital, MGH, and Lahey performance levels on both metrics were found to be in line with statewide averages; data was not available for South Shore Hospital.</w:t>
      </w:r>
    </w:p>
  </w:footnote>
  <w:footnote w:id="162">
    <w:p w14:paraId="33A4B6DA" w14:textId="6BFFBEFE" w:rsidR="00173BAD" w:rsidRDefault="00173BAD" w:rsidP="00871FFD">
      <w:pPr>
        <w:pStyle w:val="FootnoteText"/>
        <w:ind w:left="990" w:right="940"/>
      </w:pPr>
      <w:r>
        <w:rPr>
          <w:rStyle w:val="FootnoteReference"/>
        </w:rPr>
        <w:footnoteRef/>
      </w:r>
      <w:r>
        <w:t xml:space="preserve"> </w:t>
      </w:r>
      <w:r>
        <w:rPr>
          <w:i/>
        </w:rPr>
        <w:t xml:space="preserve">See </w:t>
      </w:r>
      <w:hyperlink r:id="rId214" w:history="1">
        <w:r w:rsidRPr="00A17BFB">
          <w:rPr>
            <w:rStyle w:val="Hyperlink"/>
            <w:i/>
            <w:color w:val="000000" w:themeColor="text1"/>
            <w:u w:val="none"/>
          </w:rPr>
          <w:t>Radiation Oncology Model</w:t>
        </w:r>
        <w:r w:rsidRPr="00A17BFB">
          <w:rPr>
            <w:rStyle w:val="Hyperlink"/>
            <w:color w:val="000000" w:themeColor="text1"/>
            <w:u w:val="none"/>
          </w:rPr>
          <w:t>, C</w:t>
        </w:r>
        <w:r w:rsidRPr="00A17BFB">
          <w:rPr>
            <w:rStyle w:val="Hyperlink"/>
            <w:color w:val="000000" w:themeColor="text1"/>
            <w:sz w:val="16"/>
            <w:u w:val="none"/>
          </w:rPr>
          <w:t>TRS</w:t>
        </w:r>
        <w:r w:rsidRPr="00A17BFB">
          <w:rPr>
            <w:rStyle w:val="Hyperlink"/>
            <w:color w:val="000000" w:themeColor="text1"/>
            <w:u w:val="none"/>
          </w:rPr>
          <w:t xml:space="preserve">. </w:t>
        </w:r>
        <w:r w:rsidRPr="00A17BFB">
          <w:rPr>
            <w:rStyle w:val="Hyperlink"/>
            <w:color w:val="000000" w:themeColor="text1"/>
            <w:sz w:val="16"/>
            <w:u w:val="none"/>
          </w:rPr>
          <w:t xml:space="preserve">FOR </w:t>
        </w:r>
        <w:r w:rsidRPr="00A17BFB">
          <w:rPr>
            <w:rStyle w:val="Hyperlink"/>
            <w:color w:val="000000" w:themeColor="text1"/>
            <w:u w:val="none"/>
          </w:rPr>
          <w:t>M</w:t>
        </w:r>
        <w:r w:rsidRPr="00A17BFB">
          <w:rPr>
            <w:rStyle w:val="Hyperlink"/>
            <w:color w:val="000000" w:themeColor="text1"/>
            <w:sz w:val="16"/>
            <w:u w:val="none"/>
          </w:rPr>
          <w:t xml:space="preserve">EDICARE </w:t>
        </w:r>
        <w:r w:rsidRPr="00A17BFB">
          <w:rPr>
            <w:rStyle w:val="Hyperlink"/>
            <w:color w:val="000000" w:themeColor="text1"/>
            <w:u w:val="none"/>
          </w:rPr>
          <w:t>&amp;</w:t>
        </w:r>
        <w:r w:rsidRPr="00A17BFB">
          <w:rPr>
            <w:rStyle w:val="Hyperlink"/>
            <w:color w:val="000000" w:themeColor="text1"/>
            <w:spacing w:val="-1"/>
            <w:u w:val="none"/>
          </w:rPr>
          <w:t xml:space="preserve"> </w:t>
        </w:r>
        <w:r w:rsidRPr="00A17BFB">
          <w:rPr>
            <w:rStyle w:val="Hyperlink"/>
            <w:color w:val="000000" w:themeColor="text1"/>
            <w:u w:val="none"/>
          </w:rPr>
          <w:t>M</w:t>
        </w:r>
        <w:r w:rsidRPr="00A17BFB">
          <w:rPr>
            <w:rStyle w:val="Hyperlink"/>
            <w:color w:val="000000" w:themeColor="text1"/>
            <w:sz w:val="16"/>
            <w:u w:val="none"/>
          </w:rPr>
          <w:t xml:space="preserve">EDICAID </w:t>
        </w:r>
        <w:r w:rsidRPr="00A17BFB">
          <w:rPr>
            <w:rStyle w:val="Hyperlink"/>
            <w:color w:val="000000" w:themeColor="text1"/>
            <w:u w:val="none"/>
          </w:rPr>
          <w:t>S</w:t>
        </w:r>
        <w:r w:rsidRPr="00A17BFB">
          <w:rPr>
            <w:rStyle w:val="Hyperlink"/>
            <w:color w:val="000000" w:themeColor="text1"/>
            <w:sz w:val="16"/>
            <w:u w:val="none"/>
          </w:rPr>
          <w:t>ERVS</w:t>
        </w:r>
      </w:hyperlink>
      <w:r w:rsidRPr="00A17BFB">
        <w:rPr>
          <w:color w:val="000000" w:themeColor="text1"/>
        </w:rPr>
        <w:t xml:space="preserve">., </w:t>
      </w:r>
      <w:r w:rsidRPr="00A17BFB">
        <w:rPr>
          <w:i/>
          <w:color w:val="000000" w:themeColor="text1"/>
        </w:rPr>
        <w:t xml:space="preserve">available </w:t>
      </w:r>
      <w:r>
        <w:rPr>
          <w:i/>
        </w:rPr>
        <w:t xml:space="preserve">at </w:t>
      </w:r>
      <w:hyperlink r:id="rId215">
        <w:r>
          <w:rPr>
            <w:color w:val="486794"/>
            <w:u w:val="single" w:color="486794"/>
          </w:rPr>
          <w:t>https://www.cms.gov/priorities/innovation/innovation-models/radiation-oncology-model</w:t>
        </w:r>
      </w:hyperlink>
      <w:r>
        <w:rPr>
          <w:color w:val="486794"/>
          <w:spacing w:val="-13"/>
        </w:rPr>
        <w:t xml:space="preserve"> </w:t>
      </w:r>
      <w:r>
        <w:t>(last</w:t>
      </w:r>
      <w:r>
        <w:rPr>
          <w:spacing w:val="-12"/>
        </w:rPr>
        <w:t xml:space="preserve"> </w:t>
      </w:r>
      <w:r>
        <w:t>visited February 27, 2025).</w:t>
      </w:r>
    </w:p>
  </w:footnote>
  <w:footnote w:id="163">
    <w:p w14:paraId="55386C28" w14:textId="77777777" w:rsidR="00173BAD" w:rsidRDefault="00173BAD" w:rsidP="00871FFD">
      <w:pPr>
        <w:ind w:left="990" w:right="940"/>
        <w:rPr>
          <w:sz w:val="20"/>
        </w:rPr>
      </w:pPr>
      <w:r>
        <w:rPr>
          <w:rStyle w:val="FootnoteReference"/>
        </w:rPr>
        <w:footnoteRef/>
      </w:r>
      <w:r>
        <w:t xml:space="preserve"> </w:t>
      </w:r>
      <w:r>
        <w:rPr>
          <w:sz w:val="20"/>
        </w:rPr>
        <w:t>Performance</w:t>
      </w:r>
      <w:r>
        <w:rPr>
          <w:spacing w:val="-4"/>
          <w:sz w:val="20"/>
        </w:rPr>
        <w:t xml:space="preserve"> </w:t>
      </w:r>
      <w:r>
        <w:rPr>
          <w:sz w:val="20"/>
        </w:rPr>
        <w:t>on</w:t>
      </w:r>
      <w:r>
        <w:rPr>
          <w:spacing w:val="-3"/>
          <w:sz w:val="20"/>
        </w:rPr>
        <w:t xml:space="preserve"> </w:t>
      </w:r>
      <w:r>
        <w:rPr>
          <w:sz w:val="20"/>
        </w:rPr>
        <w:t>Leapfrog</w:t>
      </w:r>
      <w:r>
        <w:rPr>
          <w:spacing w:val="-3"/>
          <w:sz w:val="20"/>
        </w:rPr>
        <w:t xml:space="preserve"> </w:t>
      </w:r>
      <w:r>
        <w:rPr>
          <w:sz w:val="20"/>
        </w:rPr>
        <w:t>Group</w:t>
      </w:r>
      <w:r>
        <w:rPr>
          <w:spacing w:val="-4"/>
          <w:sz w:val="20"/>
        </w:rPr>
        <w:t xml:space="preserve"> </w:t>
      </w:r>
      <w:r>
        <w:rPr>
          <w:sz w:val="20"/>
        </w:rPr>
        <w:t>measures</w:t>
      </w:r>
      <w:r>
        <w:rPr>
          <w:spacing w:val="-2"/>
          <w:sz w:val="20"/>
        </w:rPr>
        <w:t xml:space="preserve"> </w:t>
      </w:r>
      <w:r>
        <w:rPr>
          <w:sz w:val="20"/>
        </w:rPr>
        <w:t>is</w:t>
      </w:r>
      <w:r>
        <w:rPr>
          <w:spacing w:val="-2"/>
          <w:sz w:val="20"/>
        </w:rPr>
        <w:t xml:space="preserve"> </w:t>
      </w:r>
      <w:r>
        <w:rPr>
          <w:sz w:val="20"/>
        </w:rPr>
        <w:t>reported</w:t>
      </w:r>
      <w:r>
        <w:rPr>
          <w:spacing w:val="-2"/>
          <w:sz w:val="20"/>
        </w:rPr>
        <w:t xml:space="preserve"> </w:t>
      </w:r>
      <w:r>
        <w:rPr>
          <w:sz w:val="20"/>
        </w:rPr>
        <w:t>in</w:t>
      </w:r>
      <w:r>
        <w:rPr>
          <w:spacing w:val="-1"/>
          <w:sz w:val="20"/>
        </w:rPr>
        <w:t xml:space="preserve"> </w:t>
      </w:r>
      <w:r>
        <w:rPr>
          <w:sz w:val="20"/>
        </w:rPr>
        <w:t>four</w:t>
      </w:r>
      <w:r>
        <w:rPr>
          <w:spacing w:val="-4"/>
          <w:sz w:val="20"/>
        </w:rPr>
        <w:t xml:space="preserve"> </w:t>
      </w:r>
      <w:r>
        <w:rPr>
          <w:sz w:val="20"/>
        </w:rPr>
        <w:t>tiers:</w:t>
      </w:r>
      <w:r>
        <w:rPr>
          <w:spacing w:val="-2"/>
          <w:sz w:val="20"/>
        </w:rPr>
        <w:t xml:space="preserve"> </w:t>
      </w:r>
      <w:r>
        <w:rPr>
          <w:sz w:val="20"/>
        </w:rPr>
        <w:t>Fully</w:t>
      </w:r>
      <w:r>
        <w:rPr>
          <w:spacing w:val="-4"/>
          <w:sz w:val="20"/>
        </w:rPr>
        <w:t xml:space="preserve"> </w:t>
      </w:r>
      <w:r>
        <w:rPr>
          <w:sz w:val="20"/>
        </w:rPr>
        <w:t>Meets</w:t>
      </w:r>
      <w:r>
        <w:rPr>
          <w:spacing w:val="-2"/>
          <w:sz w:val="20"/>
        </w:rPr>
        <w:t xml:space="preserve"> </w:t>
      </w:r>
      <w:r>
        <w:rPr>
          <w:sz w:val="20"/>
        </w:rPr>
        <w:t>the</w:t>
      </w:r>
      <w:r>
        <w:rPr>
          <w:spacing w:val="-4"/>
          <w:sz w:val="20"/>
        </w:rPr>
        <w:t xml:space="preserve"> </w:t>
      </w:r>
      <w:r>
        <w:rPr>
          <w:sz w:val="20"/>
        </w:rPr>
        <w:t xml:space="preserve">Standard, </w:t>
      </w:r>
      <w:r>
        <w:rPr>
          <w:spacing w:val="-2"/>
          <w:sz w:val="20"/>
        </w:rPr>
        <w:t>Substantial</w:t>
      </w:r>
    </w:p>
    <w:p w14:paraId="4A55A70F" w14:textId="3BDA6FBE" w:rsidR="00173BAD" w:rsidRPr="00173BAD" w:rsidRDefault="00173BAD" w:rsidP="00871FFD">
      <w:pPr>
        <w:ind w:left="990" w:right="940"/>
        <w:rPr>
          <w:sz w:val="20"/>
        </w:rPr>
      </w:pPr>
      <w:r>
        <w:rPr>
          <w:sz w:val="20"/>
        </w:rPr>
        <w:t>Progress,</w:t>
      </w:r>
      <w:r>
        <w:rPr>
          <w:spacing w:val="-6"/>
          <w:sz w:val="20"/>
        </w:rPr>
        <w:t xml:space="preserve"> </w:t>
      </w:r>
      <w:r>
        <w:rPr>
          <w:sz w:val="20"/>
        </w:rPr>
        <w:t>Some</w:t>
      </w:r>
      <w:r>
        <w:rPr>
          <w:spacing w:val="-4"/>
          <w:sz w:val="20"/>
        </w:rPr>
        <w:t xml:space="preserve"> </w:t>
      </w:r>
      <w:r>
        <w:rPr>
          <w:sz w:val="20"/>
        </w:rPr>
        <w:t>Progress,</w:t>
      </w:r>
      <w:r>
        <w:rPr>
          <w:spacing w:val="-5"/>
          <w:sz w:val="20"/>
        </w:rPr>
        <w:t xml:space="preserve"> </w:t>
      </w:r>
      <w:r>
        <w:rPr>
          <w:sz w:val="20"/>
        </w:rPr>
        <w:t>and</w:t>
      </w:r>
      <w:r>
        <w:rPr>
          <w:spacing w:val="-5"/>
          <w:sz w:val="20"/>
        </w:rPr>
        <w:t xml:space="preserve"> </w:t>
      </w:r>
      <w:r>
        <w:rPr>
          <w:sz w:val="20"/>
        </w:rPr>
        <w:t>Willing</w:t>
      </w:r>
      <w:r>
        <w:rPr>
          <w:spacing w:val="-6"/>
          <w:sz w:val="20"/>
        </w:rPr>
        <w:t xml:space="preserve"> </w:t>
      </w:r>
      <w:r>
        <w:rPr>
          <w:sz w:val="20"/>
        </w:rPr>
        <w:t>to</w:t>
      </w:r>
      <w:r>
        <w:rPr>
          <w:spacing w:val="-6"/>
          <w:sz w:val="20"/>
        </w:rPr>
        <w:t xml:space="preserve"> </w:t>
      </w:r>
      <w:r>
        <w:rPr>
          <w:spacing w:val="-2"/>
          <w:sz w:val="20"/>
        </w:rPr>
        <w:t>Report.</w:t>
      </w:r>
    </w:p>
  </w:footnote>
  <w:footnote w:id="164">
    <w:p w14:paraId="5728F82C" w14:textId="46E1AE16" w:rsidR="00173BAD" w:rsidRDefault="00173BAD" w:rsidP="00871FFD">
      <w:pPr>
        <w:pStyle w:val="FootnoteText"/>
        <w:ind w:left="990" w:right="940"/>
      </w:pPr>
      <w:r>
        <w:rPr>
          <w:rStyle w:val="FootnoteReference"/>
        </w:rPr>
        <w:footnoteRef/>
      </w:r>
      <w:r>
        <w:t xml:space="preserve"> The oncology-focused Leapfrog Group measures the HPC analyzed were: Esophageal Resection for Cancer,</w:t>
      </w:r>
      <w:r>
        <w:rPr>
          <w:spacing w:val="-3"/>
        </w:rPr>
        <w:t xml:space="preserve"> </w:t>
      </w:r>
      <w:r>
        <w:t>Lung</w:t>
      </w:r>
      <w:r>
        <w:rPr>
          <w:spacing w:val="-4"/>
        </w:rPr>
        <w:t xml:space="preserve"> </w:t>
      </w:r>
      <w:r>
        <w:t>Resection</w:t>
      </w:r>
      <w:r>
        <w:rPr>
          <w:spacing w:val="-4"/>
        </w:rPr>
        <w:t xml:space="preserve"> </w:t>
      </w:r>
      <w:r>
        <w:t>for</w:t>
      </w:r>
      <w:r>
        <w:rPr>
          <w:spacing w:val="-5"/>
        </w:rPr>
        <w:t xml:space="preserve"> </w:t>
      </w:r>
      <w:r>
        <w:t>Cancer,</w:t>
      </w:r>
      <w:r>
        <w:rPr>
          <w:spacing w:val="-3"/>
        </w:rPr>
        <w:t xml:space="preserve"> </w:t>
      </w:r>
      <w:r>
        <w:t>Pancreatic</w:t>
      </w:r>
      <w:r>
        <w:rPr>
          <w:spacing w:val="-3"/>
        </w:rPr>
        <w:t xml:space="preserve"> </w:t>
      </w:r>
      <w:r>
        <w:t>Resection</w:t>
      </w:r>
      <w:r>
        <w:rPr>
          <w:spacing w:val="-2"/>
        </w:rPr>
        <w:t xml:space="preserve"> </w:t>
      </w:r>
      <w:r>
        <w:t>for</w:t>
      </w:r>
      <w:r>
        <w:rPr>
          <w:spacing w:val="-5"/>
        </w:rPr>
        <w:t xml:space="preserve"> </w:t>
      </w:r>
      <w:r>
        <w:t>Cancer,</w:t>
      </w:r>
      <w:r>
        <w:rPr>
          <w:spacing w:val="-3"/>
        </w:rPr>
        <w:t xml:space="preserve"> </w:t>
      </w:r>
      <w:r>
        <w:t>and</w:t>
      </w:r>
      <w:r>
        <w:rPr>
          <w:spacing w:val="-3"/>
        </w:rPr>
        <w:t xml:space="preserve"> </w:t>
      </w:r>
      <w:r>
        <w:t>Rectal</w:t>
      </w:r>
      <w:r>
        <w:rPr>
          <w:spacing w:val="-4"/>
        </w:rPr>
        <w:t xml:space="preserve"> </w:t>
      </w:r>
      <w:r>
        <w:t>Cancer</w:t>
      </w:r>
      <w:r>
        <w:rPr>
          <w:spacing w:val="-5"/>
        </w:rPr>
        <w:t xml:space="preserve"> </w:t>
      </w:r>
      <w:r>
        <w:t>Surgery.</w:t>
      </w:r>
      <w:r>
        <w:rPr>
          <w:spacing w:val="-3"/>
        </w:rPr>
        <w:t xml:space="preserve"> </w:t>
      </w:r>
      <w:r>
        <w:t>BIDMC</w:t>
      </w:r>
      <w:r>
        <w:rPr>
          <w:spacing w:val="-4"/>
        </w:rPr>
        <w:t xml:space="preserve"> </w:t>
      </w:r>
      <w:r>
        <w:t>did not have sufficient procedure volume in the most recent survey period to achieve the “considerable achievement”</w:t>
      </w:r>
      <w:r>
        <w:rPr>
          <w:spacing w:val="-4"/>
        </w:rPr>
        <w:t xml:space="preserve"> </w:t>
      </w:r>
      <w:r>
        <w:t>rating</w:t>
      </w:r>
      <w:r>
        <w:rPr>
          <w:spacing w:val="-3"/>
        </w:rPr>
        <w:t xml:space="preserve"> </w:t>
      </w:r>
      <w:r>
        <w:t>on</w:t>
      </w:r>
      <w:r>
        <w:rPr>
          <w:spacing w:val="-3"/>
        </w:rPr>
        <w:t xml:space="preserve"> </w:t>
      </w:r>
      <w:r>
        <w:t>the</w:t>
      </w:r>
      <w:r>
        <w:rPr>
          <w:spacing w:val="-4"/>
        </w:rPr>
        <w:t xml:space="preserve"> </w:t>
      </w:r>
      <w:r>
        <w:t>Esophageal</w:t>
      </w:r>
      <w:r>
        <w:rPr>
          <w:spacing w:val="-3"/>
        </w:rPr>
        <w:t xml:space="preserve"> </w:t>
      </w:r>
      <w:r>
        <w:t>Resection</w:t>
      </w:r>
      <w:r>
        <w:rPr>
          <w:spacing w:val="-3"/>
        </w:rPr>
        <w:t xml:space="preserve"> </w:t>
      </w:r>
      <w:r>
        <w:t>for</w:t>
      </w:r>
      <w:r>
        <w:rPr>
          <w:spacing w:val="-4"/>
        </w:rPr>
        <w:t xml:space="preserve"> </w:t>
      </w:r>
      <w:r>
        <w:t>Cancer</w:t>
      </w:r>
      <w:r>
        <w:rPr>
          <w:spacing w:val="-4"/>
        </w:rPr>
        <w:t xml:space="preserve"> </w:t>
      </w:r>
      <w:r>
        <w:t>metric.</w:t>
      </w:r>
      <w:r>
        <w:rPr>
          <w:spacing w:val="-2"/>
        </w:rPr>
        <w:t xml:space="preserve"> </w:t>
      </w:r>
      <w:hyperlink r:id="rId216" w:history="1">
        <w:r w:rsidRPr="00A17BFB">
          <w:rPr>
            <w:rStyle w:val="Hyperlink"/>
            <w:i/>
            <w:color w:val="000000" w:themeColor="text1"/>
            <w:u w:val="none"/>
          </w:rPr>
          <w:t>Leapfrog</w:t>
        </w:r>
        <w:r w:rsidRPr="00A17BFB">
          <w:rPr>
            <w:rStyle w:val="Hyperlink"/>
            <w:i/>
            <w:color w:val="000000" w:themeColor="text1"/>
            <w:spacing w:val="-3"/>
            <w:u w:val="none"/>
          </w:rPr>
          <w:t xml:space="preserve"> </w:t>
        </w:r>
        <w:r w:rsidRPr="00A17BFB">
          <w:rPr>
            <w:rStyle w:val="Hyperlink"/>
            <w:i/>
            <w:color w:val="000000" w:themeColor="text1"/>
            <w:u w:val="none"/>
          </w:rPr>
          <w:t>Ratings</w:t>
        </w:r>
        <w:r w:rsidRPr="00A17BFB">
          <w:rPr>
            <w:rStyle w:val="Hyperlink"/>
            <w:color w:val="000000" w:themeColor="text1"/>
            <w:u w:val="none"/>
          </w:rPr>
          <w:t>, T</w:t>
        </w:r>
        <w:r w:rsidRPr="00A17BFB">
          <w:rPr>
            <w:rStyle w:val="Hyperlink"/>
            <w:color w:val="000000" w:themeColor="text1"/>
            <w:sz w:val="16"/>
            <w:u w:val="none"/>
          </w:rPr>
          <w:t>HE</w:t>
        </w:r>
        <w:r w:rsidRPr="00A17BFB">
          <w:rPr>
            <w:rStyle w:val="Hyperlink"/>
            <w:color w:val="000000" w:themeColor="text1"/>
            <w:spacing w:val="-1"/>
            <w:sz w:val="16"/>
            <w:u w:val="none"/>
          </w:rPr>
          <w:t xml:space="preserve"> </w:t>
        </w:r>
        <w:r w:rsidRPr="00A17BFB">
          <w:rPr>
            <w:rStyle w:val="Hyperlink"/>
            <w:color w:val="000000" w:themeColor="text1"/>
            <w:u w:val="none"/>
          </w:rPr>
          <w:t>L</w:t>
        </w:r>
        <w:r w:rsidRPr="00A17BFB">
          <w:rPr>
            <w:rStyle w:val="Hyperlink"/>
            <w:color w:val="000000" w:themeColor="text1"/>
            <w:sz w:val="16"/>
            <w:u w:val="none"/>
          </w:rPr>
          <w:t>EAPFROG</w:t>
        </w:r>
        <w:r w:rsidRPr="00A17BFB">
          <w:rPr>
            <w:rStyle w:val="Hyperlink"/>
            <w:color w:val="000000" w:themeColor="text1"/>
            <w:spacing w:val="-3"/>
            <w:sz w:val="16"/>
            <w:u w:val="none"/>
          </w:rPr>
          <w:t xml:space="preserve"> </w:t>
        </w:r>
        <w:r w:rsidRPr="00A17BFB">
          <w:rPr>
            <w:rStyle w:val="Hyperlink"/>
            <w:color w:val="000000" w:themeColor="text1"/>
            <w:u w:val="none"/>
          </w:rPr>
          <w:t>G</w:t>
        </w:r>
        <w:r w:rsidRPr="00A17BFB">
          <w:rPr>
            <w:rStyle w:val="Hyperlink"/>
            <w:color w:val="000000" w:themeColor="text1"/>
            <w:sz w:val="16"/>
            <w:u w:val="none"/>
          </w:rPr>
          <w:t>ROUP</w:t>
        </w:r>
      </w:hyperlink>
      <w:r w:rsidRPr="00A17BFB">
        <w:rPr>
          <w:color w:val="000000" w:themeColor="text1"/>
        </w:rPr>
        <w:t xml:space="preserve">, </w:t>
      </w:r>
      <w:r>
        <w:rPr>
          <w:i/>
        </w:rPr>
        <w:t xml:space="preserve">available at </w:t>
      </w:r>
      <w:hyperlink r:id="rId217">
        <w:r>
          <w:rPr>
            <w:color w:val="486794"/>
            <w:u w:val="single" w:color="486794"/>
          </w:rPr>
          <w:t>https://ratings.leapfroggroup.org/</w:t>
        </w:r>
      </w:hyperlink>
      <w:r>
        <w:rPr>
          <w:color w:val="486794"/>
        </w:rPr>
        <w:t xml:space="preserve"> </w:t>
      </w:r>
      <w:r>
        <w:t>(last visited February 27, 2025).</w:t>
      </w:r>
    </w:p>
  </w:footnote>
  <w:footnote w:id="165">
    <w:p w14:paraId="7B57EFA0" w14:textId="1AF4A2B9" w:rsidR="00871FFD" w:rsidRDefault="00871FFD" w:rsidP="00871FFD">
      <w:pPr>
        <w:pStyle w:val="FootnoteText"/>
        <w:ind w:left="990" w:right="940"/>
      </w:pPr>
      <w:r>
        <w:rPr>
          <w:rStyle w:val="FootnoteReference"/>
        </w:rPr>
        <w:footnoteRef/>
      </w:r>
      <w:r>
        <w:t xml:space="preserve"> </w:t>
      </w:r>
      <w:hyperlink r:id="rId218" w:history="1">
        <w:r w:rsidRPr="00A17BFB">
          <w:rPr>
            <w:rStyle w:val="Hyperlink"/>
            <w:i/>
            <w:color w:val="000000" w:themeColor="text1"/>
            <w:u w:val="none"/>
          </w:rPr>
          <w:t>Quality Indicators Software Instructions and Data Dictionary, SAS® QI v2023</w:t>
        </w:r>
        <w:r w:rsidRPr="00A17BFB">
          <w:rPr>
            <w:rStyle w:val="Hyperlink"/>
            <w:color w:val="000000" w:themeColor="text1"/>
            <w:u w:val="none"/>
          </w:rPr>
          <w:t>, A</w:t>
        </w:r>
        <w:r w:rsidRPr="00A17BFB">
          <w:rPr>
            <w:rStyle w:val="Hyperlink"/>
            <w:color w:val="000000" w:themeColor="text1"/>
            <w:sz w:val="16"/>
            <w:u w:val="none"/>
          </w:rPr>
          <w:t xml:space="preserve">GENCY FOR </w:t>
        </w:r>
        <w:r w:rsidRPr="00A17BFB">
          <w:rPr>
            <w:rStyle w:val="Hyperlink"/>
            <w:color w:val="000000" w:themeColor="text1"/>
            <w:u w:val="none"/>
          </w:rPr>
          <w:t>H</w:t>
        </w:r>
        <w:r w:rsidRPr="00A17BFB">
          <w:rPr>
            <w:rStyle w:val="Hyperlink"/>
            <w:color w:val="000000" w:themeColor="text1"/>
            <w:sz w:val="16"/>
            <w:u w:val="none"/>
          </w:rPr>
          <w:t>EALTHCARE</w:t>
        </w:r>
        <w:r w:rsidRPr="00A17BFB">
          <w:rPr>
            <w:rStyle w:val="Hyperlink"/>
            <w:color w:val="000000" w:themeColor="text1"/>
            <w:spacing w:val="40"/>
            <w:sz w:val="16"/>
            <w:u w:val="none"/>
          </w:rPr>
          <w:t xml:space="preserve"> </w:t>
        </w:r>
        <w:r w:rsidRPr="00A17BFB">
          <w:rPr>
            <w:rStyle w:val="Hyperlink"/>
            <w:color w:val="000000" w:themeColor="text1"/>
            <w:u w:val="none"/>
          </w:rPr>
          <w:t>R</w:t>
        </w:r>
        <w:r w:rsidRPr="00A17BFB">
          <w:rPr>
            <w:rStyle w:val="Hyperlink"/>
            <w:color w:val="000000" w:themeColor="text1"/>
            <w:sz w:val="16"/>
            <w:u w:val="none"/>
          </w:rPr>
          <w:t xml:space="preserve">ESEARCH AND </w:t>
        </w:r>
        <w:r w:rsidRPr="00A17BFB">
          <w:rPr>
            <w:rStyle w:val="Hyperlink"/>
            <w:color w:val="000000" w:themeColor="text1"/>
            <w:u w:val="none"/>
          </w:rPr>
          <w:t>Q</w:t>
        </w:r>
        <w:r w:rsidRPr="00A17BFB">
          <w:rPr>
            <w:rStyle w:val="Hyperlink"/>
            <w:color w:val="000000" w:themeColor="text1"/>
            <w:sz w:val="16"/>
            <w:u w:val="none"/>
          </w:rPr>
          <w:t>UALITY</w:t>
        </w:r>
      </w:hyperlink>
      <w:r w:rsidRPr="00A17BFB">
        <w:rPr>
          <w:color w:val="000000" w:themeColor="text1"/>
        </w:rPr>
        <w:t xml:space="preserve">, </w:t>
      </w:r>
      <w:r w:rsidRPr="00A17BFB">
        <w:rPr>
          <w:i/>
          <w:color w:val="000000" w:themeColor="text1"/>
        </w:rPr>
        <w:t xml:space="preserve">available </w:t>
      </w:r>
      <w:r>
        <w:rPr>
          <w:i/>
        </w:rPr>
        <w:t xml:space="preserve">at </w:t>
      </w:r>
      <w:hyperlink r:id="rId219">
        <w:r>
          <w:rPr>
            <w:color w:val="486794"/>
            <w:spacing w:val="-2"/>
            <w:u w:val="single" w:color="486794"/>
          </w:rPr>
          <w:t>https://qualityindicators.ahrq.gov/Downloads/Software/SAS/V2023/Software_Inst_SASQI_v2023_August_</w:t>
        </w:r>
      </w:hyperlink>
      <w:hyperlink r:id="rId220">
        <w:r>
          <w:rPr>
            <w:color w:val="486794"/>
            <w:u w:val="single" w:color="486794"/>
          </w:rPr>
          <w:t>2023.pdf</w:t>
        </w:r>
      </w:hyperlink>
      <w:r>
        <w:rPr>
          <w:color w:val="486794"/>
        </w:rPr>
        <w:t xml:space="preserve"> </w:t>
      </w:r>
      <w:r>
        <w:t>(last visited February 27, 2025).</w:t>
      </w:r>
    </w:p>
  </w:footnote>
  <w:footnote w:id="166">
    <w:p w14:paraId="3F137E11" w14:textId="4493E4D0" w:rsidR="00A17BFB" w:rsidRDefault="00A17BFB" w:rsidP="000D507A">
      <w:pPr>
        <w:pStyle w:val="FootnoteText"/>
        <w:ind w:left="990" w:right="940"/>
      </w:pPr>
      <w:r>
        <w:rPr>
          <w:rStyle w:val="FootnoteReference"/>
        </w:rPr>
        <w:footnoteRef/>
      </w:r>
      <w:r>
        <w:t xml:space="preserve"> A study published int 2015 compared long term cancer survival rates for patients treated at different hospital facility types and found superior long term survival rates for patient treated at PPS-exempt Cancer Hospitals (53%) relative to those treated at NCI Designated Cancer Centers (49%), AMCs (46%), and other hospitals (44%). </w:t>
      </w:r>
      <w:r>
        <w:rPr>
          <w:i/>
        </w:rPr>
        <w:t xml:space="preserve">See </w:t>
      </w:r>
      <w:r>
        <w:t xml:space="preserve">David G Pfister, et al., </w:t>
      </w:r>
      <w:hyperlink r:id="rId221" w:history="1">
        <w:r w:rsidRPr="001460CC">
          <w:rPr>
            <w:rStyle w:val="Hyperlink"/>
            <w:i/>
            <w:color w:val="000000" w:themeColor="text1"/>
            <w:u w:val="none"/>
          </w:rPr>
          <w:t>Risk adjusting survival outcomes of hospitals that treat cancer patients without information on cancer stage</w:t>
        </w:r>
        <w:r w:rsidRPr="001460CC">
          <w:rPr>
            <w:rStyle w:val="Hyperlink"/>
            <w:color w:val="000000" w:themeColor="text1"/>
            <w:u w:val="none"/>
          </w:rPr>
          <w:t>,</w:t>
        </w:r>
      </w:hyperlink>
      <w:r w:rsidRPr="001460CC">
        <w:rPr>
          <w:color w:val="000000" w:themeColor="text1"/>
        </w:rPr>
        <w:t xml:space="preserve"> JAMA</w:t>
      </w:r>
      <w:r w:rsidRPr="001460CC">
        <w:rPr>
          <w:color w:val="000000" w:themeColor="text1"/>
          <w:spacing w:val="-2"/>
        </w:rPr>
        <w:t xml:space="preserve"> </w:t>
      </w:r>
      <w:r>
        <w:t>O</w:t>
      </w:r>
      <w:r>
        <w:rPr>
          <w:sz w:val="16"/>
        </w:rPr>
        <w:t xml:space="preserve">NCOL </w:t>
      </w:r>
      <w:r>
        <w:t xml:space="preserve">(2015), </w:t>
      </w:r>
      <w:r>
        <w:rPr>
          <w:i/>
        </w:rPr>
        <w:t xml:space="preserve">available at </w:t>
      </w:r>
      <w:hyperlink r:id="rId222">
        <w:r>
          <w:rPr>
            <w:color w:val="486794"/>
            <w:u w:val="single" w:color="486794"/>
          </w:rPr>
          <w:t>https://pmc.ncbi.nlm.nih.gov/articles/PMC5038982/</w:t>
        </w:r>
        <w:r>
          <w:t>.</w:t>
        </w:r>
      </w:hyperlink>
      <w:r>
        <w:rPr>
          <w:spacing w:val="-4"/>
        </w:rPr>
        <w:t xml:space="preserve"> </w:t>
      </w:r>
      <w:r>
        <w:t>A</w:t>
      </w:r>
      <w:r>
        <w:rPr>
          <w:spacing w:val="-5"/>
        </w:rPr>
        <w:t xml:space="preserve"> </w:t>
      </w:r>
      <w:r>
        <w:t>study</w:t>
      </w:r>
      <w:r>
        <w:rPr>
          <w:spacing w:val="-5"/>
        </w:rPr>
        <w:t xml:space="preserve"> </w:t>
      </w:r>
      <w:r>
        <w:t>published</w:t>
      </w:r>
      <w:r>
        <w:rPr>
          <w:spacing w:val="-3"/>
        </w:rPr>
        <w:t xml:space="preserve"> </w:t>
      </w:r>
      <w:r>
        <w:t>in</w:t>
      </w:r>
      <w:r>
        <w:rPr>
          <w:spacing w:val="-4"/>
        </w:rPr>
        <w:t xml:space="preserve"> </w:t>
      </w:r>
      <w:r>
        <w:t>2019</w:t>
      </w:r>
      <w:r>
        <w:rPr>
          <w:spacing w:val="-3"/>
        </w:rPr>
        <w:t xml:space="preserve"> </w:t>
      </w:r>
      <w:r>
        <w:t>analyzed</w:t>
      </w:r>
      <w:r>
        <w:rPr>
          <w:spacing w:val="-3"/>
        </w:rPr>
        <w:t xml:space="preserve"> </w:t>
      </w:r>
      <w:r>
        <w:t>the</w:t>
      </w:r>
      <w:r>
        <w:rPr>
          <w:spacing w:val="-5"/>
        </w:rPr>
        <w:t xml:space="preserve"> </w:t>
      </w:r>
      <w:r>
        <w:t>relationship between</w:t>
      </w:r>
      <w:r>
        <w:rPr>
          <w:spacing w:val="-4"/>
        </w:rPr>
        <w:t xml:space="preserve"> </w:t>
      </w:r>
      <w:r>
        <w:t>hospital</w:t>
      </w:r>
      <w:r>
        <w:rPr>
          <w:spacing w:val="-4"/>
        </w:rPr>
        <w:t xml:space="preserve"> </w:t>
      </w:r>
      <w:r>
        <w:t>attributes</w:t>
      </w:r>
      <w:r>
        <w:rPr>
          <w:spacing w:val="-1"/>
        </w:rPr>
        <w:t xml:space="preserve"> </w:t>
      </w:r>
      <w:r>
        <w:t>and</w:t>
      </w:r>
      <w:r>
        <w:rPr>
          <w:spacing w:val="-3"/>
        </w:rPr>
        <w:t xml:space="preserve"> </w:t>
      </w:r>
      <w:r>
        <w:t>quality</w:t>
      </w:r>
      <w:r>
        <w:rPr>
          <w:spacing w:val="-5"/>
        </w:rPr>
        <w:t xml:space="preserve"> </w:t>
      </w:r>
      <w:r>
        <w:t>outcomes</w:t>
      </w:r>
      <w:r>
        <w:rPr>
          <w:spacing w:val="-3"/>
        </w:rPr>
        <w:t xml:space="preserve"> </w:t>
      </w:r>
      <w:r>
        <w:t>for</w:t>
      </w:r>
      <w:r>
        <w:rPr>
          <w:spacing w:val="-5"/>
        </w:rPr>
        <w:t xml:space="preserve"> </w:t>
      </w:r>
      <w:r>
        <w:t>PPS-exempt</w:t>
      </w:r>
      <w:r>
        <w:rPr>
          <w:spacing w:val="-3"/>
        </w:rPr>
        <w:t xml:space="preserve"> </w:t>
      </w:r>
      <w:r>
        <w:t>Cancer</w:t>
      </w:r>
      <w:r>
        <w:rPr>
          <w:spacing w:val="-3"/>
        </w:rPr>
        <w:t xml:space="preserve"> </w:t>
      </w:r>
      <w:r>
        <w:t>Hospitals,</w:t>
      </w:r>
      <w:r>
        <w:rPr>
          <w:spacing w:val="-1"/>
        </w:rPr>
        <w:t xml:space="preserve"> </w:t>
      </w:r>
      <w:r>
        <w:t>NCI</w:t>
      </w:r>
      <w:r>
        <w:rPr>
          <w:spacing w:val="-3"/>
        </w:rPr>
        <w:t xml:space="preserve"> </w:t>
      </w:r>
      <w:r>
        <w:t>Designated</w:t>
      </w:r>
      <w:r>
        <w:rPr>
          <w:spacing w:val="-3"/>
        </w:rPr>
        <w:t xml:space="preserve"> </w:t>
      </w:r>
      <w:r>
        <w:t xml:space="preserve">Cancer Centers, and other hospitals. Researchers found common attributes at PPS-exempt Cancer Hospitals and NCI Designated Cancer Centers, such as services delivered and patient comorbidity levels. They also observed similar quality outcomes (15/18 postoperative measures) for patients treated at both hospital types. However, patients treated at NCI-CCs were more likely to have postoperative sepsis, acute renal failure, and urinary tract infection. Ryan P </w:t>
      </w:r>
      <w:proofErr w:type="spellStart"/>
      <w:r>
        <w:t>Merkow</w:t>
      </w:r>
      <w:proofErr w:type="spellEnd"/>
      <w:r>
        <w:t xml:space="preserve">, et al., </w:t>
      </w:r>
      <w:hyperlink r:id="rId223" w:history="1">
        <w:r w:rsidRPr="001460CC">
          <w:rPr>
            <w:rStyle w:val="Hyperlink"/>
            <w:i/>
            <w:color w:val="000000" w:themeColor="text1"/>
            <w:u w:val="none"/>
          </w:rPr>
          <w:t>Comparison of Hospitals Affiliated With PPS- Exempt Cancer Centers, Other Hospitals Affiliated With NCI-Designated Cancer Centers, and Other Hospitals That Provide Cancer Care</w:t>
        </w:r>
        <w:r w:rsidRPr="001460CC">
          <w:rPr>
            <w:rStyle w:val="Hyperlink"/>
            <w:color w:val="000000" w:themeColor="text1"/>
            <w:u w:val="none"/>
          </w:rPr>
          <w:t>, JAMA</w:t>
        </w:r>
        <w:r w:rsidRPr="001460CC">
          <w:rPr>
            <w:rStyle w:val="Hyperlink"/>
            <w:color w:val="000000" w:themeColor="text1"/>
            <w:spacing w:val="-2"/>
            <w:u w:val="none"/>
          </w:rPr>
          <w:t xml:space="preserve"> </w:t>
        </w:r>
        <w:r w:rsidRPr="001460CC">
          <w:rPr>
            <w:rStyle w:val="Hyperlink"/>
            <w:color w:val="000000" w:themeColor="text1"/>
            <w:u w:val="none"/>
          </w:rPr>
          <w:t>I</w:t>
        </w:r>
        <w:r w:rsidRPr="001460CC">
          <w:rPr>
            <w:rStyle w:val="Hyperlink"/>
            <w:color w:val="000000" w:themeColor="text1"/>
            <w:sz w:val="16"/>
            <w:u w:val="none"/>
          </w:rPr>
          <w:t xml:space="preserve">NTERN </w:t>
        </w:r>
        <w:r w:rsidRPr="001460CC">
          <w:rPr>
            <w:rStyle w:val="Hyperlink"/>
            <w:color w:val="000000" w:themeColor="text1"/>
            <w:u w:val="none"/>
          </w:rPr>
          <w:t>M</w:t>
        </w:r>
        <w:r w:rsidRPr="001460CC">
          <w:rPr>
            <w:rStyle w:val="Hyperlink"/>
            <w:color w:val="000000" w:themeColor="text1"/>
            <w:sz w:val="16"/>
            <w:u w:val="none"/>
          </w:rPr>
          <w:t>ED</w:t>
        </w:r>
      </w:hyperlink>
      <w:r w:rsidRPr="001460CC">
        <w:rPr>
          <w:color w:val="000000" w:themeColor="text1"/>
          <w:sz w:val="16"/>
        </w:rPr>
        <w:t xml:space="preserve"> </w:t>
      </w:r>
      <w:r w:rsidRPr="001460CC">
        <w:rPr>
          <w:color w:val="000000" w:themeColor="text1"/>
        </w:rPr>
        <w:t xml:space="preserve">(June </w:t>
      </w:r>
      <w:r>
        <w:t xml:space="preserve">2019), </w:t>
      </w:r>
      <w:r>
        <w:rPr>
          <w:i/>
        </w:rPr>
        <w:t xml:space="preserve">available at </w:t>
      </w:r>
      <w:hyperlink r:id="rId224">
        <w:r>
          <w:rPr>
            <w:color w:val="486794"/>
            <w:u w:val="single" w:color="486794"/>
          </w:rPr>
          <w:t>https://pmc.ncbi.nlm.nih.gov/articles/PMC6580440/</w:t>
        </w:r>
        <w:r>
          <w:t>.</w:t>
        </w:r>
      </w:hyperlink>
      <w:r>
        <w:t xml:space="preserve"> These studies examined variations in performance at the cohort level, although they did not provide information about the performance of specific cancer hospitals or distinguish AMCs with higher-volume, specialized cancer programs from those with lower- volume programs. Additionally, DFCI’s unique model of medical oncology care makes several surgical oncology quality indicators used in these studies less relevant to assessment of its quality compared to other hospitals in the Commonwealth.</w:t>
      </w:r>
    </w:p>
  </w:footnote>
  <w:footnote w:id="167">
    <w:p w14:paraId="4A487B18" w14:textId="5BB731AA" w:rsidR="000D507A" w:rsidRDefault="000D507A" w:rsidP="000D507A">
      <w:pPr>
        <w:pStyle w:val="FootnoteText"/>
        <w:ind w:left="990" w:right="940"/>
      </w:pPr>
      <w:r>
        <w:rPr>
          <w:rStyle w:val="FootnoteReference"/>
        </w:rPr>
        <w:footnoteRef/>
      </w:r>
      <w:r>
        <w:t xml:space="preserve"> Christine Ferro, et </w:t>
      </w:r>
      <w:r w:rsidRPr="001460CC">
        <w:rPr>
          <w:color w:val="000000" w:themeColor="text1"/>
        </w:rPr>
        <w:t xml:space="preserve">al., Milliman, </w:t>
      </w:r>
      <w:hyperlink r:id="rId225" w:history="1">
        <w:r w:rsidRPr="001460CC">
          <w:rPr>
            <w:rStyle w:val="Hyperlink"/>
            <w:color w:val="000000" w:themeColor="text1"/>
            <w:u w:val="none"/>
          </w:rPr>
          <w:t>Survival of Medicare fee-for-service chemotherapy patients by site of care</w:t>
        </w:r>
      </w:hyperlink>
      <w:r w:rsidRPr="001460CC">
        <w:rPr>
          <w:color w:val="000000" w:themeColor="text1"/>
          <w:spacing w:val="-9"/>
        </w:rPr>
        <w:t xml:space="preserve"> </w:t>
      </w:r>
      <w:r w:rsidRPr="001460CC">
        <w:rPr>
          <w:color w:val="000000" w:themeColor="text1"/>
        </w:rPr>
        <w:t>(Feb.</w:t>
      </w:r>
      <w:r w:rsidRPr="001460CC">
        <w:rPr>
          <w:color w:val="000000" w:themeColor="text1"/>
          <w:spacing w:val="-7"/>
        </w:rPr>
        <w:t xml:space="preserve"> </w:t>
      </w:r>
      <w:r w:rsidRPr="001460CC">
        <w:rPr>
          <w:color w:val="000000" w:themeColor="text1"/>
        </w:rPr>
        <w:t>7,</w:t>
      </w:r>
      <w:r w:rsidRPr="001460CC">
        <w:rPr>
          <w:color w:val="000000" w:themeColor="text1"/>
          <w:spacing w:val="-7"/>
        </w:rPr>
        <w:t xml:space="preserve"> </w:t>
      </w:r>
      <w:r w:rsidRPr="001460CC">
        <w:rPr>
          <w:color w:val="000000" w:themeColor="text1"/>
        </w:rPr>
        <w:t>2018</w:t>
      </w:r>
      <w:r>
        <w:t>),</w:t>
      </w:r>
      <w:r>
        <w:rPr>
          <w:spacing w:val="-7"/>
        </w:rPr>
        <w:t xml:space="preserve"> </w:t>
      </w:r>
      <w:r>
        <w:rPr>
          <w:i/>
        </w:rPr>
        <w:t>available</w:t>
      </w:r>
      <w:r>
        <w:rPr>
          <w:i/>
          <w:spacing w:val="-8"/>
        </w:rPr>
        <w:t xml:space="preserve"> </w:t>
      </w:r>
      <w:r>
        <w:rPr>
          <w:i/>
        </w:rPr>
        <w:t>at</w:t>
      </w:r>
      <w:r>
        <w:rPr>
          <w:i/>
          <w:spacing w:val="-9"/>
        </w:rPr>
        <w:t xml:space="preserve"> </w:t>
      </w:r>
      <w:hyperlink r:id="rId226">
        <w:r>
          <w:rPr>
            <w:color w:val="486794"/>
            <w:u w:val="single" w:color="486794"/>
          </w:rPr>
          <w:t>https://www.milliman.com/en/insight/survival-of-medicare-fee-for-service-</w:t>
        </w:r>
      </w:hyperlink>
      <w:r>
        <w:rPr>
          <w:color w:val="486794"/>
        </w:rPr>
        <w:t xml:space="preserve"> </w:t>
      </w:r>
      <w:hyperlink r:id="rId227">
        <w:r>
          <w:rPr>
            <w:color w:val="486794"/>
            <w:u w:val="single" w:color="486794"/>
          </w:rPr>
          <w:t>chemotherapy-patients-by-site-of-care</w:t>
        </w:r>
        <w:r>
          <w:t>.</w:t>
        </w:r>
      </w:hyperlink>
      <w:r>
        <w:rPr>
          <w:spacing w:val="-1"/>
        </w:rPr>
        <w:t xml:space="preserve"> </w:t>
      </w:r>
      <w:r>
        <w:t>The</w:t>
      </w:r>
      <w:r>
        <w:rPr>
          <w:spacing w:val="-3"/>
        </w:rPr>
        <w:t xml:space="preserve"> </w:t>
      </w:r>
      <w:r>
        <w:t>study</w:t>
      </w:r>
      <w:r>
        <w:rPr>
          <w:spacing w:val="-3"/>
        </w:rPr>
        <w:t xml:space="preserve"> </w:t>
      </w:r>
      <w:r>
        <w:t>found</w:t>
      </w:r>
      <w:r>
        <w:rPr>
          <w:spacing w:val="-1"/>
        </w:rPr>
        <w:t xml:space="preserve"> </w:t>
      </w:r>
      <w:r>
        <w:t>no significant</w:t>
      </w:r>
      <w:r>
        <w:rPr>
          <w:spacing w:val="-1"/>
        </w:rPr>
        <w:t xml:space="preserve"> </w:t>
      </w:r>
      <w:r>
        <w:t>difference</w:t>
      </w:r>
      <w:r>
        <w:rPr>
          <w:spacing w:val="-3"/>
        </w:rPr>
        <w:t xml:space="preserve"> </w:t>
      </w:r>
      <w:r>
        <w:t>in</w:t>
      </w:r>
      <w:r>
        <w:rPr>
          <w:spacing w:val="-2"/>
        </w:rPr>
        <w:t xml:space="preserve"> </w:t>
      </w:r>
      <w:r>
        <w:t>survival</w:t>
      </w:r>
      <w:r>
        <w:rPr>
          <w:spacing w:val="-2"/>
        </w:rPr>
        <w:t xml:space="preserve"> </w:t>
      </w:r>
      <w:r>
        <w:t>for</w:t>
      </w:r>
      <w:r>
        <w:rPr>
          <w:spacing w:val="-1"/>
        </w:rPr>
        <w:t xml:space="preserve"> </w:t>
      </w:r>
      <w:r>
        <w:t>patients</w:t>
      </w:r>
      <w:r>
        <w:rPr>
          <w:spacing w:val="-1"/>
        </w:rPr>
        <w:t xml:space="preserve"> </w:t>
      </w:r>
      <w:r>
        <w:t>with ovarian or prostate cancers at PPS-exempt cancer hospitals as compared to other NCI-designated cancer centers or teaching hospitals. The study’s findings are based on national data that do not allow for the comparison of performance at specific institutions.</w:t>
      </w:r>
    </w:p>
  </w:footnote>
  <w:footnote w:id="168">
    <w:p w14:paraId="2588D5E2" w14:textId="5FC2415F" w:rsidR="000D507A" w:rsidRDefault="000D507A" w:rsidP="000D507A">
      <w:pPr>
        <w:pStyle w:val="FootnoteText"/>
        <w:ind w:left="990" w:right="940"/>
      </w:pPr>
      <w:r>
        <w:rPr>
          <w:rStyle w:val="FootnoteReference"/>
        </w:rPr>
        <w:footnoteRef/>
      </w:r>
      <w:r>
        <w:t xml:space="preserve"> </w:t>
      </w:r>
      <w:r>
        <w:rPr>
          <w:i/>
        </w:rPr>
        <w:t xml:space="preserve">See </w:t>
      </w:r>
      <w:r>
        <w:t xml:space="preserve">Wolfson, J.A., et al., </w:t>
      </w:r>
      <w:hyperlink r:id="rId228" w:history="1">
        <w:r w:rsidRPr="001460CC">
          <w:rPr>
            <w:rStyle w:val="Hyperlink"/>
            <w:i/>
            <w:color w:val="000000" w:themeColor="text1"/>
            <w:u w:val="none"/>
          </w:rPr>
          <w:t>Impact of Care at Comprehensive Cancer Centers on Outcome: Results from a Population-Based</w:t>
        </w:r>
        <w:r w:rsidRPr="001460CC">
          <w:rPr>
            <w:rStyle w:val="Hyperlink"/>
            <w:i/>
            <w:color w:val="000000" w:themeColor="text1"/>
            <w:spacing w:val="-5"/>
            <w:u w:val="none"/>
          </w:rPr>
          <w:t xml:space="preserve"> </w:t>
        </w:r>
        <w:r w:rsidRPr="001460CC">
          <w:rPr>
            <w:rStyle w:val="Hyperlink"/>
            <w:i/>
            <w:color w:val="000000" w:themeColor="text1"/>
            <w:u w:val="none"/>
          </w:rPr>
          <w:t>Study</w:t>
        </w:r>
      </w:hyperlink>
      <w:r w:rsidRPr="001460CC">
        <w:rPr>
          <w:color w:val="000000" w:themeColor="text1"/>
        </w:rPr>
        <w:t>,</w:t>
      </w:r>
      <w:r w:rsidRPr="001460CC">
        <w:rPr>
          <w:color w:val="000000" w:themeColor="text1"/>
          <w:spacing w:val="-5"/>
        </w:rPr>
        <w:t xml:space="preserve"> </w:t>
      </w:r>
      <w:r w:rsidRPr="001460CC">
        <w:rPr>
          <w:color w:val="000000" w:themeColor="text1"/>
        </w:rPr>
        <w:t>C</w:t>
      </w:r>
      <w:r w:rsidRPr="001460CC">
        <w:rPr>
          <w:color w:val="000000" w:themeColor="text1"/>
          <w:sz w:val="16"/>
        </w:rPr>
        <w:t xml:space="preserve">ANCER </w:t>
      </w:r>
      <w:r>
        <w:t>(2015),</w:t>
      </w:r>
      <w:r>
        <w:rPr>
          <w:spacing w:val="-5"/>
        </w:rPr>
        <w:t xml:space="preserve"> </w:t>
      </w:r>
      <w:r>
        <w:rPr>
          <w:i/>
        </w:rPr>
        <w:t>available</w:t>
      </w:r>
      <w:r>
        <w:rPr>
          <w:i/>
          <w:spacing w:val="-4"/>
        </w:rPr>
        <w:t xml:space="preserve"> </w:t>
      </w:r>
      <w:r>
        <w:rPr>
          <w:i/>
        </w:rPr>
        <w:t>at</w:t>
      </w:r>
      <w:r>
        <w:rPr>
          <w:i/>
          <w:spacing w:val="-6"/>
        </w:rPr>
        <w:t xml:space="preserve"> </w:t>
      </w:r>
      <w:hyperlink r:id="rId229">
        <w:r>
          <w:rPr>
            <w:color w:val="486794"/>
            <w:u w:val="single" w:color="486794"/>
          </w:rPr>
          <w:t>https://pmc.ncbi.nlm.nih.gov/articles/PMC4892698/</w:t>
        </w:r>
        <w:r>
          <w:t>;</w:t>
        </w:r>
      </w:hyperlink>
      <w:r>
        <w:t xml:space="preserve"> Chueng, M.C., et al., </w:t>
      </w:r>
      <w:hyperlink r:id="rId230" w:history="1">
        <w:r w:rsidRPr="001460CC">
          <w:rPr>
            <w:rStyle w:val="Hyperlink"/>
            <w:i/>
            <w:color w:val="000000" w:themeColor="text1"/>
            <w:u w:val="none"/>
          </w:rPr>
          <w:t>Impact of Teaching Facility Status and High-Volume Centers on Outcomes for Lung Cancer Resection: An Examination of 13,469 Surgical Patients</w:t>
        </w:r>
        <w:r w:rsidRPr="001460CC">
          <w:rPr>
            <w:rStyle w:val="Hyperlink"/>
            <w:color w:val="000000" w:themeColor="text1"/>
            <w:u w:val="none"/>
          </w:rPr>
          <w:t>, A</w:t>
        </w:r>
        <w:r w:rsidRPr="001460CC">
          <w:rPr>
            <w:rStyle w:val="Hyperlink"/>
            <w:color w:val="000000" w:themeColor="text1"/>
            <w:sz w:val="16"/>
            <w:u w:val="none"/>
          </w:rPr>
          <w:t xml:space="preserve">NN </w:t>
        </w:r>
        <w:r w:rsidRPr="001460CC">
          <w:rPr>
            <w:rStyle w:val="Hyperlink"/>
            <w:color w:val="000000" w:themeColor="text1"/>
            <w:u w:val="none"/>
          </w:rPr>
          <w:t>S</w:t>
        </w:r>
        <w:r w:rsidRPr="001460CC">
          <w:rPr>
            <w:rStyle w:val="Hyperlink"/>
            <w:color w:val="000000" w:themeColor="text1"/>
            <w:sz w:val="16"/>
            <w:u w:val="none"/>
          </w:rPr>
          <w:t xml:space="preserve">URG </w:t>
        </w:r>
        <w:r w:rsidRPr="001460CC">
          <w:rPr>
            <w:rStyle w:val="Hyperlink"/>
            <w:color w:val="000000" w:themeColor="text1"/>
            <w:u w:val="none"/>
          </w:rPr>
          <w:t>O</w:t>
        </w:r>
        <w:r w:rsidRPr="001460CC">
          <w:rPr>
            <w:rStyle w:val="Hyperlink"/>
            <w:color w:val="000000" w:themeColor="text1"/>
            <w:sz w:val="16"/>
            <w:u w:val="none"/>
          </w:rPr>
          <w:t>NCOL</w:t>
        </w:r>
      </w:hyperlink>
      <w:r w:rsidRPr="001460CC">
        <w:rPr>
          <w:color w:val="000000" w:themeColor="text1"/>
          <w:sz w:val="16"/>
        </w:rPr>
        <w:t xml:space="preserve"> </w:t>
      </w:r>
      <w:r w:rsidRPr="001460CC">
        <w:rPr>
          <w:color w:val="000000" w:themeColor="text1"/>
        </w:rPr>
        <w:t>(2009</w:t>
      </w:r>
      <w:r>
        <w:t xml:space="preserve">), </w:t>
      </w:r>
      <w:r>
        <w:rPr>
          <w:i/>
        </w:rPr>
        <w:t xml:space="preserve">available at </w:t>
      </w:r>
      <w:hyperlink r:id="rId231">
        <w:r>
          <w:rPr>
            <w:color w:val="486794"/>
            <w:u w:val="single" w:color="486794"/>
          </w:rPr>
          <w:t>https://pubmed.ncbi.nlm.nih.gov/18600379/</w:t>
        </w:r>
        <w:r>
          <w:t>;</w:t>
        </w:r>
      </w:hyperlink>
      <w:r>
        <w:t xml:space="preserve"> Karalis, J.D., et al., </w:t>
      </w:r>
      <w:hyperlink r:id="rId232" w:history="1">
        <w:r w:rsidRPr="001460CC">
          <w:rPr>
            <w:rStyle w:val="Hyperlink"/>
            <w:i/>
            <w:color w:val="000000" w:themeColor="text1"/>
            <w:u w:val="none"/>
          </w:rPr>
          <w:t>Hospital Designations and Their Impact on</w:t>
        </w:r>
        <w:r w:rsidRPr="001460CC">
          <w:rPr>
            <w:rStyle w:val="Hyperlink"/>
            <w:i/>
            <w:color w:val="000000" w:themeColor="text1"/>
            <w:spacing w:val="-3"/>
            <w:u w:val="none"/>
          </w:rPr>
          <w:t xml:space="preserve"> </w:t>
        </w:r>
        <w:r w:rsidRPr="001460CC">
          <w:rPr>
            <w:rStyle w:val="Hyperlink"/>
            <w:i/>
            <w:color w:val="000000" w:themeColor="text1"/>
            <w:u w:val="none"/>
          </w:rPr>
          <w:t>Guideline-Concordant</w:t>
        </w:r>
        <w:r w:rsidRPr="001460CC">
          <w:rPr>
            <w:rStyle w:val="Hyperlink"/>
            <w:i/>
            <w:color w:val="000000" w:themeColor="text1"/>
            <w:spacing w:val="-4"/>
            <w:u w:val="none"/>
          </w:rPr>
          <w:t xml:space="preserve"> </w:t>
        </w:r>
        <w:r w:rsidRPr="001460CC">
          <w:rPr>
            <w:rStyle w:val="Hyperlink"/>
            <w:i/>
            <w:color w:val="000000" w:themeColor="text1"/>
            <w:u w:val="none"/>
          </w:rPr>
          <w:t>Care</w:t>
        </w:r>
        <w:r w:rsidRPr="001460CC">
          <w:rPr>
            <w:rStyle w:val="Hyperlink"/>
            <w:i/>
            <w:color w:val="000000" w:themeColor="text1"/>
            <w:spacing w:val="-3"/>
            <w:u w:val="none"/>
          </w:rPr>
          <w:t xml:space="preserve"> </w:t>
        </w:r>
        <w:r w:rsidRPr="001460CC">
          <w:rPr>
            <w:rStyle w:val="Hyperlink"/>
            <w:i/>
            <w:color w:val="000000" w:themeColor="text1"/>
            <w:u w:val="none"/>
          </w:rPr>
          <w:t>and</w:t>
        </w:r>
        <w:r w:rsidRPr="001460CC">
          <w:rPr>
            <w:rStyle w:val="Hyperlink"/>
            <w:i/>
            <w:color w:val="000000" w:themeColor="text1"/>
            <w:spacing w:val="-2"/>
            <w:u w:val="none"/>
          </w:rPr>
          <w:t xml:space="preserve"> </w:t>
        </w:r>
        <w:r w:rsidRPr="001460CC">
          <w:rPr>
            <w:rStyle w:val="Hyperlink"/>
            <w:i/>
            <w:color w:val="000000" w:themeColor="text1"/>
            <w:u w:val="none"/>
          </w:rPr>
          <w:t>Survival</w:t>
        </w:r>
        <w:r w:rsidRPr="001460CC">
          <w:rPr>
            <w:rStyle w:val="Hyperlink"/>
            <w:i/>
            <w:color w:val="000000" w:themeColor="text1"/>
            <w:spacing w:val="-3"/>
            <w:u w:val="none"/>
          </w:rPr>
          <w:t xml:space="preserve"> </w:t>
        </w:r>
        <w:r w:rsidRPr="001460CC">
          <w:rPr>
            <w:rStyle w:val="Hyperlink"/>
            <w:i/>
            <w:color w:val="000000" w:themeColor="text1"/>
            <w:u w:val="none"/>
          </w:rPr>
          <w:t>in</w:t>
        </w:r>
        <w:r w:rsidRPr="001460CC">
          <w:rPr>
            <w:rStyle w:val="Hyperlink"/>
            <w:i/>
            <w:color w:val="000000" w:themeColor="text1"/>
            <w:spacing w:val="-2"/>
            <w:u w:val="none"/>
          </w:rPr>
          <w:t xml:space="preserve"> </w:t>
        </w:r>
        <w:r w:rsidRPr="001460CC">
          <w:rPr>
            <w:rStyle w:val="Hyperlink"/>
            <w:i/>
            <w:color w:val="000000" w:themeColor="text1"/>
            <w:u w:val="none"/>
          </w:rPr>
          <w:t>Pancreatic</w:t>
        </w:r>
        <w:r w:rsidRPr="001460CC">
          <w:rPr>
            <w:rStyle w:val="Hyperlink"/>
            <w:i/>
            <w:color w:val="000000" w:themeColor="text1"/>
            <w:spacing w:val="-2"/>
            <w:u w:val="none"/>
          </w:rPr>
          <w:t xml:space="preserve"> </w:t>
        </w:r>
        <w:r w:rsidRPr="001460CC">
          <w:rPr>
            <w:rStyle w:val="Hyperlink"/>
            <w:i/>
            <w:color w:val="000000" w:themeColor="text1"/>
            <w:u w:val="none"/>
          </w:rPr>
          <w:t>Cancer.</w:t>
        </w:r>
        <w:r w:rsidRPr="001460CC">
          <w:rPr>
            <w:rStyle w:val="Hyperlink"/>
            <w:i/>
            <w:color w:val="000000" w:themeColor="text1"/>
            <w:spacing w:val="-2"/>
            <w:u w:val="none"/>
          </w:rPr>
          <w:t xml:space="preserve"> </w:t>
        </w:r>
        <w:r w:rsidRPr="001460CC">
          <w:rPr>
            <w:rStyle w:val="Hyperlink"/>
            <w:i/>
            <w:color w:val="000000" w:themeColor="text1"/>
            <w:u w:val="none"/>
          </w:rPr>
          <w:t>Do</w:t>
        </w:r>
        <w:r w:rsidRPr="001460CC">
          <w:rPr>
            <w:rStyle w:val="Hyperlink"/>
            <w:i/>
            <w:color w:val="000000" w:themeColor="text1"/>
            <w:spacing w:val="-4"/>
            <w:u w:val="none"/>
          </w:rPr>
          <w:t xml:space="preserve"> </w:t>
        </w:r>
        <w:r w:rsidRPr="001460CC">
          <w:rPr>
            <w:rStyle w:val="Hyperlink"/>
            <w:i/>
            <w:color w:val="000000" w:themeColor="text1"/>
            <w:u w:val="none"/>
          </w:rPr>
          <w:t>They</w:t>
        </w:r>
        <w:r w:rsidRPr="001460CC">
          <w:rPr>
            <w:rStyle w:val="Hyperlink"/>
            <w:i/>
            <w:color w:val="000000" w:themeColor="text1"/>
            <w:spacing w:val="-4"/>
            <w:u w:val="none"/>
          </w:rPr>
          <w:t xml:space="preserve"> </w:t>
        </w:r>
        <w:r w:rsidRPr="001460CC">
          <w:rPr>
            <w:rStyle w:val="Hyperlink"/>
            <w:i/>
            <w:color w:val="000000" w:themeColor="text1"/>
            <w:u w:val="none"/>
          </w:rPr>
          <w:t>Matter?</w:t>
        </w:r>
        <w:r w:rsidRPr="001460CC">
          <w:rPr>
            <w:rStyle w:val="Hyperlink"/>
            <w:color w:val="000000" w:themeColor="text1"/>
            <w:u w:val="none"/>
          </w:rPr>
          <w:t>,</w:t>
        </w:r>
      </w:hyperlink>
      <w:r w:rsidRPr="001460CC">
        <w:rPr>
          <w:color w:val="000000" w:themeColor="text1"/>
          <w:spacing w:val="-2"/>
        </w:rPr>
        <w:t xml:space="preserve"> </w:t>
      </w:r>
      <w:r w:rsidRPr="001460CC">
        <w:rPr>
          <w:color w:val="000000" w:themeColor="text1"/>
        </w:rPr>
        <w:t>A</w:t>
      </w:r>
      <w:r w:rsidRPr="001460CC">
        <w:rPr>
          <w:color w:val="000000" w:themeColor="text1"/>
          <w:sz w:val="16"/>
        </w:rPr>
        <w:t>NN</w:t>
      </w:r>
      <w:r w:rsidRPr="001460CC">
        <w:rPr>
          <w:color w:val="000000" w:themeColor="text1"/>
          <w:spacing w:val="-3"/>
          <w:sz w:val="16"/>
        </w:rPr>
        <w:t xml:space="preserve"> </w:t>
      </w:r>
      <w:r>
        <w:t>S</w:t>
      </w:r>
      <w:r>
        <w:rPr>
          <w:sz w:val="16"/>
        </w:rPr>
        <w:t>URG</w:t>
      </w:r>
      <w:r>
        <w:rPr>
          <w:spacing w:val="-4"/>
          <w:sz w:val="16"/>
        </w:rPr>
        <w:t xml:space="preserve"> </w:t>
      </w:r>
      <w:r>
        <w:t>O</w:t>
      </w:r>
      <w:r>
        <w:rPr>
          <w:sz w:val="16"/>
        </w:rPr>
        <w:t>NCOL</w:t>
      </w:r>
      <w:r>
        <w:t>.</w:t>
      </w:r>
      <w:r>
        <w:rPr>
          <w:spacing w:val="-13"/>
        </w:rPr>
        <w:t xml:space="preserve"> </w:t>
      </w:r>
      <w:r>
        <w:t xml:space="preserve">(2023), </w:t>
      </w:r>
      <w:r>
        <w:rPr>
          <w:i/>
        </w:rPr>
        <w:t xml:space="preserve">available at </w:t>
      </w:r>
      <w:hyperlink r:id="rId233">
        <w:r>
          <w:rPr>
            <w:color w:val="486794"/>
            <w:u w:val="single" w:color="486794"/>
          </w:rPr>
          <w:t>https://pubmed.ncbi.nlm.nih.gov/36964844/</w:t>
        </w:r>
        <w:r>
          <w:t>.</w:t>
        </w:r>
      </w:hyperlink>
    </w:p>
  </w:footnote>
  <w:footnote w:id="169">
    <w:p w14:paraId="07986311" w14:textId="163D7515" w:rsidR="002F2E9E" w:rsidRDefault="002F2E9E" w:rsidP="007512BE">
      <w:pPr>
        <w:pStyle w:val="FootnoteText"/>
        <w:ind w:left="990" w:right="940"/>
      </w:pPr>
      <w:r>
        <w:rPr>
          <w:rStyle w:val="FootnoteReference"/>
        </w:rPr>
        <w:footnoteRef/>
      </w:r>
      <w:r>
        <w:t xml:space="preserve"> The parties disclosed their expansion plans in private conversations and material sent to the HPC. In their Determination of Need application, Dana-Farber also referenced a few of these plans, stating “The Proposed Project will have a direct impact upon public health outcomes by expanding the availability and access</w:t>
      </w:r>
      <w:r>
        <w:rPr>
          <w:spacing w:val="-2"/>
        </w:rPr>
        <w:t xml:space="preserve"> </w:t>
      </w:r>
      <w:r>
        <w:t>to...highly</w:t>
      </w:r>
      <w:r>
        <w:rPr>
          <w:spacing w:val="-4"/>
        </w:rPr>
        <w:t xml:space="preserve"> </w:t>
      </w:r>
      <w:r>
        <w:t>specialized and</w:t>
      </w:r>
      <w:r>
        <w:rPr>
          <w:spacing w:val="-2"/>
        </w:rPr>
        <w:t xml:space="preserve"> </w:t>
      </w:r>
      <w:r>
        <w:t>focused</w:t>
      </w:r>
      <w:r>
        <w:rPr>
          <w:spacing w:val="-2"/>
        </w:rPr>
        <w:t xml:space="preserve"> </w:t>
      </w:r>
      <w:r>
        <w:t>care,</w:t>
      </w:r>
      <w:r>
        <w:rPr>
          <w:spacing w:val="-2"/>
        </w:rPr>
        <w:t xml:space="preserve"> </w:t>
      </w:r>
      <w:r>
        <w:t>as</w:t>
      </w:r>
      <w:r>
        <w:rPr>
          <w:spacing w:val="-2"/>
        </w:rPr>
        <w:t xml:space="preserve"> </w:t>
      </w:r>
      <w:r>
        <w:t>well</w:t>
      </w:r>
      <w:r>
        <w:rPr>
          <w:spacing w:val="-3"/>
        </w:rPr>
        <w:t xml:space="preserve"> </w:t>
      </w:r>
      <w:r>
        <w:t>as</w:t>
      </w:r>
      <w:r>
        <w:rPr>
          <w:spacing w:val="-2"/>
        </w:rPr>
        <w:t xml:space="preserve"> </w:t>
      </w:r>
      <w:r>
        <w:t>improving</w:t>
      </w:r>
      <w:r>
        <w:rPr>
          <w:spacing w:val="-3"/>
        </w:rPr>
        <w:t xml:space="preserve"> </w:t>
      </w:r>
      <w:r>
        <w:t>access</w:t>
      </w:r>
      <w:r>
        <w:rPr>
          <w:spacing w:val="-2"/>
        </w:rPr>
        <w:t xml:space="preserve"> </w:t>
      </w:r>
      <w:r>
        <w:t>to</w:t>
      </w:r>
      <w:r>
        <w:rPr>
          <w:spacing w:val="-3"/>
        </w:rPr>
        <w:t xml:space="preserve"> </w:t>
      </w:r>
      <w:r>
        <w:t>clinical</w:t>
      </w:r>
      <w:r>
        <w:rPr>
          <w:spacing w:val="-3"/>
        </w:rPr>
        <w:t xml:space="preserve"> </w:t>
      </w:r>
      <w:r>
        <w:t>trials.”</w:t>
      </w:r>
      <w:r>
        <w:rPr>
          <w:spacing w:val="-4"/>
        </w:rPr>
        <w:t xml:space="preserve"> </w:t>
      </w:r>
      <w:r>
        <w:t>See</w:t>
      </w:r>
      <w:r>
        <w:rPr>
          <w:spacing w:val="-4"/>
        </w:rPr>
        <w:t xml:space="preserve"> </w:t>
      </w:r>
      <w:r>
        <w:t>DFCI</w:t>
      </w:r>
      <w:r>
        <w:rPr>
          <w:spacing w:val="-12"/>
        </w:rPr>
        <w:t xml:space="preserve"> </w:t>
      </w:r>
      <w:r>
        <w:t>D</w:t>
      </w:r>
      <w:r>
        <w:rPr>
          <w:sz w:val="16"/>
        </w:rPr>
        <w:t>O</w:t>
      </w:r>
      <w:r>
        <w:t>N N</w:t>
      </w:r>
      <w:r>
        <w:rPr>
          <w:sz w:val="16"/>
        </w:rPr>
        <w:t>ARRATIVE</w:t>
      </w:r>
      <w:r>
        <w:t xml:space="preserve">, </w:t>
      </w:r>
      <w:r>
        <w:rPr>
          <w:i/>
        </w:rPr>
        <w:t xml:space="preserve">supra </w:t>
      </w:r>
      <w:r>
        <w:t xml:space="preserve">note </w:t>
      </w:r>
      <w:hyperlink w:anchor="_bookmark7" w:history="1">
        <w:r>
          <w:t>8</w:t>
        </w:r>
      </w:hyperlink>
      <w:hyperlink w:anchor="_bookmark7" w:history="1">
        <w:r>
          <w:t>8,</w:t>
        </w:r>
      </w:hyperlink>
      <w:r>
        <w:t xml:space="preserve"> at 46.</w:t>
      </w:r>
    </w:p>
  </w:footnote>
  <w:footnote w:id="170">
    <w:p w14:paraId="748026AF" w14:textId="597C7C2E" w:rsidR="00494AAB" w:rsidRDefault="00494AAB" w:rsidP="007512BE">
      <w:pPr>
        <w:pStyle w:val="FootnoteText"/>
        <w:ind w:left="990" w:right="940"/>
      </w:pPr>
      <w:r>
        <w:rPr>
          <w:rStyle w:val="FootnoteReference"/>
        </w:rPr>
        <w:footnoteRef/>
      </w:r>
      <w:r>
        <w:t xml:space="preserve"> </w:t>
      </w:r>
      <w:r>
        <w:rPr>
          <w:i/>
        </w:rPr>
        <w:t>See</w:t>
      </w:r>
      <w:r>
        <w:rPr>
          <w:i/>
          <w:spacing w:val="-6"/>
        </w:rPr>
        <w:t xml:space="preserve"> </w:t>
      </w:r>
      <w:r>
        <w:t>DFCI</w:t>
      </w:r>
      <w:r>
        <w:rPr>
          <w:spacing w:val="-3"/>
        </w:rPr>
        <w:t xml:space="preserve"> </w:t>
      </w:r>
      <w:r>
        <w:t>Response</w:t>
      </w:r>
      <w:r>
        <w:rPr>
          <w:spacing w:val="-6"/>
        </w:rPr>
        <w:t xml:space="preserve"> </w:t>
      </w:r>
      <w:r>
        <w:t>to</w:t>
      </w:r>
      <w:r>
        <w:rPr>
          <w:spacing w:val="-3"/>
        </w:rPr>
        <w:t xml:space="preserve"> </w:t>
      </w:r>
      <w:r>
        <w:t>Applicant</w:t>
      </w:r>
      <w:r>
        <w:rPr>
          <w:spacing w:val="-4"/>
        </w:rPr>
        <w:t xml:space="preserve"> </w:t>
      </w:r>
      <w:r>
        <w:t>Questions</w:t>
      </w:r>
      <w:r>
        <w:rPr>
          <w:spacing w:val="-3"/>
        </w:rPr>
        <w:t xml:space="preserve"> </w:t>
      </w:r>
      <w:r>
        <w:t>#2</w:t>
      </w:r>
      <w:r>
        <w:rPr>
          <w:spacing w:val="-4"/>
        </w:rPr>
        <w:t xml:space="preserve"> </w:t>
      </w:r>
      <w:r>
        <w:rPr>
          <w:i/>
        </w:rPr>
        <w:t>supra</w:t>
      </w:r>
      <w:r>
        <w:rPr>
          <w:i/>
          <w:spacing w:val="-6"/>
        </w:rPr>
        <w:t xml:space="preserve"> </w:t>
      </w:r>
      <w:r>
        <w:t>note</w:t>
      </w:r>
      <w:r>
        <w:rPr>
          <w:spacing w:val="-4"/>
        </w:rPr>
        <w:t xml:space="preserve"> </w:t>
      </w:r>
      <w:hyperlink w:anchor="_bookmark90" w:history="1">
        <w:r>
          <w:t>77,</w:t>
        </w:r>
      </w:hyperlink>
      <w:r>
        <w:rPr>
          <w:spacing w:val="-4"/>
        </w:rPr>
        <w:t xml:space="preserve"> </w:t>
      </w:r>
      <w:r>
        <w:t>at</w:t>
      </w:r>
      <w:r>
        <w:rPr>
          <w:spacing w:val="-4"/>
        </w:rPr>
        <w:t xml:space="preserve"> </w:t>
      </w:r>
      <w:r>
        <w:rPr>
          <w:spacing w:val="-5"/>
        </w:rPr>
        <w:t>17.</w:t>
      </w:r>
    </w:p>
  </w:footnote>
  <w:footnote w:id="171">
    <w:p w14:paraId="68A86896" w14:textId="32929699" w:rsidR="007512BE" w:rsidRDefault="007512BE" w:rsidP="007512BE">
      <w:pPr>
        <w:pStyle w:val="FootnoteText"/>
        <w:ind w:left="990" w:right="940"/>
      </w:pPr>
      <w:r>
        <w:rPr>
          <w:rStyle w:val="FootnoteReference"/>
        </w:rPr>
        <w:footnoteRef/>
      </w:r>
      <w:r>
        <w:t xml:space="preserve"> </w:t>
      </w:r>
      <w:r>
        <w:rPr>
          <w:i/>
        </w:rPr>
        <w:t>See</w:t>
      </w:r>
      <w:r>
        <w:rPr>
          <w:i/>
          <w:spacing w:val="-3"/>
        </w:rPr>
        <w:t xml:space="preserve"> </w:t>
      </w:r>
      <w:r>
        <w:t>DFCI</w:t>
      </w:r>
      <w:r>
        <w:rPr>
          <w:spacing w:val="-11"/>
        </w:rPr>
        <w:t xml:space="preserve"> </w:t>
      </w:r>
      <w:r>
        <w:t>S</w:t>
      </w:r>
      <w:r>
        <w:rPr>
          <w:sz w:val="16"/>
        </w:rPr>
        <w:t>TAFF</w:t>
      </w:r>
      <w:r>
        <w:rPr>
          <w:spacing w:val="-2"/>
          <w:sz w:val="16"/>
        </w:rPr>
        <w:t xml:space="preserve"> </w:t>
      </w:r>
      <w:r>
        <w:t>R</w:t>
      </w:r>
      <w:r>
        <w:rPr>
          <w:sz w:val="16"/>
        </w:rPr>
        <w:t xml:space="preserve">EPORT </w:t>
      </w:r>
      <w:r>
        <w:t>at</w:t>
      </w:r>
      <w:r>
        <w:rPr>
          <w:spacing w:val="-3"/>
        </w:rPr>
        <w:t xml:space="preserve"> </w:t>
      </w:r>
      <w:r>
        <w:t>46-48,</w:t>
      </w:r>
      <w:r>
        <w:rPr>
          <w:spacing w:val="-1"/>
        </w:rPr>
        <w:t xml:space="preserve"> </w:t>
      </w:r>
      <w:r>
        <w:t>100,</w:t>
      </w:r>
      <w:r>
        <w:rPr>
          <w:spacing w:val="-1"/>
        </w:rPr>
        <w:t xml:space="preserve"> </w:t>
      </w:r>
      <w:r>
        <w:rPr>
          <w:i/>
        </w:rPr>
        <w:t>supra</w:t>
      </w:r>
      <w:r>
        <w:rPr>
          <w:i/>
          <w:spacing w:val="-3"/>
        </w:rPr>
        <w:t xml:space="preserve"> </w:t>
      </w:r>
      <w:r>
        <w:t>note</w:t>
      </w:r>
      <w:r>
        <w:rPr>
          <w:spacing w:val="-2"/>
        </w:rPr>
        <w:t xml:space="preserve"> </w:t>
      </w:r>
      <w:hyperlink w:anchor="_bookmark15" w:history="1">
        <w:r>
          <w:t>15</w:t>
        </w:r>
      </w:hyperlink>
      <w:r>
        <w:rPr>
          <w:spacing w:val="-1"/>
        </w:rPr>
        <w:t xml:space="preserve"> </w:t>
      </w:r>
      <w:r>
        <w:t>and</w:t>
      </w:r>
      <w:r>
        <w:rPr>
          <w:spacing w:val="-2"/>
        </w:rPr>
        <w:t xml:space="preserve"> </w:t>
      </w:r>
      <w:r>
        <w:t>DFCI</w:t>
      </w:r>
      <w:r>
        <w:rPr>
          <w:spacing w:val="-11"/>
        </w:rPr>
        <w:t xml:space="preserve"> </w:t>
      </w:r>
      <w:r>
        <w:t>D</w:t>
      </w:r>
      <w:r>
        <w:rPr>
          <w:sz w:val="16"/>
        </w:rPr>
        <w:t>O</w:t>
      </w:r>
      <w:r>
        <w:t>N</w:t>
      </w:r>
      <w:r>
        <w:rPr>
          <w:spacing w:val="-11"/>
        </w:rPr>
        <w:t xml:space="preserve"> </w:t>
      </w:r>
      <w:r>
        <w:t>N</w:t>
      </w:r>
      <w:r>
        <w:rPr>
          <w:sz w:val="16"/>
        </w:rPr>
        <w:t>ARRATIVE</w:t>
      </w:r>
      <w:r>
        <w:t>,</w:t>
      </w:r>
      <w:r>
        <w:rPr>
          <w:spacing w:val="-4"/>
        </w:rPr>
        <w:t xml:space="preserve"> </w:t>
      </w:r>
      <w:r>
        <w:rPr>
          <w:i/>
        </w:rPr>
        <w:t>supra</w:t>
      </w:r>
      <w:r>
        <w:rPr>
          <w:i/>
          <w:spacing w:val="-3"/>
        </w:rPr>
        <w:t xml:space="preserve"> </w:t>
      </w:r>
      <w:r>
        <w:t>note</w:t>
      </w:r>
      <w:r>
        <w:rPr>
          <w:spacing w:val="-3"/>
        </w:rPr>
        <w:t xml:space="preserve"> </w:t>
      </w:r>
      <w:hyperlink w:anchor="_bookmark7" w:history="1">
        <w:r>
          <w:t>8,</w:t>
        </w:r>
      </w:hyperlink>
      <w:r>
        <w:rPr>
          <w:spacing w:val="-1"/>
        </w:rPr>
        <w:t xml:space="preserve"> </w:t>
      </w:r>
      <w:r>
        <w:t>at</w:t>
      </w:r>
      <w:r>
        <w:rPr>
          <w:spacing w:val="-1"/>
        </w:rPr>
        <w:t xml:space="preserve"> </w:t>
      </w:r>
      <w:r>
        <w:t>46.</w:t>
      </w:r>
      <w:r>
        <w:rPr>
          <w:spacing w:val="-1"/>
        </w:rPr>
        <w:t xml:space="preserve"> </w:t>
      </w:r>
      <w:r>
        <w:t>Dana- Farber</w:t>
      </w:r>
      <w:r>
        <w:rPr>
          <w:spacing w:val="-4"/>
        </w:rPr>
        <w:t xml:space="preserve"> </w:t>
      </w:r>
      <w:r>
        <w:t>notes</w:t>
      </w:r>
      <w:r>
        <w:rPr>
          <w:spacing w:val="-2"/>
        </w:rPr>
        <w:t xml:space="preserve"> </w:t>
      </w:r>
      <w:r>
        <w:t>a</w:t>
      </w:r>
      <w:r>
        <w:rPr>
          <w:spacing w:val="-3"/>
        </w:rPr>
        <w:t xml:space="preserve"> </w:t>
      </w:r>
      <w:r>
        <w:t>discrepancy</w:t>
      </w:r>
      <w:r>
        <w:rPr>
          <w:spacing w:val="-4"/>
        </w:rPr>
        <w:t xml:space="preserve"> </w:t>
      </w:r>
      <w:r>
        <w:t>between</w:t>
      </w:r>
      <w:r>
        <w:rPr>
          <w:spacing w:val="-3"/>
        </w:rPr>
        <w:t xml:space="preserve"> </w:t>
      </w:r>
      <w:r>
        <w:t>its</w:t>
      </w:r>
      <w:r>
        <w:rPr>
          <w:spacing w:val="-2"/>
        </w:rPr>
        <w:t xml:space="preserve"> </w:t>
      </w:r>
      <w:r>
        <w:t>overall</w:t>
      </w:r>
      <w:r>
        <w:rPr>
          <w:spacing w:val="-3"/>
        </w:rPr>
        <w:t xml:space="preserve"> </w:t>
      </w:r>
      <w:r>
        <w:t>inpatient</w:t>
      </w:r>
      <w:r>
        <w:rPr>
          <w:spacing w:val="-2"/>
        </w:rPr>
        <w:t xml:space="preserve"> </w:t>
      </w:r>
      <w:r>
        <w:t>care</w:t>
      </w:r>
      <w:r>
        <w:rPr>
          <w:spacing w:val="-4"/>
        </w:rPr>
        <w:t xml:space="preserve"> </w:t>
      </w:r>
      <w:r>
        <w:t>patient</w:t>
      </w:r>
      <w:r>
        <w:rPr>
          <w:spacing w:val="-2"/>
        </w:rPr>
        <w:t xml:space="preserve"> </w:t>
      </w:r>
      <w:r>
        <w:t>experience</w:t>
      </w:r>
      <w:r>
        <w:rPr>
          <w:spacing w:val="-4"/>
        </w:rPr>
        <w:t xml:space="preserve"> </w:t>
      </w:r>
      <w:r>
        <w:t>rating (94</w:t>
      </w:r>
      <w:proofErr w:type="spellStart"/>
      <w:r>
        <w:rPr>
          <w:position w:val="5"/>
          <w:sz w:val="13"/>
        </w:rPr>
        <w:t>th</w:t>
      </w:r>
      <w:proofErr w:type="spellEnd"/>
      <w:r>
        <w:rPr>
          <w:spacing w:val="14"/>
          <w:position w:val="5"/>
          <w:sz w:val="13"/>
        </w:rPr>
        <w:t xml:space="preserve"> </w:t>
      </w:r>
      <w:r>
        <w:t>percentile)</w:t>
      </w:r>
      <w:r>
        <w:rPr>
          <w:spacing w:val="-4"/>
        </w:rPr>
        <w:t xml:space="preserve"> </w:t>
      </w:r>
      <w:r>
        <w:t>and its hospital</w:t>
      </w:r>
      <w:r>
        <w:rPr>
          <w:spacing w:val="-1"/>
        </w:rPr>
        <w:t xml:space="preserve"> </w:t>
      </w:r>
      <w:r>
        <w:t>environment (38</w:t>
      </w:r>
      <w:proofErr w:type="spellStart"/>
      <w:r>
        <w:rPr>
          <w:position w:val="5"/>
          <w:sz w:val="13"/>
        </w:rPr>
        <w:t>th</w:t>
      </w:r>
      <w:proofErr w:type="spellEnd"/>
      <w:r>
        <w:rPr>
          <w:spacing w:val="16"/>
          <w:position w:val="5"/>
          <w:sz w:val="13"/>
        </w:rPr>
        <w:t xml:space="preserve"> </w:t>
      </w:r>
      <w:r>
        <w:t>percentile)</w:t>
      </w:r>
      <w:r>
        <w:rPr>
          <w:spacing w:val="-2"/>
        </w:rPr>
        <w:t xml:space="preserve"> </w:t>
      </w:r>
      <w:r>
        <w:t>and quietness of</w:t>
      </w:r>
      <w:r>
        <w:rPr>
          <w:spacing w:val="-1"/>
        </w:rPr>
        <w:t xml:space="preserve"> </w:t>
      </w:r>
      <w:r>
        <w:t>environment (13</w:t>
      </w:r>
      <w:proofErr w:type="spellStart"/>
      <w:r>
        <w:rPr>
          <w:position w:val="5"/>
          <w:sz w:val="13"/>
        </w:rPr>
        <w:t>th</w:t>
      </w:r>
      <w:proofErr w:type="spellEnd"/>
      <w:r>
        <w:rPr>
          <w:spacing w:val="16"/>
          <w:position w:val="5"/>
          <w:sz w:val="13"/>
        </w:rPr>
        <w:t xml:space="preserve"> </w:t>
      </w:r>
      <w:r>
        <w:t>percentile)</w:t>
      </w:r>
      <w:r>
        <w:rPr>
          <w:spacing w:val="-2"/>
        </w:rPr>
        <w:t xml:space="preserve"> </w:t>
      </w:r>
      <w:r>
        <w:t>patient experience ratings as evidence</w:t>
      </w:r>
      <w:r>
        <w:rPr>
          <w:spacing w:val="-1"/>
        </w:rPr>
        <w:t xml:space="preserve"> </w:t>
      </w:r>
      <w:r>
        <w:t>of current issues with their</w:t>
      </w:r>
      <w:r>
        <w:rPr>
          <w:spacing w:val="-1"/>
        </w:rPr>
        <w:t xml:space="preserve"> </w:t>
      </w:r>
      <w:r>
        <w:t xml:space="preserve">limited </w:t>
      </w:r>
      <w:r w:rsidRPr="00ED02AE">
        <w:rPr>
          <w:color w:val="000000" w:themeColor="text1"/>
        </w:rPr>
        <w:t xml:space="preserve">inpatient bed capacity. </w:t>
      </w:r>
      <w:hyperlink r:id="rId234" w:history="1">
        <w:r w:rsidRPr="00ED02AE">
          <w:rPr>
            <w:rStyle w:val="Hyperlink"/>
            <w:color w:val="000000" w:themeColor="text1"/>
            <w:u w:val="none"/>
          </w:rPr>
          <w:t>D</w:t>
        </w:r>
        <w:r w:rsidRPr="00ED02AE">
          <w:rPr>
            <w:rStyle w:val="Hyperlink"/>
            <w:color w:val="000000" w:themeColor="text1"/>
            <w:sz w:val="16"/>
            <w:u w:val="none"/>
          </w:rPr>
          <w:t>ANA</w:t>
        </w:r>
        <w:r w:rsidRPr="00ED02AE">
          <w:rPr>
            <w:rStyle w:val="Hyperlink"/>
            <w:color w:val="000000" w:themeColor="text1"/>
            <w:u w:val="none"/>
          </w:rPr>
          <w:t>-F</w:t>
        </w:r>
        <w:r w:rsidRPr="00ED02AE">
          <w:rPr>
            <w:rStyle w:val="Hyperlink"/>
            <w:color w:val="000000" w:themeColor="text1"/>
            <w:sz w:val="16"/>
            <w:u w:val="none"/>
          </w:rPr>
          <w:t>ARBER</w:t>
        </w:r>
        <w:r w:rsidRPr="00ED02AE">
          <w:rPr>
            <w:rStyle w:val="Hyperlink"/>
            <w:color w:val="000000" w:themeColor="text1"/>
            <w:spacing w:val="-2"/>
            <w:sz w:val="16"/>
            <w:u w:val="none"/>
          </w:rPr>
          <w:t xml:space="preserve"> </w:t>
        </w:r>
        <w:r w:rsidRPr="00ED02AE">
          <w:rPr>
            <w:rStyle w:val="Hyperlink"/>
            <w:color w:val="000000" w:themeColor="text1"/>
            <w:u w:val="none"/>
          </w:rPr>
          <w:t>C</w:t>
        </w:r>
        <w:r w:rsidRPr="00ED02AE">
          <w:rPr>
            <w:rStyle w:val="Hyperlink"/>
            <w:color w:val="000000" w:themeColor="text1"/>
            <w:sz w:val="16"/>
            <w:u w:val="none"/>
          </w:rPr>
          <w:t xml:space="preserve">ANCER </w:t>
        </w:r>
        <w:r w:rsidRPr="00ED02AE">
          <w:rPr>
            <w:rStyle w:val="Hyperlink"/>
            <w:color w:val="000000" w:themeColor="text1"/>
            <w:u w:val="none"/>
          </w:rPr>
          <w:t>I</w:t>
        </w:r>
        <w:r w:rsidRPr="00ED02AE">
          <w:rPr>
            <w:rStyle w:val="Hyperlink"/>
            <w:color w:val="000000" w:themeColor="text1"/>
            <w:sz w:val="16"/>
            <w:u w:val="none"/>
          </w:rPr>
          <w:t>NSTITUTE</w:t>
        </w:r>
        <w:r w:rsidRPr="00ED02AE">
          <w:rPr>
            <w:rStyle w:val="Hyperlink"/>
            <w:color w:val="000000" w:themeColor="text1"/>
            <w:u w:val="none"/>
          </w:rPr>
          <w:t>, R</w:t>
        </w:r>
        <w:r w:rsidRPr="00ED02AE">
          <w:rPr>
            <w:rStyle w:val="Hyperlink"/>
            <w:color w:val="000000" w:themeColor="text1"/>
            <w:sz w:val="16"/>
            <w:u w:val="none"/>
          </w:rPr>
          <w:t xml:space="preserve">ESPONSE TO </w:t>
        </w:r>
        <w:r w:rsidRPr="00ED02AE">
          <w:rPr>
            <w:rStyle w:val="Hyperlink"/>
            <w:color w:val="000000" w:themeColor="text1"/>
            <w:u w:val="none"/>
          </w:rPr>
          <w:t>A</w:t>
        </w:r>
        <w:r w:rsidRPr="00ED02AE">
          <w:rPr>
            <w:rStyle w:val="Hyperlink"/>
            <w:color w:val="000000" w:themeColor="text1"/>
            <w:sz w:val="16"/>
            <w:u w:val="none"/>
          </w:rPr>
          <w:t xml:space="preserve">PPLICANT </w:t>
        </w:r>
        <w:r w:rsidRPr="00ED02AE">
          <w:rPr>
            <w:rStyle w:val="Hyperlink"/>
            <w:color w:val="000000" w:themeColor="text1"/>
            <w:u w:val="none"/>
          </w:rPr>
          <w:t>Q</w:t>
        </w:r>
        <w:r w:rsidRPr="00ED02AE">
          <w:rPr>
            <w:rStyle w:val="Hyperlink"/>
            <w:color w:val="000000" w:themeColor="text1"/>
            <w:sz w:val="16"/>
            <w:u w:val="none"/>
          </w:rPr>
          <w:t xml:space="preserve">UESTIONS </w:t>
        </w:r>
        <w:r w:rsidRPr="00ED02AE">
          <w:rPr>
            <w:rStyle w:val="Hyperlink"/>
            <w:color w:val="000000" w:themeColor="text1"/>
            <w:u w:val="none"/>
          </w:rPr>
          <w:t>#1</w:t>
        </w:r>
      </w:hyperlink>
      <w:r w:rsidRPr="00ED02AE">
        <w:rPr>
          <w:color w:val="000000" w:themeColor="text1"/>
        </w:rPr>
        <w:t xml:space="preserve"> at 5, </w:t>
      </w:r>
      <w:r w:rsidRPr="00ED02AE">
        <w:rPr>
          <w:i/>
          <w:color w:val="000000" w:themeColor="text1"/>
        </w:rPr>
        <w:t xml:space="preserve">available </w:t>
      </w:r>
      <w:r>
        <w:rPr>
          <w:i/>
        </w:rPr>
        <w:t xml:space="preserve">at </w:t>
      </w:r>
      <w:hyperlink r:id="rId235">
        <w:r>
          <w:rPr>
            <w:color w:val="486794"/>
            <w:u w:val="single" w:color="486794"/>
          </w:rPr>
          <w:t>https://www.mass.gov/doc/responses-to-don-</w:t>
        </w:r>
      </w:hyperlink>
      <w:r>
        <w:rPr>
          <w:color w:val="486794"/>
        </w:rPr>
        <w:t xml:space="preserve"> </w:t>
      </w:r>
      <w:hyperlink r:id="rId236">
        <w:r>
          <w:rPr>
            <w:color w:val="486794"/>
            <w:spacing w:val="-2"/>
            <w:u w:val="single" w:color="486794"/>
          </w:rPr>
          <w:t>questions-pdf-dana-farber-cancer-institute-inc-hospitalclinic/download</w:t>
        </w:r>
        <w:r>
          <w:rPr>
            <w:spacing w:val="-2"/>
          </w:rPr>
          <w:t>.</w:t>
        </w:r>
      </w:hyperlink>
    </w:p>
  </w:footnote>
  <w:footnote w:id="172">
    <w:p w14:paraId="44B225C7" w14:textId="0A7316EB" w:rsidR="007512BE" w:rsidRDefault="007512BE" w:rsidP="007512BE">
      <w:pPr>
        <w:pStyle w:val="FootnoteText"/>
        <w:ind w:left="990" w:right="940"/>
      </w:pPr>
      <w:r>
        <w:rPr>
          <w:rStyle w:val="FootnoteReference"/>
        </w:rPr>
        <w:footnoteRef/>
      </w:r>
      <w:r>
        <w:t xml:space="preserve"> The</w:t>
      </w:r>
      <w:r>
        <w:rPr>
          <w:spacing w:val="-4"/>
        </w:rPr>
        <w:t xml:space="preserve"> </w:t>
      </w:r>
      <w:r>
        <w:t>metrics</w:t>
      </w:r>
      <w:r>
        <w:rPr>
          <w:spacing w:val="-2"/>
        </w:rPr>
        <w:t xml:space="preserve"> </w:t>
      </w:r>
      <w:r>
        <w:t>include</w:t>
      </w:r>
      <w:r>
        <w:rPr>
          <w:spacing w:val="-4"/>
        </w:rPr>
        <w:t xml:space="preserve"> </w:t>
      </w:r>
      <w:r>
        <w:t>30-day</w:t>
      </w:r>
      <w:r>
        <w:rPr>
          <w:spacing w:val="-4"/>
        </w:rPr>
        <w:t xml:space="preserve"> </w:t>
      </w:r>
      <w:r>
        <w:t>readmission</w:t>
      </w:r>
      <w:r>
        <w:rPr>
          <w:spacing w:val="-3"/>
        </w:rPr>
        <w:t xml:space="preserve"> </w:t>
      </w:r>
      <w:r>
        <w:t>rates</w:t>
      </w:r>
      <w:r>
        <w:rPr>
          <w:spacing w:val="-2"/>
        </w:rPr>
        <w:t xml:space="preserve"> </w:t>
      </w:r>
      <w:r>
        <w:t>for</w:t>
      </w:r>
      <w:r>
        <w:rPr>
          <w:spacing w:val="-4"/>
        </w:rPr>
        <w:t xml:space="preserve"> </w:t>
      </w:r>
      <w:r>
        <w:t>surgical</w:t>
      </w:r>
      <w:r>
        <w:rPr>
          <w:spacing w:val="-1"/>
        </w:rPr>
        <w:t xml:space="preserve"> </w:t>
      </w:r>
      <w:r>
        <w:t>oncology,</w:t>
      </w:r>
      <w:r>
        <w:rPr>
          <w:spacing w:val="-2"/>
        </w:rPr>
        <w:t xml:space="preserve"> </w:t>
      </w:r>
      <w:r>
        <w:t>5-year</w:t>
      </w:r>
      <w:r>
        <w:rPr>
          <w:spacing w:val="-4"/>
        </w:rPr>
        <w:t xml:space="preserve"> </w:t>
      </w:r>
      <w:r>
        <w:t>survival</w:t>
      </w:r>
      <w:r>
        <w:rPr>
          <w:spacing w:val="-3"/>
        </w:rPr>
        <w:t xml:space="preserve"> </w:t>
      </w:r>
      <w:r>
        <w:t>for</w:t>
      </w:r>
      <w:r>
        <w:rPr>
          <w:spacing w:val="-2"/>
        </w:rPr>
        <w:t xml:space="preserve"> </w:t>
      </w:r>
      <w:r>
        <w:t>medical</w:t>
      </w:r>
      <w:r>
        <w:rPr>
          <w:spacing w:val="-3"/>
        </w:rPr>
        <w:t xml:space="preserve"> </w:t>
      </w:r>
      <w:r>
        <w:t>oncology, patient experience, and physician satisfaction.</w:t>
      </w:r>
    </w:p>
  </w:footnote>
  <w:footnote w:id="173">
    <w:p w14:paraId="6B8AE5B9" w14:textId="01F848CB" w:rsidR="007512BE" w:rsidRDefault="007512BE" w:rsidP="007512BE">
      <w:pPr>
        <w:pStyle w:val="FootnoteText"/>
        <w:ind w:left="990" w:right="940"/>
      </w:pPr>
      <w:r>
        <w:rPr>
          <w:rStyle w:val="FootnoteReference"/>
        </w:rPr>
        <w:footnoteRef/>
      </w:r>
      <w:r>
        <w:t xml:space="preserve"> DFCI</w:t>
      </w:r>
      <w:r>
        <w:rPr>
          <w:spacing w:val="-12"/>
        </w:rPr>
        <w:t xml:space="preserve"> </w:t>
      </w:r>
      <w:r>
        <w:t>S</w:t>
      </w:r>
      <w:r>
        <w:rPr>
          <w:sz w:val="16"/>
        </w:rPr>
        <w:t>TAFF</w:t>
      </w:r>
      <w:r>
        <w:rPr>
          <w:spacing w:val="-4"/>
          <w:sz w:val="16"/>
        </w:rPr>
        <w:t xml:space="preserve"> </w:t>
      </w:r>
      <w:r>
        <w:t>R</w:t>
      </w:r>
      <w:r>
        <w:rPr>
          <w:sz w:val="16"/>
        </w:rPr>
        <w:t>EPORT</w:t>
      </w:r>
      <w:r>
        <w:t>,</w:t>
      </w:r>
      <w:r>
        <w:rPr>
          <w:spacing w:val="-5"/>
        </w:rPr>
        <w:t xml:space="preserve"> </w:t>
      </w:r>
      <w:r>
        <w:rPr>
          <w:i/>
        </w:rPr>
        <w:t>supra</w:t>
      </w:r>
      <w:r>
        <w:rPr>
          <w:i/>
          <w:spacing w:val="-6"/>
        </w:rPr>
        <w:t xml:space="preserve"> </w:t>
      </w:r>
      <w:r>
        <w:t>note</w:t>
      </w:r>
      <w:r>
        <w:rPr>
          <w:spacing w:val="-6"/>
        </w:rPr>
        <w:t xml:space="preserve"> </w:t>
      </w:r>
      <w:hyperlink w:anchor="_bookmark15" w:history="1">
        <w:r>
          <w:t>15,</w:t>
        </w:r>
      </w:hyperlink>
      <w:r>
        <w:rPr>
          <w:spacing w:val="-4"/>
        </w:rPr>
        <w:t xml:space="preserve"> </w:t>
      </w:r>
      <w:r>
        <w:t>at</w:t>
      </w:r>
      <w:r>
        <w:rPr>
          <w:spacing w:val="-4"/>
        </w:rPr>
        <w:t xml:space="preserve"> </w:t>
      </w:r>
      <w:r>
        <w:t>Appendix</w:t>
      </w:r>
      <w:r>
        <w:rPr>
          <w:spacing w:val="-6"/>
        </w:rPr>
        <w:t xml:space="preserve"> </w:t>
      </w:r>
      <w:r>
        <w:rPr>
          <w:spacing w:val="-5"/>
        </w:rPr>
        <w:t>I.</w:t>
      </w:r>
    </w:p>
  </w:footnote>
  <w:footnote w:id="174">
    <w:p w14:paraId="6982E8C6" w14:textId="5DC9F410" w:rsidR="007512BE" w:rsidRDefault="007512BE" w:rsidP="007512BE">
      <w:pPr>
        <w:pStyle w:val="FootnoteText"/>
        <w:ind w:left="990" w:right="940"/>
      </w:pPr>
      <w:r>
        <w:rPr>
          <w:rStyle w:val="FootnoteReference"/>
        </w:rPr>
        <w:footnoteRef/>
      </w:r>
      <w:r>
        <w:t xml:space="preserve"> </w:t>
      </w:r>
      <w:r>
        <w:rPr>
          <w:i/>
        </w:rPr>
        <w:t>See</w:t>
      </w:r>
      <w:r>
        <w:rPr>
          <w:i/>
          <w:spacing w:val="-7"/>
        </w:rPr>
        <w:t xml:space="preserve"> </w:t>
      </w:r>
      <w:r>
        <w:t>Section</w:t>
      </w:r>
      <w:r>
        <w:rPr>
          <w:spacing w:val="-6"/>
        </w:rPr>
        <w:t xml:space="preserve"> </w:t>
      </w:r>
      <w:hyperlink w:anchor="_bookmark113" w:history="1">
        <w:r>
          <w:t>III</w:t>
        </w:r>
      </w:hyperlink>
      <w:hyperlink w:anchor="_bookmark114" w:history="1">
        <w:r>
          <w:t>.A</w:t>
        </w:r>
      </w:hyperlink>
      <w:hyperlink w:anchor="_bookmark141" w:history="1">
        <w:r>
          <w:t>.5,</w:t>
        </w:r>
      </w:hyperlink>
      <w:r>
        <w:rPr>
          <w:spacing w:val="-5"/>
        </w:rPr>
        <w:t xml:space="preserve"> </w:t>
      </w:r>
      <w:r>
        <w:rPr>
          <w:i/>
          <w:spacing w:val="-2"/>
        </w:rPr>
        <w:t>supra</w:t>
      </w:r>
      <w:r>
        <w:rPr>
          <w:spacing w:val="-2"/>
        </w:rPr>
        <w:t>.</w:t>
      </w:r>
    </w:p>
  </w:footnote>
  <w:footnote w:id="175">
    <w:p w14:paraId="79CD754F" w14:textId="696ACDD3" w:rsidR="006B7D6E" w:rsidRDefault="006B7D6E" w:rsidP="005D4B53">
      <w:pPr>
        <w:pStyle w:val="FootnoteText"/>
        <w:ind w:left="990" w:right="940"/>
      </w:pPr>
      <w:r>
        <w:rPr>
          <w:rStyle w:val="FootnoteReference"/>
        </w:rPr>
        <w:footnoteRef/>
      </w:r>
      <w:r>
        <w:t xml:space="preserve"> A patient’s primary medical oncologist is responsible for developing and coordinating a treatment plan alongside a patient’s primary care provider, other specialists (surgeons, radiation oncologists, etc.), and hospital support staff. Medical oncologists subspecialized as hospitalists are typically responsible for managing all elements of inpatient care for cancer patients, including managing “the day-to-day care of inpatients while closely coordinating with the primary oncologist.” </w:t>
      </w:r>
      <w:hyperlink r:id="rId237" w:anchor=":~:text=Oncology%20hospitalists%20are%20a%20relatively,coordinating%20with%20the%20p" w:history="1">
        <w:r w:rsidRPr="00BC6B5A">
          <w:rPr>
            <w:rStyle w:val="Hyperlink"/>
            <w:i/>
            <w:color w:val="000000" w:themeColor="text1"/>
            <w:u w:val="none"/>
          </w:rPr>
          <w:t>What is an Oncology Hospitalist?</w:t>
        </w:r>
        <w:r w:rsidRPr="00BC6B5A">
          <w:rPr>
            <w:rStyle w:val="Hyperlink"/>
            <w:color w:val="000000" w:themeColor="text1"/>
            <w:u w:val="none"/>
          </w:rPr>
          <w:t>,</w:t>
        </w:r>
      </w:hyperlink>
      <w:r w:rsidRPr="00BC6B5A">
        <w:rPr>
          <w:color w:val="000000" w:themeColor="text1"/>
        </w:rPr>
        <w:t xml:space="preserve"> Dana</w:t>
      </w:r>
      <w:r>
        <w:t xml:space="preserve">- Farber Cancer Institute (January 13, 2017), </w:t>
      </w:r>
      <w:r>
        <w:rPr>
          <w:i/>
        </w:rPr>
        <w:t xml:space="preserve">available at </w:t>
      </w:r>
      <w:hyperlink r:id="rId238" w:anchor="%3A%7E%3Atext%3DOncology%20hospitalists%20are%20a%20relatively%2Ccoordinating%20with%20the%20primary%20oncologist">
        <w:r>
          <w:rPr>
            <w:color w:val="486794"/>
            <w:u w:val="single" w:color="486794"/>
          </w:rPr>
          <w:t>https://blog.dana-</w:t>
        </w:r>
      </w:hyperlink>
      <w:r>
        <w:rPr>
          <w:color w:val="486794"/>
        </w:rPr>
        <w:t xml:space="preserve"> </w:t>
      </w:r>
      <w:hyperlink r:id="rId239" w:anchor="%3A%7E%3Atext%3DOncology%20hospitalists%20are%20a%20relatively%2Ccoordinating%20with%20the%20primary%20oncologist">
        <w:r>
          <w:rPr>
            <w:color w:val="486794"/>
            <w:spacing w:val="-2"/>
            <w:u w:val="single" w:color="486794"/>
          </w:rPr>
          <w:t>farber.org/insight/2017/01/what-is-an-oncology-</w:t>
        </w:r>
      </w:hyperlink>
      <w:r>
        <w:rPr>
          <w:color w:val="486794"/>
          <w:spacing w:val="-2"/>
        </w:rPr>
        <w:t xml:space="preserve"> </w:t>
      </w:r>
      <w:hyperlink r:id="rId240" w:anchor="%3A%7E%3Atext%3DOncology%20hospitalists%20are%20a%20relatively%2Ccoordinating%20with%20the%20primary%20oncologist">
        <w:r>
          <w:rPr>
            <w:color w:val="486794"/>
            <w:spacing w:val="-2"/>
            <w:u w:val="single" w:color="486794"/>
          </w:rPr>
          <w:t>hospitalist/#:~:text=Oncology%20hospitalists%20are%20a%20relatively,coordinating%20with%20the%20p</w:t>
        </w:r>
      </w:hyperlink>
      <w:r>
        <w:rPr>
          <w:color w:val="486794"/>
          <w:spacing w:val="-2"/>
        </w:rPr>
        <w:t xml:space="preserve"> </w:t>
      </w:r>
      <w:hyperlink r:id="rId241" w:anchor="%3A%7E%3Atext%3DOncology%20hospitalists%20are%20a%20relatively%2Ccoordinating%20with%20the%20primary%20oncologist">
        <w:r>
          <w:rPr>
            <w:color w:val="486794"/>
            <w:u w:val="single" w:color="486794"/>
          </w:rPr>
          <w:t>rimary%20oncologist</w:t>
        </w:r>
        <w:r>
          <w:t>.</w:t>
        </w:r>
      </w:hyperlink>
      <w:r>
        <w:t xml:space="preserve"> Coordination by medical oncologists is critical for patients transitioning between different stages of their cancer journey, since the whole care team of specialist and primary care “[p]</w:t>
      </w:r>
      <w:proofErr w:type="spellStart"/>
      <w:r>
        <w:t>roviders</w:t>
      </w:r>
      <w:proofErr w:type="spellEnd"/>
      <w:r>
        <w:t xml:space="preserve"> and patients must share an understanding of the disease, the therapy, and its consequences, and they all must know who must do what and when. The exchange of information and responsibility is particularly important during transitions in care when new providers or care organizations become involved and new care decisions become necessary. Therefore, the interfaces of care and coordination among providers and institutions are critical to a successful process of cancer care.” Stephen Hunt Taplin, et al., </w:t>
      </w:r>
      <w:hyperlink r:id="rId242" w:history="1">
        <w:r w:rsidRPr="00BC6B5A">
          <w:rPr>
            <w:rStyle w:val="Hyperlink"/>
            <w:i/>
            <w:color w:val="000000" w:themeColor="text1"/>
            <w:u w:val="none"/>
          </w:rPr>
          <w:t>Toward Improving the Quality of Cancer Care: Addressing the Interfaces of Primary and Oncology-Related Subspecialty Care</w:t>
        </w:r>
        <w:r w:rsidRPr="00BC6B5A">
          <w:rPr>
            <w:rStyle w:val="Hyperlink"/>
            <w:color w:val="000000" w:themeColor="text1"/>
            <w:u w:val="none"/>
          </w:rPr>
          <w:t>,</w:t>
        </w:r>
      </w:hyperlink>
      <w:r w:rsidRPr="00BC6B5A">
        <w:rPr>
          <w:color w:val="000000" w:themeColor="text1"/>
        </w:rPr>
        <w:t xml:space="preserve"> J N</w:t>
      </w:r>
      <w:r w:rsidRPr="00BC6B5A">
        <w:rPr>
          <w:color w:val="000000" w:themeColor="text1"/>
          <w:sz w:val="16"/>
        </w:rPr>
        <w:t xml:space="preserve">ATL </w:t>
      </w:r>
      <w:r>
        <w:t>C</w:t>
      </w:r>
      <w:r>
        <w:rPr>
          <w:sz w:val="16"/>
        </w:rPr>
        <w:t xml:space="preserve">ANCER </w:t>
      </w:r>
      <w:r>
        <w:t>I</w:t>
      </w:r>
      <w:r>
        <w:rPr>
          <w:sz w:val="16"/>
        </w:rPr>
        <w:t xml:space="preserve">NST </w:t>
      </w:r>
      <w:r>
        <w:t>M</w:t>
      </w:r>
      <w:r>
        <w:rPr>
          <w:sz w:val="16"/>
        </w:rPr>
        <w:t>ONOGR</w:t>
      </w:r>
      <w:r>
        <w:t xml:space="preserve">. (2010), </w:t>
      </w:r>
      <w:r>
        <w:rPr>
          <w:i/>
        </w:rPr>
        <w:t xml:space="preserve">available at </w:t>
      </w:r>
      <w:hyperlink r:id="rId243">
        <w:r>
          <w:rPr>
            <w:color w:val="486794"/>
            <w:spacing w:val="-2"/>
            <w:u w:val="single" w:color="486794"/>
          </w:rPr>
          <w:t>https://pmc.ncbi.nlm.nih.gov/articles/PMC3482951/</w:t>
        </w:r>
        <w:r>
          <w:rPr>
            <w:spacing w:val="-2"/>
          </w:rPr>
          <w:t>.</w:t>
        </w:r>
      </w:hyperlink>
    </w:p>
  </w:footnote>
  <w:footnote w:id="176">
    <w:p w14:paraId="4304DB34" w14:textId="12A74385" w:rsidR="006B7D6E" w:rsidRDefault="006B7D6E" w:rsidP="005D4B53">
      <w:pPr>
        <w:pStyle w:val="FootnoteText"/>
        <w:ind w:left="990" w:right="940"/>
      </w:pPr>
      <w:r>
        <w:rPr>
          <w:rStyle w:val="FootnoteReference"/>
        </w:rPr>
        <w:footnoteRef/>
      </w:r>
      <w:r>
        <w:t xml:space="preserve"> Patients who would need to find a new medical oncologist because of the proposed transaction may encounter</w:t>
      </w:r>
      <w:r>
        <w:rPr>
          <w:spacing w:val="-4"/>
        </w:rPr>
        <w:t xml:space="preserve"> </w:t>
      </w:r>
      <w:r>
        <w:t>substantial</w:t>
      </w:r>
      <w:r>
        <w:rPr>
          <w:spacing w:val="-3"/>
        </w:rPr>
        <w:t xml:space="preserve"> </w:t>
      </w:r>
      <w:r>
        <w:t>wait</w:t>
      </w:r>
      <w:r>
        <w:rPr>
          <w:spacing w:val="-3"/>
        </w:rPr>
        <w:t xml:space="preserve"> </w:t>
      </w:r>
      <w:r>
        <w:t>times</w:t>
      </w:r>
      <w:r>
        <w:rPr>
          <w:spacing w:val="-3"/>
        </w:rPr>
        <w:t xml:space="preserve"> </w:t>
      </w:r>
      <w:r>
        <w:t>for</w:t>
      </w:r>
      <w:r>
        <w:rPr>
          <w:spacing w:val="-4"/>
        </w:rPr>
        <w:t xml:space="preserve"> </w:t>
      </w:r>
      <w:r>
        <w:t>their</w:t>
      </w:r>
      <w:r>
        <w:rPr>
          <w:spacing w:val="-4"/>
        </w:rPr>
        <w:t xml:space="preserve"> </w:t>
      </w:r>
      <w:r>
        <w:t>first</w:t>
      </w:r>
      <w:r>
        <w:rPr>
          <w:spacing w:val="-3"/>
        </w:rPr>
        <w:t xml:space="preserve"> </w:t>
      </w:r>
      <w:r>
        <w:t>appointment</w:t>
      </w:r>
      <w:r>
        <w:rPr>
          <w:spacing w:val="-3"/>
        </w:rPr>
        <w:t xml:space="preserve"> </w:t>
      </w:r>
      <w:r>
        <w:t>and</w:t>
      </w:r>
      <w:r>
        <w:rPr>
          <w:spacing w:val="-3"/>
        </w:rPr>
        <w:t xml:space="preserve"> </w:t>
      </w:r>
      <w:r>
        <w:t>additional</w:t>
      </w:r>
      <w:r>
        <w:rPr>
          <w:spacing w:val="-3"/>
        </w:rPr>
        <w:t xml:space="preserve"> </w:t>
      </w:r>
      <w:r>
        <w:t>wait</w:t>
      </w:r>
      <w:r>
        <w:rPr>
          <w:spacing w:val="-3"/>
        </w:rPr>
        <w:t xml:space="preserve"> </w:t>
      </w:r>
      <w:r>
        <w:t>times</w:t>
      </w:r>
      <w:r>
        <w:rPr>
          <w:spacing w:val="-3"/>
        </w:rPr>
        <w:t xml:space="preserve"> </w:t>
      </w:r>
      <w:r>
        <w:t>for</w:t>
      </w:r>
      <w:r>
        <w:rPr>
          <w:spacing w:val="-4"/>
        </w:rPr>
        <w:t xml:space="preserve"> </w:t>
      </w:r>
      <w:r>
        <w:t>related</w:t>
      </w:r>
      <w:r>
        <w:rPr>
          <w:spacing w:val="-3"/>
        </w:rPr>
        <w:t xml:space="preserve"> </w:t>
      </w:r>
      <w:r>
        <w:t xml:space="preserve">elements of their cancer care as their new medical oncologist familiarizes themselves with the patient’s conditions and coordinates with other providers and support staff. </w:t>
      </w:r>
      <w:r>
        <w:rPr>
          <w:i/>
        </w:rPr>
        <w:t xml:space="preserve">See </w:t>
      </w:r>
      <w:r>
        <w:t>Maurie Markman</w:t>
      </w:r>
      <w:r w:rsidRPr="008A2B51">
        <w:rPr>
          <w:color w:val="000000" w:themeColor="text1"/>
        </w:rPr>
        <w:t xml:space="preserve">, </w:t>
      </w:r>
      <w:hyperlink r:id="rId244" w:history="1">
        <w:r w:rsidRPr="008A2B51">
          <w:rPr>
            <w:rStyle w:val="Hyperlink"/>
            <w:i/>
            <w:color w:val="000000" w:themeColor="text1"/>
            <w:u w:val="none"/>
          </w:rPr>
          <w:t>How do I change my oncologist? What to consider before changing doctors</w:t>
        </w:r>
        <w:r w:rsidRPr="008A2B51">
          <w:rPr>
            <w:rStyle w:val="Hyperlink"/>
            <w:color w:val="000000" w:themeColor="text1"/>
            <w:u w:val="none"/>
          </w:rPr>
          <w:t>,</w:t>
        </w:r>
      </w:hyperlink>
      <w:r w:rsidRPr="008A2B51">
        <w:rPr>
          <w:color w:val="000000" w:themeColor="text1"/>
        </w:rPr>
        <w:t xml:space="preserve"> City of Hope (December </w:t>
      </w:r>
      <w:r>
        <w:t xml:space="preserve">8, 2020), </w:t>
      </w:r>
      <w:r>
        <w:rPr>
          <w:i/>
        </w:rPr>
        <w:t xml:space="preserve">available at </w:t>
      </w:r>
      <w:hyperlink r:id="rId245">
        <w:r>
          <w:rPr>
            <w:color w:val="486794"/>
            <w:u w:val="single" w:color="486794"/>
          </w:rPr>
          <w:t>https://www.cancercenter.com/community/blog/2020/12/how-do-i-change-my-oncologist</w:t>
        </w:r>
        <w:r>
          <w:t>;</w:t>
        </w:r>
      </w:hyperlink>
      <w:r>
        <w:t xml:space="preserve"> </w:t>
      </w:r>
      <w:hyperlink r:id="rId246" w:history="1">
        <w:r w:rsidRPr="003D6FCB">
          <w:rPr>
            <w:rStyle w:val="Hyperlink"/>
            <w:i/>
            <w:color w:val="000000" w:themeColor="text1"/>
            <w:u w:val="none"/>
          </w:rPr>
          <w:t>Choosing a Cancer Doctor, American Cancer Society</w:t>
        </w:r>
        <w:r w:rsidRPr="003D6FCB">
          <w:rPr>
            <w:rStyle w:val="Hyperlink"/>
            <w:color w:val="000000" w:themeColor="text1"/>
            <w:u w:val="none"/>
          </w:rPr>
          <w:t>,</w:t>
        </w:r>
      </w:hyperlink>
      <w:r w:rsidRPr="003D6FCB">
        <w:rPr>
          <w:color w:val="000000" w:themeColor="text1"/>
        </w:rPr>
        <w:t xml:space="preserve"> </w:t>
      </w:r>
      <w:r w:rsidRPr="003D6FCB">
        <w:rPr>
          <w:i/>
          <w:color w:val="000000" w:themeColor="text1"/>
        </w:rPr>
        <w:t xml:space="preserve">available </w:t>
      </w:r>
      <w:r>
        <w:rPr>
          <w:i/>
        </w:rPr>
        <w:t xml:space="preserve">at </w:t>
      </w:r>
      <w:hyperlink r:id="rId247">
        <w:r>
          <w:rPr>
            <w:color w:val="486794"/>
            <w:u w:val="single" w:color="486794"/>
          </w:rPr>
          <w:t>https://www.cancer.org/cancer/managing-</w:t>
        </w:r>
      </w:hyperlink>
      <w:r>
        <w:rPr>
          <w:color w:val="486794"/>
        </w:rPr>
        <w:t xml:space="preserve"> </w:t>
      </w:r>
      <w:hyperlink r:id="rId248">
        <w:r>
          <w:rPr>
            <w:color w:val="486794"/>
            <w:u w:val="single" w:color="486794"/>
          </w:rPr>
          <w:t>cancer/finding-care/where-to-find-cancer-care/choosing-a-cancer-doctor.html</w:t>
        </w:r>
      </w:hyperlink>
      <w:r>
        <w:rPr>
          <w:color w:val="486794"/>
        </w:rPr>
        <w:t xml:space="preserve"> </w:t>
      </w:r>
      <w:r>
        <w:t xml:space="preserve">(last visited February 27, </w:t>
      </w:r>
      <w:r>
        <w:rPr>
          <w:spacing w:val="-2"/>
        </w:rPr>
        <w:t>2025).</w:t>
      </w:r>
    </w:p>
  </w:footnote>
  <w:footnote w:id="177">
    <w:p w14:paraId="11315303" w14:textId="7FB3FED3" w:rsidR="006B7D6E" w:rsidRDefault="006B7D6E" w:rsidP="005D4B53">
      <w:pPr>
        <w:pStyle w:val="FootnoteText"/>
        <w:ind w:left="990" w:right="940"/>
      </w:pPr>
      <w:r>
        <w:rPr>
          <w:rStyle w:val="FootnoteReference"/>
        </w:rPr>
        <w:footnoteRef/>
      </w:r>
      <w:r>
        <w:t xml:space="preserve"> </w:t>
      </w:r>
      <w:r w:rsidR="003F7854">
        <w:t>Shifts in surgical oncology care may involve fewer coordination challenges because care delivered by surgical oncologists is less frequent and often performed by different surgeons. Therefore, potential shifts of</w:t>
      </w:r>
      <w:r w:rsidR="003F7854">
        <w:rPr>
          <w:spacing w:val="-3"/>
        </w:rPr>
        <w:t xml:space="preserve"> </w:t>
      </w:r>
      <w:r w:rsidR="003F7854">
        <w:t>surgical</w:t>
      </w:r>
      <w:r w:rsidR="003F7854">
        <w:rPr>
          <w:spacing w:val="-3"/>
        </w:rPr>
        <w:t xml:space="preserve"> </w:t>
      </w:r>
      <w:r w:rsidR="003F7854">
        <w:t>oncology</w:t>
      </w:r>
      <w:r w:rsidR="003F7854">
        <w:rPr>
          <w:spacing w:val="-4"/>
        </w:rPr>
        <w:t xml:space="preserve"> </w:t>
      </w:r>
      <w:r w:rsidR="003F7854">
        <w:t>care</w:t>
      </w:r>
      <w:r w:rsidR="003F7854">
        <w:rPr>
          <w:spacing w:val="-4"/>
        </w:rPr>
        <w:t xml:space="preserve"> </w:t>
      </w:r>
      <w:r w:rsidR="003F7854">
        <w:t>from</w:t>
      </w:r>
      <w:r w:rsidR="003F7854">
        <w:rPr>
          <w:spacing w:val="-2"/>
        </w:rPr>
        <w:t xml:space="preserve"> </w:t>
      </w:r>
      <w:r w:rsidR="003F7854">
        <w:t>BWH</w:t>
      </w:r>
      <w:r w:rsidR="003F7854">
        <w:rPr>
          <w:spacing w:val="-4"/>
        </w:rPr>
        <w:t xml:space="preserve"> </w:t>
      </w:r>
      <w:r w:rsidR="003F7854">
        <w:t>to</w:t>
      </w:r>
      <w:r w:rsidR="003F7854">
        <w:rPr>
          <w:spacing w:val="-3"/>
        </w:rPr>
        <w:t xml:space="preserve"> </w:t>
      </w:r>
      <w:r w:rsidR="003F7854">
        <w:t>BIDMC</w:t>
      </w:r>
      <w:r w:rsidR="003F7854">
        <w:rPr>
          <w:spacing w:val="-3"/>
        </w:rPr>
        <w:t xml:space="preserve"> </w:t>
      </w:r>
      <w:r w:rsidR="003F7854">
        <w:t>may</w:t>
      </w:r>
      <w:r w:rsidR="003F7854">
        <w:rPr>
          <w:spacing w:val="-4"/>
        </w:rPr>
        <w:t xml:space="preserve"> </w:t>
      </w:r>
      <w:r w:rsidR="003F7854">
        <w:t>not</w:t>
      </w:r>
      <w:r w:rsidR="003F7854">
        <w:rPr>
          <w:spacing w:val="-2"/>
        </w:rPr>
        <w:t xml:space="preserve"> </w:t>
      </w:r>
      <w:r w:rsidR="003F7854">
        <w:t>be</w:t>
      </w:r>
      <w:r w:rsidR="003F7854">
        <w:rPr>
          <w:spacing w:val="-4"/>
        </w:rPr>
        <w:t xml:space="preserve"> </w:t>
      </w:r>
      <w:r w:rsidR="003F7854">
        <w:t>substantively</w:t>
      </w:r>
      <w:r w:rsidR="003F7854">
        <w:rPr>
          <w:spacing w:val="-4"/>
        </w:rPr>
        <w:t xml:space="preserve"> </w:t>
      </w:r>
      <w:r w:rsidR="003F7854">
        <w:t>different</w:t>
      </w:r>
      <w:r w:rsidR="003F7854">
        <w:rPr>
          <w:spacing w:val="-2"/>
        </w:rPr>
        <w:t xml:space="preserve"> </w:t>
      </w:r>
      <w:r w:rsidR="003F7854">
        <w:t>for</w:t>
      </w:r>
      <w:r w:rsidR="003F7854">
        <w:rPr>
          <w:spacing w:val="-4"/>
        </w:rPr>
        <w:t xml:space="preserve"> </w:t>
      </w:r>
      <w:r w:rsidR="003F7854">
        <w:t>patients</w:t>
      </w:r>
      <w:r w:rsidR="003F7854">
        <w:rPr>
          <w:spacing w:val="-2"/>
        </w:rPr>
        <w:t xml:space="preserve"> </w:t>
      </w:r>
      <w:r w:rsidR="003F7854">
        <w:t>than</w:t>
      </w:r>
      <w:r w:rsidR="003F7854">
        <w:rPr>
          <w:spacing w:val="-3"/>
        </w:rPr>
        <w:t xml:space="preserve"> </w:t>
      </w:r>
      <w:r w:rsidR="003F7854">
        <w:t>receiving an additional round of surgical oncology care at the same facility, as both cases would likely involve receiving care from a new provider. The impact of shifts in medical oncology care would also be limited for many patients who could continue to see their existing providers at a new facility due to anticipated transitions of provider employment between hospitals.</w:t>
      </w:r>
    </w:p>
  </w:footnote>
  <w:footnote w:id="178">
    <w:p w14:paraId="1DC84DB8" w14:textId="2F08007A" w:rsidR="003D6FCB" w:rsidRDefault="003D6FCB" w:rsidP="003D6FCB">
      <w:pPr>
        <w:spacing w:before="92"/>
        <w:ind w:left="959" w:right="940"/>
        <w:rPr>
          <w:sz w:val="16"/>
        </w:rPr>
      </w:pPr>
      <w:r>
        <w:rPr>
          <w:rStyle w:val="FootnoteReference"/>
        </w:rPr>
        <w:footnoteRef/>
      </w:r>
      <w:r>
        <w:t xml:space="preserve"> </w:t>
      </w:r>
      <w:r>
        <w:rPr>
          <w:sz w:val="20"/>
        </w:rPr>
        <w:t>One of BILH’s stated goals at its creation was full economic and clinical integration across the system, including clinical collaboration across its members on specific service lines such as cance</w:t>
      </w:r>
      <w:r w:rsidRPr="002D6FA2">
        <w:rPr>
          <w:color w:val="000000" w:themeColor="text1"/>
          <w:sz w:val="20"/>
        </w:rPr>
        <w:t xml:space="preserve">r. </w:t>
      </w:r>
      <w:hyperlink r:id="rId249" w:history="1">
        <w:r w:rsidRPr="002D6FA2">
          <w:rPr>
            <w:rStyle w:val="Hyperlink"/>
            <w:color w:val="000000" w:themeColor="text1"/>
            <w:sz w:val="20"/>
            <w:u w:val="none"/>
          </w:rPr>
          <w:t>M</w:t>
        </w:r>
        <w:r w:rsidRPr="002D6FA2">
          <w:rPr>
            <w:rStyle w:val="Hyperlink"/>
            <w:color w:val="000000" w:themeColor="text1"/>
            <w:sz w:val="16"/>
            <w:u w:val="none"/>
          </w:rPr>
          <w:t>ASS</w:t>
        </w:r>
        <w:r w:rsidRPr="002D6FA2">
          <w:rPr>
            <w:rStyle w:val="Hyperlink"/>
            <w:color w:val="000000" w:themeColor="text1"/>
            <w:sz w:val="20"/>
            <w:u w:val="none"/>
          </w:rPr>
          <w:t>.</w:t>
        </w:r>
        <w:r w:rsidRPr="002D6FA2">
          <w:rPr>
            <w:rStyle w:val="Hyperlink"/>
            <w:color w:val="000000" w:themeColor="text1"/>
            <w:spacing w:val="-5"/>
            <w:sz w:val="20"/>
            <w:u w:val="none"/>
          </w:rPr>
          <w:t xml:space="preserve"> </w:t>
        </w:r>
        <w:r w:rsidRPr="002D6FA2">
          <w:rPr>
            <w:rStyle w:val="Hyperlink"/>
            <w:color w:val="000000" w:themeColor="text1"/>
            <w:sz w:val="20"/>
            <w:u w:val="none"/>
          </w:rPr>
          <w:t>H</w:t>
        </w:r>
        <w:r w:rsidRPr="002D6FA2">
          <w:rPr>
            <w:rStyle w:val="Hyperlink"/>
            <w:color w:val="000000" w:themeColor="text1"/>
            <w:sz w:val="16"/>
            <w:u w:val="none"/>
          </w:rPr>
          <w:t>EALTH</w:t>
        </w:r>
        <w:r w:rsidRPr="002D6FA2">
          <w:rPr>
            <w:rStyle w:val="Hyperlink"/>
            <w:color w:val="000000" w:themeColor="text1"/>
            <w:spacing w:val="40"/>
            <w:sz w:val="16"/>
            <w:u w:val="none"/>
          </w:rPr>
          <w:t xml:space="preserve"> </w:t>
        </w:r>
        <w:r w:rsidRPr="002D6FA2">
          <w:rPr>
            <w:rStyle w:val="Hyperlink"/>
            <w:color w:val="000000" w:themeColor="text1"/>
            <w:sz w:val="20"/>
            <w:u w:val="none"/>
          </w:rPr>
          <w:t>P</w:t>
        </w:r>
        <w:r w:rsidRPr="002D6FA2">
          <w:rPr>
            <w:rStyle w:val="Hyperlink"/>
            <w:color w:val="000000" w:themeColor="text1"/>
            <w:sz w:val="16"/>
            <w:u w:val="none"/>
          </w:rPr>
          <w:t>OLICY</w:t>
        </w:r>
        <w:r w:rsidRPr="002D6FA2">
          <w:rPr>
            <w:rStyle w:val="Hyperlink"/>
            <w:color w:val="000000" w:themeColor="text1"/>
            <w:spacing w:val="-1"/>
            <w:sz w:val="16"/>
            <w:u w:val="none"/>
          </w:rPr>
          <w:t xml:space="preserve"> </w:t>
        </w:r>
        <w:r w:rsidRPr="002D6FA2">
          <w:rPr>
            <w:rStyle w:val="Hyperlink"/>
            <w:color w:val="000000" w:themeColor="text1"/>
            <w:sz w:val="20"/>
            <w:u w:val="none"/>
          </w:rPr>
          <w:t>C</w:t>
        </w:r>
        <w:r w:rsidRPr="002D6FA2">
          <w:rPr>
            <w:rStyle w:val="Hyperlink"/>
            <w:color w:val="000000" w:themeColor="text1"/>
            <w:sz w:val="16"/>
            <w:u w:val="none"/>
          </w:rPr>
          <w:t>OMM</w:t>
        </w:r>
        <w:r w:rsidRPr="002D6FA2">
          <w:rPr>
            <w:rStyle w:val="Hyperlink"/>
            <w:color w:val="000000" w:themeColor="text1"/>
            <w:sz w:val="20"/>
            <w:u w:val="none"/>
          </w:rPr>
          <w:t>’</w:t>
        </w:r>
        <w:r w:rsidRPr="002D6FA2">
          <w:rPr>
            <w:rStyle w:val="Hyperlink"/>
            <w:color w:val="000000" w:themeColor="text1"/>
            <w:sz w:val="16"/>
            <w:u w:val="none"/>
          </w:rPr>
          <w:t>N</w:t>
        </w:r>
        <w:r w:rsidRPr="002D6FA2">
          <w:rPr>
            <w:rStyle w:val="Hyperlink"/>
            <w:color w:val="000000" w:themeColor="text1"/>
            <w:sz w:val="20"/>
            <w:u w:val="none"/>
          </w:rPr>
          <w:t>, R</w:t>
        </w:r>
        <w:r w:rsidRPr="002D6FA2">
          <w:rPr>
            <w:rStyle w:val="Hyperlink"/>
            <w:color w:val="000000" w:themeColor="text1"/>
            <w:sz w:val="16"/>
            <w:u w:val="none"/>
          </w:rPr>
          <w:t>EVIEW OF</w:t>
        </w:r>
        <w:r w:rsidRPr="002D6FA2">
          <w:rPr>
            <w:rStyle w:val="Hyperlink"/>
            <w:color w:val="000000" w:themeColor="text1"/>
            <w:spacing w:val="-3"/>
            <w:sz w:val="16"/>
            <w:u w:val="none"/>
          </w:rPr>
          <w:t xml:space="preserve"> </w:t>
        </w:r>
        <w:r w:rsidRPr="002D6FA2">
          <w:rPr>
            <w:rStyle w:val="Hyperlink"/>
            <w:color w:val="000000" w:themeColor="text1"/>
            <w:sz w:val="20"/>
            <w:u w:val="none"/>
          </w:rPr>
          <w:t>T</w:t>
        </w:r>
        <w:r w:rsidRPr="002D6FA2">
          <w:rPr>
            <w:rStyle w:val="Hyperlink"/>
            <w:color w:val="000000" w:themeColor="text1"/>
            <w:sz w:val="16"/>
            <w:u w:val="none"/>
          </w:rPr>
          <w:t>HE</w:t>
        </w:r>
        <w:r w:rsidRPr="002D6FA2">
          <w:rPr>
            <w:rStyle w:val="Hyperlink"/>
            <w:color w:val="000000" w:themeColor="text1"/>
            <w:spacing w:val="-2"/>
            <w:sz w:val="16"/>
            <w:u w:val="none"/>
          </w:rPr>
          <w:t xml:space="preserve"> </w:t>
        </w:r>
        <w:r w:rsidRPr="002D6FA2">
          <w:rPr>
            <w:rStyle w:val="Hyperlink"/>
            <w:color w:val="000000" w:themeColor="text1"/>
            <w:sz w:val="20"/>
            <w:u w:val="none"/>
          </w:rPr>
          <w:t>P</w:t>
        </w:r>
        <w:r w:rsidRPr="002D6FA2">
          <w:rPr>
            <w:rStyle w:val="Hyperlink"/>
            <w:color w:val="000000" w:themeColor="text1"/>
            <w:sz w:val="16"/>
            <w:u w:val="none"/>
          </w:rPr>
          <w:t>ROPOSED</w:t>
        </w:r>
        <w:r w:rsidRPr="002D6FA2">
          <w:rPr>
            <w:rStyle w:val="Hyperlink"/>
            <w:color w:val="000000" w:themeColor="text1"/>
            <w:spacing w:val="-1"/>
            <w:sz w:val="16"/>
            <w:u w:val="none"/>
          </w:rPr>
          <w:t xml:space="preserve"> </w:t>
        </w:r>
        <w:r w:rsidRPr="002D6FA2">
          <w:rPr>
            <w:rStyle w:val="Hyperlink"/>
            <w:color w:val="000000" w:themeColor="text1"/>
            <w:sz w:val="20"/>
            <w:u w:val="none"/>
          </w:rPr>
          <w:t>M</w:t>
        </w:r>
        <w:r w:rsidRPr="002D6FA2">
          <w:rPr>
            <w:rStyle w:val="Hyperlink"/>
            <w:color w:val="000000" w:themeColor="text1"/>
            <w:sz w:val="16"/>
            <w:u w:val="none"/>
          </w:rPr>
          <w:t>ERGER</w:t>
        </w:r>
        <w:r w:rsidRPr="002D6FA2">
          <w:rPr>
            <w:rStyle w:val="Hyperlink"/>
            <w:color w:val="000000" w:themeColor="text1"/>
            <w:spacing w:val="-1"/>
            <w:sz w:val="16"/>
            <w:u w:val="none"/>
          </w:rPr>
          <w:t xml:space="preserve"> </w:t>
        </w:r>
        <w:r w:rsidRPr="002D6FA2">
          <w:rPr>
            <w:rStyle w:val="Hyperlink"/>
            <w:color w:val="000000" w:themeColor="text1"/>
            <w:sz w:val="16"/>
            <w:u w:val="none"/>
          </w:rPr>
          <w:t>OF</w:t>
        </w:r>
        <w:r w:rsidRPr="002D6FA2">
          <w:rPr>
            <w:rStyle w:val="Hyperlink"/>
            <w:color w:val="000000" w:themeColor="text1"/>
            <w:spacing w:val="-1"/>
            <w:sz w:val="16"/>
            <w:u w:val="none"/>
          </w:rPr>
          <w:t xml:space="preserve"> </w:t>
        </w:r>
        <w:r w:rsidRPr="002D6FA2">
          <w:rPr>
            <w:rStyle w:val="Hyperlink"/>
            <w:color w:val="000000" w:themeColor="text1"/>
            <w:sz w:val="20"/>
            <w:u w:val="none"/>
          </w:rPr>
          <w:t>L</w:t>
        </w:r>
        <w:r w:rsidRPr="002D6FA2">
          <w:rPr>
            <w:rStyle w:val="Hyperlink"/>
            <w:color w:val="000000" w:themeColor="text1"/>
            <w:sz w:val="16"/>
            <w:u w:val="none"/>
          </w:rPr>
          <w:t>AHEY</w:t>
        </w:r>
        <w:r w:rsidRPr="002D6FA2">
          <w:rPr>
            <w:rStyle w:val="Hyperlink"/>
            <w:color w:val="000000" w:themeColor="text1"/>
            <w:spacing w:val="-4"/>
            <w:sz w:val="16"/>
            <w:u w:val="none"/>
          </w:rPr>
          <w:t xml:space="preserve"> </w:t>
        </w:r>
        <w:r w:rsidRPr="002D6FA2">
          <w:rPr>
            <w:rStyle w:val="Hyperlink"/>
            <w:color w:val="000000" w:themeColor="text1"/>
            <w:sz w:val="20"/>
            <w:u w:val="none"/>
          </w:rPr>
          <w:t>H</w:t>
        </w:r>
        <w:r w:rsidRPr="002D6FA2">
          <w:rPr>
            <w:rStyle w:val="Hyperlink"/>
            <w:color w:val="000000" w:themeColor="text1"/>
            <w:sz w:val="16"/>
            <w:u w:val="none"/>
          </w:rPr>
          <w:t>EALTH</w:t>
        </w:r>
        <w:r w:rsidRPr="002D6FA2">
          <w:rPr>
            <w:rStyle w:val="Hyperlink"/>
            <w:color w:val="000000" w:themeColor="text1"/>
            <w:spacing w:val="-3"/>
            <w:sz w:val="16"/>
            <w:u w:val="none"/>
          </w:rPr>
          <w:t xml:space="preserve"> </w:t>
        </w:r>
        <w:r w:rsidRPr="002D6FA2">
          <w:rPr>
            <w:rStyle w:val="Hyperlink"/>
            <w:color w:val="000000" w:themeColor="text1"/>
            <w:sz w:val="20"/>
            <w:u w:val="none"/>
          </w:rPr>
          <w:t>S</w:t>
        </w:r>
        <w:r w:rsidRPr="002D6FA2">
          <w:rPr>
            <w:rStyle w:val="Hyperlink"/>
            <w:color w:val="000000" w:themeColor="text1"/>
            <w:sz w:val="16"/>
            <w:u w:val="none"/>
          </w:rPr>
          <w:t>YSTEM</w:t>
        </w:r>
        <w:r w:rsidRPr="002D6FA2">
          <w:rPr>
            <w:rStyle w:val="Hyperlink"/>
            <w:color w:val="000000" w:themeColor="text1"/>
            <w:sz w:val="20"/>
            <w:u w:val="none"/>
          </w:rPr>
          <w:t>;</w:t>
        </w:r>
        <w:r w:rsidRPr="002D6FA2">
          <w:rPr>
            <w:rStyle w:val="Hyperlink"/>
            <w:color w:val="000000" w:themeColor="text1"/>
            <w:spacing w:val="-10"/>
            <w:sz w:val="20"/>
            <w:u w:val="none"/>
          </w:rPr>
          <w:t xml:space="preserve"> </w:t>
        </w:r>
        <w:r w:rsidRPr="002D6FA2">
          <w:rPr>
            <w:rStyle w:val="Hyperlink"/>
            <w:color w:val="000000" w:themeColor="text1"/>
            <w:sz w:val="20"/>
            <w:u w:val="none"/>
          </w:rPr>
          <w:t>C</w:t>
        </w:r>
        <w:r w:rsidRPr="002D6FA2">
          <w:rPr>
            <w:rStyle w:val="Hyperlink"/>
            <w:color w:val="000000" w:themeColor="text1"/>
            <w:sz w:val="16"/>
            <w:u w:val="none"/>
          </w:rPr>
          <w:t>ARE</w:t>
        </w:r>
        <w:r w:rsidRPr="002D6FA2">
          <w:rPr>
            <w:rStyle w:val="Hyperlink"/>
            <w:color w:val="000000" w:themeColor="text1"/>
            <w:sz w:val="20"/>
            <w:u w:val="none"/>
          </w:rPr>
          <w:t>G</w:t>
        </w:r>
        <w:r w:rsidRPr="002D6FA2">
          <w:rPr>
            <w:rStyle w:val="Hyperlink"/>
            <w:color w:val="000000" w:themeColor="text1"/>
            <w:sz w:val="16"/>
            <w:u w:val="none"/>
          </w:rPr>
          <w:t>ROUP</w:t>
        </w:r>
        <w:r w:rsidRPr="002D6FA2">
          <w:rPr>
            <w:rStyle w:val="Hyperlink"/>
            <w:color w:val="000000" w:themeColor="text1"/>
            <w:spacing w:val="-4"/>
            <w:sz w:val="16"/>
            <w:u w:val="none"/>
          </w:rPr>
          <w:t xml:space="preserve"> </w:t>
        </w:r>
        <w:r w:rsidRPr="002D6FA2">
          <w:rPr>
            <w:rStyle w:val="Hyperlink"/>
            <w:color w:val="000000" w:themeColor="text1"/>
            <w:sz w:val="16"/>
            <w:u w:val="none"/>
          </w:rPr>
          <w:t>AND</w:t>
        </w:r>
        <w:r w:rsidRPr="002D6FA2">
          <w:rPr>
            <w:rStyle w:val="Hyperlink"/>
            <w:color w:val="000000" w:themeColor="text1"/>
            <w:spacing w:val="-2"/>
            <w:sz w:val="16"/>
            <w:u w:val="none"/>
          </w:rPr>
          <w:t xml:space="preserve"> </w:t>
        </w:r>
        <w:r w:rsidRPr="002D6FA2">
          <w:rPr>
            <w:rStyle w:val="Hyperlink"/>
            <w:color w:val="000000" w:themeColor="text1"/>
            <w:sz w:val="16"/>
            <w:u w:val="none"/>
          </w:rPr>
          <w:t>ITS</w:t>
        </w:r>
        <w:r w:rsidRPr="002D6FA2">
          <w:rPr>
            <w:rStyle w:val="Hyperlink"/>
            <w:color w:val="000000" w:themeColor="text1"/>
            <w:spacing w:val="-1"/>
            <w:sz w:val="16"/>
            <w:u w:val="none"/>
          </w:rPr>
          <w:t xml:space="preserve"> </w:t>
        </w:r>
        <w:r w:rsidRPr="002D6FA2">
          <w:rPr>
            <w:rStyle w:val="Hyperlink"/>
            <w:color w:val="000000" w:themeColor="text1"/>
            <w:sz w:val="20"/>
            <w:u w:val="none"/>
          </w:rPr>
          <w:t>C</w:t>
        </w:r>
        <w:r w:rsidRPr="002D6FA2">
          <w:rPr>
            <w:rStyle w:val="Hyperlink"/>
            <w:color w:val="000000" w:themeColor="text1"/>
            <w:sz w:val="16"/>
            <w:u w:val="none"/>
          </w:rPr>
          <w:t>OMPONENT</w:t>
        </w:r>
        <w:r w:rsidRPr="002D6FA2">
          <w:rPr>
            <w:rStyle w:val="Hyperlink"/>
            <w:color w:val="000000" w:themeColor="text1"/>
            <w:spacing w:val="-2"/>
            <w:sz w:val="16"/>
            <w:u w:val="none"/>
          </w:rPr>
          <w:t xml:space="preserve"> </w:t>
        </w:r>
        <w:r w:rsidRPr="002D6FA2">
          <w:rPr>
            <w:rStyle w:val="Hyperlink"/>
            <w:color w:val="000000" w:themeColor="text1"/>
            <w:sz w:val="20"/>
            <w:u w:val="none"/>
          </w:rPr>
          <w:t>P</w:t>
        </w:r>
        <w:r w:rsidRPr="002D6FA2">
          <w:rPr>
            <w:rStyle w:val="Hyperlink"/>
            <w:color w:val="000000" w:themeColor="text1"/>
            <w:sz w:val="16"/>
            <w:u w:val="none"/>
          </w:rPr>
          <w:t>ARTS</w:t>
        </w:r>
        <w:r w:rsidRPr="002D6FA2">
          <w:rPr>
            <w:rStyle w:val="Hyperlink"/>
            <w:color w:val="000000" w:themeColor="text1"/>
            <w:sz w:val="20"/>
            <w:u w:val="none"/>
          </w:rPr>
          <w:t>, B</w:t>
        </w:r>
        <w:r w:rsidRPr="002D6FA2">
          <w:rPr>
            <w:rStyle w:val="Hyperlink"/>
            <w:color w:val="000000" w:themeColor="text1"/>
            <w:sz w:val="16"/>
            <w:u w:val="none"/>
          </w:rPr>
          <w:t xml:space="preserve">ETH </w:t>
        </w:r>
        <w:r w:rsidRPr="002D6FA2">
          <w:rPr>
            <w:rStyle w:val="Hyperlink"/>
            <w:color w:val="000000" w:themeColor="text1"/>
            <w:sz w:val="20"/>
            <w:u w:val="none"/>
          </w:rPr>
          <w:t>I</w:t>
        </w:r>
        <w:r w:rsidRPr="002D6FA2">
          <w:rPr>
            <w:rStyle w:val="Hyperlink"/>
            <w:color w:val="000000" w:themeColor="text1"/>
            <w:sz w:val="16"/>
            <w:u w:val="none"/>
          </w:rPr>
          <w:t xml:space="preserve">SRAEL </w:t>
        </w:r>
        <w:r w:rsidRPr="002D6FA2">
          <w:rPr>
            <w:rStyle w:val="Hyperlink"/>
            <w:color w:val="000000" w:themeColor="text1"/>
            <w:sz w:val="20"/>
            <w:u w:val="none"/>
          </w:rPr>
          <w:t>D</w:t>
        </w:r>
        <w:r w:rsidRPr="002D6FA2">
          <w:rPr>
            <w:rStyle w:val="Hyperlink"/>
            <w:color w:val="000000" w:themeColor="text1"/>
            <w:sz w:val="16"/>
            <w:u w:val="none"/>
          </w:rPr>
          <w:t xml:space="preserve">EACONESS </w:t>
        </w:r>
        <w:r w:rsidRPr="002D6FA2">
          <w:rPr>
            <w:rStyle w:val="Hyperlink"/>
            <w:color w:val="000000" w:themeColor="text1"/>
            <w:sz w:val="20"/>
            <w:u w:val="none"/>
          </w:rPr>
          <w:t>M</w:t>
        </w:r>
        <w:r w:rsidRPr="002D6FA2">
          <w:rPr>
            <w:rStyle w:val="Hyperlink"/>
            <w:color w:val="000000" w:themeColor="text1"/>
            <w:sz w:val="16"/>
            <w:u w:val="none"/>
          </w:rPr>
          <w:t xml:space="preserve">EDICAL </w:t>
        </w:r>
        <w:r w:rsidRPr="002D6FA2">
          <w:rPr>
            <w:rStyle w:val="Hyperlink"/>
            <w:color w:val="000000" w:themeColor="text1"/>
            <w:sz w:val="20"/>
            <w:u w:val="none"/>
          </w:rPr>
          <w:t>C</w:t>
        </w:r>
        <w:r w:rsidRPr="002D6FA2">
          <w:rPr>
            <w:rStyle w:val="Hyperlink"/>
            <w:color w:val="000000" w:themeColor="text1"/>
            <w:sz w:val="16"/>
            <w:u w:val="none"/>
          </w:rPr>
          <w:t>ENTER</w:t>
        </w:r>
        <w:r w:rsidRPr="002D6FA2">
          <w:rPr>
            <w:rStyle w:val="Hyperlink"/>
            <w:color w:val="000000" w:themeColor="text1"/>
            <w:sz w:val="20"/>
            <w:u w:val="none"/>
          </w:rPr>
          <w:t>,</w:t>
        </w:r>
        <w:r w:rsidRPr="002D6FA2">
          <w:rPr>
            <w:rStyle w:val="Hyperlink"/>
            <w:color w:val="000000" w:themeColor="text1"/>
            <w:spacing w:val="-7"/>
            <w:sz w:val="20"/>
            <w:u w:val="none"/>
          </w:rPr>
          <w:t xml:space="preserve"> </w:t>
        </w:r>
        <w:r w:rsidRPr="002D6FA2">
          <w:rPr>
            <w:rStyle w:val="Hyperlink"/>
            <w:color w:val="000000" w:themeColor="text1"/>
            <w:sz w:val="20"/>
            <w:u w:val="none"/>
          </w:rPr>
          <w:t>N</w:t>
        </w:r>
        <w:r w:rsidRPr="002D6FA2">
          <w:rPr>
            <w:rStyle w:val="Hyperlink"/>
            <w:color w:val="000000" w:themeColor="text1"/>
            <w:sz w:val="16"/>
            <w:u w:val="none"/>
          </w:rPr>
          <w:t xml:space="preserve">EW </w:t>
        </w:r>
        <w:r w:rsidRPr="002D6FA2">
          <w:rPr>
            <w:rStyle w:val="Hyperlink"/>
            <w:color w:val="000000" w:themeColor="text1"/>
            <w:sz w:val="20"/>
            <w:u w:val="none"/>
          </w:rPr>
          <w:t>E</w:t>
        </w:r>
        <w:r w:rsidRPr="002D6FA2">
          <w:rPr>
            <w:rStyle w:val="Hyperlink"/>
            <w:color w:val="000000" w:themeColor="text1"/>
            <w:sz w:val="16"/>
            <w:u w:val="none"/>
          </w:rPr>
          <w:t xml:space="preserve">NGLAND </w:t>
        </w:r>
        <w:r w:rsidRPr="002D6FA2">
          <w:rPr>
            <w:rStyle w:val="Hyperlink"/>
            <w:color w:val="000000" w:themeColor="text1"/>
            <w:sz w:val="20"/>
            <w:u w:val="none"/>
          </w:rPr>
          <w:t>B</w:t>
        </w:r>
        <w:r w:rsidRPr="002D6FA2">
          <w:rPr>
            <w:rStyle w:val="Hyperlink"/>
            <w:color w:val="000000" w:themeColor="text1"/>
            <w:sz w:val="16"/>
            <w:u w:val="none"/>
          </w:rPr>
          <w:t xml:space="preserve">APTIST </w:t>
        </w:r>
        <w:r w:rsidRPr="002D6FA2">
          <w:rPr>
            <w:rStyle w:val="Hyperlink"/>
            <w:color w:val="000000" w:themeColor="text1"/>
            <w:sz w:val="20"/>
            <w:u w:val="none"/>
          </w:rPr>
          <w:t>H</w:t>
        </w:r>
        <w:r w:rsidRPr="002D6FA2">
          <w:rPr>
            <w:rStyle w:val="Hyperlink"/>
            <w:color w:val="000000" w:themeColor="text1"/>
            <w:sz w:val="16"/>
            <w:u w:val="none"/>
          </w:rPr>
          <w:t>OSPITAL</w:t>
        </w:r>
        <w:r w:rsidRPr="002D6FA2">
          <w:rPr>
            <w:rStyle w:val="Hyperlink"/>
            <w:color w:val="000000" w:themeColor="text1"/>
            <w:sz w:val="20"/>
            <w:u w:val="none"/>
          </w:rPr>
          <w:t>,</w:t>
        </w:r>
        <w:r w:rsidRPr="002D6FA2">
          <w:rPr>
            <w:rStyle w:val="Hyperlink"/>
            <w:color w:val="000000" w:themeColor="text1"/>
            <w:spacing w:val="-7"/>
            <w:sz w:val="20"/>
            <w:u w:val="none"/>
          </w:rPr>
          <w:t xml:space="preserve"> </w:t>
        </w:r>
        <w:r w:rsidRPr="002D6FA2">
          <w:rPr>
            <w:rStyle w:val="Hyperlink"/>
            <w:color w:val="000000" w:themeColor="text1"/>
            <w:sz w:val="16"/>
            <w:u w:val="none"/>
          </w:rPr>
          <w:t xml:space="preserve">AND </w:t>
        </w:r>
        <w:r w:rsidRPr="002D6FA2">
          <w:rPr>
            <w:rStyle w:val="Hyperlink"/>
            <w:color w:val="000000" w:themeColor="text1"/>
            <w:sz w:val="20"/>
            <w:u w:val="none"/>
          </w:rPr>
          <w:t>M</w:t>
        </w:r>
        <w:r w:rsidRPr="002D6FA2">
          <w:rPr>
            <w:rStyle w:val="Hyperlink"/>
            <w:color w:val="000000" w:themeColor="text1"/>
            <w:sz w:val="16"/>
            <w:u w:val="none"/>
          </w:rPr>
          <w:t xml:space="preserve">OUNT </w:t>
        </w:r>
        <w:r w:rsidRPr="002D6FA2">
          <w:rPr>
            <w:rStyle w:val="Hyperlink"/>
            <w:color w:val="000000" w:themeColor="text1"/>
            <w:sz w:val="20"/>
            <w:u w:val="none"/>
          </w:rPr>
          <w:t>A</w:t>
        </w:r>
        <w:r w:rsidRPr="002D6FA2">
          <w:rPr>
            <w:rStyle w:val="Hyperlink"/>
            <w:color w:val="000000" w:themeColor="text1"/>
            <w:sz w:val="16"/>
            <w:u w:val="none"/>
          </w:rPr>
          <w:t xml:space="preserve">UBURN </w:t>
        </w:r>
        <w:r w:rsidRPr="002D6FA2">
          <w:rPr>
            <w:rStyle w:val="Hyperlink"/>
            <w:color w:val="000000" w:themeColor="text1"/>
            <w:sz w:val="20"/>
            <w:u w:val="none"/>
          </w:rPr>
          <w:t>H</w:t>
        </w:r>
        <w:r w:rsidRPr="002D6FA2">
          <w:rPr>
            <w:rStyle w:val="Hyperlink"/>
            <w:color w:val="000000" w:themeColor="text1"/>
            <w:sz w:val="16"/>
            <w:u w:val="none"/>
          </w:rPr>
          <w:t>OSPITAL</w:t>
        </w:r>
        <w:r w:rsidRPr="002D6FA2">
          <w:rPr>
            <w:rStyle w:val="Hyperlink"/>
            <w:color w:val="000000" w:themeColor="text1"/>
            <w:sz w:val="20"/>
            <w:u w:val="none"/>
          </w:rPr>
          <w:t>;</w:t>
        </w:r>
        <w:r w:rsidRPr="002D6FA2">
          <w:rPr>
            <w:rStyle w:val="Hyperlink"/>
            <w:color w:val="000000" w:themeColor="text1"/>
            <w:spacing w:val="-7"/>
            <w:sz w:val="20"/>
            <w:u w:val="none"/>
          </w:rPr>
          <w:t xml:space="preserve"> </w:t>
        </w:r>
        <w:r w:rsidRPr="002D6FA2">
          <w:rPr>
            <w:rStyle w:val="Hyperlink"/>
            <w:color w:val="000000" w:themeColor="text1"/>
            <w:sz w:val="20"/>
            <w:u w:val="none"/>
          </w:rPr>
          <w:t>S</w:t>
        </w:r>
        <w:r w:rsidRPr="002D6FA2">
          <w:rPr>
            <w:rStyle w:val="Hyperlink"/>
            <w:color w:val="000000" w:themeColor="text1"/>
            <w:sz w:val="16"/>
            <w:u w:val="none"/>
          </w:rPr>
          <w:t>EACOAST</w:t>
        </w:r>
        <w:r w:rsidRPr="002D6FA2">
          <w:rPr>
            <w:rStyle w:val="Hyperlink"/>
            <w:color w:val="000000" w:themeColor="text1"/>
            <w:spacing w:val="40"/>
            <w:sz w:val="16"/>
            <w:u w:val="none"/>
          </w:rPr>
          <w:t xml:space="preserve"> </w:t>
        </w:r>
        <w:r w:rsidRPr="002D6FA2">
          <w:rPr>
            <w:rStyle w:val="Hyperlink"/>
            <w:color w:val="000000" w:themeColor="text1"/>
            <w:sz w:val="20"/>
            <w:u w:val="none"/>
          </w:rPr>
          <w:t>R</w:t>
        </w:r>
        <w:r w:rsidRPr="002D6FA2">
          <w:rPr>
            <w:rStyle w:val="Hyperlink"/>
            <w:color w:val="000000" w:themeColor="text1"/>
            <w:sz w:val="16"/>
            <w:u w:val="none"/>
          </w:rPr>
          <w:t xml:space="preserve">EGIONAL </w:t>
        </w:r>
        <w:r w:rsidRPr="002D6FA2">
          <w:rPr>
            <w:rStyle w:val="Hyperlink"/>
            <w:color w:val="000000" w:themeColor="text1"/>
            <w:sz w:val="20"/>
            <w:u w:val="none"/>
          </w:rPr>
          <w:t>H</w:t>
        </w:r>
        <w:r w:rsidRPr="002D6FA2">
          <w:rPr>
            <w:rStyle w:val="Hyperlink"/>
            <w:color w:val="000000" w:themeColor="text1"/>
            <w:sz w:val="16"/>
            <w:u w:val="none"/>
          </w:rPr>
          <w:t xml:space="preserve">EALTH </w:t>
        </w:r>
        <w:r w:rsidRPr="002D6FA2">
          <w:rPr>
            <w:rStyle w:val="Hyperlink"/>
            <w:color w:val="000000" w:themeColor="text1"/>
            <w:sz w:val="20"/>
            <w:u w:val="none"/>
          </w:rPr>
          <w:t>S</w:t>
        </w:r>
        <w:r w:rsidRPr="002D6FA2">
          <w:rPr>
            <w:rStyle w:val="Hyperlink"/>
            <w:color w:val="000000" w:themeColor="text1"/>
            <w:sz w:val="16"/>
            <w:u w:val="none"/>
          </w:rPr>
          <w:t>YSTEMS</w:t>
        </w:r>
        <w:r w:rsidRPr="002D6FA2">
          <w:rPr>
            <w:rStyle w:val="Hyperlink"/>
            <w:color w:val="000000" w:themeColor="text1"/>
            <w:sz w:val="20"/>
            <w:u w:val="none"/>
          </w:rPr>
          <w:t>;</w:t>
        </w:r>
        <w:r w:rsidRPr="002D6FA2">
          <w:rPr>
            <w:rStyle w:val="Hyperlink"/>
            <w:color w:val="000000" w:themeColor="text1"/>
            <w:spacing w:val="-3"/>
            <w:sz w:val="20"/>
            <w:u w:val="none"/>
          </w:rPr>
          <w:t xml:space="preserve"> </w:t>
        </w:r>
        <w:r w:rsidRPr="002D6FA2">
          <w:rPr>
            <w:rStyle w:val="Hyperlink"/>
            <w:color w:val="000000" w:themeColor="text1"/>
            <w:sz w:val="16"/>
            <w:u w:val="none"/>
          </w:rPr>
          <w:t xml:space="preserve">AND </w:t>
        </w:r>
        <w:r w:rsidRPr="002D6FA2">
          <w:rPr>
            <w:rStyle w:val="Hyperlink"/>
            <w:color w:val="000000" w:themeColor="text1"/>
            <w:sz w:val="20"/>
            <w:u w:val="none"/>
          </w:rPr>
          <w:t>E</w:t>
        </w:r>
        <w:r w:rsidRPr="002D6FA2">
          <w:rPr>
            <w:rStyle w:val="Hyperlink"/>
            <w:color w:val="000000" w:themeColor="text1"/>
            <w:sz w:val="16"/>
            <w:u w:val="none"/>
          </w:rPr>
          <w:t xml:space="preserve">ACH OF THEIR </w:t>
        </w:r>
        <w:r w:rsidRPr="002D6FA2">
          <w:rPr>
            <w:rStyle w:val="Hyperlink"/>
            <w:color w:val="000000" w:themeColor="text1"/>
            <w:sz w:val="20"/>
            <w:u w:val="none"/>
          </w:rPr>
          <w:t>C</w:t>
        </w:r>
        <w:r w:rsidRPr="002D6FA2">
          <w:rPr>
            <w:rStyle w:val="Hyperlink"/>
            <w:color w:val="000000" w:themeColor="text1"/>
            <w:sz w:val="16"/>
            <w:u w:val="none"/>
          </w:rPr>
          <w:t xml:space="preserve">ORPORATE </w:t>
        </w:r>
        <w:r w:rsidRPr="002D6FA2">
          <w:rPr>
            <w:rStyle w:val="Hyperlink"/>
            <w:color w:val="000000" w:themeColor="text1"/>
            <w:sz w:val="20"/>
            <w:u w:val="none"/>
          </w:rPr>
          <w:t>S</w:t>
        </w:r>
        <w:r w:rsidRPr="002D6FA2">
          <w:rPr>
            <w:rStyle w:val="Hyperlink"/>
            <w:color w:val="000000" w:themeColor="text1"/>
            <w:sz w:val="16"/>
            <w:u w:val="none"/>
          </w:rPr>
          <w:t xml:space="preserve">UBSIDIARIES INTO </w:t>
        </w:r>
        <w:r w:rsidRPr="002D6FA2">
          <w:rPr>
            <w:rStyle w:val="Hyperlink"/>
            <w:color w:val="000000" w:themeColor="text1"/>
            <w:sz w:val="20"/>
            <w:u w:val="none"/>
          </w:rPr>
          <w:t>B</w:t>
        </w:r>
        <w:r w:rsidRPr="002D6FA2">
          <w:rPr>
            <w:rStyle w:val="Hyperlink"/>
            <w:color w:val="000000" w:themeColor="text1"/>
            <w:sz w:val="16"/>
            <w:u w:val="none"/>
          </w:rPr>
          <w:t xml:space="preserve">ETH </w:t>
        </w:r>
        <w:r w:rsidRPr="002D6FA2">
          <w:rPr>
            <w:rStyle w:val="Hyperlink"/>
            <w:color w:val="000000" w:themeColor="text1"/>
            <w:sz w:val="20"/>
            <w:u w:val="none"/>
          </w:rPr>
          <w:t>I</w:t>
        </w:r>
        <w:r w:rsidRPr="002D6FA2">
          <w:rPr>
            <w:rStyle w:val="Hyperlink"/>
            <w:color w:val="000000" w:themeColor="text1"/>
            <w:sz w:val="16"/>
            <w:u w:val="none"/>
          </w:rPr>
          <w:t xml:space="preserve">SRAEL </w:t>
        </w:r>
        <w:r w:rsidRPr="002D6FA2">
          <w:rPr>
            <w:rStyle w:val="Hyperlink"/>
            <w:color w:val="000000" w:themeColor="text1"/>
            <w:sz w:val="20"/>
            <w:u w:val="none"/>
          </w:rPr>
          <w:t>L</w:t>
        </w:r>
        <w:r w:rsidRPr="002D6FA2">
          <w:rPr>
            <w:rStyle w:val="Hyperlink"/>
            <w:color w:val="000000" w:themeColor="text1"/>
            <w:sz w:val="16"/>
            <w:u w:val="none"/>
          </w:rPr>
          <w:t xml:space="preserve">AHEY </w:t>
        </w:r>
        <w:r w:rsidRPr="002D6FA2">
          <w:rPr>
            <w:rStyle w:val="Hyperlink"/>
            <w:color w:val="000000" w:themeColor="text1"/>
            <w:sz w:val="20"/>
            <w:u w:val="none"/>
          </w:rPr>
          <w:t>H</w:t>
        </w:r>
        <w:r w:rsidRPr="002D6FA2">
          <w:rPr>
            <w:rStyle w:val="Hyperlink"/>
            <w:color w:val="000000" w:themeColor="text1"/>
            <w:sz w:val="16"/>
            <w:u w:val="none"/>
          </w:rPr>
          <w:t>EALTH</w:t>
        </w:r>
        <w:r w:rsidRPr="002D6FA2">
          <w:rPr>
            <w:rStyle w:val="Hyperlink"/>
            <w:color w:val="000000" w:themeColor="text1"/>
            <w:sz w:val="20"/>
            <w:u w:val="none"/>
          </w:rPr>
          <w:t>; AND T</w:t>
        </w:r>
        <w:r w:rsidRPr="002D6FA2">
          <w:rPr>
            <w:rStyle w:val="Hyperlink"/>
            <w:color w:val="000000" w:themeColor="text1"/>
            <w:sz w:val="16"/>
            <w:u w:val="none"/>
          </w:rPr>
          <w:t>HE</w:t>
        </w:r>
        <w:r w:rsidRPr="002D6FA2">
          <w:rPr>
            <w:rStyle w:val="Hyperlink"/>
            <w:color w:val="000000" w:themeColor="text1"/>
            <w:spacing w:val="40"/>
            <w:sz w:val="16"/>
            <w:u w:val="none"/>
          </w:rPr>
          <w:t xml:space="preserve"> </w:t>
        </w:r>
        <w:r w:rsidRPr="002D6FA2">
          <w:rPr>
            <w:rStyle w:val="Hyperlink"/>
            <w:color w:val="000000" w:themeColor="text1"/>
            <w:sz w:val="20"/>
            <w:u w:val="none"/>
          </w:rPr>
          <w:t>A</w:t>
        </w:r>
        <w:r w:rsidRPr="002D6FA2">
          <w:rPr>
            <w:rStyle w:val="Hyperlink"/>
            <w:color w:val="000000" w:themeColor="text1"/>
            <w:sz w:val="16"/>
            <w:u w:val="none"/>
          </w:rPr>
          <w:t>CQUISITION</w:t>
        </w:r>
        <w:r w:rsidRPr="002D6FA2">
          <w:rPr>
            <w:rStyle w:val="Hyperlink"/>
            <w:color w:val="000000" w:themeColor="text1"/>
            <w:spacing w:val="-3"/>
            <w:sz w:val="16"/>
            <w:u w:val="none"/>
          </w:rPr>
          <w:t xml:space="preserve"> </w:t>
        </w:r>
        <w:r w:rsidRPr="002D6FA2">
          <w:rPr>
            <w:rStyle w:val="Hyperlink"/>
            <w:color w:val="000000" w:themeColor="text1"/>
            <w:sz w:val="16"/>
            <w:u w:val="none"/>
          </w:rPr>
          <w:t>OF</w:t>
        </w:r>
        <w:r w:rsidRPr="002D6FA2">
          <w:rPr>
            <w:rStyle w:val="Hyperlink"/>
            <w:color w:val="000000" w:themeColor="text1"/>
            <w:spacing w:val="-3"/>
            <w:sz w:val="16"/>
            <w:u w:val="none"/>
          </w:rPr>
          <w:t xml:space="preserve"> </w:t>
        </w:r>
        <w:r w:rsidRPr="002D6FA2">
          <w:rPr>
            <w:rStyle w:val="Hyperlink"/>
            <w:color w:val="000000" w:themeColor="text1"/>
            <w:sz w:val="16"/>
            <w:u w:val="none"/>
          </w:rPr>
          <w:t>THE</w:t>
        </w:r>
        <w:r w:rsidRPr="002D6FA2">
          <w:rPr>
            <w:rStyle w:val="Hyperlink"/>
            <w:color w:val="000000" w:themeColor="text1"/>
            <w:spacing w:val="-2"/>
            <w:sz w:val="16"/>
            <w:u w:val="none"/>
          </w:rPr>
          <w:t xml:space="preserve"> </w:t>
        </w:r>
        <w:r w:rsidRPr="002D6FA2">
          <w:rPr>
            <w:rStyle w:val="Hyperlink"/>
            <w:color w:val="000000" w:themeColor="text1"/>
            <w:sz w:val="20"/>
            <w:u w:val="none"/>
          </w:rPr>
          <w:t>B</w:t>
        </w:r>
        <w:r w:rsidRPr="002D6FA2">
          <w:rPr>
            <w:rStyle w:val="Hyperlink"/>
            <w:color w:val="000000" w:themeColor="text1"/>
            <w:sz w:val="16"/>
            <w:u w:val="none"/>
          </w:rPr>
          <w:t>ETH</w:t>
        </w:r>
        <w:r w:rsidRPr="002D6FA2">
          <w:rPr>
            <w:rStyle w:val="Hyperlink"/>
            <w:color w:val="000000" w:themeColor="text1"/>
            <w:spacing w:val="-5"/>
            <w:sz w:val="16"/>
            <w:u w:val="none"/>
          </w:rPr>
          <w:t xml:space="preserve"> </w:t>
        </w:r>
        <w:r w:rsidRPr="002D6FA2">
          <w:rPr>
            <w:rStyle w:val="Hyperlink"/>
            <w:color w:val="000000" w:themeColor="text1"/>
            <w:sz w:val="20"/>
            <w:u w:val="none"/>
          </w:rPr>
          <w:t>I</w:t>
        </w:r>
        <w:r w:rsidRPr="002D6FA2">
          <w:rPr>
            <w:rStyle w:val="Hyperlink"/>
            <w:color w:val="000000" w:themeColor="text1"/>
            <w:sz w:val="16"/>
            <w:u w:val="none"/>
          </w:rPr>
          <w:t>SRAEL</w:t>
        </w:r>
        <w:r w:rsidRPr="002D6FA2">
          <w:rPr>
            <w:rStyle w:val="Hyperlink"/>
            <w:color w:val="000000" w:themeColor="text1"/>
            <w:spacing w:val="-5"/>
            <w:sz w:val="16"/>
            <w:u w:val="none"/>
          </w:rPr>
          <w:t xml:space="preserve"> </w:t>
        </w:r>
        <w:r w:rsidRPr="002D6FA2">
          <w:rPr>
            <w:rStyle w:val="Hyperlink"/>
            <w:color w:val="000000" w:themeColor="text1"/>
            <w:sz w:val="20"/>
            <w:u w:val="none"/>
          </w:rPr>
          <w:t>D</w:t>
        </w:r>
        <w:r w:rsidRPr="002D6FA2">
          <w:rPr>
            <w:rStyle w:val="Hyperlink"/>
            <w:color w:val="000000" w:themeColor="text1"/>
            <w:sz w:val="16"/>
            <w:u w:val="none"/>
          </w:rPr>
          <w:t>EACONESS</w:t>
        </w:r>
        <w:r w:rsidRPr="002D6FA2">
          <w:rPr>
            <w:rStyle w:val="Hyperlink"/>
            <w:color w:val="000000" w:themeColor="text1"/>
            <w:spacing w:val="-3"/>
            <w:sz w:val="16"/>
            <w:u w:val="none"/>
          </w:rPr>
          <w:t xml:space="preserve"> </w:t>
        </w:r>
        <w:r w:rsidRPr="002D6FA2">
          <w:rPr>
            <w:rStyle w:val="Hyperlink"/>
            <w:color w:val="000000" w:themeColor="text1"/>
            <w:sz w:val="20"/>
            <w:u w:val="none"/>
          </w:rPr>
          <w:t>C</w:t>
        </w:r>
        <w:r w:rsidRPr="002D6FA2">
          <w:rPr>
            <w:rStyle w:val="Hyperlink"/>
            <w:color w:val="000000" w:themeColor="text1"/>
            <w:sz w:val="16"/>
            <w:u w:val="none"/>
          </w:rPr>
          <w:t>ARE</w:t>
        </w:r>
        <w:r w:rsidRPr="002D6FA2">
          <w:rPr>
            <w:rStyle w:val="Hyperlink"/>
            <w:color w:val="000000" w:themeColor="text1"/>
            <w:spacing w:val="-2"/>
            <w:sz w:val="16"/>
            <w:u w:val="none"/>
          </w:rPr>
          <w:t xml:space="preserve"> </w:t>
        </w:r>
        <w:r w:rsidRPr="002D6FA2">
          <w:rPr>
            <w:rStyle w:val="Hyperlink"/>
            <w:color w:val="000000" w:themeColor="text1"/>
            <w:sz w:val="20"/>
            <w:u w:val="none"/>
          </w:rPr>
          <w:t>O</w:t>
        </w:r>
        <w:r w:rsidRPr="002D6FA2">
          <w:rPr>
            <w:rStyle w:val="Hyperlink"/>
            <w:color w:val="000000" w:themeColor="text1"/>
            <w:sz w:val="16"/>
            <w:u w:val="none"/>
          </w:rPr>
          <w:t>RGANIZATION</w:t>
        </w:r>
        <w:r w:rsidRPr="002D6FA2">
          <w:rPr>
            <w:rStyle w:val="Hyperlink"/>
            <w:color w:val="000000" w:themeColor="text1"/>
            <w:spacing w:val="-5"/>
            <w:sz w:val="16"/>
            <w:u w:val="none"/>
          </w:rPr>
          <w:t xml:space="preserve"> </w:t>
        </w:r>
        <w:r w:rsidRPr="002D6FA2">
          <w:rPr>
            <w:rStyle w:val="Hyperlink"/>
            <w:color w:val="000000" w:themeColor="text1"/>
            <w:sz w:val="16"/>
            <w:u w:val="none"/>
          </w:rPr>
          <w:t>BY</w:t>
        </w:r>
        <w:r w:rsidRPr="002D6FA2">
          <w:rPr>
            <w:rStyle w:val="Hyperlink"/>
            <w:color w:val="000000" w:themeColor="text1"/>
            <w:spacing w:val="-3"/>
            <w:sz w:val="16"/>
            <w:u w:val="none"/>
          </w:rPr>
          <w:t xml:space="preserve"> </w:t>
        </w:r>
        <w:r w:rsidRPr="002D6FA2">
          <w:rPr>
            <w:rStyle w:val="Hyperlink"/>
            <w:color w:val="000000" w:themeColor="text1"/>
            <w:sz w:val="20"/>
            <w:u w:val="none"/>
          </w:rPr>
          <w:t>B</w:t>
        </w:r>
        <w:r w:rsidRPr="002D6FA2">
          <w:rPr>
            <w:rStyle w:val="Hyperlink"/>
            <w:color w:val="000000" w:themeColor="text1"/>
            <w:sz w:val="16"/>
            <w:u w:val="none"/>
          </w:rPr>
          <w:t>ETH</w:t>
        </w:r>
        <w:r w:rsidRPr="002D6FA2">
          <w:rPr>
            <w:rStyle w:val="Hyperlink"/>
            <w:color w:val="000000" w:themeColor="text1"/>
            <w:spacing w:val="-3"/>
            <w:sz w:val="16"/>
            <w:u w:val="none"/>
          </w:rPr>
          <w:t xml:space="preserve"> </w:t>
        </w:r>
        <w:r w:rsidRPr="002D6FA2">
          <w:rPr>
            <w:rStyle w:val="Hyperlink"/>
            <w:color w:val="000000" w:themeColor="text1"/>
            <w:sz w:val="20"/>
            <w:u w:val="none"/>
          </w:rPr>
          <w:t>I</w:t>
        </w:r>
        <w:r w:rsidRPr="002D6FA2">
          <w:rPr>
            <w:rStyle w:val="Hyperlink"/>
            <w:color w:val="000000" w:themeColor="text1"/>
            <w:sz w:val="16"/>
            <w:u w:val="none"/>
          </w:rPr>
          <w:t>SRAEL</w:t>
        </w:r>
        <w:r w:rsidRPr="002D6FA2">
          <w:rPr>
            <w:rStyle w:val="Hyperlink"/>
            <w:color w:val="000000" w:themeColor="text1"/>
            <w:spacing w:val="-2"/>
            <w:sz w:val="16"/>
            <w:u w:val="none"/>
          </w:rPr>
          <w:t xml:space="preserve"> </w:t>
        </w:r>
        <w:r w:rsidRPr="002D6FA2">
          <w:rPr>
            <w:rStyle w:val="Hyperlink"/>
            <w:color w:val="000000" w:themeColor="text1"/>
            <w:sz w:val="20"/>
            <w:u w:val="none"/>
          </w:rPr>
          <w:t>L</w:t>
        </w:r>
        <w:r w:rsidRPr="002D6FA2">
          <w:rPr>
            <w:rStyle w:val="Hyperlink"/>
            <w:color w:val="000000" w:themeColor="text1"/>
            <w:sz w:val="16"/>
            <w:u w:val="none"/>
          </w:rPr>
          <w:t>AHEY</w:t>
        </w:r>
        <w:r w:rsidRPr="002D6FA2">
          <w:rPr>
            <w:rStyle w:val="Hyperlink"/>
            <w:color w:val="000000" w:themeColor="text1"/>
            <w:spacing w:val="-3"/>
            <w:sz w:val="16"/>
            <w:u w:val="none"/>
          </w:rPr>
          <w:t xml:space="preserve"> </w:t>
        </w:r>
        <w:r w:rsidRPr="002D6FA2">
          <w:rPr>
            <w:rStyle w:val="Hyperlink"/>
            <w:color w:val="000000" w:themeColor="text1"/>
            <w:sz w:val="20"/>
            <w:u w:val="none"/>
          </w:rPr>
          <w:t>H</w:t>
        </w:r>
        <w:r w:rsidRPr="002D6FA2">
          <w:rPr>
            <w:rStyle w:val="Hyperlink"/>
            <w:color w:val="000000" w:themeColor="text1"/>
            <w:sz w:val="16"/>
            <w:u w:val="none"/>
          </w:rPr>
          <w:t>EALTH</w:t>
        </w:r>
        <w:r w:rsidRPr="002D6FA2">
          <w:rPr>
            <w:rStyle w:val="Hyperlink"/>
            <w:color w:val="000000" w:themeColor="text1"/>
            <w:sz w:val="20"/>
            <w:u w:val="none"/>
          </w:rPr>
          <w:t>;</w:t>
        </w:r>
        <w:r w:rsidRPr="002D6FA2">
          <w:rPr>
            <w:rStyle w:val="Hyperlink"/>
            <w:color w:val="000000" w:themeColor="text1"/>
            <w:spacing w:val="-12"/>
            <w:sz w:val="20"/>
            <w:u w:val="none"/>
          </w:rPr>
          <w:t xml:space="preserve"> </w:t>
        </w:r>
        <w:r w:rsidRPr="002D6FA2">
          <w:rPr>
            <w:rStyle w:val="Hyperlink"/>
            <w:color w:val="000000" w:themeColor="text1"/>
            <w:sz w:val="20"/>
            <w:u w:val="none"/>
          </w:rPr>
          <w:t>AND</w:t>
        </w:r>
        <w:r w:rsidRPr="002D6FA2">
          <w:rPr>
            <w:rStyle w:val="Hyperlink"/>
            <w:color w:val="000000" w:themeColor="text1"/>
            <w:spacing w:val="-12"/>
            <w:sz w:val="20"/>
            <w:u w:val="none"/>
          </w:rPr>
          <w:t xml:space="preserve"> </w:t>
        </w:r>
        <w:r w:rsidRPr="002D6FA2">
          <w:rPr>
            <w:rStyle w:val="Hyperlink"/>
            <w:color w:val="000000" w:themeColor="text1"/>
            <w:sz w:val="20"/>
            <w:u w:val="none"/>
          </w:rPr>
          <w:t>T</w:t>
        </w:r>
        <w:r w:rsidRPr="002D6FA2">
          <w:rPr>
            <w:rStyle w:val="Hyperlink"/>
            <w:color w:val="000000" w:themeColor="text1"/>
            <w:sz w:val="16"/>
            <w:u w:val="none"/>
          </w:rPr>
          <w:t>HE</w:t>
        </w:r>
        <w:r w:rsidRPr="002D6FA2">
          <w:rPr>
            <w:rStyle w:val="Hyperlink"/>
            <w:color w:val="000000" w:themeColor="text1"/>
            <w:spacing w:val="-2"/>
            <w:sz w:val="16"/>
            <w:u w:val="none"/>
          </w:rPr>
          <w:t xml:space="preserve"> </w:t>
        </w:r>
        <w:r w:rsidRPr="002D6FA2">
          <w:rPr>
            <w:rStyle w:val="Hyperlink"/>
            <w:color w:val="000000" w:themeColor="text1"/>
            <w:sz w:val="20"/>
            <w:u w:val="none"/>
          </w:rPr>
          <w:t>C</w:t>
        </w:r>
        <w:r w:rsidRPr="002D6FA2">
          <w:rPr>
            <w:rStyle w:val="Hyperlink"/>
            <w:color w:val="000000" w:themeColor="text1"/>
            <w:sz w:val="16"/>
            <w:u w:val="none"/>
          </w:rPr>
          <w:t>ONTRACTING</w:t>
        </w:r>
        <w:r w:rsidRPr="002D6FA2">
          <w:rPr>
            <w:rStyle w:val="Hyperlink"/>
            <w:color w:val="000000" w:themeColor="text1"/>
            <w:spacing w:val="40"/>
            <w:sz w:val="16"/>
            <w:u w:val="none"/>
          </w:rPr>
          <w:t xml:space="preserve"> </w:t>
        </w:r>
        <w:r w:rsidRPr="002D6FA2">
          <w:rPr>
            <w:rStyle w:val="Hyperlink"/>
            <w:color w:val="000000" w:themeColor="text1"/>
            <w:sz w:val="20"/>
            <w:u w:val="none"/>
          </w:rPr>
          <w:t>A</w:t>
        </w:r>
        <w:r w:rsidRPr="002D6FA2">
          <w:rPr>
            <w:rStyle w:val="Hyperlink"/>
            <w:color w:val="000000" w:themeColor="text1"/>
            <w:sz w:val="16"/>
            <w:u w:val="none"/>
          </w:rPr>
          <w:t xml:space="preserve">FFILIATION </w:t>
        </w:r>
        <w:r w:rsidRPr="002D6FA2">
          <w:rPr>
            <w:rStyle w:val="Hyperlink"/>
            <w:color w:val="000000" w:themeColor="text1"/>
            <w:sz w:val="20"/>
            <w:u w:val="none"/>
          </w:rPr>
          <w:t>B</w:t>
        </w:r>
        <w:r w:rsidRPr="002D6FA2">
          <w:rPr>
            <w:rStyle w:val="Hyperlink"/>
            <w:color w:val="000000" w:themeColor="text1"/>
            <w:sz w:val="16"/>
            <w:u w:val="none"/>
          </w:rPr>
          <w:t xml:space="preserve">ETWEEN </w:t>
        </w:r>
        <w:r w:rsidRPr="002D6FA2">
          <w:rPr>
            <w:rStyle w:val="Hyperlink"/>
            <w:color w:val="000000" w:themeColor="text1"/>
            <w:sz w:val="20"/>
            <w:u w:val="none"/>
          </w:rPr>
          <w:t>B</w:t>
        </w:r>
        <w:r w:rsidRPr="002D6FA2">
          <w:rPr>
            <w:rStyle w:val="Hyperlink"/>
            <w:color w:val="000000" w:themeColor="text1"/>
            <w:sz w:val="16"/>
            <w:u w:val="none"/>
          </w:rPr>
          <w:t xml:space="preserve">ETH </w:t>
        </w:r>
        <w:r w:rsidRPr="002D6FA2">
          <w:rPr>
            <w:rStyle w:val="Hyperlink"/>
            <w:color w:val="000000" w:themeColor="text1"/>
            <w:sz w:val="20"/>
            <w:u w:val="none"/>
          </w:rPr>
          <w:t>I</w:t>
        </w:r>
        <w:r w:rsidRPr="002D6FA2">
          <w:rPr>
            <w:rStyle w:val="Hyperlink"/>
            <w:color w:val="000000" w:themeColor="text1"/>
            <w:sz w:val="16"/>
            <w:u w:val="none"/>
          </w:rPr>
          <w:t xml:space="preserve">SRAEL </w:t>
        </w:r>
        <w:r w:rsidRPr="002D6FA2">
          <w:rPr>
            <w:rStyle w:val="Hyperlink"/>
            <w:color w:val="000000" w:themeColor="text1"/>
            <w:sz w:val="20"/>
            <w:u w:val="none"/>
          </w:rPr>
          <w:t>L</w:t>
        </w:r>
        <w:r w:rsidRPr="002D6FA2">
          <w:rPr>
            <w:rStyle w:val="Hyperlink"/>
            <w:color w:val="000000" w:themeColor="text1"/>
            <w:sz w:val="16"/>
            <w:u w:val="none"/>
          </w:rPr>
          <w:t xml:space="preserve">AHEY </w:t>
        </w:r>
        <w:r w:rsidRPr="002D6FA2">
          <w:rPr>
            <w:rStyle w:val="Hyperlink"/>
            <w:color w:val="000000" w:themeColor="text1"/>
            <w:sz w:val="20"/>
            <w:u w:val="none"/>
          </w:rPr>
          <w:t>H</w:t>
        </w:r>
        <w:r w:rsidRPr="002D6FA2">
          <w:rPr>
            <w:rStyle w:val="Hyperlink"/>
            <w:color w:val="000000" w:themeColor="text1"/>
            <w:sz w:val="16"/>
            <w:u w:val="none"/>
          </w:rPr>
          <w:t xml:space="preserve">EALTH AND </w:t>
        </w:r>
        <w:r w:rsidRPr="002D6FA2">
          <w:rPr>
            <w:rStyle w:val="Hyperlink"/>
            <w:color w:val="000000" w:themeColor="text1"/>
            <w:sz w:val="20"/>
            <w:u w:val="none"/>
          </w:rPr>
          <w:t>M</w:t>
        </w:r>
        <w:r w:rsidRPr="002D6FA2">
          <w:rPr>
            <w:rStyle w:val="Hyperlink"/>
            <w:color w:val="000000" w:themeColor="text1"/>
            <w:sz w:val="16"/>
            <w:u w:val="none"/>
          </w:rPr>
          <w:t xml:space="preserve">OUNT </w:t>
        </w:r>
        <w:r w:rsidRPr="002D6FA2">
          <w:rPr>
            <w:rStyle w:val="Hyperlink"/>
            <w:color w:val="000000" w:themeColor="text1"/>
            <w:sz w:val="20"/>
            <w:u w:val="none"/>
          </w:rPr>
          <w:t>A</w:t>
        </w:r>
        <w:r w:rsidRPr="002D6FA2">
          <w:rPr>
            <w:rStyle w:val="Hyperlink"/>
            <w:color w:val="000000" w:themeColor="text1"/>
            <w:sz w:val="16"/>
            <w:u w:val="none"/>
          </w:rPr>
          <w:t xml:space="preserve">UBURN </w:t>
        </w:r>
        <w:r w:rsidRPr="002D6FA2">
          <w:rPr>
            <w:rStyle w:val="Hyperlink"/>
            <w:color w:val="000000" w:themeColor="text1"/>
            <w:sz w:val="20"/>
            <w:u w:val="none"/>
          </w:rPr>
          <w:t>C</w:t>
        </w:r>
        <w:r w:rsidRPr="002D6FA2">
          <w:rPr>
            <w:rStyle w:val="Hyperlink"/>
            <w:color w:val="000000" w:themeColor="text1"/>
            <w:sz w:val="16"/>
            <w:u w:val="none"/>
          </w:rPr>
          <w:t xml:space="preserve">AMBRIDGE </w:t>
        </w:r>
        <w:r w:rsidRPr="002D6FA2">
          <w:rPr>
            <w:rStyle w:val="Hyperlink"/>
            <w:color w:val="000000" w:themeColor="text1"/>
            <w:sz w:val="20"/>
            <w:u w:val="none"/>
          </w:rPr>
          <w:t>I</w:t>
        </w:r>
        <w:r w:rsidRPr="002D6FA2">
          <w:rPr>
            <w:rStyle w:val="Hyperlink"/>
            <w:color w:val="000000" w:themeColor="text1"/>
            <w:sz w:val="16"/>
            <w:u w:val="none"/>
          </w:rPr>
          <w:t xml:space="preserve">NDEPENDENT </w:t>
        </w:r>
        <w:r w:rsidRPr="002D6FA2">
          <w:rPr>
            <w:rStyle w:val="Hyperlink"/>
            <w:color w:val="000000" w:themeColor="text1"/>
            <w:sz w:val="20"/>
            <w:u w:val="none"/>
          </w:rPr>
          <w:t>P</w:t>
        </w:r>
        <w:r w:rsidRPr="002D6FA2">
          <w:rPr>
            <w:rStyle w:val="Hyperlink"/>
            <w:color w:val="000000" w:themeColor="text1"/>
            <w:sz w:val="16"/>
            <w:u w:val="none"/>
          </w:rPr>
          <w:t xml:space="preserve">RACTICE </w:t>
        </w:r>
        <w:r w:rsidRPr="002D6FA2">
          <w:rPr>
            <w:rStyle w:val="Hyperlink"/>
            <w:color w:val="000000" w:themeColor="text1"/>
            <w:sz w:val="20"/>
            <w:u w:val="none"/>
          </w:rPr>
          <w:t>A</w:t>
        </w:r>
        <w:r w:rsidRPr="002D6FA2">
          <w:rPr>
            <w:rStyle w:val="Hyperlink"/>
            <w:color w:val="000000" w:themeColor="text1"/>
            <w:sz w:val="16"/>
            <w:u w:val="none"/>
          </w:rPr>
          <w:t>SSOCIATION</w:t>
        </w:r>
      </w:hyperlink>
    </w:p>
    <w:p w14:paraId="3DD677A6" w14:textId="3ACFCDD8" w:rsidR="003D6FCB" w:rsidRPr="003D6FCB" w:rsidRDefault="003D6FCB" w:rsidP="003D6FCB">
      <w:pPr>
        <w:spacing w:before="2"/>
        <w:ind w:left="959" w:right="940"/>
        <w:rPr>
          <w:sz w:val="20"/>
        </w:rPr>
      </w:pPr>
      <w:r>
        <w:rPr>
          <w:sz w:val="20"/>
        </w:rPr>
        <w:t>(HPC-CMIR-2017-2)</w:t>
      </w:r>
      <w:r>
        <w:rPr>
          <w:spacing w:val="-7"/>
          <w:sz w:val="20"/>
        </w:rPr>
        <w:t xml:space="preserve"> </w:t>
      </w:r>
      <w:r>
        <w:rPr>
          <w:sz w:val="20"/>
        </w:rPr>
        <w:t>at</w:t>
      </w:r>
      <w:r>
        <w:rPr>
          <w:spacing w:val="-5"/>
          <w:sz w:val="20"/>
        </w:rPr>
        <w:t xml:space="preserve"> </w:t>
      </w:r>
      <w:r>
        <w:rPr>
          <w:sz w:val="20"/>
        </w:rPr>
        <w:t>13</w:t>
      </w:r>
      <w:r>
        <w:rPr>
          <w:spacing w:val="-5"/>
          <w:sz w:val="20"/>
        </w:rPr>
        <w:t xml:space="preserve"> </w:t>
      </w:r>
      <w:r>
        <w:rPr>
          <w:sz w:val="20"/>
        </w:rPr>
        <w:t>(Sept.</w:t>
      </w:r>
      <w:r>
        <w:rPr>
          <w:spacing w:val="-5"/>
          <w:sz w:val="20"/>
        </w:rPr>
        <w:t xml:space="preserve"> </w:t>
      </w:r>
      <w:r>
        <w:rPr>
          <w:sz w:val="20"/>
        </w:rPr>
        <w:t>2018),</w:t>
      </w:r>
      <w:r>
        <w:rPr>
          <w:spacing w:val="-5"/>
          <w:sz w:val="20"/>
        </w:rPr>
        <w:t xml:space="preserve"> </w:t>
      </w:r>
      <w:r>
        <w:rPr>
          <w:i/>
          <w:sz w:val="20"/>
        </w:rPr>
        <w:t>available</w:t>
      </w:r>
      <w:r>
        <w:rPr>
          <w:i/>
          <w:spacing w:val="-5"/>
          <w:sz w:val="20"/>
        </w:rPr>
        <w:t xml:space="preserve"> </w:t>
      </w:r>
      <w:r>
        <w:rPr>
          <w:i/>
          <w:sz w:val="20"/>
        </w:rPr>
        <w:t>at</w:t>
      </w:r>
      <w:r>
        <w:rPr>
          <w:i/>
          <w:spacing w:val="-7"/>
          <w:sz w:val="20"/>
        </w:rPr>
        <w:t xml:space="preserve"> </w:t>
      </w:r>
      <w:hyperlink r:id="rId250">
        <w:r>
          <w:rPr>
            <w:color w:val="486794"/>
            <w:sz w:val="20"/>
            <w:u w:val="single" w:color="486794"/>
          </w:rPr>
          <w:t>https://www.mass.gov/doc/final-cmir-report-beth-</w:t>
        </w:r>
      </w:hyperlink>
      <w:r>
        <w:rPr>
          <w:color w:val="486794"/>
          <w:sz w:val="20"/>
        </w:rPr>
        <w:t xml:space="preserve"> </w:t>
      </w:r>
      <w:hyperlink r:id="rId251">
        <w:proofErr w:type="spellStart"/>
        <w:r>
          <w:rPr>
            <w:color w:val="486794"/>
            <w:spacing w:val="-2"/>
            <w:sz w:val="20"/>
            <w:u w:val="single" w:color="486794"/>
          </w:rPr>
          <w:t>israel</w:t>
        </w:r>
        <w:proofErr w:type="spellEnd"/>
        <w:r>
          <w:rPr>
            <w:color w:val="486794"/>
            <w:spacing w:val="-2"/>
            <w:sz w:val="20"/>
            <w:u w:val="single" w:color="486794"/>
          </w:rPr>
          <w:t>-</w:t>
        </w:r>
        <w:proofErr w:type="spellStart"/>
        <w:r>
          <w:rPr>
            <w:color w:val="486794"/>
            <w:spacing w:val="-2"/>
            <w:sz w:val="20"/>
            <w:u w:val="single" w:color="486794"/>
          </w:rPr>
          <w:t>lahey</w:t>
        </w:r>
        <w:proofErr w:type="spellEnd"/>
        <w:r>
          <w:rPr>
            <w:color w:val="486794"/>
            <w:spacing w:val="-2"/>
            <w:sz w:val="20"/>
            <w:u w:val="single" w:color="486794"/>
          </w:rPr>
          <w:t>-health/download</w:t>
        </w:r>
        <w:r>
          <w:rPr>
            <w:spacing w:val="-2"/>
            <w:sz w:val="20"/>
          </w:rPr>
          <w:t>.</w:t>
        </w:r>
      </w:hyperlink>
    </w:p>
  </w:footnote>
  <w:footnote w:id="179">
    <w:p w14:paraId="36414681" w14:textId="142A88D7" w:rsidR="003D6FCB" w:rsidRDefault="003D6FCB" w:rsidP="003D6FCB">
      <w:pPr>
        <w:pStyle w:val="FootnoteText"/>
        <w:ind w:left="959" w:right="940"/>
      </w:pPr>
      <w:r>
        <w:rPr>
          <w:rStyle w:val="FootnoteReference"/>
        </w:rPr>
        <w:footnoteRef/>
      </w:r>
      <w:r>
        <w:t xml:space="preserve"> The metrics included two Patient Experience metrics, two structural metrics, six Timely and Effective Care</w:t>
      </w:r>
      <w:r>
        <w:rPr>
          <w:spacing w:val="-5"/>
        </w:rPr>
        <w:t xml:space="preserve"> </w:t>
      </w:r>
      <w:r>
        <w:t>metrics,</w:t>
      </w:r>
      <w:r>
        <w:rPr>
          <w:spacing w:val="-3"/>
        </w:rPr>
        <w:t xml:space="preserve"> </w:t>
      </w:r>
      <w:r>
        <w:t>and</w:t>
      </w:r>
      <w:r>
        <w:rPr>
          <w:spacing w:val="-3"/>
        </w:rPr>
        <w:t xml:space="preserve"> </w:t>
      </w:r>
      <w:r>
        <w:t>eight</w:t>
      </w:r>
      <w:r>
        <w:rPr>
          <w:spacing w:val="-3"/>
        </w:rPr>
        <w:t xml:space="preserve"> </w:t>
      </w:r>
      <w:r>
        <w:t>Unplanned</w:t>
      </w:r>
      <w:r>
        <w:rPr>
          <w:spacing w:val="-3"/>
        </w:rPr>
        <w:t xml:space="preserve"> </w:t>
      </w:r>
      <w:r>
        <w:t>Hospital</w:t>
      </w:r>
      <w:r>
        <w:rPr>
          <w:spacing w:val="-4"/>
        </w:rPr>
        <w:t xml:space="preserve"> </w:t>
      </w:r>
      <w:r>
        <w:t>Admission</w:t>
      </w:r>
      <w:r>
        <w:rPr>
          <w:spacing w:val="-4"/>
        </w:rPr>
        <w:t xml:space="preserve"> </w:t>
      </w:r>
      <w:r>
        <w:t>Metrics,</w:t>
      </w:r>
      <w:r>
        <w:rPr>
          <w:spacing w:val="-3"/>
        </w:rPr>
        <w:t xml:space="preserve"> </w:t>
      </w:r>
      <w:r>
        <w:t>twenty-eight</w:t>
      </w:r>
      <w:r>
        <w:rPr>
          <w:spacing w:val="-3"/>
        </w:rPr>
        <w:t xml:space="preserve"> </w:t>
      </w:r>
      <w:r>
        <w:t>AHRQ</w:t>
      </w:r>
      <w:r>
        <w:rPr>
          <w:spacing w:val="-5"/>
        </w:rPr>
        <w:t xml:space="preserve"> </w:t>
      </w:r>
      <w:r>
        <w:t>mortality</w:t>
      </w:r>
      <w:r>
        <w:rPr>
          <w:spacing w:val="-5"/>
        </w:rPr>
        <w:t xml:space="preserve"> </w:t>
      </w:r>
      <w:r>
        <w:t>metrics,</w:t>
      </w:r>
      <w:r>
        <w:rPr>
          <w:spacing w:val="-3"/>
        </w:rPr>
        <w:t xml:space="preserve"> </w:t>
      </w:r>
      <w:r>
        <w:t xml:space="preserve">and thirteen AHRQ safety metrics. </w:t>
      </w:r>
      <w:r>
        <w:rPr>
          <w:i/>
        </w:rPr>
        <w:t xml:space="preserve">See Hospital Compare Datasets, supra </w:t>
      </w:r>
      <w:r>
        <w:t xml:space="preserve">note </w:t>
      </w:r>
      <w:hyperlink w:anchor="_bookmark184" w:history="1">
        <w:r>
          <w:t>161</w:t>
        </w:r>
      </w:hyperlink>
      <w:r>
        <w:t xml:space="preserve"> and </w:t>
      </w:r>
      <w:r>
        <w:rPr>
          <w:i/>
        </w:rPr>
        <w:t xml:space="preserve">Quality Indicators Software Instructions and Data Dictionary, SAS® QI v2023, supra </w:t>
      </w:r>
      <w:r>
        <w:t xml:space="preserve">note </w:t>
      </w:r>
      <w:hyperlink w:anchor="_bookmark189" w:history="1">
        <w:r>
          <w:t>165.</w:t>
        </w:r>
      </w:hyperlink>
    </w:p>
  </w:footnote>
  <w:footnote w:id="180">
    <w:p w14:paraId="0F241783" w14:textId="050FEA78" w:rsidR="003D6FCB" w:rsidRDefault="003D6FCB" w:rsidP="003D6FCB">
      <w:pPr>
        <w:pStyle w:val="FootnoteText"/>
        <w:ind w:left="959" w:right="940"/>
      </w:pPr>
      <w:r>
        <w:rPr>
          <w:rStyle w:val="FootnoteReference"/>
        </w:rPr>
        <w:footnoteRef/>
      </w:r>
      <w:r>
        <w:t xml:space="preserve"> Confidence</w:t>
      </w:r>
      <w:r>
        <w:rPr>
          <w:spacing w:val="-4"/>
        </w:rPr>
        <w:t xml:space="preserve"> </w:t>
      </w:r>
      <w:r>
        <w:t>intervals</w:t>
      </w:r>
      <w:r>
        <w:rPr>
          <w:spacing w:val="-2"/>
        </w:rPr>
        <w:t xml:space="preserve"> </w:t>
      </w:r>
      <w:r>
        <w:t>were</w:t>
      </w:r>
      <w:r>
        <w:rPr>
          <w:spacing w:val="-4"/>
        </w:rPr>
        <w:t xml:space="preserve"> </w:t>
      </w:r>
      <w:r>
        <w:t>calculated</w:t>
      </w:r>
      <w:r>
        <w:rPr>
          <w:spacing w:val="-2"/>
        </w:rPr>
        <w:t xml:space="preserve"> </w:t>
      </w:r>
      <w:r>
        <w:t>for</w:t>
      </w:r>
      <w:r>
        <w:rPr>
          <w:spacing w:val="-4"/>
        </w:rPr>
        <w:t xml:space="preserve"> </w:t>
      </w:r>
      <w:r>
        <w:t>each</w:t>
      </w:r>
      <w:r>
        <w:rPr>
          <w:spacing w:val="-3"/>
        </w:rPr>
        <w:t xml:space="preserve"> </w:t>
      </w:r>
      <w:r>
        <w:t>metric</w:t>
      </w:r>
      <w:r>
        <w:rPr>
          <w:spacing w:val="-2"/>
        </w:rPr>
        <w:t xml:space="preserve"> </w:t>
      </w:r>
      <w:r>
        <w:t>at</w:t>
      </w:r>
      <w:r>
        <w:rPr>
          <w:spacing w:val="-2"/>
        </w:rPr>
        <w:t xml:space="preserve"> </w:t>
      </w:r>
      <w:r>
        <w:t>the</w:t>
      </w:r>
      <w:r>
        <w:rPr>
          <w:spacing w:val="-4"/>
        </w:rPr>
        <w:t xml:space="preserve"> </w:t>
      </w:r>
      <w:r>
        <w:t>hospital</w:t>
      </w:r>
      <w:r>
        <w:rPr>
          <w:spacing w:val="-3"/>
        </w:rPr>
        <w:t xml:space="preserve"> </w:t>
      </w:r>
      <w:r>
        <w:t>and</w:t>
      </w:r>
      <w:r>
        <w:rPr>
          <w:spacing w:val="-2"/>
        </w:rPr>
        <w:t xml:space="preserve"> </w:t>
      </w:r>
      <w:r>
        <w:t>statewide</w:t>
      </w:r>
      <w:r>
        <w:rPr>
          <w:spacing w:val="-4"/>
        </w:rPr>
        <w:t xml:space="preserve"> </w:t>
      </w:r>
      <w:r>
        <w:t>levels.</w:t>
      </w:r>
      <w:r>
        <w:rPr>
          <w:spacing w:val="-2"/>
        </w:rPr>
        <w:t xml:space="preserve"> </w:t>
      </w:r>
      <w:r>
        <w:t>If</w:t>
      </w:r>
      <w:r>
        <w:rPr>
          <w:spacing w:val="-3"/>
        </w:rPr>
        <w:t xml:space="preserve"> </w:t>
      </w:r>
      <w:r>
        <w:t>both</w:t>
      </w:r>
      <w:r>
        <w:rPr>
          <w:spacing w:val="-3"/>
        </w:rPr>
        <w:t xml:space="preserve"> </w:t>
      </w:r>
      <w:r>
        <w:t>the upper and lower bounds for a hospital calculated metric were above the upper and lower bounds for a statewide</w:t>
      </w:r>
      <w:r>
        <w:rPr>
          <w:spacing w:val="-3"/>
        </w:rPr>
        <w:t xml:space="preserve"> </w:t>
      </w:r>
      <w:r>
        <w:t>calculated</w:t>
      </w:r>
      <w:r>
        <w:rPr>
          <w:spacing w:val="-1"/>
        </w:rPr>
        <w:t xml:space="preserve"> </w:t>
      </w:r>
      <w:r>
        <w:t>metric,</w:t>
      </w:r>
      <w:r>
        <w:rPr>
          <w:spacing w:val="-1"/>
        </w:rPr>
        <w:t xml:space="preserve"> </w:t>
      </w:r>
      <w:r>
        <w:t>the</w:t>
      </w:r>
      <w:r>
        <w:rPr>
          <w:spacing w:val="-3"/>
        </w:rPr>
        <w:t xml:space="preserve"> </w:t>
      </w:r>
      <w:r>
        <w:t>hospital</w:t>
      </w:r>
      <w:r>
        <w:rPr>
          <w:spacing w:val="-2"/>
        </w:rPr>
        <w:t xml:space="preserve"> </w:t>
      </w:r>
      <w:r>
        <w:t>was</w:t>
      </w:r>
      <w:r>
        <w:rPr>
          <w:spacing w:val="-1"/>
        </w:rPr>
        <w:t xml:space="preserve"> </w:t>
      </w:r>
      <w:r>
        <w:t>considered to</w:t>
      </w:r>
      <w:r>
        <w:rPr>
          <w:spacing w:val="-2"/>
        </w:rPr>
        <w:t xml:space="preserve"> </w:t>
      </w:r>
      <w:r>
        <w:t>have</w:t>
      </w:r>
      <w:r>
        <w:rPr>
          <w:spacing w:val="-3"/>
        </w:rPr>
        <w:t xml:space="preserve"> </w:t>
      </w:r>
      <w:r>
        <w:t>performed</w:t>
      </w:r>
      <w:r>
        <w:rPr>
          <w:spacing w:val="-1"/>
        </w:rPr>
        <w:t xml:space="preserve"> </w:t>
      </w:r>
      <w:r>
        <w:t>statistically</w:t>
      </w:r>
      <w:r>
        <w:rPr>
          <w:spacing w:val="-3"/>
        </w:rPr>
        <w:t xml:space="preserve"> </w:t>
      </w:r>
      <w:r>
        <w:t>better</w:t>
      </w:r>
      <w:r>
        <w:rPr>
          <w:spacing w:val="-3"/>
        </w:rPr>
        <w:t xml:space="preserve"> </w:t>
      </w:r>
      <w:r>
        <w:t>than</w:t>
      </w:r>
      <w:r>
        <w:rPr>
          <w:spacing w:val="-2"/>
        </w:rPr>
        <w:t xml:space="preserve"> </w:t>
      </w:r>
      <w:r>
        <w:t>the statewide</w:t>
      </w:r>
      <w:r>
        <w:rPr>
          <w:spacing w:val="-1"/>
        </w:rPr>
        <w:t xml:space="preserve"> </w:t>
      </w:r>
      <w:r>
        <w:t>average. The</w:t>
      </w:r>
      <w:r>
        <w:rPr>
          <w:spacing w:val="-1"/>
        </w:rPr>
        <w:t xml:space="preserve"> </w:t>
      </w:r>
      <w:r>
        <w:t>opposite</w:t>
      </w:r>
      <w:r>
        <w:rPr>
          <w:spacing w:val="-1"/>
        </w:rPr>
        <w:t xml:space="preserve"> </w:t>
      </w:r>
      <w:r>
        <w:t>was found to be</w:t>
      </w:r>
      <w:r>
        <w:rPr>
          <w:spacing w:val="-1"/>
        </w:rPr>
        <w:t xml:space="preserve"> </w:t>
      </w:r>
      <w:r>
        <w:t>the</w:t>
      </w:r>
      <w:r>
        <w:rPr>
          <w:spacing w:val="-1"/>
        </w:rPr>
        <w:t xml:space="preserve"> </w:t>
      </w:r>
      <w:r>
        <w:t>case</w:t>
      </w:r>
      <w:r>
        <w:rPr>
          <w:spacing w:val="-1"/>
        </w:rPr>
        <w:t xml:space="preserve"> </w:t>
      </w:r>
      <w:r>
        <w:t>when hospital upper</w:t>
      </w:r>
      <w:r>
        <w:rPr>
          <w:spacing w:val="-1"/>
        </w:rPr>
        <w:t xml:space="preserve"> </w:t>
      </w:r>
      <w:r>
        <w:t>and lower</w:t>
      </w:r>
      <w:r>
        <w:rPr>
          <w:spacing w:val="-1"/>
        </w:rPr>
        <w:t xml:space="preserve"> </w:t>
      </w:r>
      <w:r>
        <w:t>bounds were both below statewide upper and lower bounds for a metric.</w:t>
      </w:r>
    </w:p>
  </w:footnote>
  <w:footnote w:id="181">
    <w:p w14:paraId="4E280C7F" w14:textId="303D1E56" w:rsidR="00587847" w:rsidRDefault="00587847" w:rsidP="00587847">
      <w:pPr>
        <w:pStyle w:val="FootnoteText"/>
        <w:ind w:left="900" w:right="940"/>
      </w:pPr>
      <w:r>
        <w:rPr>
          <w:rStyle w:val="FootnoteReference"/>
        </w:rPr>
        <w:footnoteRef/>
      </w:r>
      <w:r>
        <w:t xml:space="preserve"> Among</w:t>
      </w:r>
      <w:r>
        <w:rPr>
          <w:spacing w:val="-3"/>
        </w:rPr>
        <w:t xml:space="preserve"> </w:t>
      </w:r>
      <w:r>
        <w:t>the</w:t>
      </w:r>
      <w:r>
        <w:rPr>
          <w:spacing w:val="-4"/>
        </w:rPr>
        <w:t xml:space="preserve"> </w:t>
      </w:r>
      <w:r>
        <w:t>factors</w:t>
      </w:r>
      <w:r>
        <w:rPr>
          <w:spacing w:val="-2"/>
        </w:rPr>
        <w:t xml:space="preserve"> </w:t>
      </w:r>
      <w:r>
        <w:t>that</w:t>
      </w:r>
      <w:r>
        <w:rPr>
          <w:spacing w:val="-2"/>
        </w:rPr>
        <w:t xml:space="preserve"> </w:t>
      </w:r>
      <w:r>
        <w:t>HPC</w:t>
      </w:r>
      <w:r>
        <w:rPr>
          <w:spacing w:val="-1"/>
        </w:rPr>
        <w:t xml:space="preserve"> </w:t>
      </w:r>
      <w:r>
        <w:t>assesses</w:t>
      </w:r>
      <w:r>
        <w:rPr>
          <w:spacing w:val="-2"/>
        </w:rPr>
        <w:t xml:space="preserve"> </w:t>
      </w:r>
      <w:r>
        <w:t>in</w:t>
      </w:r>
      <w:r>
        <w:rPr>
          <w:spacing w:val="-3"/>
        </w:rPr>
        <w:t xml:space="preserve"> </w:t>
      </w:r>
      <w:r>
        <w:t>its</w:t>
      </w:r>
      <w:r>
        <w:rPr>
          <w:spacing w:val="-4"/>
        </w:rPr>
        <w:t xml:space="preserve"> </w:t>
      </w:r>
      <w:r>
        <w:t>review</w:t>
      </w:r>
      <w:r>
        <w:rPr>
          <w:spacing w:val="-3"/>
        </w:rPr>
        <w:t xml:space="preserve"> </w:t>
      </w:r>
      <w:r>
        <w:t>of</w:t>
      </w:r>
      <w:r>
        <w:rPr>
          <w:spacing w:val="-3"/>
        </w:rPr>
        <w:t xml:space="preserve"> </w:t>
      </w:r>
      <w:r>
        <w:t>material</w:t>
      </w:r>
      <w:r>
        <w:rPr>
          <w:spacing w:val="-3"/>
        </w:rPr>
        <w:t xml:space="preserve"> </w:t>
      </w:r>
      <w:r>
        <w:t>change</w:t>
      </w:r>
      <w:r>
        <w:rPr>
          <w:spacing w:val="-4"/>
        </w:rPr>
        <w:t xml:space="preserve"> </w:t>
      </w:r>
      <w:r>
        <w:t>notices</w:t>
      </w:r>
      <w:r>
        <w:rPr>
          <w:spacing w:val="-2"/>
        </w:rPr>
        <w:t xml:space="preserve"> </w:t>
      </w:r>
      <w:r>
        <w:t>are</w:t>
      </w:r>
      <w:r>
        <w:rPr>
          <w:spacing w:val="-4"/>
        </w:rPr>
        <w:t xml:space="preserve"> </w:t>
      </w:r>
      <w:r>
        <w:t>the</w:t>
      </w:r>
      <w:r>
        <w:rPr>
          <w:spacing w:val="-1"/>
        </w:rPr>
        <w:t xml:space="preserve"> </w:t>
      </w:r>
      <w:r>
        <w:t>role</w:t>
      </w:r>
      <w:r>
        <w:rPr>
          <w:spacing w:val="-4"/>
        </w:rPr>
        <w:t xml:space="preserve"> </w:t>
      </w:r>
      <w:r>
        <w:t>of</w:t>
      </w:r>
      <w:r>
        <w:rPr>
          <w:spacing w:val="-3"/>
        </w:rPr>
        <w:t xml:space="preserve"> </w:t>
      </w:r>
      <w:r>
        <w:t>the</w:t>
      </w:r>
      <w:r>
        <w:rPr>
          <w:spacing w:val="-1"/>
        </w:rPr>
        <w:t xml:space="preserve"> </w:t>
      </w:r>
      <w:r>
        <w:t xml:space="preserve">parties in “serving at-risk, underserved, and government payer patient populations” and the “availability and accessibility of services.” MASS. GEN. LAWS </w:t>
      </w:r>
      <w:proofErr w:type="spellStart"/>
      <w:r>
        <w:t>ch.</w:t>
      </w:r>
      <w:proofErr w:type="spellEnd"/>
      <w:r>
        <w:t xml:space="preserve"> 6D, § 13(d) (vi, ix-xii).</w:t>
      </w:r>
    </w:p>
  </w:footnote>
  <w:footnote w:id="182">
    <w:p w14:paraId="52524AC2" w14:textId="79A1FB2B" w:rsidR="00C65A1F" w:rsidRDefault="00C65A1F" w:rsidP="00C65A1F">
      <w:pPr>
        <w:pStyle w:val="FootnoteText"/>
        <w:ind w:left="990" w:right="940"/>
      </w:pPr>
      <w:r>
        <w:rPr>
          <w:rStyle w:val="FootnoteReference"/>
        </w:rPr>
        <w:footnoteRef/>
      </w:r>
      <w:r>
        <w:t xml:space="preserve"> HPC</w:t>
      </w:r>
      <w:r>
        <w:rPr>
          <w:spacing w:val="-6"/>
        </w:rPr>
        <w:t xml:space="preserve"> </w:t>
      </w:r>
      <w:r>
        <w:t>analysis</w:t>
      </w:r>
      <w:r>
        <w:rPr>
          <w:spacing w:val="-5"/>
        </w:rPr>
        <w:t xml:space="preserve"> </w:t>
      </w:r>
      <w:r>
        <w:t>of</w:t>
      </w:r>
      <w:r>
        <w:rPr>
          <w:spacing w:val="-6"/>
        </w:rPr>
        <w:t xml:space="preserve"> </w:t>
      </w:r>
      <w:r>
        <w:t>CHIA</w:t>
      </w:r>
      <w:r>
        <w:rPr>
          <w:spacing w:val="-7"/>
        </w:rPr>
        <w:t xml:space="preserve"> </w:t>
      </w:r>
      <w:r>
        <w:t>Massachusetts</w:t>
      </w:r>
      <w:r>
        <w:rPr>
          <w:spacing w:val="-5"/>
        </w:rPr>
        <w:t xml:space="preserve"> </w:t>
      </w:r>
      <w:r>
        <w:t>Hospital</w:t>
      </w:r>
      <w:r>
        <w:rPr>
          <w:spacing w:val="-6"/>
        </w:rPr>
        <w:t xml:space="preserve"> </w:t>
      </w:r>
      <w:r>
        <w:t>Discharge</w:t>
      </w:r>
      <w:r>
        <w:rPr>
          <w:spacing w:val="-7"/>
        </w:rPr>
        <w:t xml:space="preserve"> </w:t>
      </w:r>
      <w:r>
        <w:rPr>
          <w:spacing w:val="-2"/>
        </w:rPr>
        <w:t>Database.</w:t>
      </w:r>
    </w:p>
  </w:footnote>
  <w:footnote w:id="183">
    <w:p w14:paraId="53EB7E18" w14:textId="3844FEF7" w:rsidR="00C65A1F" w:rsidRDefault="00C65A1F" w:rsidP="00C65A1F">
      <w:pPr>
        <w:pStyle w:val="FootnoteText"/>
        <w:ind w:left="990" w:right="940"/>
      </w:pPr>
      <w:r>
        <w:rPr>
          <w:rStyle w:val="FootnoteReference"/>
        </w:rPr>
        <w:footnoteRef/>
      </w:r>
      <w:r>
        <w:t xml:space="preserve"> DFCI</w:t>
      </w:r>
      <w:r>
        <w:rPr>
          <w:spacing w:val="-3"/>
        </w:rPr>
        <w:t xml:space="preserve"> </w:t>
      </w:r>
      <w:r>
        <w:t>MCN,</w:t>
      </w:r>
      <w:r>
        <w:rPr>
          <w:spacing w:val="-3"/>
        </w:rPr>
        <w:t xml:space="preserve"> </w:t>
      </w:r>
      <w:r>
        <w:rPr>
          <w:i/>
        </w:rPr>
        <w:t>supra</w:t>
      </w:r>
      <w:r>
        <w:rPr>
          <w:i/>
          <w:spacing w:val="-5"/>
        </w:rPr>
        <w:t xml:space="preserve"> </w:t>
      </w:r>
      <w:r>
        <w:t>note</w:t>
      </w:r>
      <w:r>
        <w:rPr>
          <w:spacing w:val="-4"/>
        </w:rPr>
        <w:t xml:space="preserve"> </w:t>
      </w:r>
      <w:hyperlink w:anchor="_bookmark6" w:history="1">
        <w:r>
          <w:t>3,</w:t>
        </w:r>
      </w:hyperlink>
      <w:r>
        <w:rPr>
          <w:spacing w:val="-3"/>
        </w:rPr>
        <w:t xml:space="preserve"> </w:t>
      </w:r>
      <w:r>
        <w:t>at</w:t>
      </w:r>
      <w:r>
        <w:rPr>
          <w:spacing w:val="-3"/>
        </w:rPr>
        <w:t xml:space="preserve"> </w:t>
      </w:r>
      <w:r>
        <w:t>section</w:t>
      </w:r>
      <w:r>
        <w:rPr>
          <w:spacing w:val="-4"/>
        </w:rPr>
        <w:t xml:space="preserve"> </w:t>
      </w:r>
      <w:r>
        <w:rPr>
          <w:spacing w:val="-5"/>
        </w:rPr>
        <w:t>15.</w:t>
      </w:r>
    </w:p>
  </w:footnote>
  <w:footnote w:id="184">
    <w:p w14:paraId="224761EA" w14:textId="2F82BE49" w:rsidR="00C65A1F" w:rsidRDefault="00C65A1F" w:rsidP="00C65A1F">
      <w:pPr>
        <w:pStyle w:val="FootnoteText"/>
        <w:ind w:left="990" w:right="940"/>
      </w:pPr>
      <w:r>
        <w:rPr>
          <w:rStyle w:val="FootnoteReference"/>
        </w:rPr>
        <w:footnoteRef/>
      </w:r>
      <w:r>
        <w:t xml:space="preserve"> DFCI cited an increase in inpatient and outpatient utilization between 2020 and 2022, although utilization of oncology care was artificially depressed by the 2020 COVID-19 pandemic and the HPC observed</w:t>
      </w:r>
      <w:r>
        <w:rPr>
          <w:spacing w:val="-3"/>
        </w:rPr>
        <w:t xml:space="preserve"> </w:t>
      </w:r>
      <w:r>
        <w:t>minimal</w:t>
      </w:r>
      <w:r>
        <w:rPr>
          <w:spacing w:val="-4"/>
        </w:rPr>
        <w:t xml:space="preserve"> </w:t>
      </w:r>
      <w:r>
        <w:t>changes</w:t>
      </w:r>
      <w:r>
        <w:rPr>
          <w:spacing w:val="-3"/>
        </w:rPr>
        <w:t xml:space="preserve"> </w:t>
      </w:r>
      <w:r>
        <w:t>to</w:t>
      </w:r>
      <w:r>
        <w:rPr>
          <w:spacing w:val="-4"/>
        </w:rPr>
        <w:t xml:space="preserve"> </w:t>
      </w:r>
      <w:r>
        <w:t>inpatient</w:t>
      </w:r>
      <w:r>
        <w:rPr>
          <w:spacing w:val="-3"/>
        </w:rPr>
        <w:t xml:space="preserve"> </w:t>
      </w:r>
      <w:r>
        <w:t>utilization</w:t>
      </w:r>
      <w:r>
        <w:rPr>
          <w:spacing w:val="-4"/>
        </w:rPr>
        <w:t xml:space="preserve"> </w:t>
      </w:r>
      <w:r>
        <w:t>from</w:t>
      </w:r>
      <w:r>
        <w:rPr>
          <w:spacing w:val="-3"/>
        </w:rPr>
        <w:t xml:space="preserve"> </w:t>
      </w:r>
      <w:r>
        <w:t>2021</w:t>
      </w:r>
      <w:r>
        <w:rPr>
          <w:spacing w:val="-3"/>
        </w:rPr>
        <w:t xml:space="preserve"> </w:t>
      </w:r>
      <w:r>
        <w:t>to</w:t>
      </w:r>
      <w:r>
        <w:rPr>
          <w:spacing w:val="-4"/>
        </w:rPr>
        <w:t xml:space="preserve"> </w:t>
      </w:r>
      <w:r>
        <w:t>2022</w:t>
      </w:r>
      <w:r>
        <w:rPr>
          <w:spacing w:val="-3"/>
        </w:rPr>
        <w:t xml:space="preserve"> </w:t>
      </w:r>
      <w:r>
        <w:t>in</w:t>
      </w:r>
      <w:r>
        <w:rPr>
          <w:spacing w:val="-4"/>
        </w:rPr>
        <w:t xml:space="preserve"> </w:t>
      </w:r>
      <w:r>
        <w:t>available</w:t>
      </w:r>
      <w:r>
        <w:rPr>
          <w:spacing w:val="-4"/>
        </w:rPr>
        <w:t xml:space="preserve"> </w:t>
      </w:r>
      <w:r>
        <w:t>data.</w:t>
      </w:r>
      <w:r>
        <w:rPr>
          <w:spacing w:val="-3"/>
        </w:rPr>
        <w:t xml:space="preserve"> </w:t>
      </w:r>
      <w:r>
        <w:rPr>
          <w:i/>
        </w:rPr>
        <w:t>See</w:t>
      </w:r>
      <w:r>
        <w:rPr>
          <w:i/>
          <w:spacing w:val="-4"/>
        </w:rPr>
        <w:t xml:space="preserve"> </w:t>
      </w:r>
      <w:r>
        <w:t>DFCI</w:t>
      </w:r>
      <w:r>
        <w:rPr>
          <w:spacing w:val="-12"/>
        </w:rPr>
        <w:t xml:space="preserve"> </w:t>
      </w:r>
      <w:r>
        <w:t>D</w:t>
      </w:r>
      <w:r>
        <w:rPr>
          <w:sz w:val="16"/>
        </w:rPr>
        <w:t>O</w:t>
      </w:r>
      <w:r>
        <w:t>N N</w:t>
      </w:r>
      <w:r>
        <w:rPr>
          <w:sz w:val="16"/>
        </w:rPr>
        <w:t>ARRATIVE</w:t>
      </w:r>
      <w:r>
        <w:t xml:space="preserve">, </w:t>
      </w:r>
      <w:r>
        <w:rPr>
          <w:i/>
        </w:rPr>
        <w:t xml:space="preserve">supra </w:t>
      </w:r>
      <w:r>
        <w:t xml:space="preserve">note </w:t>
      </w:r>
      <w:hyperlink w:anchor="_bookmark7" w:history="1">
        <w:r>
          <w:t>8,</w:t>
        </w:r>
      </w:hyperlink>
      <w:r>
        <w:t xml:space="preserve"> at Tables 2 and 3.</w:t>
      </w:r>
    </w:p>
  </w:footnote>
  <w:footnote w:id="185">
    <w:p w14:paraId="34D2F972" w14:textId="3B6B8680" w:rsidR="00C65A1F" w:rsidRDefault="00C65A1F" w:rsidP="00C65A1F">
      <w:pPr>
        <w:pStyle w:val="FootnoteText"/>
        <w:ind w:left="990" w:right="940"/>
      </w:pPr>
      <w:r>
        <w:rPr>
          <w:rStyle w:val="FootnoteReference"/>
        </w:rPr>
        <w:footnoteRef/>
      </w:r>
      <w:r>
        <w:t xml:space="preserve"> DFCI</w:t>
      </w:r>
      <w:r>
        <w:rPr>
          <w:spacing w:val="-12"/>
        </w:rPr>
        <w:t xml:space="preserve"> </w:t>
      </w:r>
      <w:r>
        <w:t>D</w:t>
      </w:r>
      <w:r>
        <w:rPr>
          <w:sz w:val="16"/>
        </w:rPr>
        <w:t>O</w:t>
      </w:r>
      <w:r>
        <w:t>N</w:t>
      </w:r>
      <w:r>
        <w:rPr>
          <w:spacing w:val="-13"/>
        </w:rPr>
        <w:t xml:space="preserve"> </w:t>
      </w:r>
      <w:r>
        <w:t>N</w:t>
      </w:r>
      <w:r>
        <w:rPr>
          <w:sz w:val="16"/>
        </w:rPr>
        <w:t>ARRATIVE</w:t>
      </w:r>
      <w:r>
        <w:t>,</w:t>
      </w:r>
      <w:r>
        <w:rPr>
          <w:spacing w:val="-4"/>
        </w:rPr>
        <w:t xml:space="preserve"> </w:t>
      </w:r>
      <w:r>
        <w:rPr>
          <w:i/>
        </w:rPr>
        <w:t>supra</w:t>
      </w:r>
      <w:r>
        <w:rPr>
          <w:i/>
          <w:spacing w:val="-7"/>
        </w:rPr>
        <w:t xml:space="preserve"> </w:t>
      </w:r>
      <w:r>
        <w:t>note</w:t>
      </w:r>
      <w:r>
        <w:rPr>
          <w:spacing w:val="-5"/>
        </w:rPr>
        <w:t xml:space="preserve"> </w:t>
      </w:r>
      <w:hyperlink w:anchor="_bookmark7" w:history="1">
        <w:r>
          <w:t>8</w:t>
        </w:r>
        <w:r>
          <w:rPr>
            <w:i/>
          </w:rPr>
          <w:t>,</w:t>
        </w:r>
      </w:hyperlink>
      <w:r>
        <w:rPr>
          <w:i/>
          <w:spacing w:val="-4"/>
        </w:rPr>
        <w:t xml:space="preserve"> </w:t>
      </w:r>
      <w:r>
        <w:t>at</w:t>
      </w:r>
      <w:r>
        <w:rPr>
          <w:spacing w:val="-5"/>
        </w:rPr>
        <w:t xml:space="preserve"> </w:t>
      </w:r>
      <w:r>
        <w:t>15-</w:t>
      </w:r>
      <w:r>
        <w:rPr>
          <w:spacing w:val="-5"/>
        </w:rPr>
        <w:t>18.</w:t>
      </w:r>
    </w:p>
  </w:footnote>
  <w:footnote w:id="186">
    <w:p w14:paraId="6CAAFBB3" w14:textId="1D38DC2C" w:rsidR="001D7C1B" w:rsidRDefault="001D7C1B" w:rsidP="000F5FB5">
      <w:pPr>
        <w:pStyle w:val="FootnoteText"/>
        <w:ind w:left="990" w:right="1120"/>
      </w:pPr>
      <w:r>
        <w:rPr>
          <w:rStyle w:val="FootnoteReference"/>
        </w:rPr>
        <w:footnoteRef/>
      </w:r>
      <w:r>
        <w:t xml:space="preserve"> DFCI</w:t>
      </w:r>
      <w:r>
        <w:rPr>
          <w:spacing w:val="-4"/>
        </w:rPr>
        <w:t xml:space="preserve"> </w:t>
      </w:r>
      <w:r>
        <w:t>D</w:t>
      </w:r>
      <w:r>
        <w:rPr>
          <w:sz w:val="16"/>
        </w:rPr>
        <w:t>O</w:t>
      </w:r>
      <w:r>
        <w:t>N</w:t>
      </w:r>
      <w:r>
        <w:rPr>
          <w:spacing w:val="-4"/>
        </w:rPr>
        <w:t xml:space="preserve"> </w:t>
      </w:r>
      <w:r>
        <w:t>N</w:t>
      </w:r>
      <w:r>
        <w:rPr>
          <w:sz w:val="16"/>
        </w:rPr>
        <w:t>ARRATIVE</w:t>
      </w:r>
      <w:r>
        <w:t xml:space="preserve">, </w:t>
      </w:r>
      <w:r>
        <w:rPr>
          <w:i/>
        </w:rPr>
        <w:t xml:space="preserve">supra </w:t>
      </w:r>
      <w:r>
        <w:t xml:space="preserve">note </w:t>
      </w:r>
      <w:hyperlink w:anchor="_bookmark7" w:history="1">
        <w:r>
          <w:t>8,</w:t>
        </w:r>
      </w:hyperlink>
      <w:r>
        <w:t xml:space="preserve"> at Table 11 and pages 20-21 (DFCI estimates an average daily medical</w:t>
      </w:r>
      <w:r>
        <w:rPr>
          <w:spacing w:val="-3"/>
        </w:rPr>
        <w:t xml:space="preserve"> </w:t>
      </w:r>
      <w:r>
        <w:t>oncology</w:t>
      </w:r>
      <w:r>
        <w:rPr>
          <w:spacing w:val="-4"/>
        </w:rPr>
        <w:t xml:space="preserve"> </w:t>
      </w:r>
      <w:r>
        <w:t>inpatient</w:t>
      </w:r>
      <w:r>
        <w:rPr>
          <w:spacing w:val="-2"/>
        </w:rPr>
        <w:t xml:space="preserve"> </w:t>
      </w:r>
      <w:r>
        <w:t>census</w:t>
      </w:r>
      <w:r>
        <w:rPr>
          <w:spacing w:val="-2"/>
        </w:rPr>
        <w:t xml:space="preserve"> </w:t>
      </w:r>
      <w:r>
        <w:t>for</w:t>
      </w:r>
      <w:r>
        <w:rPr>
          <w:spacing w:val="-4"/>
        </w:rPr>
        <w:t xml:space="preserve"> </w:t>
      </w:r>
      <w:r>
        <w:t>BIDMC,</w:t>
      </w:r>
      <w:r>
        <w:rPr>
          <w:spacing w:val="-2"/>
        </w:rPr>
        <w:t xml:space="preserve"> </w:t>
      </w:r>
      <w:r>
        <w:t>DFCI,</w:t>
      </w:r>
      <w:r>
        <w:rPr>
          <w:spacing w:val="-2"/>
        </w:rPr>
        <w:t xml:space="preserve"> </w:t>
      </w:r>
      <w:r>
        <w:t>and BWH</w:t>
      </w:r>
      <w:r>
        <w:rPr>
          <w:spacing w:val="-4"/>
        </w:rPr>
        <w:t xml:space="preserve"> </w:t>
      </w:r>
      <w:r>
        <w:t>of</w:t>
      </w:r>
      <w:r>
        <w:rPr>
          <w:spacing w:val="-3"/>
        </w:rPr>
        <w:t xml:space="preserve"> </w:t>
      </w:r>
      <w:r>
        <w:t>272.9</w:t>
      </w:r>
      <w:r>
        <w:rPr>
          <w:spacing w:val="-2"/>
        </w:rPr>
        <w:t xml:space="preserve"> </w:t>
      </w:r>
      <w:r>
        <w:t>in</w:t>
      </w:r>
      <w:r>
        <w:rPr>
          <w:spacing w:val="-3"/>
        </w:rPr>
        <w:t xml:space="preserve"> </w:t>
      </w:r>
      <w:r>
        <w:t>2022,</w:t>
      </w:r>
      <w:r>
        <w:rPr>
          <w:spacing w:val="-2"/>
        </w:rPr>
        <w:t xml:space="preserve"> </w:t>
      </w:r>
      <w:r>
        <w:t>which</w:t>
      </w:r>
      <w:r>
        <w:rPr>
          <w:spacing w:val="-3"/>
        </w:rPr>
        <w:t xml:space="preserve"> </w:t>
      </w:r>
      <w:r>
        <w:t>would</w:t>
      </w:r>
      <w:r>
        <w:rPr>
          <w:spacing w:val="-2"/>
        </w:rPr>
        <w:t xml:space="preserve"> </w:t>
      </w:r>
      <w:r>
        <w:t>grow</w:t>
      </w:r>
      <w:r>
        <w:rPr>
          <w:spacing w:val="-3"/>
        </w:rPr>
        <w:t xml:space="preserve"> </w:t>
      </w:r>
      <w:r>
        <w:t>to</w:t>
      </w:r>
      <w:r>
        <w:rPr>
          <w:spacing w:val="-3"/>
        </w:rPr>
        <w:t xml:space="preserve"> </w:t>
      </w:r>
      <w:r>
        <w:t>321.6 in 2032, and a total bed need of 384 beds).</w:t>
      </w:r>
    </w:p>
  </w:footnote>
  <w:footnote w:id="187">
    <w:p w14:paraId="59306834" w14:textId="44EF0EF4" w:rsidR="003A7F19" w:rsidRDefault="003A7F19" w:rsidP="000F5FB5">
      <w:pPr>
        <w:pStyle w:val="FootnoteText"/>
        <w:ind w:left="990" w:right="1120"/>
      </w:pPr>
      <w:r>
        <w:rPr>
          <w:rStyle w:val="FootnoteReference"/>
        </w:rPr>
        <w:footnoteRef/>
      </w:r>
      <w:r>
        <w:t xml:space="preserve"> </w:t>
      </w:r>
      <w:r>
        <w:rPr>
          <w:i/>
          <w:spacing w:val="-5"/>
          <w:position w:val="-4"/>
        </w:rPr>
        <w:t>Id</w:t>
      </w:r>
      <w:r>
        <w:rPr>
          <w:spacing w:val="-5"/>
          <w:position w:val="-4"/>
        </w:rPr>
        <w:t>.</w:t>
      </w:r>
    </w:p>
  </w:footnote>
  <w:footnote w:id="188">
    <w:p w14:paraId="708494E2" w14:textId="2C5A078C" w:rsidR="003A7F19" w:rsidRDefault="003A7F19" w:rsidP="000F5FB5">
      <w:pPr>
        <w:pStyle w:val="FootnoteText"/>
        <w:ind w:left="990" w:right="1120"/>
      </w:pPr>
      <w:r>
        <w:rPr>
          <w:rStyle w:val="FootnoteReference"/>
        </w:rPr>
        <w:footnoteRef/>
      </w:r>
      <w:r>
        <w:t xml:space="preserve"> DFCI</w:t>
      </w:r>
      <w:r>
        <w:rPr>
          <w:spacing w:val="-3"/>
        </w:rPr>
        <w:t xml:space="preserve"> </w:t>
      </w:r>
      <w:r>
        <w:t>ICA,</w:t>
      </w:r>
      <w:r>
        <w:rPr>
          <w:spacing w:val="-3"/>
        </w:rPr>
        <w:t xml:space="preserve"> </w:t>
      </w:r>
      <w:r>
        <w:rPr>
          <w:i/>
        </w:rPr>
        <w:t>supra</w:t>
      </w:r>
      <w:r>
        <w:rPr>
          <w:i/>
          <w:spacing w:val="-5"/>
        </w:rPr>
        <w:t xml:space="preserve"> </w:t>
      </w:r>
      <w:r>
        <w:t>note</w:t>
      </w:r>
      <w:r>
        <w:rPr>
          <w:spacing w:val="-4"/>
        </w:rPr>
        <w:t xml:space="preserve"> </w:t>
      </w:r>
      <w:hyperlink w:anchor="_bookmark14" w:history="1">
        <w:r>
          <w:t>14,</w:t>
        </w:r>
      </w:hyperlink>
      <w:r>
        <w:rPr>
          <w:spacing w:val="-4"/>
        </w:rPr>
        <w:t xml:space="preserve"> </w:t>
      </w:r>
      <w:r>
        <w:t>at</w:t>
      </w:r>
      <w:r>
        <w:rPr>
          <w:spacing w:val="-3"/>
        </w:rPr>
        <w:t xml:space="preserve"> </w:t>
      </w:r>
      <w:r>
        <w:t>29-</w:t>
      </w:r>
      <w:r>
        <w:rPr>
          <w:spacing w:val="-5"/>
        </w:rPr>
        <w:t>30.</w:t>
      </w:r>
    </w:p>
  </w:footnote>
  <w:footnote w:id="189">
    <w:p w14:paraId="11948430" w14:textId="7032E42C" w:rsidR="003A7F19" w:rsidRDefault="003A7F19" w:rsidP="000F5FB5">
      <w:pPr>
        <w:pStyle w:val="FootnoteText"/>
        <w:ind w:left="990" w:right="1120"/>
      </w:pPr>
      <w:r>
        <w:rPr>
          <w:rStyle w:val="FootnoteReference"/>
        </w:rPr>
        <w:footnoteRef/>
      </w:r>
      <w:r>
        <w:t xml:space="preserve"> </w:t>
      </w:r>
      <w:r>
        <w:rPr>
          <w:i/>
        </w:rPr>
        <w:t>Id</w:t>
      </w:r>
      <w:r>
        <w:t>.</w:t>
      </w:r>
      <w:r>
        <w:rPr>
          <w:spacing w:val="-2"/>
        </w:rPr>
        <w:t xml:space="preserve"> </w:t>
      </w:r>
      <w:r>
        <w:t>at</w:t>
      </w:r>
      <w:r>
        <w:rPr>
          <w:spacing w:val="-4"/>
        </w:rPr>
        <w:t xml:space="preserve"> </w:t>
      </w:r>
      <w:r>
        <w:t>30-31.</w:t>
      </w:r>
      <w:r>
        <w:rPr>
          <w:spacing w:val="-2"/>
        </w:rPr>
        <w:t xml:space="preserve"> </w:t>
      </w:r>
      <w:r>
        <w:t>Although</w:t>
      </w:r>
      <w:r>
        <w:rPr>
          <w:spacing w:val="-3"/>
        </w:rPr>
        <w:t xml:space="preserve"> </w:t>
      </w:r>
      <w:r>
        <w:t>the</w:t>
      </w:r>
      <w:r>
        <w:rPr>
          <w:spacing w:val="-4"/>
        </w:rPr>
        <w:t xml:space="preserve"> </w:t>
      </w:r>
      <w:r>
        <w:t>ICA</w:t>
      </w:r>
      <w:r>
        <w:rPr>
          <w:spacing w:val="-4"/>
        </w:rPr>
        <w:t xml:space="preserve"> </w:t>
      </w:r>
      <w:r>
        <w:t>describes</w:t>
      </w:r>
      <w:r>
        <w:rPr>
          <w:spacing w:val="-2"/>
        </w:rPr>
        <w:t xml:space="preserve"> </w:t>
      </w:r>
      <w:r>
        <w:t>this</w:t>
      </w:r>
      <w:r>
        <w:rPr>
          <w:spacing w:val="-2"/>
        </w:rPr>
        <w:t xml:space="preserve"> </w:t>
      </w:r>
      <w:r>
        <w:t>step</w:t>
      </w:r>
      <w:r>
        <w:rPr>
          <w:spacing w:val="-4"/>
        </w:rPr>
        <w:t xml:space="preserve"> </w:t>
      </w:r>
      <w:r>
        <w:t>as</w:t>
      </w:r>
      <w:r>
        <w:rPr>
          <w:spacing w:val="-2"/>
        </w:rPr>
        <w:t xml:space="preserve"> </w:t>
      </w:r>
      <w:r>
        <w:t>an</w:t>
      </w:r>
      <w:r>
        <w:rPr>
          <w:spacing w:val="-3"/>
        </w:rPr>
        <w:t xml:space="preserve"> </w:t>
      </w:r>
      <w:r>
        <w:t>estimation</w:t>
      </w:r>
      <w:r>
        <w:rPr>
          <w:spacing w:val="-3"/>
        </w:rPr>
        <w:t xml:space="preserve"> </w:t>
      </w:r>
      <w:r>
        <w:t>of</w:t>
      </w:r>
      <w:r>
        <w:rPr>
          <w:spacing w:val="-3"/>
        </w:rPr>
        <w:t xml:space="preserve"> </w:t>
      </w:r>
      <w:r>
        <w:t>trends</w:t>
      </w:r>
      <w:r>
        <w:rPr>
          <w:spacing w:val="-2"/>
        </w:rPr>
        <w:t xml:space="preserve"> </w:t>
      </w:r>
      <w:r>
        <w:t>in</w:t>
      </w:r>
      <w:r>
        <w:rPr>
          <w:spacing w:val="-3"/>
        </w:rPr>
        <w:t xml:space="preserve"> </w:t>
      </w:r>
      <w:r>
        <w:t>cancer</w:t>
      </w:r>
      <w:r>
        <w:rPr>
          <w:spacing w:val="-4"/>
        </w:rPr>
        <w:t xml:space="preserve"> </w:t>
      </w:r>
      <w:r>
        <w:t>incidence,</w:t>
      </w:r>
      <w:r>
        <w:rPr>
          <w:spacing w:val="-2"/>
        </w:rPr>
        <w:t xml:space="preserve"> </w:t>
      </w:r>
      <w:r>
        <w:t xml:space="preserve">this step incorporates all factors impacting per capita inpatient utilization over this </w:t>
      </w:r>
      <w:proofErr w:type="gramStart"/>
      <w:r>
        <w:t>time period</w:t>
      </w:r>
      <w:proofErr w:type="gramEnd"/>
      <w:r>
        <w:t>.</w:t>
      </w:r>
    </w:p>
  </w:footnote>
  <w:footnote w:id="190">
    <w:p w14:paraId="78AAF6D4" w14:textId="18D0A71B" w:rsidR="003A7F19" w:rsidRDefault="003A7F19" w:rsidP="000F5FB5">
      <w:pPr>
        <w:pStyle w:val="FootnoteText"/>
        <w:ind w:left="990" w:right="1120"/>
      </w:pPr>
      <w:r>
        <w:rPr>
          <w:rStyle w:val="FootnoteReference"/>
        </w:rPr>
        <w:footnoteRef/>
      </w:r>
      <w:r>
        <w:t xml:space="preserve"> </w:t>
      </w:r>
      <w:r>
        <w:rPr>
          <w:i/>
        </w:rPr>
        <w:t>Id</w:t>
      </w:r>
      <w:r>
        <w:t>. at 31-32. The ICA projection appears to measure numbers of discharges rather than bed days, potentially</w:t>
      </w:r>
      <w:r>
        <w:rPr>
          <w:spacing w:val="-4"/>
        </w:rPr>
        <w:t xml:space="preserve"> </w:t>
      </w:r>
      <w:r>
        <w:t>omitting</w:t>
      </w:r>
      <w:r>
        <w:rPr>
          <w:spacing w:val="-3"/>
        </w:rPr>
        <w:t xml:space="preserve"> </w:t>
      </w:r>
      <w:r>
        <w:t>differences</w:t>
      </w:r>
      <w:r>
        <w:rPr>
          <w:spacing w:val="-2"/>
        </w:rPr>
        <w:t xml:space="preserve"> </w:t>
      </w:r>
      <w:r>
        <w:t>in</w:t>
      </w:r>
      <w:r>
        <w:rPr>
          <w:spacing w:val="-3"/>
        </w:rPr>
        <w:t xml:space="preserve"> </w:t>
      </w:r>
      <w:r>
        <w:t>length</w:t>
      </w:r>
      <w:r>
        <w:rPr>
          <w:spacing w:val="-3"/>
        </w:rPr>
        <w:t xml:space="preserve"> </w:t>
      </w:r>
      <w:r>
        <w:t>of</w:t>
      </w:r>
      <w:r>
        <w:rPr>
          <w:spacing w:val="-3"/>
        </w:rPr>
        <w:t xml:space="preserve"> </w:t>
      </w:r>
      <w:r>
        <w:t>stay</w:t>
      </w:r>
      <w:r>
        <w:rPr>
          <w:spacing w:val="-4"/>
        </w:rPr>
        <w:t xml:space="preserve"> </w:t>
      </w:r>
      <w:r>
        <w:t>by</w:t>
      </w:r>
      <w:r>
        <w:rPr>
          <w:spacing w:val="-4"/>
        </w:rPr>
        <w:t xml:space="preserve"> </w:t>
      </w:r>
      <w:r>
        <w:t>patient</w:t>
      </w:r>
      <w:r>
        <w:rPr>
          <w:spacing w:val="-2"/>
        </w:rPr>
        <w:t xml:space="preserve"> </w:t>
      </w:r>
      <w:r>
        <w:t>cohort</w:t>
      </w:r>
      <w:r>
        <w:rPr>
          <w:spacing w:val="-2"/>
        </w:rPr>
        <w:t xml:space="preserve"> </w:t>
      </w:r>
      <w:r>
        <w:t>as</w:t>
      </w:r>
      <w:r>
        <w:rPr>
          <w:spacing w:val="-2"/>
        </w:rPr>
        <w:t xml:space="preserve"> </w:t>
      </w:r>
      <w:r>
        <w:t>a</w:t>
      </w:r>
      <w:r>
        <w:rPr>
          <w:spacing w:val="-3"/>
        </w:rPr>
        <w:t xml:space="preserve"> </w:t>
      </w:r>
      <w:r>
        <w:t>contributing</w:t>
      </w:r>
      <w:r>
        <w:rPr>
          <w:spacing w:val="-3"/>
        </w:rPr>
        <w:t xml:space="preserve"> </w:t>
      </w:r>
      <w:r>
        <w:t>factor</w:t>
      </w:r>
      <w:r>
        <w:rPr>
          <w:spacing w:val="-4"/>
        </w:rPr>
        <w:t xml:space="preserve"> </w:t>
      </w:r>
      <w:r>
        <w:t>to</w:t>
      </w:r>
      <w:r>
        <w:rPr>
          <w:spacing w:val="-3"/>
        </w:rPr>
        <w:t xml:space="preserve"> </w:t>
      </w:r>
      <w:r>
        <w:t>utilization,</w:t>
      </w:r>
      <w:r>
        <w:rPr>
          <w:spacing w:val="-2"/>
        </w:rPr>
        <w:t xml:space="preserve"> </w:t>
      </w:r>
      <w:r>
        <w:t>and does not differentiate medical and surgical oncology care, making the results more difficult to apply to DFCI’s proposal to add capacity focused solely on medical oncology.</w:t>
      </w:r>
    </w:p>
  </w:footnote>
  <w:footnote w:id="191">
    <w:p w14:paraId="64079A0B" w14:textId="1FB709AB" w:rsidR="00747AA5" w:rsidRDefault="00747AA5" w:rsidP="000F5FB5">
      <w:pPr>
        <w:pStyle w:val="FootnoteText"/>
        <w:ind w:left="990" w:right="1120"/>
      </w:pPr>
      <w:r>
        <w:rPr>
          <w:rStyle w:val="FootnoteReference"/>
        </w:rPr>
        <w:footnoteRef/>
      </w:r>
      <w:r>
        <w:t xml:space="preserve"> The</w:t>
      </w:r>
      <w:r>
        <w:rPr>
          <w:spacing w:val="-4"/>
        </w:rPr>
        <w:t xml:space="preserve"> </w:t>
      </w:r>
      <w:r>
        <w:t>HPC</w:t>
      </w:r>
      <w:r>
        <w:rPr>
          <w:spacing w:val="-3"/>
        </w:rPr>
        <w:t xml:space="preserve"> </w:t>
      </w:r>
      <w:r>
        <w:t>estimated</w:t>
      </w:r>
      <w:r>
        <w:rPr>
          <w:spacing w:val="-2"/>
        </w:rPr>
        <w:t xml:space="preserve"> </w:t>
      </w:r>
      <w:r>
        <w:t>future</w:t>
      </w:r>
      <w:r>
        <w:rPr>
          <w:spacing w:val="-4"/>
        </w:rPr>
        <w:t xml:space="preserve"> </w:t>
      </w:r>
      <w:r>
        <w:t>oncology</w:t>
      </w:r>
      <w:r>
        <w:rPr>
          <w:spacing w:val="-4"/>
        </w:rPr>
        <w:t xml:space="preserve"> </w:t>
      </w:r>
      <w:r>
        <w:t>utilization</w:t>
      </w:r>
      <w:r>
        <w:rPr>
          <w:spacing w:val="-3"/>
        </w:rPr>
        <w:t xml:space="preserve"> </w:t>
      </w:r>
      <w:r>
        <w:t>using</w:t>
      </w:r>
      <w:r>
        <w:rPr>
          <w:spacing w:val="-3"/>
        </w:rPr>
        <w:t xml:space="preserve"> </w:t>
      </w:r>
      <w:r>
        <w:t>actual</w:t>
      </w:r>
      <w:r>
        <w:rPr>
          <w:spacing w:val="-3"/>
        </w:rPr>
        <w:t xml:space="preserve"> </w:t>
      </w:r>
      <w:r>
        <w:t>oncology</w:t>
      </w:r>
      <w:r>
        <w:rPr>
          <w:spacing w:val="-4"/>
        </w:rPr>
        <w:t xml:space="preserve"> </w:t>
      </w:r>
      <w:r>
        <w:t>bed</w:t>
      </w:r>
      <w:r>
        <w:rPr>
          <w:spacing w:val="-2"/>
        </w:rPr>
        <w:t xml:space="preserve"> </w:t>
      </w:r>
      <w:r>
        <w:t>days</w:t>
      </w:r>
      <w:r>
        <w:rPr>
          <w:spacing w:val="-2"/>
        </w:rPr>
        <w:t xml:space="preserve"> </w:t>
      </w:r>
      <w:r>
        <w:t>per</w:t>
      </w:r>
      <w:r>
        <w:rPr>
          <w:spacing w:val="-4"/>
        </w:rPr>
        <w:t xml:space="preserve"> </w:t>
      </w:r>
      <w:r>
        <w:t>capita</w:t>
      </w:r>
      <w:r>
        <w:rPr>
          <w:spacing w:val="-3"/>
        </w:rPr>
        <w:t xml:space="preserve"> </w:t>
      </w:r>
      <w:r>
        <w:t>by</w:t>
      </w:r>
      <w:r>
        <w:rPr>
          <w:spacing w:val="-4"/>
        </w:rPr>
        <w:t xml:space="preserve"> </w:t>
      </w:r>
      <w:r>
        <w:t>5-year</w:t>
      </w:r>
      <w:r>
        <w:rPr>
          <w:spacing w:val="-4"/>
        </w:rPr>
        <w:t xml:space="preserve"> </w:t>
      </w:r>
      <w:r>
        <w:t>age and gender cohorts multiplied by population projections from the UMass Donahue Institute.</w:t>
      </w:r>
    </w:p>
  </w:footnote>
  <w:footnote w:id="192">
    <w:p w14:paraId="6CEB3A78" w14:textId="122B305C" w:rsidR="000F5FB5" w:rsidRDefault="000F5FB5" w:rsidP="000F5FB5">
      <w:pPr>
        <w:pStyle w:val="FootnoteText"/>
        <w:ind w:left="990" w:right="1120"/>
      </w:pPr>
      <w:r>
        <w:rPr>
          <w:rStyle w:val="FootnoteReference"/>
        </w:rPr>
        <w:footnoteRef/>
      </w:r>
      <w:r>
        <w:t xml:space="preserve"> In</w:t>
      </w:r>
      <w:r>
        <w:rPr>
          <w:spacing w:val="-3"/>
        </w:rPr>
        <w:t xml:space="preserve"> </w:t>
      </w:r>
      <w:r>
        <w:t>the</w:t>
      </w:r>
      <w:r>
        <w:rPr>
          <w:spacing w:val="-4"/>
        </w:rPr>
        <w:t xml:space="preserve"> </w:t>
      </w:r>
      <w:r>
        <w:t>HPC's</w:t>
      </w:r>
      <w:r>
        <w:rPr>
          <w:spacing w:val="-2"/>
        </w:rPr>
        <w:t xml:space="preserve"> </w:t>
      </w:r>
      <w:r>
        <w:t>projection, patients</w:t>
      </w:r>
      <w:r>
        <w:rPr>
          <w:spacing w:val="-2"/>
        </w:rPr>
        <w:t xml:space="preserve"> </w:t>
      </w:r>
      <w:r>
        <w:t>under</w:t>
      </w:r>
      <w:r>
        <w:rPr>
          <w:spacing w:val="-4"/>
        </w:rPr>
        <w:t xml:space="preserve"> </w:t>
      </w:r>
      <w:r>
        <w:t>20</w:t>
      </w:r>
      <w:r>
        <w:rPr>
          <w:spacing w:val="-2"/>
        </w:rPr>
        <w:t xml:space="preserve"> </w:t>
      </w:r>
      <w:r>
        <w:t>account</w:t>
      </w:r>
      <w:r>
        <w:rPr>
          <w:spacing w:val="-2"/>
        </w:rPr>
        <w:t xml:space="preserve"> </w:t>
      </w:r>
      <w:r>
        <w:t>for</w:t>
      </w:r>
      <w:r>
        <w:rPr>
          <w:spacing w:val="-4"/>
        </w:rPr>
        <w:t xml:space="preserve"> </w:t>
      </w:r>
      <w:r>
        <w:t>32</w:t>
      </w:r>
      <w:r>
        <w:rPr>
          <w:spacing w:val="-2"/>
        </w:rPr>
        <w:t xml:space="preserve"> </w:t>
      </w:r>
      <w:r>
        <w:t>beds</w:t>
      </w:r>
      <w:r>
        <w:rPr>
          <w:spacing w:val="-2"/>
        </w:rPr>
        <w:t xml:space="preserve"> </w:t>
      </w:r>
      <w:r>
        <w:t>of</w:t>
      </w:r>
      <w:r>
        <w:rPr>
          <w:spacing w:val="-3"/>
        </w:rPr>
        <w:t xml:space="preserve"> </w:t>
      </w:r>
      <w:r>
        <w:t>projected</w:t>
      </w:r>
      <w:r>
        <w:rPr>
          <w:spacing w:val="-2"/>
        </w:rPr>
        <w:t xml:space="preserve"> </w:t>
      </w:r>
      <w:r>
        <w:t>utilization</w:t>
      </w:r>
      <w:r>
        <w:rPr>
          <w:spacing w:val="-3"/>
        </w:rPr>
        <w:t xml:space="preserve"> </w:t>
      </w:r>
      <w:r>
        <w:t>in</w:t>
      </w:r>
      <w:r>
        <w:rPr>
          <w:spacing w:val="-3"/>
        </w:rPr>
        <w:t xml:space="preserve"> </w:t>
      </w:r>
      <w:r>
        <w:t>2030</w:t>
      </w:r>
      <w:r>
        <w:rPr>
          <w:spacing w:val="-2"/>
        </w:rPr>
        <w:t xml:space="preserve"> </w:t>
      </w:r>
      <w:r>
        <w:t>and</w:t>
      </w:r>
      <w:r>
        <w:rPr>
          <w:spacing w:val="-2"/>
        </w:rPr>
        <w:t xml:space="preserve"> </w:t>
      </w:r>
      <w:r>
        <w:t>31 beds in 2040. Although the</w:t>
      </w:r>
      <w:r>
        <w:rPr>
          <w:spacing w:val="-3"/>
        </w:rPr>
        <w:t xml:space="preserve"> </w:t>
      </w:r>
      <w:r>
        <w:t>HPC included residents younger</w:t>
      </w:r>
      <w:r>
        <w:rPr>
          <w:spacing w:val="-1"/>
        </w:rPr>
        <w:t xml:space="preserve"> </w:t>
      </w:r>
      <w:r>
        <w:t>than 20 for</w:t>
      </w:r>
      <w:r>
        <w:rPr>
          <w:spacing w:val="-1"/>
        </w:rPr>
        <w:t xml:space="preserve"> </w:t>
      </w:r>
      <w:r>
        <w:t>the</w:t>
      </w:r>
      <w:r>
        <w:rPr>
          <w:spacing w:val="-1"/>
        </w:rPr>
        <w:t xml:space="preserve"> </w:t>
      </w:r>
      <w:r>
        <w:t>sake</w:t>
      </w:r>
      <w:r>
        <w:rPr>
          <w:spacing w:val="-1"/>
        </w:rPr>
        <w:t xml:space="preserve"> </w:t>
      </w:r>
      <w:r>
        <w:t xml:space="preserve">of comprehensiveness, these patients would not be part of the adult oncology population DFCI plans to serve in its proposed </w:t>
      </w:r>
      <w:r>
        <w:rPr>
          <w:spacing w:val="-2"/>
        </w:rPr>
        <w:t>facility.</w:t>
      </w:r>
    </w:p>
  </w:footnote>
  <w:footnote w:id="193">
    <w:p w14:paraId="52D0BCB1" w14:textId="3A182B6B" w:rsidR="00B40E7C" w:rsidRDefault="00B40E7C" w:rsidP="00B40E7C">
      <w:pPr>
        <w:pStyle w:val="FootnoteText"/>
        <w:ind w:left="907" w:right="936"/>
      </w:pPr>
      <w:r>
        <w:rPr>
          <w:rStyle w:val="FootnoteReference"/>
        </w:rPr>
        <w:footnoteRef/>
      </w:r>
      <w:r>
        <w:t xml:space="preserve"> </w:t>
      </w:r>
      <w:r>
        <w:rPr>
          <w:i/>
        </w:rPr>
        <w:t>See</w:t>
      </w:r>
      <w:r>
        <w:rPr>
          <w:i/>
          <w:spacing w:val="-3"/>
        </w:rPr>
        <w:t xml:space="preserve"> </w:t>
      </w:r>
      <w:r>
        <w:rPr>
          <w:i/>
        </w:rPr>
        <w:t>supra</w:t>
      </w:r>
      <w:r>
        <w:rPr>
          <w:i/>
          <w:spacing w:val="-4"/>
        </w:rPr>
        <w:t xml:space="preserve"> </w:t>
      </w:r>
      <w:r>
        <w:t>note</w:t>
      </w:r>
      <w:r>
        <w:rPr>
          <w:spacing w:val="-3"/>
        </w:rPr>
        <w:t xml:space="preserve"> </w:t>
      </w:r>
      <w:hyperlink w:anchor="_bookmark215" w:history="1">
        <w:r>
          <w:t>191.</w:t>
        </w:r>
      </w:hyperlink>
      <w:r>
        <w:rPr>
          <w:spacing w:val="-2"/>
        </w:rPr>
        <w:t xml:space="preserve"> </w:t>
      </w:r>
      <w:r>
        <w:t>The</w:t>
      </w:r>
      <w:r>
        <w:rPr>
          <w:spacing w:val="-1"/>
        </w:rPr>
        <w:t xml:space="preserve"> </w:t>
      </w:r>
      <w:r>
        <w:t>HPC’s</w:t>
      </w:r>
      <w:r>
        <w:rPr>
          <w:spacing w:val="-2"/>
        </w:rPr>
        <w:t xml:space="preserve"> </w:t>
      </w:r>
      <w:r>
        <w:t>model</w:t>
      </w:r>
      <w:r>
        <w:rPr>
          <w:spacing w:val="-3"/>
        </w:rPr>
        <w:t xml:space="preserve"> </w:t>
      </w:r>
      <w:r>
        <w:t>described</w:t>
      </w:r>
      <w:r>
        <w:rPr>
          <w:spacing w:val="-2"/>
        </w:rPr>
        <w:t xml:space="preserve"> </w:t>
      </w:r>
      <w:r>
        <w:t>in</w:t>
      </w:r>
      <w:r>
        <w:rPr>
          <w:spacing w:val="-3"/>
        </w:rPr>
        <w:t xml:space="preserve"> </w:t>
      </w:r>
      <w:r>
        <w:t>this</w:t>
      </w:r>
      <w:r>
        <w:rPr>
          <w:spacing w:val="-2"/>
        </w:rPr>
        <w:t xml:space="preserve"> </w:t>
      </w:r>
      <w:r>
        <w:t>section</w:t>
      </w:r>
      <w:r>
        <w:rPr>
          <w:spacing w:val="-3"/>
        </w:rPr>
        <w:t xml:space="preserve"> </w:t>
      </w:r>
      <w:r>
        <w:t>used</w:t>
      </w:r>
      <w:r>
        <w:rPr>
          <w:spacing w:val="-2"/>
        </w:rPr>
        <w:t xml:space="preserve"> </w:t>
      </w:r>
      <w:r>
        <w:t>utilization</w:t>
      </w:r>
      <w:r>
        <w:rPr>
          <w:spacing w:val="-3"/>
        </w:rPr>
        <w:t xml:space="preserve"> </w:t>
      </w:r>
      <w:r>
        <w:t>per</w:t>
      </w:r>
      <w:r>
        <w:rPr>
          <w:spacing w:val="-4"/>
        </w:rPr>
        <w:t xml:space="preserve"> </w:t>
      </w:r>
      <w:r>
        <w:t>capita</w:t>
      </w:r>
      <w:r>
        <w:rPr>
          <w:spacing w:val="-3"/>
        </w:rPr>
        <w:t xml:space="preserve"> </w:t>
      </w:r>
      <w:r>
        <w:t>by</w:t>
      </w:r>
      <w:r>
        <w:rPr>
          <w:spacing w:val="-4"/>
        </w:rPr>
        <w:t xml:space="preserve"> </w:t>
      </w:r>
      <w:r>
        <w:t>care</w:t>
      </w:r>
      <w:r>
        <w:rPr>
          <w:spacing w:val="-4"/>
        </w:rPr>
        <w:t xml:space="preserve"> </w:t>
      </w:r>
      <w:r>
        <w:t>cohort in 2019 as the most reliable pre-COVID year of utilization data. Using 2023 utilization per capita would increase projected utilization by 72 more beds in 2040 than the 2019 model.</w:t>
      </w:r>
    </w:p>
  </w:footnote>
  <w:footnote w:id="194">
    <w:p w14:paraId="675B015C" w14:textId="01E1F4F5" w:rsidR="00B40E7C" w:rsidRDefault="00B40E7C" w:rsidP="00B40E7C">
      <w:pPr>
        <w:ind w:left="907" w:right="936"/>
        <w:rPr>
          <w:sz w:val="20"/>
        </w:rPr>
      </w:pPr>
      <w:r>
        <w:rPr>
          <w:rStyle w:val="FootnoteReference"/>
        </w:rPr>
        <w:footnoteRef/>
      </w:r>
      <w:r>
        <w:t xml:space="preserve"> </w:t>
      </w:r>
      <w:r>
        <w:rPr>
          <w:sz w:val="20"/>
        </w:rPr>
        <w:t>To test the scope of a model incorporating trends in demographics and utilization per capita, the HPC linearly extrapolated the bed days per capita trend from 2016-2019 and from 2019-2023 by age and gender cohort to predict future utilization per capita. We multiplied predicted utilization per capita by population projections from the UMass Donahue Institute. We divided total predicted bed-days by 365 to get</w:t>
      </w:r>
      <w:r>
        <w:rPr>
          <w:spacing w:val="-2"/>
          <w:sz w:val="20"/>
        </w:rPr>
        <w:t xml:space="preserve"> </w:t>
      </w:r>
      <w:r>
        <w:rPr>
          <w:sz w:val="20"/>
        </w:rPr>
        <w:t>bed-years.</w:t>
      </w:r>
      <w:r>
        <w:rPr>
          <w:spacing w:val="-3"/>
          <w:sz w:val="20"/>
        </w:rPr>
        <w:t xml:space="preserve"> </w:t>
      </w:r>
      <w:r>
        <w:rPr>
          <w:sz w:val="20"/>
        </w:rPr>
        <w:t>For</w:t>
      </w:r>
      <w:r>
        <w:rPr>
          <w:spacing w:val="-4"/>
          <w:sz w:val="20"/>
        </w:rPr>
        <w:t xml:space="preserve"> </w:t>
      </w:r>
      <w:r>
        <w:rPr>
          <w:sz w:val="20"/>
        </w:rPr>
        <w:t>those</w:t>
      </w:r>
      <w:r>
        <w:rPr>
          <w:spacing w:val="-4"/>
          <w:sz w:val="20"/>
        </w:rPr>
        <w:t xml:space="preserve"> </w:t>
      </w:r>
      <w:r>
        <w:rPr>
          <w:sz w:val="20"/>
        </w:rPr>
        <w:t>age</w:t>
      </w:r>
      <w:r>
        <w:rPr>
          <w:spacing w:val="-4"/>
          <w:sz w:val="20"/>
        </w:rPr>
        <w:t xml:space="preserve"> </w:t>
      </w:r>
      <w:r>
        <w:rPr>
          <w:sz w:val="20"/>
        </w:rPr>
        <w:t>and</w:t>
      </w:r>
      <w:r>
        <w:rPr>
          <w:spacing w:val="-2"/>
          <w:sz w:val="20"/>
        </w:rPr>
        <w:t xml:space="preserve"> </w:t>
      </w:r>
      <w:r>
        <w:rPr>
          <w:sz w:val="20"/>
        </w:rPr>
        <w:t>gender</w:t>
      </w:r>
      <w:r>
        <w:rPr>
          <w:spacing w:val="-4"/>
          <w:sz w:val="20"/>
        </w:rPr>
        <w:t xml:space="preserve"> </w:t>
      </w:r>
      <w:r>
        <w:rPr>
          <w:sz w:val="20"/>
        </w:rPr>
        <w:t>cohorts</w:t>
      </w:r>
      <w:r>
        <w:rPr>
          <w:spacing w:val="-2"/>
          <w:sz w:val="20"/>
        </w:rPr>
        <w:t xml:space="preserve"> </w:t>
      </w:r>
      <w:r>
        <w:rPr>
          <w:sz w:val="20"/>
        </w:rPr>
        <w:t>for</w:t>
      </w:r>
      <w:r>
        <w:rPr>
          <w:spacing w:val="-4"/>
          <w:sz w:val="20"/>
        </w:rPr>
        <w:t xml:space="preserve"> </w:t>
      </w:r>
      <w:r>
        <w:rPr>
          <w:sz w:val="20"/>
        </w:rPr>
        <w:t>which</w:t>
      </w:r>
      <w:r>
        <w:rPr>
          <w:spacing w:val="-3"/>
          <w:sz w:val="20"/>
        </w:rPr>
        <w:t xml:space="preserve"> </w:t>
      </w:r>
      <w:r>
        <w:rPr>
          <w:sz w:val="20"/>
        </w:rPr>
        <w:t>trends</w:t>
      </w:r>
      <w:r>
        <w:rPr>
          <w:spacing w:val="-2"/>
          <w:sz w:val="20"/>
        </w:rPr>
        <w:t xml:space="preserve"> </w:t>
      </w:r>
      <w:r>
        <w:rPr>
          <w:sz w:val="20"/>
        </w:rPr>
        <w:t>would</w:t>
      </w:r>
      <w:r>
        <w:rPr>
          <w:spacing w:val="-2"/>
          <w:sz w:val="20"/>
        </w:rPr>
        <w:t xml:space="preserve"> </w:t>
      </w:r>
      <w:r>
        <w:rPr>
          <w:sz w:val="20"/>
        </w:rPr>
        <w:t>have</w:t>
      </w:r>
      <w:r>
        <w:rPr>
          <w:spacing w:val="-4"/>
          <w:sz w:val="20"/>
        </w:rPr>
        <w:t xml:space="preserve"> </w:t>
      </w:r>
      <w:r>
        <w:rPr>
          <w:sz w:val="20"/>
        </w:rPr>
        <w:t>resulted in</w:t>
      </w:r>
      <w:r>
        <w:rPr>
          <w:spacing w:val="-3"/>
          <w:sz w:val="20"/>
        </w:rPr>
        <w:t xml:space="preserve"> </w:t>
      </w:r>
      <w:r>
        <w:rPr>
          <w:sz w:val="20"/>
        </w:rPr>
        <w:t>negative</w:t>
      </w:r>
      <w:r>
        <w:rPr>
          <w:spacing w:val="-4"/>
          <w:sz w:val="20"/>
        </w:rPr>
        <w:t xml:space="preserve"> </w:t>
      </w:r>
      <w:r>
        <w:rPr>
          <w:sz w:val="20"/>
        </w:rPr>
        <w:t>utilization per capita, we replaced the projection with average utilization per capita from 2016-2019. This model</w:t>
      </w:r>
      <w:r w:rsidRPr="00B40E7C">
        <w:rPr>
          <w:sz w:val="20"/>
        </w:rPr>
        <w:t xml:space="preserve"> </w:t>
      </w:r>
      <w:r>
        <w:rPr>
          <w:sz w:val="20"/>
        </w:rPr>
        <w:t>included</w:t>
      </w:r>
      <w:r>
        <w:rPr>
          <w:spacing w:val="-3"/>
          <w:sz w:val="20"/>
        </w:rPr>
        <w:t xml:space="preserve"> </w:t>
      </w:r>
      <w:r>
        <w:rPr>
          <w:sz w:val="20"/>
        </w:rPr>
        <w:t>residents</w:t>
      </w:r>
      <w:r>
        <w:rPr>
          <w:spacing w:val="-3"/>
          <w:sz w:val="20"/>
        </w:rPr>
        <w:t xml:space="preserve"> </w:t>
      </w:r>
      <w:r>
        <w:rPr>
          <w:sz w:val="20"/>
        </w:rPr>
        <w:t>younger</w:t>
      </w:r>
      <w:r>
        <w:rPr>
          <w:spacing w:val="-5"/>
          <w:sz w:val="20"/>
        </w:rPr>
        <w:t xml:space="preserve"> </w:t>
      </w:r>
      <w:r>
        <w:rPr>
          <w:sz w:val="20"/>
        </w:rPr>
        <w:t>than</w:t>
      </w:r>
      <w:r>
        <w:rPr>
          <w:spacing w:val="-4"/>
          <w:sz w:val="20"/>
        </w:rPr>
        <w:t xml:space="preserve"> </w:t>
      </w:r>
      <w:r>
        <w:rPr>
          <w:sz w:val="20"/>
        </w:rPr>
        <w:t>20.</w:t>
      </w:r>
      <w:r>
        <w:rPr>
          <w:spacing w:val="-3"/>
          <w:sz w:val="20"/>
        </w:rPr>
        <w:t xml:space="preserve"> </w:t>
      </w:r>
      <w:r>
        <w:rPr>
          <w:sz w:val="20"/>
        </w:rPr>
        <w:t>Incorporating</w:t>
      </w:r>
      <w:r>
        <w:rPr>
          <w:spacing w:val="-4"/>
          <w:sz w:val="20"/>
        </w:rPr>
        <w:t xml:space="preserve"> </w:t>
      </w:r>
      <w:r>
        <w:rPr>
          <w:sz w:val="20"/>
        </w:rPr>
        <w:t>2016</w:t>
      </w:r>
      <w:r>
        <w:rPr>
          <w:spacing w:val="-3"/>
          <w:sz w:val="20"/>
        </w:rPr>
        <w:t xml:space="preserve"> </w:t>
      </w:r>
      <w:r>
        <w:rPr>
          <w:sz w:val="20"/>
        </w:rPr>
        <w:t>–</w:t>
      </w:r>
      <w:r>
        <w:rPr>
          <w:spacing w:val="-3"/>
          <w:sz w:val="20"/>
        </w:rPr>
        <w:t xml:space="preserve"> </w:t>
      </w:r>
      <w:r>
        <w:rPr>
          <w:sz w:val="20"/>
        </w:rPr>
        <w:t>2019</w:t>
      </w:r>
      <w:r>
        <w:rPr>
          <w:spacing w:val="-3"/>
          <w:sz w:val="20"/>
        </w:rPr>
        <w:t xml:space="preserve"> </w:t>
      </w:r>
      <w:r>
        <w:rPr>
          <w:sz w:val="20"/>
        </w:rPr>
        <w:t>utilization</w:t>
      </w:r>
      <w:r>
        <w:rPr>
          <w:spacing w:val="-4"/>
          <w:sz w:val="20"/>
        </w:rPr>
        <w:t xml:space="preserve"> </w:t>
      </w:r>
      <w:r>
        <w:rPr>
          <w:sz w:val="20"/>
        </w:rPr>
        <w:t>trends,</w:t>
      </w:r>
      <w:r>
        <w:rPr>
          <w:spacing w:val="-3"/>
          <w:sz w:val="20"/>
        </w:rPr>
        <w:t xml:space="preserve"> </w:t>
      </w:r>
      <w:r>
        <w:rPr>
          <w:sz w:val="20"/>
        </w:rPr>
        <w:t>the</w:t>
      </w:r>
      <w:r>
        <w:rPr>
          <w:spacing w:val="-5"/>
          <w:sz w:val="20"/>
        </w:rPr>
        <w:t xml:space="preserve"> </w:t>
      </w:r>
      <w:r>
        <w:rPr>
          <w:sz w:val="20"/>
        </w:rPr>
        <w:t>model</w:t>
      </w:r>
      <w:r>
        <w:rPr>
          <w:spacing w:val="-4"/>
          <w:sz w:val="20"/>
        </w:rPr>
        <w:t xml:space="preserve"> </w:t>
      </w:r>
      <w:r>
        <w:rPr>
          <w:sz w:val="20"/>
        </w:rPr>
        <w:t>forecast</w:t>
      </w:r>
      <w:r>
        <w:rPr>
          <w:spacing w:val="-3"/>
          <w:sz w:val="20"/>
        </w:rPr>
        <w:t xml:space="preserve"> </w:t>
      </w:r>
      <w:r>
        <w:rPr>
          <w:sz w:val="20"/>
        </w:rPr>
        <w:t>a need for 280 additional oncology beds (25.5%) by 2030 and 518 additional beds (47.1%) by 2040.</w:t>
      </w:r>
    </w:p>
    <w:p w14:paraId="4A0B71A7" w14:textId="5E505F02" w:rsidR="00B40E7C" w:rsidRPr="00B40E7C" w:rsidRDefault="00B40E7C" w:rsidP="00B40E7C">
      <w:pPr>
        <w:spacing w:before="1"/>
        <w:ind w:left="900" w:right="940"/>
        <w:rPr>
          <w:sz w:val="20"/>
        </w:rPr>
      </w:pPr>
      <w:r>
        <w:rPr>
          <w:sz w:val="20"/>
        </w:rPr>
        <w:t>Incorporating</w:t>
      </w:r>
      <w:r>
        <w:rPr>
          <w:spacing w:val="-3"/>
          <w:sz w:val="20"/>
        </w:rPr>
        <w:t xml:space="preserve"> </w:t>
      </w:r>
      <w:r>
        <w:rPr>
          <w:sz w:val="20"/>
        </w:rPr>
        <w:t>2019</w:t>
      </w:r>
      <w:r>
        <w:rPr>
          <w:spacing w:val="-2"/>
          <w:sz w:val="20"/>
        </w:rPr>
        <w:t xml:space="preserve"> </w:t>
      </w:r>
      <w:r>
        <w:rPr>
          <w:sz w:val="20"/>
        </w:rPr>
        <w:t>–</w:t>
      </w:r>
      <w:r>
        <w:rPr>
          <w:spacing w:val="-2"/>
          <w:sz w:val="20"/>
        </w:rPr>
        <w:t xml:space="preserve"> </w:t>
      </w:r>
      <w:r>
        <w:rPr>
          <w:sz w:val="20"/>
        </w:rPr>
        <w:t>2023</w:t>
      </w:r>
      <w:r>
        <w:rPr>
          <w:spacing w:val="-5"/>
          <w:sz w:val="20"/>
        </w:rPr>
        <w:t xml:space="preserve"> </w:t>
      </w:r>
      <w:r>
        <w:rPr>
          <w:sz w:val="20"/>
        </w:rPr>
        <w:t>utilization,</w:t>
      </w:r>
      <w:r>
        <w:rPr>
          <w:spacing w:val="-2"/>
          <w:sz w:val="20"/>
        </w:rPr>
        <w:t xml:space="preserve"> </w:t>
      </w:r>
      <w:r>
        <w:rPr>
          <w:sz w:val="20"/>
        </w:rPr>
        <w:t>the</w:t>
      </w:r>
      <w:r>
        <w:rPr>
          <w:spacing w:val="-4"/>
          <w:sz w:val="20"/>
        </w:rPr>
        <w:t xml:space="preserve"> </w:t>
      </w:r>
      <w:r>
        <w:rPr>
          <w:sz w:val="20"/>
        </w:rPr>
        <w:t>model</w:t>
      </w:r>
      <w:r>
        <w:rPr>
          <w:spacing w:val="-3"/>
          <w:sz w:val="20"/>
        </w:rPr>
        <w:t xml:space="preserve"> </w:t>
      </w:r>
      <w:r>
        <w:rPr>
          <w:sz w:val="20"/>
        </w:rPr>
        <w:t>estimated</w:t>
      </w:r>
      <w:r>
        <w:rPr>
          <w:spacing w:val="-2"/>
          <w:sz w:val="20"/>
        </w:rPr>
        <w:t xml:space="preserve"> </w:t>
      </w:r>
      <w:r>
        <w:rPr>
          <w:sz w:val="20"/>
        </w:rPr>
        <w:t>a</w:t>
      </w:r>
      <w:r>
        <w:rPr>
          <w:spacing w:val="-3"/>
          <w:sz w:val="20"/>
        </w:rPr>
        <w:t xml:space="preserve"> </w:t>
      </w:r>
      <w:r>
        <w:rPr>
          <w:sz w:val="20"/>
        </w:rPr>
        <w:t>need</w:t>
      </w:r>
      <w:r>
        <w:rPr>
          <w:spacing w:val="-2"/>
          <w:sz w:val="20"/>
        </w:rPr>
        <w:t xml:space="preserve"> </w:t>
      </w:r>
      <w:r>
        <w:rPr>
          <w:sz w:val="20"/>
        </w:rPr>
        <w:t>for</w:t>
      </w:r>
      <w:r>
        <w:rPr>
          <w:spacing w:val="-4"/>
          <w:sz w:val="20"/>
        </w:rPr>
        <w:t xml:space="preserve"> </w:t>
      </w:r>
      <w:r>
        <w:rPr>
          <w:sz w:val="20"/>
        </w:rPr>
        <w:t>365</w:t>
      </w:r>
      <w:r>
        <w:rPr>
          <w:spacing w:val="-2"/>
          <w:sz w:val="20"/>
        </w:rPr>
        <w:t xml:space="preserve"> </w:t>
      </w:r>
      <w:r>
        <w:rPr>
          <w:sz w:val="20"/>
        </w:rPr>
        <w:t>additional</w:t>
      </w:r>
      <w:r>
        <w:rPr>
          <w:spacing w:val="-1"/>
          <w:sz w:val="20"/>
        </w:rPr>
        <w:t xml:space="preserve"> </w:t>
      </w:r>
      <w:r>
        <w:rPr>
          <w:sz w:val="20"/>
        </w:rPr>
        <w:t>beds</w:t>
      </w:r>
      <w:r>
        <w:rPr>
          <w:spacing w:val="-2"/>
          <w:sz w:val="20"/>
        </w:rPr>
        <w:t xml:space="preserve"> </w:t>
      </w:r>
      <w:r>
        <w:rPr>
          <w:sz w:val="20"/>
        </w:rPr>
        <w:t>(33.2%)</w:t>
      </w:r>
      <w:r>
        <w:rPr>
          <w:spacing w:val="-4"/>
          <w:sz w:val="20"/>
        </w:rPr>
        <w:t xml:space="preserve"> </w:t>
      </w:r>
      <w:r>
        <w:rPr>
          <w:sz w:val="20"/>
        </w:rPr>
        <w:t>by 2030 and 778 additional beds (70.8%) in 2040.</w:t>
      </w:r>
    </w:p>
  </w:footnote>
  <w:footnote w:id="195">
    <w:p w14:paraId="01F04D64" w14:textId="486BE96C" w:rsidR="00F53EBF" w:rsidRDefault="004A21DA" w:rsidP="00E50531">
      <w:pPr>
        <w:ind w:left="959" w:right="1056"/>
        <w:rPr>
          <w:sz w:val="20"/>
        </w:rPr>
      </w:pPr>
      <w:r>
        <w:rPr>
          <w:rStyle w:val="FootnoteReference"/>
        </w:rPr>
        <w:footnoteRef/>
      </w:r>
      <w:r>
        <w:t xml:space="preserve"> </w:t>
      </w:r>
      <w:hyperlink r:id="rId252" w:history="1">
        <w:r w:rsidR="00F53EBF" w:rsidRPr="00851D93">
          <w:rPr>
            <w:rStyle w:val="Hyperlink"/>
            <w:color w:val="000000" w:themeColor="text1"/>
            <w:sz w:val="20"/>
            <w:u w:val="none"/>
          </w:rPr>
          <w:t>M</w:t>
        </w:r>
        <w:r w:rsidR="00F53EBF" w:rsidRPr="00851D93">
          <w:rPr>
            <w:rStyle w:val="Hyperlink"/>
            <w:color w:val="000000" w:themeColor="text1"/>
            <w:sz w:val="16"/>
            <w:u w:val="none"/>
          </w:rPr>
          <w:t>ASS</w:t>
        </w:r>
        <w:r w:rsidR="00F53EBF" w:rsidRPr="00851D93">
          <w:rPr>
            <w:rStyle w:val="Hyperlink"/>
            <w:color w:val="000000" w:themeColor="text1"/>
            <w:sz w:val="20"/>
            <w:u w:val="none"/>
          </w:rPr>
          <w:t>. H</w:t>
        </w:r>
        <w:r w:rsidR="00F53EBF" w:rsidRPr="00851D93">
          <w:rPr>
            <w:rStyle w:val="Hyperlink"/>
            <w:color w:val="000000" w:themeColor="text1"/>
            <w:sz w:val="16"/>
            <w:u w:val="none"/>
          </w:rPr>
          <w:t xml:space="preserve">EALTH </w:t>
        </w:r>
        <w:r w:rsidR="00F53EBF" w:rsidRPr="00851D93">
          <w:rPr>
            <w:rStyle w:val="Hyperlink"/>
            <w:color w:val="000000" w:themeColor="text1"/>
            <w:sz w:val="20"/>
            <w:u w:val="none"/>
          </w:rPr>
          <w:t>P</w:t>
        </w:r>
        <w:r w:rsidR="00F53EBF" w:rsidRPr="00851D93">
          <w:rPr>
            <w:rStyle w:val="Hyperlink"/>
            <w:color w:val="000000" w:themeColor="text1"/>
            <w:sz w:val="16"/>
            <w:u w:val="none"/>
          </w:rPr>
          <w:t xml:space="preserve">OLICY </w:t>
        </w:r>
        <w:r w:rsidR="00F53EBF" w:rsidRPr="00851D93">
          <w:rPr>
            <w:rStyle w:val="Hyperlink"/>
            <w:color w:val="000000" w:themeColor="text1"/>
            <w:sz w:val="20"/>
            <w:u w:val="none"/>
          </w:rPr>
          <w:t>C</w:t>
        </w:r>
        <w:r w:rsidR="00F53EBF" w:rsidRPr="00851D93">
          <w:rPr>
            <w:rStyle w:val="Hyperlink"/>
            <w:color w:val="000000" w:themeColor="text1"/>
            <w:sz w:val="16"/>
            <w:u w:val="none"/>
          </w:rPr>
          <w:t>OMM</w:t>
        </w:r>
        <w:r w:rsidR="00F53EBF" w:rsidRPr="00851D93">
          <w:rPr>
            <w:rStyle w:val="Hyperlink"/>
            <w:color w:val="000000" w:themeColor="text1"/>
            <w:sz w:val="20"/>
            <w:u w:val="none"/>
          </w:rPr>
          <w:t>’</w:t>
        </w:r>
        <w:r w:rsidR="00F53EBF" w:rsidRPr="00851D93">
          <w:rPr>
            <w:rStyle w:val="Hyperlink"/>
            <w:color w:val="000000" w:themeColor="text1"/>
            <w:sz w:val="16"/>
            <w:u w:val="none"/>
          </w:rPr>
          <w:t>N</w:t>
        </w:r>
        <w:r w:rsidR="00F53EBF" w:rsidRPr="00851D93">
          <w:rPr>
            <w:rStyle w:val="Hyperlink"/>
            <w:color w:val="000000" w:themeColor="text1"/>
            <w:sz w:val="20"/>
            <w:u w:val="none"/>
          </w:rPr>
          <w:t>, M</w:t>
        </w:r>
        <w:r w:rsidR="00F53EBF" w:rsidRPr="00851D93">
          <w:rPr>
            <w:rStyle w:val="Hyperlink"/>
            <w:color w:val="000000" w:themeColor="text1"/>
            <w:sz w:val="16"/>
            <w:u w:val="none"/>
          </w:rPr>
          <w:t xml:space="preserve">ASS </w:t>
        </w:r>
        <w:r w:rsidR="00F53EBF" w:rsidRPr="00851D93">
          <w:rPr>
            <w:rStyle w:val="Hyperlink"/>
            <w:color w:val="000000" w:themeColor="text1"/>
            <w:sz w:val="20"/>
            <w:u w:val="none"/>
          </w:rPr>
          <w:t>G</w:t>
        </w:r>
        <w:r w:rsidR="00F53EBF" w:rsidRPr="00851D93">
          <w:rPr>
            <w:rStyle w:val="Hyperlink"/>
            <w:color w:val="000000" w:themeColor="text1"/>
            <w:sz w:val="16"/>
            <w:u w:val="none"/>
          </w:rPr>
          <w:t xml:space="preserve">ENERAL </w:t>
        </w:r>
        <w:r w:rsidR="00F53EBF" w:rsidRPr="00851D93">
          <w:rPr>
            <w:rStyle w:val="Hyperlink"/>
            <w:color w:val="000000" w:themeColor="text1"/>
            <w:sz w:val="20"/>
            <w:u w:val="none"/>
          </w:rPr>
          <w:t>B</w:t>
        </w:r>
        <w:r w:rsidR="00F53EBF" w:rsidRPr="00851D93">
          <w:rPr>
            <w:rStyle w:val="Hyperlink"/>
            <w:color w:val="000000" w:themeColor="text1"/>
            <w:sz w:val="16"/>
            <w:u w:val="none"/>
          </w:rPr>
          <w:t xml:space="preserve">RIGHAM </w:t>
        </w:r>
        <w:r w:rsidR="00F53EBF" w:rsidRPr="00851D93">
          <w:rPr>
            <w:rStyle w:val="Hyperlink"/>
            <w:color w:val="000000" w:themeColor="text1"/>
            <w:sz w:val="20"/>
            <w:u w:val="none"/>
          </w:rPr>
          <w:t>I</w:t>
        </w:r>
        <w:r w:rsidR="00F53EBF" w:rsidRPr="00851D93">
          <w:rPr>
            <w:rStyle w:val="Hyperlink"/>
            <w:color w:val="000000" w:themeColor="text1"/>
            <w:sz w:val="16"/>
            <w:u w:val="none"/>
          </w:rPr>
          <w:t xml:space="preserve">NCORPORATED </w:t>
        </w:r>
        <w:r w:rsidR="00F53EBF" w:rsidRPr="00851D93">
          <w:rPr>
            <w:rStyle w:val="Hyperlink"/>
            <w:color w:val="000000" w:themeColor="text1"/>
            <w:sz w:val="20"/>
            <w:u w:val="none"/>
          </w:rPr>
          <w:t>D</w:t>
        </w:r>
        <w:r w:rsidR="00F53EBF" w:rsidRPr="00851D93">
          <w:rPr>
            <w:rStyle w:val="Hyperlink"/>
            <w:color w:val="000000" w:themeColor="text1"/>
            <w:sz w:val="16"/>
            <w:u w:val="none"/>
          </w:rPr>
          <w:t xml:space="preserve">ETERMINATION OF </w:t>
        </w:r>
        <w:r w:rsidR="00F53EBF" w:rsidRPr="00851D93">
          <w:rPr>
            <w:rStyle w:val="Hyperlink"/>
            <w:color w:val="000000" w:themeColor="text1"/>
            <w:sz w:val="20"/>
            <w:u w:val="none"/>
          </w:rPr>
          <w:t>N</w:t>
        </w:r>
        <w:r w:rsidR="00F53EBF" w:rsidRPr="00851D93">
          <w:rPr>
            <w:rStyle w:val="Hyperlink"/>
            <w:color w:val="000000" w:themeColor="text1"/>
            <w:sz w:val="16"/>
            <w:u w:val="none"/>
          </w:rPr>
          <w:t xml:space="preserve">EED </w:t>
        </w:r>
        <w:r w:rsidR="00F53EBF" w:rsidRPr="00851D93">
          <w:rPr>
            <w:rStyle w:val="Hyperlink"/>
            <w:color w:val="000000" w:themeColor="text1"/>
            <w:sz w:val="20"/>
            <w:u w:val="none"/>
          </w:rPr>
          <w:t>A</w:t>
        </w:r>
        <w:r w:rsidR="00F53EBF" w:rsidRPr="00851D93">
          <w:rPr>
            <w:rStyle w:val="Hyperlink"/>
            <w:color w:val="000000" w:themeColor="text1"/>
            <w:sz w:val="16"/>
            <w:u w:val="none"/>
          </w:rPr>
          <w:t xml:space="preserve">PPLICATIONS </w:t>
        </w:r>
        <w:r w:rsidR="00F53EBF" w:rsidRPr="00851D93">
          <w:rPr>
            <w:rStyle w:val="Hyperlink"/>
            <w:color w:val="000000" w:themeColor="text1"/>
            <w:sz w:val="20"/>
            <w:u w:val="none"/>
          </w:rPr>
          <w:t>– M</w:t>
        </w:r>
        <w:r w:rsidR="00F53EBF" w:rsidRPr="00851D93">
          <w:rPr>
            <w:rStyle w:val="Hyperlink"/>
            <w:color w:val="000000" w:themeColor="text1"/>
            <w:sz w:val="16"/>
            <w:u w:val="none"/>
          </w:rPr>
          <w:t xml:space="preserve">ASSACHUSETTS </w:t>
        </w:r>
        <w:r w:rsidR="00F53EBF" w:rsidRPr="00851D93">
          <w:rPr>
            <w:rStyle w:val="Hyperlink"/>
            <w:color w:val="000000" w:themeColor="text1"/>
            <w:sz w:val="20"/>
            <w:u w:val="none"/>
          </w:rPr>
          <w:t>G</w:t>
        </w:r>
        <w:r w:rsidR="00F53EBF" w:rsidRPr="00851D93">
          <w:rPr>
            <w:rStyle w:val="Hyperlink"/>
            <w:color w:val="000000" w:themeColor="text1"/>
            <w:sz w:val="16"/>
            <w:u w:val="none"/>
          </w:rPr>
          <w:t xml:space="preserve">ENERAL </w:t>
        </w:r>
        <w:r w:rsidR="00F53EBF" w:rsidRPr="00851D93">
          <w:rPr>
            <w:rStyle w:val="Hyperlink"/>
            <w:color w:val="000000" w:themeColor="text1"/>
            <w:sz w:val="20"/>
            <w:u w:val="none"/>
          </w:rPr>
          <w:t>H</w:t>
        </w:r>
        <w:r w:rsidR="00F53EBF" w:rsidRPr="00851D93">
          <w:rPr>
            <w:rStyle w:val="Hyperlink"/>
            <w:color w:val="000000" w:themeColor="text1"/>
            <w:sz w:val="16"/>
            <w:u w:val="none"/>
          </w:rPr>
          <w:t xml:space="preserve">OSPITAL </w:t>
        </w:r>
        <w:r w:rsidR="00F53EBF" w:rsidRPr="00851D93">
          <w:rPr>
            <w:rStyle w:val="Hyperlink"/>
            <w:color w:val="000000" w:themeColor="text1"/>
            <w:sz w:val="20"/>
            <w:u w:val="none"/>
          </w:rPr>
          <w:t># MGB-20121612-HE, B</w:t>
        </w:r>
        <w:r w:rsidR="00F53EBF" w:rsidRPr="00851D93">
          <w:rPr>
            <w:rStyle w:val="Hyperlink"/>
            <w:color w:val="000000" w:themeColor="text1"/>
            <w:sz w:val="16"/>
            <w:u w:val="none"/>
          </w:rPr>
          <w:t xml:space="preserve">RIGHAM AND </w:t>
        </w:r>
        <w:r w:rsidR="00F53EBF" w:rsidRPr="00851D93">
          <w:rPr>
            <w:rStyle w:val="Hyperlink"/>
            <w:color w:val="000000" w:themeColor="text1"/>
            <w:sz w:val="20"/>
            <w:u w:val="none"/>
          </w:rPr>
          <w:t>W</w:t>
        </w:r>
        <w:r w:rsidR="00F53EBF" w:rsidRPr="00851D93">
          <w:rPr>
            <w:rStyle w:val="Hyperlink"/>
            <w:color w:val="000000" w:themeColor="text1"/>
            <w:sz w:val="16"/>
            <w:u w:val="none"/>
          </w:rPr>
          <w:t>OMEN</w:t>
        </w:r>
        <w:r w:rsidR="00F53EBF" w:rsidRPr="00851D93">
          <w:rPr>
            <w:rStyle w:val="Hyperlink"/>
            <w:color w:val="000000" w:themeColor="text1"/>
            <w:sz w:val="20"/>
            <w:u w:val="none"/>
          </w:rPr>
          <w:t>’</w:t>
        </w:r>
        <w:r w:rsidR="00F53EBF" w:rsidRPr="00851D93">
          <w:rPr>
            <w:rStyle w:val="Hyperlink"/>
            <w:color w:val="000000" w:themeColor="text1"/>
            <w:sz w:val="16"/>
            <w:u w:val="none"/>
          </w:rPr>
          <w:t xml:space="preserve">S </w:t>
        </w:r>
        <w:r w:rsidR="00F53EBF" w:rsidRPr="00851D93">
          <w:rPr>
            <w:rStyle w:val="Hyperlink"/>
            <w:color w:val="000000" w:themeColor="text1"/>
            <w:sz w:val="20"/>
            <w:u w:val="none"/>
          </w:rPr>
          <w:t>F</w:t>
        </w:r>
        <w:r w:rsidR="00F53EBF" w:rsidRPr="00851D93">
          <w:rPr>
            <w:rStyle w:val="Hyperlink"/>
            <w:color w:val="000000" w:themeColor="text1"/>
            <w:sz w:val="16"/>
            <w:u w:val="none"/>
          </w:rPr>
          <w:t xml:space="preserve">AULKNER </w:t>
        </w:r>
        <w:r w:rsidR="00F53EBF" w:rsidRPr="00851D93">
          <w:rPr>
            <w:rStyle w:val="Hyperlink"/>
            <w:color w:val="000000" w:themeColor="text1"/>
            <w:sz w:val="20"/>
            <w:u w:val="none"/>
          </w:rPr>
          <w:t>H</w:t>
        </w:r>
        <w:r w:rsidR="00F53EBF" w:rsidRPr="00851D93">
          <w:rPr>
            <w:rStyle w:val="Hyperlink"/>
            <w:color w:val="000000" w:themeColor="text1"/>
            <w:sz w:val="16"/>
            <w:u w:val="none"/>
          </w:rPr>
          <w:t xml:space="preserve">OSPITAL </w:t>
        </w:r>
        <w:r w:rsidR="00F53EBF" w:rsidRPr="00851D93">
          <w:rPr>
            <w:rStyle w:val="Hyperlink"/>
            <w:color w:val="000000" w:themeColor="text1"/>
            <w:sz w:val="20"/>
            <w:u w:val="none"/>
          </w:rPr>
          <w:t># MGB- 20121716-HE,</w:t>
        </w:r>
        <w:r w:rsidR="00F53EBF" w:rsidRPr="00851D93">
          <w:rPr>
            <w:rStyle w:val="Hyperlink"/>
            <w:color w:val="000000" w:themeColor="text1"/>
            <w:spacing w:val="-13"/>
            <w:sz w:val="20"/>
            <w:u w:val="none"/>
          </w:rPr>
          <w:t xml:space="preserve"> </w:t>
        </w:r>
        <w:r w:rsidR="00F53EBF" w:rsidRPr="00851D93">
          <w:rPr>
            <w:rStyle w:val="Hyperlink"/>
            <w:color w:val="000000" w:themeColor="text1"/>
            <w:sz w:val="16"/>
            <w:u w:val="none"/>
          </w:rPr>
          <w:t>AND</w:t>
        </w:r>
        <w:r w:rsidR="00F53EBF" w:rsidRPr="00851D93">
          <w:rPr>
            <w:rStyle w:val="Hyperlink"/>
            <w:color w:val="000000" w:themeColor="text1"/>
            <w:spacing w:val="-6"/>
            <w:sz w:val="16"/>
            <w:u w:val="none"/>
          </w:rPr>
          <w:t xml:space="preserve"> </w:t>
        </w:r>
        <w:r w:rsidR="00F53EBF" w:rsidRPr="00851D93">
          <w:rPr>
            <w:rStyle w:val="Hyperlink"/>
            <w:color w:val="000000" w:themeColor="text1"/>
            <w:sz w:val="20"/>
            <w:u w:val="none"/>
          </w:rPr>
          <w:t>M</w:t>
        </w:r>
        <w:r w:rsidR="00F53EBF" w:rsidRPr="00851D93">
          <w:rPr>
            <w:rStyle w:val="Hyperlink"/>
            <w:color w:val="000000" w:themeColor="text1"/>
            <w:sz w:val="16"/>
            <w:u w:val="none"/>
          </w:rPr>
          <w:t>ULTISITE</w:t>
        </w:r>
        <w:r w:rsidR="00F53EBF" w:rsidRPr="00851D93">
          <w:rPr>
            <w:rStyle w:val="Hyperlink"/>
            <w:color w:val="000000" w:themeColor="text1"/>
            <w:spacing w:val="-4"/>
            <w:sz w:val="16"/>
            <w:u w:val="none"/>
          </w:rPr>
          <w:t xml:space="preserve"> </w:t>
        </w:r>
        <w:r w:rsidR="00F53EBF" w:rsidRPr="00851D93">
          <w:rPr>
            <w:rStyle w:val="Hyperlink"/>
            <w:color w:val="000000" w:themeColor="text1"/>
            <w:sz w:val="20"/>
            <w:u w:val="none"/>
          </w:rPr>
          <w:t>#</w:t>
        </w:r>
        <w:r w:rsidR="00F53EBF" w:rsidRPr="00851D93">
          <w:rPr>
            <w:rStyle w:val="Hyperlink"/>
            <w:color w:val="000000" w:themeColor="text1"/>
            <w:spacing w:val="-13"/>
            <w:sz w:val="20"/>
            <w:u w:val="none"/>
          </w:rPr>
          <w:t xml:space="preserve"> </w:t>
        </w:r>
        <w:r w:rsidR="00F53EBF" w:rsidRPr="00851D93">
          <w:rPr>
            <w:rStyle w:val="Hyperlink"/>
            <w:color w:val="000000" w:themeColor="text1"/>
            <w:sz w:val="20"/>
            <w:u w:val="none"/>
          </w:rPr>
          <w:t>M</w:t>
        </w:r>
        <w:r w:rsidR="00F53EBF" w:rsidRPr="00851D93">
          <w:rPr>
            <w:rStyle w:val="Hyperlink"/>
            <w:color w:val="000000" w:themeColor="text1"/>
            <w:sz w:val="16"/>
            <w:u w:val="none"/>
          </w:rPr>
          <w:t>ULTISITE</w:t>
        </w:r>
        <w:r w:rsidR="00F53EBF" w:rsidRPr="00851D93">
          <w:rPr>
            <w:rStyle w:val="Hyperlink"/>
            <w:color w:val="000000" w:themeColor="text1"/>
            <w:sz w:val="20"/>
            <w:u w:val="none"/>
          </w:rPr>
          <w:t>-21012113-AS</w:t>
        </w:r>
        <w:r w:rsidR="00F53EBF" w:rsidRPr="00851D93">
          <w:rPr>
            <w:rStyle w:val="Hyperlink"/>
            <w:color w:val="000000" w:themeColor="text1"/>
            <w:spacing w:val="-12"/>
            <w:sz w:val="20"/>
            <w:u w:val="none"/>
          </w:rPr>
          <w:t xml:space="preserve"> </w:t>
        </w:r>
        <w:r w:rsidR="00F53EBF" w:rsidRPr="00851D93">
          <w:rPr>
            <w:rStyle w:val="Hyperlink"/>
            <w:color w:val="000000" w:themeColor="text1"/>
            <w:sz w:val="20"/>
            <w:u w:val="none"/>
          </w:rPr>
          <w:t>I</w:t>
        </w:r>
        <w:r w:rsidR="00F53EBF" w:rsidRPr="00851D93">
          <w:rPr>
            <w:rStyle w:val="Hyperlink"/>
            <w:color w:val="000000" w:themeColor="text1"/>
            <w:sz w:val="16"/>
            <w:u w:val="none"/>
          </w:rPr>
          <w:t>NDEPENDENT</w:t>
        </w:r>
        <w:r w:rsidR="00F53EBF" w:rsidRPr="00851D93">
          <w:rPr>
            <w:rStyle w:val="Hyperlink"/>
            <w:color w:val="000000" w:themeColor="text1"/>
            <w:spacing w:val="-2"/>
            <w:sz w:val="16"/>
            <w:u w:val="none"/>
          </w:rPr>
          <w:t xml:space="preserve"> </w:t>
        </w:r>
        <w:r w:rsidR="00F53EBF" w:rsidRPr="00851D93">
          <w:rPr>
            <w:rStyle w:val="Hyperlink"/>
            <w:color w:val="000000" w:themeColor="text1"/>
            <w:sz w:val="20"/>
            <w:u w:val="none"/>
          </w:rPr>
          <w:t>C</w:t>
        </w:r>
        <w:r w:rsidR="00F53EBF" w:rsidRPr="00851D93">
          <w:rPr>
            <w:rStyle w:val="Hyperlink"/>
            <w:color w:val="000000" w:themeColor="text1"/>
            <w:sz w:val="16"/>
            <w:u w:val="none"/>
          </w:rPr>
          <w:t>OST</w:t>
        </w:r>
        <w:r w:rsidR="00F53EBF" w:rsidRPr="00851D93">
          <w:rPr>
            <w:rStyle w:val="Hyperlink"/>
            <w:color w:val="000000" w:themeColor="text1"/>
            <w:sz w:val="20"/>
            <w:u w:val="none"/>
          </w:rPr>
          <w:t>-A</w:t>
        </w:r>
        <w:r w:rsidR="00F53EBF" w:rsidRPr="00851D93">
          <w:rPr>
            <w:rStyle w:val="Hyperlink"/>
            <w:color w:val="000000" w:themeColor="text1"/>
            <w:sz w:val="16"/>
            <w:u w:val="none"/>
          </w:rPr>
          <w:t>NALYSIS</w:t>
        </w:r>
        <w:r w:rsidR="00F53EBF" w:rsidRPr="00851D93">
          <w:rPr>
            <w:rStyle w:val="Hyperlink"/>
            <w:color w:val="000000" w:themeColor="text1"/>
            <w:spacing w:val="-5"/>
            <w:sz w:val="16"/>
            <w:u w:val="none"/>
          </w:rPr>
          <w:t xml:space="preserve"> </w:t>
        </w:r>
        <w:r w:rsidR="00F53EBF" w:rsidRPr="00851D93">
          <w:rPr>
            <w:rStyle w:val="Hyperlink"/>
            <w:color w:val="000000" w:themeColor="text1"/>
            <w:sz w:val="20"/>
            <w:u w:val="none"/>
          </w:rPr>
          <w:t>C</w:t>
        </w:r>
        <w:r w:rsidR="00F53EBF" w:rsidRPr="00851D93">
          <w:rPr>
            <w:rStyle w:val="Hyperlink"/>
            <w:color w:val="000000" w:themeColor="text1"/>
            <w:sz w:val="16"/>
            <w:u w:val="none"/>
          </w:rPr>
          <w:t>OMMENT</w:t>
        </w:r>
      </w:hyperlink>
      <w:r w:rsidR="00F53EBF" w:rsidRPr="00851D93">
        <w:rPr>
          <w:color w:val="000000" w:themeColor="text1"/>
          <w:spacing w:val="7"/>
          <w:sz w:val="16"/>
        </w:rPr>
        <w:t xml:space="preserve"> </w:t>
      </w:r>
      <w:r w:rsidR="00F53EBF" w:rsidRPr="00851D93">
        <w:rPr>
          <w:color w:val="000000" w:themeColor="text1"/>
          <w:sz w:val="20"/>
        </w:rPr>
        <w:t>at</w:t>
      </w:r>
      <w:r w:rsidR="00F53EBF" w:rsidRPr="00851D93">
        <w:rPr>
          <w:color w:val="000000" w:themeColor="text1"/>
          <w:spacing w:val="-3"/>
          <w:sz w:val="20"/>
        </w:rPr>
        <w:t xml:space="preserve"> </w:t>
      </w:r>
      <w:r w:rsidR="00F53EBF" w:rsidRPr="00851D93">
        <w:rPr>
          <w:color w:val="000000" w:themeColor="text1"/>
          <w:sz w:val="20"/>
        </w:rPr>
        <w:t>Appendix</w:t>
      </w:r>
      <w:r w:rsidR="00F53EBF" w:rsidRPr="00851D93">
        <w:rPr>
          <w:color w:val="000000" w:themeColor="text1"/>
          <w:spacing w:val="-5"/>
          <w:sz w:val="20"/>
        </w:rPr>
        <w:t xml:space="preserve"> </w:t>
      </w:r>
      <w:r w:rsidR="00F53EBF">
        <w:rPr>
          <w:sz w:val="20"/>
        </w:rPr>
        <w:t>IV.A</w:t>
      </w:r>
    </w:p>
    <w:p w14:paraId="253F04B5" w14:textId="01A4BC4D" w:rsidR="004A21DA" w:rsidRPr="00F53EBF" w:rsidRDefault="00F53EBF" w:rsidP="00E50531">
      <w:pPr>
        <w:ind w:left="959" w:right="1056"/>
        <w:rPr>
          <w:sz w:val="20"/>
        </w:rPr>
      </w:pPr>
      <w:r>
        <w:rPr>
          <w:sz w:val="20"/>
        </w:rPr>
        <w:t xml:space="preserve">(Illustrating that a demographic-based model of inpatient bed need in 2010 would have predicted a 19% increase in utilization through 2020, while actual bed days grew by 0.7% from 2010 to 2019), </w:t>
      </w:r>
      <w:r>
        <w:rPr>
          <w:i/>
          <w:sz w:val="20"/>
        </w:rPr>
        <w:t xml:space="preserve">available </w:t>
      </w:r>
      <w:proofErr w:type="spellStart"/>
      <w:r>
        <w:rPr>
          <w:i/>
          <w:sz w:val="20"/>
        </w:rPr>
        <w:t xml:space="preserve">at </w:t>
      </w:r>
      <w:hyperlink r:id="rId253">
        <w:r>
          <w:rPr>
            <w:color w:val="486794"/>
            <w:sz w:val="20"/>
            <w:u w:val="single" w:color="486794"/>
          </w:rPr>
          <w:t>https://www.mass.gov/doc/hpc-public-comment-mgb-determination-of-need-applications/download</w:t>
        </w:r>
        <w:r>
          <w:rPr>
            <w:sz w:val="20"/>
          </w:rPr>
          <w:t>;</w:t>
        </w:r>
      </w:hyperlink>
      <w:r>
        <w:rPr>
          <w:sz w:val="20"/>
        </w:rPr>
        <w:t xml:space="preserve"> </w:t>
      </w:r>
      <w:r>
        <w:rPr>
          <w:i/>
          <w:sz w:val="20"/>
        </w:rPr>
        <w:t>see</w:t>
      </w:r>
      <w:proofErr w:type="spellEnd"/>
      <w:r>
        <w:rPr>
          <w:i/>
          <w:sz w:val="20"/>
        </w:rPr>
        <w:t xml:space="preserve"> also </w:t>
      </w:r>
      <w:r>
        <w:rPr>
          <w:sz w:val="20"/>
        </w:rPr>
        <w:t xml:space="preserve">Melinda Butin et al., </w:t>
      </w:r>
      <w:hyperlink r:id="rId254" w:history="1">
        <w:r w:rsidRPr="00851D93">
          <w:rPr>
            <w:rStyle w:val="Hyperlink"/>
            <w:i/>
            <w:color w:val="000000" w:themeColor="text1"/>
            <w:sz w:val="20"/>
            <w:u w:val="none"/>
          </w:rPr>
          <w:t>Scenarios, not shortage forecasts, are key to better workforce policy</w:t>
        </w:r>
      </w:hyperlink>
      <w:r w:rsidRPr="00851D93">
        <w:rPr>
          <w:i/>
          <w:color w:val="000000" w:themeColor="text1"/>
          <w:sz w:val="20"/>
        </w:rPr>
        <w:t xml:space="preserve">, </w:t>
      </w:r>
      <w:r w:rsidRPr="00851D93">
        <w:rPr>
          <w:color w:val="000000" w:themeColor="text1"/>
          <w:sz w:val="20"/>
        </w:rPr>
        <w:t xml:space="preserve">2 </w:t>
      </w:r>
      <w:r>
        <w:rPr>
          <w:sz w:val="20"/>
        </w:rPr>
        <w:t>H</w:t>
      </w:r>
      <w:r>
        <w:rPr>
          <w:sz w:val="16"/>
        </w:rPr>
        <w:t>EALTH</w:t>
      </w:r>
      <w:r>
        <w:rPr>
          <w:spacing w:val="40"/>
          <w:sz w:val="16"/>
        </w:rPr>
        <w:t xml:space="preserve"> </w:t>
      </w:r>
      <w:r>
        <w:rPr>
          <w:sz w:val="20"/>
        </w:rPr>
        <w:t>A</w:t>
      </w:r>
      <w:r>
        <w:rPr>
          <w:sz w:val="16"/>
        </w:rPr>
        <w:t>FFAIRS</w:t>
      </w:r>
      <w:r>
        <w:rPr>
          <w:spacing w:val="-4"/>
          <w:sz w:val="16"/>
        </w:rPr>
        <w:t xml:space="preserve"> </w:t>
      </w:r>
      <w:r>
        <w:rPr>
          <w:sz w:val="20"/>
        </w:rPr>
        <w:t>S</w:t>
      </w:r>
      <w:r>
        <w:rPr>
          <w:sz w:val="16"/>
        </w:rPr>
        <w:t xml:space="preserve">CHOLAR </w:t>
      </w:r>
      <w:r>
        <w:rPr>
          <w:sz w:val="20"/>
        </w:rPr>
        <w:t>11,</w:t>
      </w:r>
      <w:r>
        <w:rPr>
          <w:spacing w:val="-3"/>
          <w:sz w:val="20"/>
        </w:rPr>
        <w:t xml:space="preserve"> </w:t>
      </w:r>
      <w:r>
        <w:rPr>
          <w:sz w:val="20"/>
        </w:rPr>
        <w:t>2,</w:t>
      </w:r>
      <w:r>
        <w:rPr>
          <w:spacing w:val="-3"/>
          <w:sz w:val="20"/>
        </w:rPr>
        <w:t xml:space="preserve"> </w:t>
      </w:r>
      <w:r>
        <w:rPr>
          <w:i/>
          <w:sz w:val="20"/>
        </w:rPr>
        <w:t>available</w:t>
      </w:r>
      <w:r>
        <w:rPr>
          <w:i/>
          <w:spacing w:val="-4"/>
          <w:sz w:val="20"/>
        </w:rPr>
        <w:t xml:space="preserve"> </w:t>
      </w:r>
      <w:r>
        <w:rPr>
          <w:i/>
          <w:sz w:val="20"/>
        </w:rPr>
        <w:t>at</w:t>
      </w:r>
      <w:r>
        <w:rPr>
          <w:i/>
          <w:spacing w:val="-5"/>
          <w:sz w:val="20"/>
        </w:rPr>
        <w:t xml:space="preserve"> </w:t>
      </w:r>
      <w:hyperlink r:id="rId255">
        <w:r>
          <w:rPr>
            <w:color w:val="486794"/>
            <w:sz w:val="20"/>
            <w:u w:val="single" w:color="486794"/>
          </w:rPr>
          <w:t>https://pmc.ncbi.nlm.nih.gov/articles/PMC11599709/pdf/qxae149.pdf</w:t>
        </w:r>
      </w:hyperlink>
      <w:r>
        <w:rPr>
          <w:color w:val="486794"/>
          <w:sz w:val="20"/>
        </w:rPr>
        <w:t xml:space="preserve"> </w:t>
      </w:r>
      <w:r>
        <w:rPr>
          <w:sz w:val="20"/>
        </w:rPr>
        <w:t>(“For example, population aging in the United States was assumed to have predictable effects on demand for health care. Given that adults aged 65–84 years are far more likely to require inpatient hospital stays compared with children aged 1–17 years, a forecaster in 2000 might have reasonably anticipated a growing</w:t>
      </w:r>
      <w:r>
        <w:rPr>
          <w:spacing w:val="-3"/>
          <w:sz w:val="20"/>
        </w:rPr>
        <w:t xml:space="preserve"> </w:t>
      </w:r>
      <w:r>
        <w:rPr>
          <w:sz w:val="20"/>
        </w:rPr>
        <w:t>need</w:t>
      </w:r>
      <w:r>
        <w:rPr>
          <w:spacing w:val="-2"/>
          <w:sz w:val="20"/>
        </w:rPr>
        <w:t xml:space="preserve"> </w:t>
      </w:r>
      <w:r>
        <w:rPr>
          <w:sz w:val="20"/>
        </w:rPr>
        <w:t>for</w:t>
      </w:r>
      <w:r>
        <w:rPr>
          <w:spacing w:val="-3"/>
          <w:sz w:val="20"/>
        </w:rPr>
        <w:t xml:space="preserve"> </w:t>
      </w:r>
      <w:r>
        <w:rPr>
          <w:sz w:val="20"/>
        </w:rPr>
        <w:t>hospital</w:t>
      </w:r>
      <w:r>
        <w:rPr>
          <w:spacing w:val="-3"/>
          <w:sz w:val="20"/>
        </w:rPr>
        <w:t xml:space="preserve"> </w:t>
      </w:r>
      <w:r>
        <w:rPr>
          <w:sz w:val="20"/>
        </w:rPr>
        <w:t>beds</w:t>
      </w:r>
      <w:r>
        <w:rPr>
          <w:spacing w:val="-2"/>
          <w:sz w:val="20"/>
        </w:rPr>
        <w:t xml:space="preserve"> </w:t>
      </w:r>
      <w:r>
        <w:rPr>
          <w:sz w:val="20"/>
        </w:rPr>
        <w:t>due</w:t>
      </w:r>
      <w:r>
        <w:rPr>
          <w:spacing w:val="-3"/>
          <w:sz w:val="20"/>
        </w:rPr>
        <w:t xml:space="preserve"> </w:t>
      </w:r>
      <w:r>
        <w:rPr>
          <w:sz w:val="20"/>
        </w:rPr>
        <w:t>to</w:t>
      </w:r>
      <w:r>
        <w:rPr>
          <w:spacing w:val="-3"/>
          <w:sz w:val="20"/>
        </w:rPr>
        <w:t xml:space="preserve"> </w:t>
      </w:r>
      <w:r>
        <w:rPr>
          <w:sz w:val="20"/>
        </w:rPr>
        <w:t>population</w:t>
      </w:r>
      <w:r>
        <w:rPr>
          <w:spacing w:val="-3"/>
          <w:sz w:val="20"/>
        </w:rPr>
        <w:t xml:space="preserve"> </w:t>
      </w:r>
      <w:r>
        <w:rPr>
          <w:sz w:val="20"/>
        </w:rPr>
        <w:t>aging. Despite</w:t>
      </w:r>
      <w:r>
        <w:rPr>
          <w:spacing w:val="-3"/>
          <w:sz w:val="20"/>
        </w:rPr>
        <w:t xml:space="preserve"> </w:t>
      </w:r>
      <w:r>
        <w:rPr>
          <w:sz w:val="20"/>
        </w:rPr>
        <w:t>a</w:t>
      </w:r>
      <w:r>
        <w:rPr>
          <w:spacing w:val="-3"/>
          <w:sz w:val="20"/>
        </w:rPr>
        <w:t xml:space="preserve"> </w:t>
      </w:r>
      <w:r>
        <w:rPr>
          <w:sz w:val="20"/>
        </w:rPr>
        <w:t>nearly</w:t>
      </w:r>
      <w:r>
        <w:rPr>
          <w:spacing w:val="-3"/>
          <w:sz w:val="20"/>
        </w:rPr>
        <w:t xml:space="preserve"> </w:t>
      </w:r>
      <w:r>
        <w:rPr>
          <w:sz w:val="20"/>
        </w:rPr>
        <w:t>55%</w:t>
      </w:r>
      <w:r>
        <w:rPr>
          <w:spacing w:val="-3"/>
          <w:sz w:val="20"/>
        </w:rPr>
        <w:t xml:space="preserve"> </w:t>
      </w:r>
      <w:r>
        <w:rPr>
          <w:sz w:val="20"/>
        </w:rPr>
        <w:t>increase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US</w:t>
      </w:r>
      <w:r>
        <w:rPr>
          <w:spacing w:val="-3"/>
          <w:sz w:val="20"/>
        </w:rPr>
        <w:t xml:space="preserve"> </w:t>
      </w:r>
      <w:r>
        <w:rPr>
          <w:sz w:val="20"/>
        </w:rPr>
        <w:t xml:space="preserve">population aged 65 and above, the number of </w:t>
      </w:r>
      <w:proofErr w:type="gramStart"/>
      <w:r>
        <w:rPr>
          <w:sz w:val="20"/>
        </w:rPr>
        <w:t>hospital</w:t>
      </w:r>
      <w:proofErr w:type="gramEnd"/>
      <w:r>
        <w:rPr>
          <w:sz w:val="20"/>
        </w:rPr>
        <w:t xml:space="preserve"> stays in 2019 was only 0.3% higher than in 2000”).</w:t>
      </w:r>
    </w:p>
  </w:footnote>
  <w:footnote w:id="196">
    <w:p w14:paraId="1F2B2DEF" w14:textId="55BB50B1" w:rsidR="00F53EBF" w:rsidRDefault="00F53EBF" w:rsidP="00E50531">
      <w:pPr>
        <w:pStyle w:val="FootnoteText"/>
        <w:ind w:left="959" w:right="1056"/>
      </w:pPr>
      <w:r>
        <w:rPr>
          <w:rStyle w:val="FootnoteReference"/>
        </w:rPr>
        <w:footnoteRef/>
      </w:r>
      <w:r>
        <w:t xml:space="preserve"> DFCI</w:t>
      </w:r>
      <w:r>
        <w:rPr>
          <w:spacing w:val="-12"/>
        </w:rPr>
        <w:t xml:space="preserve"> </w:t>
      </w:r>
      <w:r>
        <w:t>D</w:t>
      </w:r>
      <w:r>
        <w:rPr>
          <w:sz w:val="16"/>
        </w:rPr>
        <w:t>O</w:t>
      </w:r>
      <w:r>
        <w:t>N</w:t>
      </w:r>
      <w:r>
        <w:rPr>
          <w:spacing w:val="-13"/>
        </w:rPr>
        <w:t xml:space="preserve"> </w:t>
      </w:r>
      <w:r>
        <w:t>N</w:t>
      </w:r>
      <w:r>
        <w:rPr>
          <w:sz w:val="16"/>
        </w:rPr>
        <w:t>ARRATIVE</w:t>
      </w:r>
      <w:r>
        <w:t>,</w:t>
      </w:r>
      <w:r>
        <w:rPr>
          <w:spacing w:val="-4"/>
        </w:rPr>
        <w:t xml:space="preserve"> </w:t>
      </w:r>
      <w:r>
        <w:rPr>
          <w:i/>
        </w:rPr>
        <w:t>supra</w:t>
      </w:r>
      <w:r>
        <w:rPr>
          <w:i/>
          <w:spacing w:val="-7"/>
        </w:rPr>
        <w:t xml:space="preserve"> </w:t>
      </w:r>
      <w:r>
        <w:t>note</w:t>
      </w:r>
      <w:r>
        <w:rPr>
          <w:spacing w:val="-5"/>
        </w:rPr>
        <w:t xml:space="preserve"> </w:t>
      </w:r>
      <w:hyperlink w:anchor="_bookmark7" w:history="1">
        <w:r>
          <w:t>8</w:t>
        </w:r>
        <w:r>
          <w:rPr>
            <w:i/>
          </w:rPr>
          <w:t>,</w:t>
        </w:r>
      </w:hyperlink>
      <w:r>
        <w:rPr>
          <w:i/>
          <w:spacing w:val="-4"/>
        </w:rPr>
        <w:t xml:space="preserve"> </w:t>
      </w:r>
      <w:r>
        <w:t>at</w:t>
      </w:r>
      <w:r>
        <w:rPr>
          <w:spacing w:val="-5"/>
        </w:rPr>
        <w:t xml:space="preserve"> </w:t>
      </w:r>
      <w:r>
        <w:t>15-</w:t>
      </w:r>
      <w:r>
        <w:rPr>
          <w:spacing w:val="-5"/>
        </w:rPr>
        <w:t>18.</w:t>
      </w:r>
    </w:p>
  </w:footnote>
  <w:footnote w:id="197">
    <w:p w14:paraId="2E8D96FF" w14:textId="49A3E7E2" w:rsidR="00F53EBF" w:rsidRDefault="00F53EBF" w:rsidP="00E50531">
      <w:pPr>
        <w:spacing w:line="226" w:lineRule="exact"/>
        <w:ind w:left="959" w:right="1056"/>
        <w:rPr>
          <w:sz w:val="20"/>
        </w:rPr>
      </w:pPr>
      <w:r>
        <w:rPr>
          <w:rStyle w:val="FootnoteReference"/>
        </w:rPr>
        <w:footnoteRef/>
      </w:r>
      <w:r>
        <w:t xml:space="preserve"> </w:t>
      </w:r>
      <w:hyperlink r:id="rId256" w:history="1">
        <w:r w:rsidRPr="00CE489F">
          <w:rPr>
            <w:rStyle w:val="Hyperlink"/>
            <w:color w:val="000000" w:themeColor="text1"/>
            <w:sz w:val="20"/>
            <w:u w:val="none"/>
          </w:rPr>
          <w:t>M</w:t>
        </w:r>
        <w:r w:rsidRPr="00CE489F">
          <w:rPr>
            <w:rStyle w:val="Hyperlink"/>
            <w:color w:val="000000" w:themeColor="text1"/>
            <w:sz w:val="16"/>
            <w:u w:val="none"/>
          </w:rPr>
          <w:t>ASSACHUSETTS</w:t>
        </w:r>
        <w:r w:rsidRPr="00CE489F">
          <w:rPr>
            <w:rStyle w:val="Hyperlink"/>
            <w:color w:val="000000" w:themeColor="text1"/>
            <w:spacing w:val="-9"/>
            <w:sz w:val="16"/>
            <w:u w:val="none"/>
          </w:rPr>
          <w:t xml:space="preserve"> </w:t>
        </w:r>
        <w:r w:rsidRPr="00CE489F">
          <w:rPr>
            <w:rStyle w:val="Hyperlink"/>
            <w:color w:val="000000" w:themeColor="text1"/>
            <w:sz w:val="20"/>
            <w:u w:val="none"/>
          </w:rPr>
          <w:t>C</w:t>
        </w:r>
        <w:r w:rsidRPr="00CE489F">
          <w:rPr>
            <w:rStyle w:val="Hyperlink"/>
            <w:color w:val="000000" w:themeColor="text1"/>
            <w:sz w:val="16"/>
            <w:u w:val="none"/>
          </w:rPr>
          <w:t>ANCER</w:t>
        </w:r>
        <w:r w:rsidRPr="00CE489F">
          <w:rPr>
            <w:rStyle w:val="Hyperlink"/>
            <w:color w:val="000000" w:themeColor="text1"/>
            <w:spacing w:val="-6"/>
            <w:sz w:val="16"/>
            <w:u w:val="none"/>
          </w:rPr>
          <w:t xml:space="preserve"> </w:t>
        </w:r>
        <w:r w:rsidRPr="00CE489F">
          <w:rPr>
            <w:rStyle w:val="Hyperlink"/>
            <w:color w:val="000000" w:themeColor="text1"/>
            <w:sz w:val="20"/>
            <w:u w:val="none"/>
          </w:rPr>
          <w:t>R</w:t>
        </w:r>
        <w:r w:rsidRPr="00CE489F">
          <w:rPr>
            <w:rStyle w:val="Hyperlink"/>
            <w:color w:val="000000" w:themeColor="text1"/>
            <w:sz w:val="16"/>
            <w:u w:val="none"/>
          </w:rPr>
          <w:t>EGISTRY</w:t>
        </w:r>
        <w:r w:rsidRPr="00CE489F">
          <w:rPr>
            <w:rStyle w:val="Hyperlink"/>
            <w:color w:val="000000" w:themeColor="text1"/>
            <w:sz w:val="20"/>
            <w:u w:val="none"/>
          </w:rPr>
          <w:t>,</w:t>
        </w:r>
        <w:r w:rsidRPr="00CE489F">
          <w:rPr>
            <w:rStyle w:val="Hyperlink"/>
            <w:color w:val="000000" w:themeColor="text1"/>
            <w:spacing w:val="-12"/>
            <w:sz w:val="20"/>
            <w:u w:val="none"/>
          </w:rPr>
          <w:t xml:space="preserve"> </w:t>
        </w:r>
        <w:r w:rsidRPr="00CE489F">
          <w:rPr>
            <w:rStyle w:val="Hyperlink"/>
            <w:color w:val="000000" w:themeColor="text1"/>
            <w:sz w:val="20"/>
            <w:u w:val="none"/>
          </w:rPr>
          <w:t>C</w:t>
        </w:r>
        <w:r w:rsidRPr="00CE489F">
          <w:rPr>
            <w:rStyle w:val="Hyperlink"/>
            <w:color w:val="000000" w:themeColor="text1"/>
            <w:sz w:val="16"/>
            <w:u w:val="none"/>
          </w:rPr>
          <w:t>ANCER</w:t>
        </w:r>
        <w:r w:rsidRPr="00CE489F">
          <w:rPr>
            <w:rStyle w:val="Hyperlink"/>
            <w:color w:val="000000" w:themeColor="text1"/>
            <w:spacing w:val="-8"/>
            <w:sz w:val="16"/>
            <w:u w:val="none"/>
          </w:rPr>
          <w:t xml:space="preserve"> </w:t>
        </w:r>
        <w:r w:rsidRPr="00CE489F">
          <w:rPr>
            <w:rStyle w:val="Hyperlink"/>
            <w:color w:val="000000" w:themeColor="text1"/>
            <w:sz w:val="20"/>
            <w:u w:val="none"/>
          </w:rPr>
          <w:t>I</w:t>
        </w:r>
        <w:r w:rsidRPr="00CE489F">
          <w:rPr>
            <w:rStyle w:val="Hyperlink"/>
            <w:color w:val="000000" w:themeColor="text1"/>
            <w:sz w:val="16"/>
            <w:u w:val="none"/>
          </w:rPr>
          <w:t>NCIDENCE</w:t>
        </w:r>
        <w:r w:rsidRPr="00CE489F">
          <w:rPr>
            <w:rStyle w:val="Hyperlink"/>
            <w:color w:val="000000" w:themeColor="text1"/>
            <w:spacing w:val="-8"/>
            <w:sz w:val="16"/>
            <w:u w:val="none"/>
          </w:rPr>
          <w:t xml:space="preserve"> </w:t>
        </w:r>
        <w:r w:rsidRPr="00CE489F">
          <w:rPr>
            <w:rStyle w:val="Hyperlink"/>
            <w:color w:val="000000" w:themeColor="text1"/>
            <w:sz w:val="16"/>
            <w:u w:val="none"/>
          </w:rPr>
          <w:t>AND</w:t>
        </w:r>
        <w:r w:rsidRPr="00CE489F">
          <w:rPr>
            <w:rStyle w:val="Hyperlink"/>
            <w:color w:val="000000" w:themeColor="text1"/>
            <w:spacing w:val="-7"/>
            <w:sz w:val="16"/>
            <w:u w:val="none"/>
          </w:rPr>
          <w:t xml:space="preserve"> </w:t>
        </w:r>
        <w:r w:rsidRPr="00CE489F">
          <w:rPr>
            <w:rStyle w:val="Hyperlink"/>
            <w:color w:val="000000" w:themeColor="text1"/>
            <w:sz w:val="20"/>
            <w:u w:val="none"/>
          </w:rPr>
          <w:t>M</w:t>
        </w:r>
        <w:r w:rsidRPr="00CE489F">
          <w:rPr>
            <w:rStyle w:val="Hyperlink"/>
            <w:color w:val="000000" w:themeColor="text1"/>
            <w:sz w:val="16"/>
            <w:u w:val="none"/>
          </w:rPr>
          <w:t>ORTALITY</w:t>
        </w:r>
        <w:r w:rsidRPr="00CE489F">
          <w:rPr>
            <w:rStyle w:val="Hyperlink"/>
            <w:color w:val="000000" w:themeColor="text1"/>
            <w:spacing w:val="-8"/>
            <w:sz w:val="16"/>
            <w:u w:val="none"/>
          </w:rPr>
          <w:t xml:space="preserve"> </w:t>
        </w:r>
        <w:r w:rsidRPr="00CE489F">
          <w:rPr>
            <w:rStyle w:val="Hyperlink"/>
            <w:color w:val="000000" w:themeColor="text1"/>
            <w:sz w:val="16"/>
            <w:u w:val="none"/>
          </w:rPr>
          <w:t>IN</w:t>
        </w:r>
        <w:r w:rsidRPr="00CE489F">
          <w:rPr>
            <w:rStyle w:val="Hyperlink"/>
            <w:color w:val="000000" w:themeColor="text1"/>
            <w:spacing w:val="-8"/>
            <w:sz w:val="16"/>
            <w:u w:val="none"/>
          </w:rPr>
          <w:t xml:space="preserve"> </w:t>
        </w:r>
        <w:r w:rsidRPr="00CE489F">
          <w:rPr>
            <w:rStyle w:val="Hyperlink"/>
            <w:color w:val="000000" w:themeColor="text1"/>
            <w:sz w:val="20"/>
            <w:u w:val="none"/>
          </w:rPr>
          <w:t>M</w:t>
        </w:r>
        <w:r w:rsidRPr="00CE489F">
          <w:rPr>
            <w:rStyle w:val="Hyperlink"/>
            <w:color w:val="000000" w:themeColor="text1"/>
            <w:sz w:val="16"/>
            <w:u w:val="none"/>
          </w:rPr>
          <w:t>ASSACHUSETTS</w:t>
        </w:r>
        <w:r w:rsidRPr="00CE489F">
          <w:rPr>
            <w:rStyle w:val="Hyperlink"/>
            <w:color w:val="000000" w:themeColor="text1"/>
            <w:spacing w:val="-6"/>
            <w:sz w:val="16"/>
            <w:u w:val="none"/>
          </w:rPr>
          <w:t xml:space="preserve"> </w:t>
        </w:r>
        <w:r w:rsidRPr="00CE489F">
          <w:rPr>
            <w:rStyle w:val="Hyperlink"/>
            <w:color w:val="000000" w:themeColor="text1"/>
            <w:sz w:val="20"/>
            <w:u w:val="none"/>
          </w:rPr>
          <w:t>2016-2020</w:t>
        </w:r>
      </w:hyperlink>
      <w:r w:rsidRPr="00CE489F">
        <w:rPr>
          <w:color w:val="000000" w:themeColor="text1"/>
          <w:sz w:val="20"/>
        </w:rPr>
        <w:t>,</w:t>
      </w:r>
      <w:r w:rsidRPr="00CE489F">
        <w:rPr>
          <w:color w:val="000000" w:themeColor="text1"/>
          <w:spacing w:val="-13"/>
          <w:sz w:val="20"/>
        </w:rPr>
        <w:t xml:space="preserve"> </w:t>
      </w:r>
      <w:r w:rsidRPr="00CE489F">
        <w:rPr>
          <w:color w:val="000000" w:themeColor="text1"/>
          <w:sz w:val="20"/>
        </w:rPr>
        <w:t>at</w:t>
      </w:r>
      <w:r w:rsidRPr="00CE489F">
        <w:rPr>
          <w:color w:val="000000" w:themeColor="text1"/>
          <w:spacing w:val="-7"/>
          <w:sz w:val="20"/>
        </w:rPr>
        <w:t xml:space="preserve"> </w:t>
      </w:r>
      <w:r w:rsidRPr="00CE489F">
        <w:rPr>
          <w:color w:val="000000" w:themeColor="text1"/>
          <w:sz w:val="20"/>
        </w:rPr>
        <w:t>44</w:t>
      </w:r>
      <w:r>
        <w:rPr>
          <w:sz w:val="20"/>
        </w:rPr>
        <w:t>-</w:t>
      </w:r>
      <w:r>
        <w:rPr>
          <w:spacing w:val="-5"/>
          <w:sz w:val="20"/>
        </w:rPr>
        <w:t>45</w:t>
      </w:r>
    </w:p>
    <w:p w14:paraId="08E67827" w14:textId="77777777" w:rsidR="00F53EBF" w:rsidRDefault="00F53EBF" w:rsidP="00E50531">
      <w:pPr>
        <w:ind w:left="959" w:right="1056"/>
        <w:rPr>
          <w:sz w:val="20"/>
        </w:rPr>
      </w:pPr>
      <w:r>
        <w:rPr>
          <w:sz w:val="20"/>
        </w:rPr>
        <w:t xml:space="preserve">(Jun. 2024), </w:t>
      </w:r>
      <w:r>
        <w:rPr>
          <w:i/>
          <w:sz w:val="20"/>
        </w:rPr>
        <w:t xml:space="preserve">available at </w:t>
      </w:r>
      <w:hyperlink r:id="rId257">
        <w:r>
          <w:rPr>
            <w:color w:val="486794"/>
            <w:sz w:val="20"/>
            <w:u w:val="single" w:color="486794"/>
          </w:rPr>
          <w:t>https://www.mass.gov/doc/cancer-incidence-and-mortality-in-massachusetts-</w:t>
        </w:r>
      </w:hyperlink>
      <w:r>
        <w:rPr>
          <w:color w:val="486794"/>
          <w:sz w:val="20"/>
        </w:rPr>
        <w:t xml:space="preserve"> </w:t>
      </w:r>
      <w:hyperlink r:id="rId258">
        <w:r>
          <w:rPr>
            <w:color w:val="486794"/>
            <w:sz w:val="20"/>
            <w:u w:val="single" w:color="486794"/>
          </w:rPr>
          <w:t>2016-2020-statewide-report/download</w:t>
        </w:r>
      </w:hyperlink>
      <w:r>
        <w:rPr>
          <w:color w:val="486794"/>
          <w:sz w:val="20"/>
        </w:rPr>
        <w:t xml:space="preserve"> </w:t>
      </w:r>
      <w:r>
        <w:rPr>
          <w:sz w:val="20"/>
        </w:rPr>
        <w:t>at 44-45 and HPC analysis of 2016 – 2019 CHIA Massachusetts Hospital</w:t>
      </w:r>
      <w:r>
        <w:rPr>
          <w:spacing w:val="-4"/>
          <w:sz w:val="20"/>
        </w:rPr>
        <w:t xml:space="preserve"> </w:t>
      </w:r>
      <w:r>
        <w:rPr>
          <w:sz w:val="20"/>
        </w:rPr>
        <w:t>Discharge</w:t>
      </w:r>
      <w:r>
        <w:rPr>
          <w:spacing w:val="-4"/>
          <w:sz w:val="20"/>
        </w:rPr>
        <w:t xml:space="preserve"> </w:t>
      </w:r>
      <w:r>
        <w:rPr>
          <w:sz w:val="20"/>
        </w:rPr>
        <w:t>Database</w:t>
      </w:r>
      <w:r>
        <w:rPr>
          <w:spacing w:val="-2"/>
          <w:sz w:val="20"/>
        </w:rPr>
        <w:t xml:space="preserve"> </w:t>
      </w:r>
      <w:r>
        <w:rPr>
          <w:sz w:val="20"/>
        </w:rPr>
        <w:t>using</w:t>
      </w:r>
      <w:r>
        <w:rPr>
          <w:spacing w:val="-4"/>
          <w:sz w:val="20"/>
        </w:rPr>
        <w:t xml:space="preserve"> </w:t>
      </w:r>
      <w:r>
        <w:rPr>
          <w:sz w:val="20"/>
        </w:rPr>
        <w:t>inpatient</w:t>
      </w:r>
      <w:r>
        <w:rPr>
          <w:spacing w:val="-3"/>
          <w:sz w:val="20"/>
        </w:rPr>
        <w:t xml:space="preserve"> </w:t>
      </w:r>
      <w:r>
        <w:rPr>
          <w:sz w:val="20"/>
        </w:rPr>
        <w:t>oncology</w:t>
      </w:r>
      <w:r>
        <w:rPr>
          <w:spacing w:val="-4"/>
          <w:sz w:val="20"/>
        </w:rPr>
        <w:t xml:space="preserve"> </w:t>
      </w:r>
      <w:r>
        <w:rPr>
          <w:sz w:val="20"/>
        </w:rPr>
        <w:t>care</w:t>
      </w:r>
      <w:r>
        <w:rPr>
          <w:spacing w:val="-4"/>
          <w:sz w:val="20"/>
        </w:rPr>
        <w:t xml:space="preserve"> </w:t>
      </w:r>
      <w:r>
        <w:rPr>
          <w:sz w:val="20"/>
        </w:rPr>
        <w:t>as</w:t>
      </w:r>
      <w:r>
        <w:rPr>
          <w:spacing w:val="-3"/>
          <w:sz w:val="20"/>
        </w:rPr>
        <w:t xml:space="preserve"> </w:t>
      </w:r>
      <w:r>
        <w:rPr>
          <w:sz w:val="20"/>
        </w:rPr>
        <w:t>defined</w:t>
      </w:r>
      <w:r>
        <w:rPr>
          <w:spacing w:val="-3"/>
          <w:sz w:val="20"/>
        </w:rPr>
        <w:t xml:space="preserve"> </w:t>
      </w:r>
      <w:r>
        <w:rPr>
          <w:sz w:val="20"/>
        </w:rPr>
        <w:t>in</w:t>
      </w:r>
      <w:r>
        <w:rPr>
          <w:spacing w:val="-4"/>
          <w:sz w:val="20"/>
        </w:rPr>
        <w:t xml:space="preserve"> </w:t>
      </w:r>
      <w:r>
        <w:rPr>
          <w:sz w:val="20"/>
        </w:rPr>
        <w:t>Section</w:t>
      </w:r>
      <w:r>
        <w:rPr>
          <w:spacing w:val="-4"/>
          <w:sz w:val="20"/>
        </w:rPr>
        <w:t xml:space="preserve"> </w:t>
      </w:r>
      <w:r>
        <w:rPr>
          <w:sz w:val="20"/>
        </w:rPr>
        <w:t>I,</w:t>
      </w:r>
      <w:r>
        <w:rPr>
          <w:spacing w:val="-3"/>
          <w:sz w:val="20"/>
        </w:rPr>
        <w:t xml:space="preserve"> </w:t>
      </w:r>
      <w:r>
        <w:rPr>
          <w:sz w:val="20"/>
        </w:rPr>
        <w:t>excluding</w:t>
      </w:r>
      <w:r>
        <w:rPr>
          <w:spacing w:val="-4"/>
          <w:sz w:val="20"/>
        </w:rPr>
        <w:t xml:space="preserve"> </w:t>
      </w:r>
      <w:r>
        <w:rPr>
          <w:sz w:val="20"/>
        </w:rPr>
        <w:t>patients</w:t>
      </w:r>
      <w:r>
        <w:rPr>
          <w:spacing w:val="-3"/>
          <w:sz w:val="20"/>
        </w:rPr>
        <w:t xml:space="preserve"> </w:t>
      </w:r>
      <w:r>
        <w:rPr>
          <w:sz w:val="20"/>
        </w:rPr>
        <w:t>under 18 years of age and out-of-state patients.</w:t>
      </w:r>
    </w:p>
    <w:p w14:paraId="3B75AE6B" w14:textId="0C9C1689" w:rsidR="00F53EBF" w:rsidRDefault="00F53EBF">
      <w:pPr>
        <w:pStyle w:val="FootnoteText"/>
      </w:pPr>
    </w:p>
  </w:footnote>
  <w:footnote w:id="198">
    <w:p w14:paraId="153D979D" w14:textId="605A8DEA" w:rsidR="00EB2839" w:rsidRDefault="00EB2839" w:rsidP="009E0213">
      <w:pPr>
        <w:pStyle w:val="FootnoteText"/>
        <w:ind w:left="900" w:right="940"/>
      </w:pPr>
      <w:r>
        <w:rPr>
          <w:rStyle w:val="FootnoteReference"/>
        </w:rPr>
        <w:footnoteRef/>
      </w:r>
      <w:r>
        <w:t xml:space="preserve"> </w:t>
      </w:r>
      <w:r>
        <w:rPr>
          <w:i/>
        </w:rPr>
        <w:t>Id</w:t>
      </w:r>
      <w:r>
        <w:t>.</w:t>
      </w:r>
      <w:r>
        <w:rPr>
          <w:spacing w:val="-12"/>
        </w:rPr>
        <w:t xml:space="preserve"> </w:t>
      </w:r>
      <w:r>
        <w:t>at</w:t>
      </w:r>
      <w:r>
        <w:rPr>
          <w:spacing w:val="-4"/>
        </w:rPr>
        <w:t xml:space="preserve"> </w:t>
      </w:r>
      <w:r>
        <w:t>18.</w:t>
      </w:r>
      <w:r>
        <w:rPr>
          <w:spacing w:val="-2"/>
        </w:rPr>
        <w:t xml:space="preserve"> </w:t>
      </w:r>
      <w:r>
        <w:t>DFCI</w:t>
      </w:r>
      <w:r>
        <w:rPr>
          <w:spacing w:val="-2"/>
        </w:rPr>
        <w:t xml:space="preserve"> </w:t>
      </w:r>
      <w:r>
        <w:t>has</w:t>
      </w:r>
      <w:r>
        <w:rPr>
          <w:spacing w:val="-2"/>
        </w:rPr>
        <w:t xml:space="preserve"> </w:t>
      </w:r>
      <w:r>
        <w:t>provided</w:t>
      </w:r>
      <w:r>
        <w:rPr>
          <w:spacing w:val="-2"/>
        </w:rPr>
        <w:t xml:space="preserve"> </w:t>
      </w:r>
      <w:r>
        <w:t>numerous</w:t>
      </w:r>
      <w:r>
        <w:rPr>
          <w:spacing w:val="-2"/>
        </w:rPr>
        <w:t xml:space="preserve"> </w:t>
      </w:r>
      <w:r>
        <w:t>citations</w:t>
      </w:r>
      <w:r>
        <w:rPr>
          <w:spacing w:val="-2"/>
        </w:rPr>
        <w:t xml:space="preserve"> </w:t>
      </w:r>
      <w:r>
        <w:t>predicting</w:t>
      </w:r>
      <w:r>
        <w:rPr>
          <w:spacing w:val="-3"/>
        </w:rPr>
        <w:t xml:space="preserve"> </w:t>
      </w:r>
      <w:r>
        <w:t>increasing</w:t>
      </w:r>
      <w:r>
        <w:rPr>
          <w:spacing w:val="-3"/>
        </w:rPr>
        <w:t xml:space="preserve"> </w:t>
      </w:r>
      <w:r>
        <w:t>incidence</w:t>
      </w:r>
      <w:r>
        <w:rPr>
          <w:spacing w:val="-4"/>
        </w:rPr>
        <w:t xml:space="preserve"> </w:t>
      </w:r>
      <w:r>
        <w:t>trends</w:t>
      </w:r>
      <w:r>
        <w:rPr>
          <w:spacing w:val="-2"/>
        </w:rPr>
        <w:t xml:space="preserve"> </w:t>
      </w:r>
      <w:r>
        <w:t>in</w:t>
      </w:r>
      <w:r>
        <w:rPr>
          <w:spacing w:val="-3"/>
        </w:rPr>
        <w:t xml:space="preserve"> </w:t>
      </w:r>
      <w:r>
        <w:t>younger</w:t>
      </w:r>
      <w:r>
        <w:rPr>
          <w:spacing w:val="-4"/>
        </w:rPr>
        <w:t xml:space="preserve"> </w:t>
      </w:r>
      <w:r>
        <w:t xml:space="preserve">adults nationwide, but these trends have not yet been reflected in incidence or inpatient discharge trends by age category in Massachusetts data reviewed by the HPC. While DFCI cites some Advisory Board Company projections of future cancer inpatient utilization in Massachusetts and New England, including “forecasted disease prevalence impacts”, no underlying data or methodologies are provided, and most of these projections are aggregated to the New England </w:t>
      </w:r>
      <w:proofErr w:type="gramStart"/>
      <w:r>
        <w:t>population as a whole</w:t>
      </w:r>
      <w:proofErr w:type="gramEnd"/>
      <w:r>
        <w:t xml:space="preserve">. </w:t>
      </w:r>
      <w:r>
        <w:rPr>
          <w:i/>
        </w:rPr>
        <w:t xml:space="preserve">See </w:t>
      </w:r>
      <w:r>
        <w:t>DFCI</w:t>
      </w:r>
      <w:r>
        <w:rPr>
          <w:spacing w:val="-3"/>
        </w:rPr>
        <w:t xml:space="preserve"> </w:t>
      </w:r>
      <w:r>
        <w:t>S</w:t>
      </w:r>
      <w:r>
        <w:rPr>
          <w:sz w:val="16"/>
        </w:rPr>
        <w:t xml:space="preserve">TAFF </w:t>
      </w:r>
      <w:r>
        <w:t>R</w:t>
      </w:r>
      <w:r>
        <w:rPr>
          <w:sz w:val="16"/>
        </w:rPr>
        <w:t>EPORT</w:t>
      </w:r>
      <w:r>
        <w:t xml:space="preserve">, </w:t>
      </w:r>
      <w:r>
        <w:rPr>
          <w:i/>
        </w:rPr>
        <w:t xml:space="preserve">supra </w:t>
      </w:r>
      <w:r>
        <w:t xml:space="preserve">note </w:t>
      </w:r>
      <w:hyperlink w:anchor="_bookmark15" w:history="1">
        <w:r>
          <w:t>15</w:t>
        </w:r>
      </w:hyperlink>
      <w:r>
        <w:t xml:space="preserve"> at 22-23.</w:t>
      </w:r>
    </w:p>
  </w:footnote>
  <w:footnote w:id="199">
    <w:p w14:paraId="0923DA75" w14:textId="439A24D0" w:rsidR="0000040C" w:rsidRDefault="0000040C" w:rsidP="009E0213">
      <w:pPr>
        <w:pStyle w:val="FootnoteText"/>
        <w:ind w:left="900" w:right="940"/>
      </w:pPr>
      <w:r>
        <w:rPr>
          <w:rStyle w:val="FootnoteReference"/>
        </w:rPr>
        <w:footnoteRef/>
      </w:r>
      <w:r>
        <w:t xml:space="preserve"> DFCI</w:t>
      </w:r>
      <w:r>
        <w:rPr>
          <w:spacing w:val="-12"/>
        </w:rPr>
        <w:t xml:space="preserve"> </w:t>
      </w:r>
      <w:r>
        <w:t>D</w:t>
      </w:r>
      <w:r>
        <w:rPr>
          <w:sz w:val="16"/>
        </w:rPr>
        <w:t>O</w:t>
      </w:r>
      <w:r>
        <w:t>N</w:t>
      </w:r>
      <w:r>
        <w:rPr>
          <w:spacing w:val="-13"/>
        </w:rPr>
        <w:t xml:space="preserve"> </w:t>
      </w:r>
      <w:r>
        <w:t>N</w:t>
      </w:r>
      <w:r>
        <w:rPr>
          <w:sz w:val="16"/>
        </w:rPr>
        <w:t>ARRATIVE</w:t>
      </w:r>
      <w:r>
        <w:t>,</w:t>
      </w:r>
      <w:r>
        <w:rPr>
          <w:spacing w:val="-3"/>
        </w:rPr>
        <w:t xml:space="preserve"> </w:t>
      </w:r>
      <w:r>
        <w:rPr>
          <w:i/>
        </w:rPr>
        <w:t>supra</w:t>
      </w:r>
      <w:r>
        <w:rPr>
          <w:i/>
          <w:spacing w:val="-6"/>
        </w:rPr>
        <w:t xml:space="preserve"> </w:t>
      </w:r>
      <w:r>
        <w:t>note</w:t>
      </w:r>
      <w:r>
        <w:rPr>
          <w:spacing w:val="-5"/>
        </w:rPr>
        <w:t xml:space="preserve"> </w:t>
      </w:r>
      <w:hyperlink w:anchor="_bookmark7" w:history="1">
        <w:r>
          <w:t>8,</w:t>
        </w:r>
      </w:hyperlink>
      <w:r>
        <w:rPr>
          <w:spacing w:val="-3"/>
        </w:rPr>
        <w:t xml:space="preserve"> </w:t>
      </w:r>
      <w:r>
        <w:t>at</w:t>
      </w:r>
      <w:r>
        <w:rPr>
          <w:spacing w:val="-4"/>
        </w:rPr>
        <w:t xml:space="preserve"> </w:t>
      </w:r>
      <w:r>
        <w:rPr>
          <w:spacing w:val="-5"/>
        </w:rPr>
        <w:t>29.</w:t>
      </w:r>
    </w:p>
  </w:footnote>
  <w:footnote w:id="200">
    <w:p w14:paraId="3D039179" w14:textId="1ABBDFC1" w:rsidR="0000040C" w:rsidRDefault="0000040C" w:rsidP="009E0213">
      <w:pPr>
        <w:pStyle w:val="FootnoteText"/>
        <w:ind w:left="900" w:right="940"/>
      </w:pPr>
      <w:r>
        <w:rPr>
          <w:rStyle w:val="FootnoteReference"/>
        </w:rPr>
        <w:footnoteRef/>
      </w:r>
      <w:r>
        <w:t xml:space="preserve"> DFCI</w:t>
      </w:r>
      <w:r>
        <w:rPr>
          <w:spacing w:val="-2"/>
        </w:rPr>
        <w:t xml:space="preserve"> </w:t>
      </w:r>
      <w:r>
        <w:t>states</w:t>
      </w:r>
      <w:r>
        <w:rPr>
          <w:spacing w:val="-2"/>
        </w:rPr>
        <w:t xml:space="preserve"> </w:t>
      </w:r>
      <w:r>
        <w:t>it</w:t>
      </w:r>
      <w:r>
        <w:rPr>
          <w:spacing w:val="-4"/>
        </w:rPr>
        <w:t xml:space="preserve"> </w:t>
      </w:r>
      <w:r>
        <w:t>was</w:t>
      </w:r>
      <w:r>
        <w:rPr>
          <w:spacing w:val="-2"/>
        </w:rPr>
        <w:t xml:space="preserve"> </w:t>
      </w:r>
      <w:r>
        <w:t>able</w:t>
      </w:r>
      <w:r>
        <w:rPr>
          <w:spacing w:val="-4"/>
        </w:rPr>
        <w:t xml:space="preserve"> </w:t>
      </w:r>
      <w:r>
        <w:t>to</w:t>
      </w:r>
      <w:r>
        <w:rPr>
          <w:spacing w:val="-3"/>
        </w:rPr>
        <w:t xml:space="preserve"> </w:t>
      </w:r>
      <w:r>
        <w:t>eliminate</w:t>
      </w:r>
      <w:r>
        <w:rPr>
          <w:spacing w:val="-4"/>
        </w:rPr>
        <w:t xml:space="preserve"> </w:t>
      </w:r>
      <w:r>
        <w:t>inpatient</w:t>
      </w:r>
      <w:r>
        <w:rPr>
          <w:spacing w:val="-2"/>
        </w:rPr>
        <w:t xml:space="preserve"> </w:t>
      </w:r>
      <w:r>
        <w:t>utilization</w:t>
      </w:r>
      <w:r>
        <w:rPr>
          <w:spacing w:val="-1"/>
        </w:rPr>
        <w:t xml:space="preserve"> </w:t>
      </w:r>
      <w:r>
        <w:t>equivalent</w:t>
      </w:r>
      <w:r>
        <w:rPr>
          <w:spacing w:val="-2"/>
        </w:rPr>
        <w:t xml:space="preserve"> </w:t>
      </w:r>
      <w:r>
        <w:t>to</w:t>
      </w:r>
      <w:r>
        <w:rPr>
          <w:spacing w:val="-3"/>
        </w:rPr>
        <w:t xml:space="preserve"> </w:t>
      </w:r>
      <w:r>
        <w:t>five</w:t>
      </w:r>
      <w:r>
        <w:rPr>
          <w:spacing w:val="-4"/>
        </w:rPr>
        <w:t xml:space="preserve"> </w:t>
      </w:r>
      <w:r>
        <w:t>inpatient</w:t>
      </w:r>
      <w:r>
        <w:rPr>
          <w:spacing w:val="-2"/>
        </w:rPr>
        <w:t xml:space="preserve"> </w:t>
      </w:r>
      <w:r>
        <w:t>beds</w:t>
      </w:r>
      <w:r>
        <w:rPr>
          <w:spacing w:val="-2"/>
        </w:rPr>
        <w:t xml:space="preserve"> </w:t>
      </w:r>
      <w:r>
        <w:t>in</w:t>
      </w:r>
      <w:r>
        <w:rPr>
          <w:spacing w:val="-3"/>
        </w:rPr>
        <w:t xml:space="preserve"> </w:t>
      </w:r>
      <w:r>
        <w:t>FY24</w:t>
      </w:r>
      <w:r>
        <w:rPr>
          <w:spacing w:val="-2"/>
        </w:rPr>
        <w:t xml:space="preserve"> </w:t>
      </w:r>
      <w:r>
        <w:t>through innovations in outpatient CAR-T and transplant therapies, and that this was double the outpatient administration from the prior year. D</w:t>
      </w:r>
      <w:r>
        <w:rPr>
          <w:sz w:val="16"/>
        </w:rPr>
        <w:t>ANA</w:t>
      </w:r>
      <w:r>
        <w:t>-F</w:t>
      </w:r>
      <w:r>
        <w:rPr>
          <w:sz w:val="16"/>
        </w:rPr>
        <w:t xml:space="preserve">ARBER </w:t>
      </w:r>
      <w:r>
        <w:t>C</w:t>
      </w:r>
      <w:r>
        <w:rPr>
          <w:sz w:val="16"/>
        </w:rPr>
        <w:t xml:space="preserve">ANCER </w:t>
      </w:r>
      <w:r>
        <w:t>I</w:t>
      </w:r>
      <w:r>
        <w:rPr>
          <w:sz w:val="16"/>
        </w:rPr>
        <w:t>NSTITUTE</w:t>
      </w:r>
      <w:r>
        <w:t>,</w:t>
      </w:r>
      <w:r>
        <w:rPr>
          <w:spacing w:val="-4"/>
        </w:rPr>
        <w:t xml:space="preserve"> </w:t>
      </w:r>
      <w:r>
        <w:t>R</w:t>
      </w:r>
      <w:r>
        <w:rPr>
          <w:sz w:val="16"/>
        </w:rPr>
        <w:t xml:space="preserve">ESPONSE TO </w:t>
      </w:r>
      <w:r>
        <w:t>A</w:t>
      </w:r>
      <w:r>
        <w:rPr>
          <w:sz w:val="16"/>
        </w:rPr>
        <w:t xml:space="preserve">PPLICANT </w:t>
      </w:r>
      <w:r>
        <w:t>Q</w:t>
      </w:r>
      <w:r>
        <w:rPr>
          <w:sz w:val="16"/>
        </w:rPr>
        <w:t xml:space="preserve">UESTIONS </w:t>
      </w:r>
      <w:r>
        <w:t>#5</w:t>
      </w:r>
      <w:r>
        <w:rPr>
          <w:spacing w:val="-4"/>
        </w:rPr>
        <w:t xml:space="preserve"> </w:t>
      </w:r>
      <w:r>
        <w:t xml:space="preserve">at 2, </w:t>
      </w:r>
      <w:r>
        <w:rPr>
          <w:i/>
        </w:rPr>
        <w:t xml:space="preserve">available at </w:t>
      </w:r>
      <w:hyperlink r:id="rId259">
        <w:r>
          <w:rPr>
            <w:color w:val="486794"/>
            <w:u w:val="single" w:color="486794"/>
          </w:rPr>
          <w:t>https://www.mass.gov/doc/responses-to-don-questions-5-pdf-dana-farber-cancer-institute-inc-</w:t>
        </w:r>
      </w:hyperlink>
      <w:r>
        <w:rPr>
          <w:color w:val="486794"/>
        </w:rPr>
        <w:t xml:space="preserve"> </w:t>
      </w:r>
      <w:hyperlink r:id="rId260">
        <w:proofErr w:type="spellStart"/>
        <w:r>
          <w:rPr>
            <w:color w:val="486794"/>
            <w:spacing w:val="-2"/>
            <w:u w:val="single" w:color="486794"/>
          </w:rPr>
          <w:t>hospitalclinic</w:t>
        </w:r>
        <w:proofErr w:type="spellEnd"/>
        <w:r>
          <w:rPr>
            <w:color w:val="486794"/>
            <w:spacing w:val="-2"/>
            <w:u w:val="single" w:color="486794"/>
          </w:rPr>
          <w:t>/download</w:t>
        </w:r>
        <w:r>
          <w:rPr>
            <w:spacing w:val="-2"/>
          </w:rPr>
          <w:t>.</w:t>
        </w:r>
      </w:hyperlink>
    </w:p>
  </w:footnote>
  <w:footnote w:id="201">
    <w:p w14:paraId="61A3A7C5" w14:textId="11C09B9D" w:rsidR="0000040C" w:rsidRDefault="0000040C" w:rsidP="009E0213">
      <w:pPr>
        <w:pStyle w:val="FootnoteText"/>
        <w:ind w:left="900" w:right="940"/>
      </w:pPr>
      <w:r>
        <w:rPr>
          <w:rStyle w:val="FootnoteReference"/>
        </w:rPr>
        <w:footnoteRef/>
      </w:r>
      <w:r>
        <w:t xml:space="preserve"> </w:t>
      </w:r>
      <w:r w:rsidR="00B40D32">
        <w:rPr>
          <w:i/>
        </w:rPr>
        <w:t>See</w:t>
      </w:r>
      <w:r w:rsidR="00B40D32">
        <w:rPr>
          <w:i/>
          <w:spacing w:val="-2"/>
        </w:rPr>
        <w:t xml:space="preserve"> </w:t>
      </w:r>
      <w:r w:rsidR="00B40D32">
        <w:t>DFCI</w:t>
      </w:r>
      <w:r w:rsidR="00B40D32">
        <w:rPr>
          <w:spacing w:val="-10"/>
        </w:rPr>
        <w:t xml:space="preserve"> </w:t>
      </w:r>
      <w:r w:rsidR="00B40D32">
        <w:t>S</w:t>
      </w:r>
      <w:r w:rsidR="00B40D32">
        <w:rPr>
          <w:sz w:val="16"/>
        </w:rPr>
        <w:t>TAFF</w:t>
      </w:r>
      <w:r w:rsidR="00B40D32">
        <w:rPr>
          <w:spacing w:val="-1"/>
          <w:sz w:val="16"/>
        </w:rPr>
        <w:t xml:space="preserve"> </w:t>
      </w:r>
      <w:r w:rsidR="00B40D32">
        <w:t>R</w:t>
      </w:r>
      <w:r w:rsidR="00B40D32">
        <w:rPr>
          <w:sz w:val="16"/>
        </w:rPr>
        <w:t>EPORT</w:t>
      </w:r>
      <w:r w:rsidR="00B40D32">
        <w:t xml:space="preserve">, </w:t>
      </w:r>
      <w:r w:rsidR="00B40D32">
        <w:rPr>
          <w:i/>
        </w:rPr>
        <w:t>supra</w:t>
      </w:r>
      <w:r w:rsidR="00B40D32">
        <w:rPr>
          <w:i/>
          <w:spacing w:val="-2"/>
        </w:rPr>
        <w:t xml:space="preserve"> </w:t>
      </w:r>
      <w:r w:rsidR="00B40D32">
        <w:t>note</w:t>
      </w:r>
      <w:r w:rsidR="00B40D32">
        <w:rPr>
          <w:spacing w:val="-1"/>
        </w:rPr>
        <w:t xml:space="preserve"> </w:t>
      </w:r>
      <w:hyperlink w:anchor="_bookmark15" w:history="1">
        <w:r w:rsidR="00B40D32">
          <w:t>15,</w:t>
        </w:r>
      </w:hyperlink>
      <w:r w:rsidR="00B40D32">
        <w:t xml:space="preserve"> at Table</w:t>
      </w:r>
      <w:r w:rsidR="00B40D32">
        <w:rPr>
          <w:spacing w:val="-2"/>
        </w:rPr>
        <w:t xml:space="preserve"> </w:t>
      </w:r>
      <w:r w:rsidR="00B40D32">
        <w:t>13 (showing</w:t>
      </w:r>
      <w:r w:rsidR="00B40D32">
        <w:rPr>
          <w:spacing w:val="-1"/>
        </w:rPr>
        <w:t xml:space="preserve"> </w:t>
      </w:r>
      <w:r w:rsidR="00B40D32">
        <w:t>DFCI average</w:t>
      </w:r>
      <w:r w:rsidR="00B40D32">
        <w:rPr>
          <w:spacing w:val="-2"/>
        </w:rPr>
        <w:t xml:space="preserve"> </w:t>
      </w:r>
      <w:r w:rsidR="00B40D32">
        <w:t>length</w:t>
      </w:r>
      <w:r w:rsidR="00B40D32">
        <w:rPr>
          <w:spacing w:val="-1"/>
        </w:rPr>
        <w:t xml:space="preserve"> </w:t>
      </w:r>
      <w:r w:rsidR="00B40D32">
        <w:t>of</w:t>
      </w:r>
      <w:r w:rsidR="00B40D32">
        <w:rPr>
          <w:spacing w:val="-1"/>
        </w:rPr>
        <w:t xml:space="preserve"> </w:t>
      </w:r>
      <w:r w:rsidR="00B40D32">
        <w:t>stay</w:t>
      </w:r>
      <w:r w:rsidR="00B40D32">
        <w:rPr>
          <w:spacing w:val="-2"/>
        </w:rPr>
        <w:t xml:space="preserve"> </w:t>
      </w:r>
      <w:r w:rsidR="00B40D32">
        <w:t>in</w:t>
      </w:r>
      <w:r w:rsidR="00B40D32">
        <w:rPr>
          <w:spacing w:val="-1"/>
        </w:rPr>
        <w:t xml:space="preserve"> </w:t>
      </w:r>
      <w:r w:rsidR="00B40D32">
        <w:t>FY22 was 11 days</w:t>
      </w:r>
      <w:r w:rsidR="00B40D32">
        <w:rPr>
          <w:spacing w:val="-2"/>
        </w:rPr>
        <w:t xml:space="preserve"> </w:t>
      </w:r>
      <w:r w:rsidR="00B40D32">
        <w:t>shorter</w:t>
      </w:r>
      <w:r w:rsidR="00B40D32">
        <w:rPr>
          <w:spacing w:val="-4"/>
        </w:rPr>
        <w:t xml:space="preserve"> </w:t>
      </w:r>
      <w:r w:rsidR="00B40D32">
        <w:t>for</w:t>
      </w:r>
      <w:r w:rsidR="00B40D32">
        <w:rPr>
          <w:spacing w:val="-4"/>
        </w:rPr>
        <w:t xml:space="preserve"> </w:t>
      </w:r>
      <w:r w:rsidR="00B40D32">
        <w:t>CAR-T</w:t>
      </w:r>
      <w:r w:rsidR="00B40D32">
        <w:rPr>
          <w:spacing w:val="-4"/>
        </w:rPr>
        <w:t xml:space="preserve"> </w:t>
      </w:r>
      <w:r w:rsidR="00B40D32">
        <w:t>Cell</w:t>
      </w:r>
      <w:r w:rsidR="00B40D32">
        <w:rPr>
          <w:spacing w:val="-1"/>
        </w:rPr>
        <w:t xml:space="preserve"> </w:t>
      </w:r>
      <w:r w:rsidR="00B40D32">
        <w:t>patients,</w:t>
      </w:r>
      <w:r w:rsidR="00B40D32">
        <w:rPr>
          <w:spacing w:val="-2"/>
        </w:rPr>
        <w:t xml:space="preserve"> </w:t>
      </w:r>
      <w:r w:rsidR="00B40D32">
        <w:t>6.5</w:t>
      </w:r>
      <w:r w:rsidR="00B40D32">
        <w:rPr>
          <w:spacing w:val="-2"/>
        </w:rPr>
        <w:t xml:space="preserve"> </w:t>
      </w:r>
      <w:r w:rsidR="00B40D32">
        <w:t>days</w:t>
      </w:r>
      <w:r w:rsidR="00B40D32">
        <w:rPr>
          <w:spacing w:val="-4"/>
        </w:rPr>
        <w:t xml:space="preserve"> </w:t>
      </w:r>
      <w:r w:rsidR="00B40D32">
        <w:t>shorter</w:t>
      </w:r>
      <w:r w:rsidR="00B40D32">
        <w:rPr>
          <w:spacing w:val="-4"/>
        </w:rPr>
        <w:t xml:space="preserve"> </w:t>
      </w:r>
      <w:r w:rsidR="00B40D32">
        <w:t>for</w:t>
      </w:r>
      <w:r w:rsidR="00B40D32">
        <w:rPr>
          <w:spacing w:val="-2"/>
        </w:rPr>
        <w:t xml:space="preserve"> </w:t>
      </w:r>
      <w:r w:rsidR="00B40D32">
        <w:t>autologous</w:t>
      </w:r>
      <w:r w:rsidR="00B40D32">
        <w:rPr>
          <w:spacing w:val="-2"/>
        </w:rPr>
        <w:t xml:space="preserve"> </w:t>
      </w:r>
      <w:r w:rsidR="00B40D32">
        <w:t>stem</w:t>
      </w:r>
      <w:r w:rsidR="00B40D32">
        <w:rPr>
          <w:spacing w:val="-2"/>
        </w:rPr>
        <w:t xml:space="preserve"> </w:t>
      </w:r>
      <w:r w:rsidR="00B40D32">
        <w:t>cell</w:t>
      </w:r>
      <w:r w:rsidR="00B40D32">
        <w:rPr>
          <w:spacing w:val="-3"/>
        </w:rPr>
        <w:t xml:space="preserve"> </w:t>
      </w:r>
      <w:r w:rsidR="00B40D32">
        <w:t>transplant</w:t>
      </w:r>
      <w:r w:rsidR="00B40D32">
        <w:rPr>
          <w:spacing w:val="-2"/>
        </w:rPr>
        <w:t xml:space="preserve"> </w:t>
      </w:r>
      <w:r w:rsidR="00B40D32">
        <w:t>patients,</w:t>
      </w:r>
      <w:r w:rsidR="00B40D32">
        <w:rPr>
          <w:spacing w:val="-2"/>
        </w:rPr>
        <w:t xml:space="preserve"> </w:t>
      </w:r>
      <w:r w:rsidR="00B40D32">
        <w:t>and</w:t>
      </w:r>
      <w:r w:rsidR="00B40D32">
        <w:rPr>
          <w:spacing w:val="-2"/>
        </w:rPr>
        <w:t xml:space="preserve"> </w:t>
      </w:r>
      <w:r w:rsidR="00B40D32">
        <w:t>11.7 days shorter for allogenic stem cell transplant patients compared to BIDMC).</w:t>
      </w:r>
    </w:p>
  </w:footnote>
  <w:footnote w:id="202">
    <w:p w14:paraId="3D7FB35A" w14:textId="5C3B7D09" w:rsidR="00CF17CB" w:rsidRDefault="00CF17CB" w:rsidP="009E0213">
      <w:pPr>
        <w:pStyle w:val="FootnoteText"/>
        <w:ind w:left="900" w:right="940"/>
      </w:pPr>
      <w:r>
        <w:rPr>
          <w:rStyle w:val="FootnoteReference"/>
        </w:rPr>
        <w:footnoteRef/>
      </w:r>
      <w:r>
        <w:t xml:space="preserve"> </w:t>
      </w:r>
      <w:r>
        <w:rPr>
          <w:i/>
        </w:rPr>
        <w:t>See</w:t>
      </w:r>
      <w:r>
        <w:rPr>
          <w:i/>
          <w:spacing w:val="-5"/>
        </w:rPr>
        <w:t xml:space="preserve"> </w:t>
      </w:r>
      <w:r>
        <w:t>Karen</w:t>
      </w:r>
      <w:r>
        <w:rPr>
          <w:spacing w:val="-2"/>
        </w:rPr>
        <w:t xml:space="preserve"> </w:t>
      </w:r>
      <w:r>
        <w:t>Brooks,</w:t>
      </w:r>
      <w:r>
        <w:rPr>
          <w:spacing w:val="-4"/>
        </w:rPr>
        <w:t xml:space="preserve"> </w:t>
      </w:r>
      <w:r>
        <w:rPr>
          <w:i/>
        </w:rPr>
        <w:t>Why</w:t>
      </w:r>
      <w:r>
        <w:rPr>
          <w:i/>
          <w:spacing w:val="-2"/>
        </w:rPr>
        <w:t xml:space="preserve"> </w:t>
      </w:r>
      <w:r>
        <w:rPr>
          <w:i/>
        </w:rPr>
        <w:t>New</w:t>
      </w:r>
      <w:r>
        <w:rPr>
          <w:i/>
          <w:spacing w:val="-2"/>
        </w:rPr>
        <w:t xml:space="preserve"> </w:t>
      </w:r>
      <w:r>
        <w:rPr>
          <w:i/>
        </w:rPr>
        <w:t>Cancer</w:t>
      </w:r>
      <w:r>
        <w:rPr>
          <w:i/>
          <w:spacing w:val="-4"/>
        </w:rPr>
        <w:t xml:space="preserve"> </w:t>
      </w:r>
      <w:r>
        <w:rPr>
          <w:i/>
        </w:rPr>
        <w:t>Treatment</w:t>
      </w:r>
      <w:r>
        <w:rPr>
          <w:i/>
          <w:spacing w:val="-5"/>
        </w:rPr>
        <w:t xml:space="preserve"> </w:t>
      </w:r>
      <w:r>
        <w:rPr>
          <w:i/>
        </w:rPr>
        <w:t>Discoveries</w:t>
      </w:r>
      <w:r>
        <w:rPr>
          <w:i/>
          <w:spacing w:val="-5"/>
        </w:rPr>
        <w:t xml:space="preserve"> </w:t>
      </w:r>
      <w:r>
        <w:rPr>
          <w:i/>
        </w:rPr>
        <w:t>are</w:t>
      </w:r>
      <w:r>
        <w:rPr>
          <w:i/>
          <w:spacing w:val="-4"/>
        </w:rPr>
        <w:t xml:space="preserve"> </w:t>
      </w:r>
      <w:r>
        <w:rPr>
          <w:i/>
        </w:rPr>
        <w:t>Proliferating,</w:t>
      </w:r>
      <w:r>
        <w:rPr>
          <w:i/>
          <w:spacing w:val="-3"/>
        </w:rPr>
        <w:t xml:space="preserve"> </w:t>
      </w:r>
      <w:r>
        <w:t>P</w:t>
      </w:r>
      <w:r>
        <w:rPr>
          <w:sz w:val="16"/>
        </w:rPr>
        <w:t>ENN</w:t>
      </w:r>
      <w:r>
        <w:rPr>
          <w:spacing w:val="-3"/>
          <w:sz w:val="16"/>
        </w:rPr>
        <w:t xml:space="preserve"> </w:t>
      </w:r>
      <w:r>
        <w:t>M</w:t>
      </w:r>
      <w:r>
        <w:rPr>
          <w:sz w:val="16"/>
        </w:rPr>
        <w:t>EDICINE</w:t>
      </w:r>
      <w:r>
        <w:rPr>
          <w:spacing w:val="-2"/>
          <w:sz w:val="16"/>
        </w:rPr>
        <w:t xml:space="preserve"> </w:t>
      </w:r>
      <w:r>
        <w:t>M</w:t>
      </w:r>
      <w:r>
        <w:rPr>
          <w:sz w:val="16"/>
        </w:rPr>
        <w:t>AGAZINE</w:t>
      </w:r>
      <w:r>
        <w:t xml:space="preserve">, (Apr. 2023), </w:t>
      </w:r>
      <w:r>
        <w:rPr>
          <w:i/>
        </w:rPr>
        <w:t xml:space="preserve">available at </w:t>
      </w:r>
      <w:hyperlink r:id="rId261">
        <w:r>
          <w:rPr>
            <w:color w:val="486794"/>
            <w:u w:val="single" w:color="486794"/>
          </w:rPr>
          <w:t>https://www.pennmedicine.org/news/publications-and-special-projects/penn-</w:t>
        </w:r>
      </w:hyperlink>
      <w:r>
        <w:rPr>
          <w:color w:val="486794"/>
        </w:rPr>
        <w:t xml:space="preserve"> </w:t>
      </w:r>
      <w:hyperlink r:id="rId262">
        <w:r>
          <w:rPr>
            <w:color w:val="486794"/>
            <w:spacing w:val="-2"/>
            <w:u w:val="single" w:color="486794"/>
          </w:rPr>
          <w:t>medicine-magazine/spring-2023/why-new-cancer-treatment-discoveries-are-proliferating</w:t>
        </w:r>
        <w:r>
          <w:rPr>
            <w:spacing w:val="-2"/>
          </w:rPr>
          <w:t>.</w:t>
        </w:r>
      </w:hyperlink>
    </w:p>
  </w:footnote>
  <w:footnote w:id="203">
    <w:p w14:paraId="72497D6F" w14:textId="759C1177" w:rsidR="00132921" w:rsidRDefault="00132921" w:rsidP="009E0213">
      <w:pPr>
        <w:pStyle w:val="FootnoteText"/>
        <w:ind w:left="900" w:right="940"/>
      </w:pPr>
      <w:r>
        <w:rPr>
          <w:rStyle w:val="FootnoteReference"/>
        </w:rPr>
        <w:footnoteRef/>
      </w:r>
      <w:r>
        <w:t xml:space="preserve"> </w:t>
      </w:r>
      <w:r>
        <w:rPr>
          <w:i/>
        </w:rPr>
        <w:t>See</w:t>
      </w:r>
      <w:r>
        <w:rPr>
          <w:i/>
          <w:spacing w:val="-4"/>
        </w:rPr>
        <w:t xml:space="preserve"> </w:t>
      </w:r>
      <w:r>
        <w:rPr>
          <w:i/>
        </w:rPr>
        <w:t>Gene</w:t>
      </w:r>
      <w:r>
        <w:rPr>
          <w:i/>
          <w:spacing w:val="-3"/>
        </w:rPr>
        <w:t xml:space="preserve"> </w:t>
      </w:r>
      <w:r>
        <w:rPr>
          <w:i/>
        </w:rPr>
        <w:t>Therapy:</w:t>
      </w:r>
      <w:r>
        <w:rPr>
          <w:i/>
          <w:spacing w:val="-2"/>
        </w:rPr>
        <w:t xml:space="preserve"> </w:t>
      </w:r>
      <w:r>
        <w:rPr>
          <w:i/>
        </w:rPr>
        <w:t>Pioneering</w:t>
      </w:r>
      <w:r>
        <w:rPr>
          <w:i/>
          <w:spacing w:val="-3"/>
        </w:rPr>
        <w:t xml:space="preserve"> </w:t>
      </w:r>
      <w:r>
        <w:rPr>
          <w:i/>
        </w:rPr>
        <w:t>Cancer</w:t>
      </w:r>
      <w:r>
        <w:rPr>
          <w:i/>
          <w:spacing w:val="-3"/>
        </w:rPr>
        <w:t xml:space="preserve"> </w:t>
      </w:r>
      <w:r>
        <w:rPr>
          <w:i/>
        </w:rPr>
        <w:t>Care</w:t>
      </w:r>
      <w:r>
        <w:t>,</w:t>
      </w:r>
      <w:r>
        <w:rPr>
          <w:spacing w:val="-2"/>
        </w:rPr>
        <w:t xml:space="preserve"> </w:t>
      </w:r>
      <w:r>
        <w:t>T</w:t>
      </w:r>
      <w:r>
        <w:rPr>
          <w:sz w:val="16"/>
        </w:rPr>
        <w:t>HE</w:t>
      </w:r>
      <w:r>
        <w:rPr>
          <w:spacing w:val="-2"/>
          <w:sz w:val="16"/>
        </w:rPr>
        <w:t xml:space="preserve"> </w:t>
      </w:r>
      <w:r>
        <w:t>U</w:t>
      </w:r>
      <w:r>
        <w:rPr>
          <w:sz w:val="16"/>
        </w:rPr>
        <w:t>NIVERSITY</w:t>
      </w:r>
      <w:r>
        <w:rPr>
          <w:spacing w:val="-2"/>
          <w:sz w:val="16"/>
        </w:rPr>
        <w:t xml:space="preserve"> </w:t>
      </w:r>
      <w:r>
        <w:rPr>
          <w:sz w:val="16"/>
        </w:rPr>
        <w:t>OF</w:t>
      </w:r>
      <w:r>
        <w:rPr>
          <w:spacing w:val="-2"/>
          <w:sz w:val="16"/>
        </w:rPr>
        <w:t xml:space="preserve"> </w:t>
      </w:r>
      <w:r>
        <w:t>T</w:t>
      </w:r>
      <w:r>
        <w:rPr>
          <w:sz w:val="16"/>
        </w:rPr>
        <w:t>EXAS</w:t>
      </w:r>
      <w:r>
        <w:rPr>
          <w:spacing w:val="-2"/>
          <w:sz w:val="16"/>
        </w:rPr>
        <w:t xml:space="preserve"> </w:t>
      </w:r>
      <w:r>
        <w:t>MD</w:t>
      </w:r>
      <w:r>
        <w:rPr>
          <w:spacing w:val="-12"/>
        </w:rPr>
        <w:t xml:space="preserve"> </w:t>
      </w:r>
      <w:r>
        <w:t>A</w:t>
      </w:r>
      <w:r>
        <w:rPr>
          <w:sz w:val="16"/>
        </w:rPr>
        <w:t>NDERSON</w:t>
      </w:r>
      <w:r>
        <w:rPr>
          <w:spacing w:val="-4"/>
          <w:sz w:val="16"/>
        </w:rPr>
        <w:t xml:space="preserve"> </w:t>
      </w:r>
      <w:r>
        <w:t>C</w:t>
      </w:r>
      <w:r>
        <w:rPr>
          <w:sz w:val="16"/>
        </w:rPr>
        <w:t>ANCER</w:t>
      </w:r>
      <w:r>
        <w:rPr>
          <w:spacing w:val="-2"/>
          <w:sz w:val="16"/>
        </w:rPr>
        <w:t xml:space="preserve"> </w:t>
      </w:r>
      <w:r>
        <w:t>C</w:t>
      </w:r>
      <w:r>
        <w:rPr>
          <w:sz w:val="16"/>
        </w:rPr>
        <w:t>ENTER</w:t>
      </w:r>
      <w:r>
        <w:t xml:space="preserve">, </w:t>
      </w:r>
      <w:hyperlink r:id="rId263">
        <w:r>
          <w:rPr>
            <w:color w:val="486794"/>
            <w:u w:val="single" w:color="486794"/>
          </w:rPr>
          <w:t>https://www.mdanderson.org/cmp/gene-therapy.html</w:t>
        </w:r>
      </w:hyperlink>
      <w:r>
        <w:rPr>
          <w:color w:val="486794"/>
        </w:rPr>
        <w:t xml:space="preserve"> </w:t>
      </w:r>
      <w:r>
        <w:t>(last visited February 27, 2025).</w:t>
      </w:r>
    </w:p>
  </w:footnote>
  <w:footnote w:id="204">
    <w:p w14:paraId="0C32ED0B" w14:textId="0C5066FF" w:rsidR="00132921" w:rsidRDefault="00132921" w:rsidP="009E0213">
      <w:pPr>
        <w:pStyle w:val="FootnoteText"/>
        <w:ind w:left="900" w:right="940"/>
      </w:pPr>
      <w:r>
        <w:rPr>
          <w:rStyle w:val="FootnoteReference"/>
        </w:rPr>
        <w:footnoteRef/>
      </w:r>
      <w:r>
        <w:t xml:space="preserve"> Kimberly</w:t>
      </w:r>
      <w:r>
        <w:rPr>
          <w:spacing w:val="-4"/>
        </w:rPr>
        <w:t xml:space="preserve"> </w:t>
      </w:r>
      <w:r>
        <w:t>Steele,</w:t>
      </w:r>
      <w:r>
        <w:rPr>
          <w:spacing w:val="-2"/>
        </w:rPr>
        <w:t xml:space="preserve"> </w:t>
      </w:r>
      <w:r>
        <w:rPr>
          <w:i/>
        </w:rPr>
        <w:t>Healthcare</w:t>
      </w:r>
      <w:r>
        <w:rPr>
          <w:i/>
          <w:spacing w:val="-2"/>
        </w:rPr>
        <w:t xml:space="preserve"> </w:t>
      </w:r>
      <w:r>
        <w:rPr>
          <w:i/>
        </w:rPr>
        <w:t>industry</w:t>
      </w:r>
      <w:r>
        <w:rPr>
          <w:i/>
          <w:spacing w:val="-4"/>
        </w:rPr>
        <w:t xml:space="preserve"> </w:t>
      </w:r>
      <w:r>
        <w:rPr>
          <w:i/>
        </w:rPr>
        <w:t>embraces</w:t>
      </w:r>
      <w:r>
        <w:rPr>
          <w:i/>
          <w:spacing w:val="-2"/>
        </w:rPr>
        <w:t xml:space="preserve"> </w:t>
      </w:r>
      <w:r>
        <w:rPr>
          <w:i/>
        </w:rPr>
        <w:t>shift</w:t>
      </w:r>
      <w:r>
        <w:rPr>
          <w:i/>
          <w:spacing w:val="-4"/>
        </w:rPr>
        <w:t xml:space="preserve"> </w:t>
      </w:r>
      <w:r>
        <w:rPr>
          <w:i/>
        </w:rPr>
        <w:t>to</w:t>
      </w:r>
      <w:r>
        <w:rPr>
          <w:i/>
          <w:spacing w:val="-4"/>
        </w:rPr>
        <w:t xml:space="preserve"> </w:t>
      </w:r>
      <w:r>
        <w:rPr>
          <w:i/>
        </w:rPr>
        <w:t>outpatient</w:t>
      </w:r>
      <w:r>
        <w:rPr>
          <w:i/>
          <w:spacing w:val="-2"/>
        </w:rPr>
        <w:t xml:space="preserve"> </w:t>
      </w:r>
      <w:r>
        <w:rPr>
          <w:i/>
        </w:rPr>
        <w:t>care</w:t>
      </w:r>
      <w:r>
        <w:rPr>
          <w:i/>
          <w:spacing w:val="-3"/>
        </w:rPr>
        <w:t xml:space="preserve"> </w:t>
      </w:r>
      <w:r>
        <w:rPr>
          <w:i/>
        </w:rPr>
        <w:t>sites,</w:t>
      </w:r>
      <w:r>
        <w:rPr>
          <w:i/>
          <w:spacing w:val="-2"/>
        </w:rPr>
        <w:t xml:space="preserve"> </w:t>
      </w:r>
      <w:r>
        <w:t>JLL,</w:t>
      </w:r>
      <w:r>
        <w:rPr>
          <w:spacing w:val="-2"/>
        </w:rPr>
        <w:t xml:space="preserve"> </w:t>
      </w:r>
      <w:r>
        <w:t>(Apr.</w:t>
      </w:r>
      <w:r>
        <w:rPr>
          <w:spacing w:val="-2"/>
        </w:rPr>
        <w:t xml:space="preserve"> </w:t>
      </w:r>
      <w:r>
        <w:t>2024),</w:t>
      </w:r>
      <w:r>
        <w:rPr>
          <w:spacing w:val="-2"/>
        </w:rPr>
        <w:t xml:space="preserve"> </w:t>
      </w:r>
      <w:r>
        <w:rPr>
          <w:i/>
        </w:rPr>
        <w:t xml:space="preserve">available at </w:t>
      </w:r>
      <w:hyperlink r:id="rId264">
        <w:r>
          <w:rPr>
            <w:color w:val="486794"/>
            <w:u w:val="single" w:color="486794"/>
          </w:rPr>
          <w:t>https://www.us.jll.com/en/newsroom/healthcare-industry-embraces-shift-to-outpatient-care-sites</w:t>
        </w:r>
      </w:hyperlink>
      <w:r>
        <w:rPr>
          <w:color w:val="486794"/>
        </w:rPr>
        <w:t xml:space="preserve"> </w:t>
      </w:r>
      <w:r>
        <w:t>(stating that “Technological advancements like early detection and less invasive care options are also shifting oncology services out of the hospital and into outpatient settings”).</w:t>
      </w:r>
    </w:p>
  </w:footnote>
  <w:footnote w:id="205">
    <w:p w14:paraId="65C535F6" w14:textId="44923CED" w:rsidR="009E5883" w:rsidRDefault="009E5883" w:rsidP="009E5883">
      <w:pPr>
        <w:pStyle w:val="FootnoteText"/>
        <w:ind w:left="900" w:right="940"/>
      </w:pPr>
      <w:r>
        <w:rPr>
          <w:rStyle w:val="FootnoteReference"/>
        </w:rPr>
        <w:footnoteRef/>
      </w:r>
      <w:r>
        <w:t xml:space="preserve"> DFCI</w:t>
      </w:r>
      <w:r>
        <w:rPr>
          <w:spacing w:val="-11"/>
        </w:rPr>
        <w:t xml:space="preserve"> </w:t>
      </w:r>
      <w:r>
        <w:t>D</w:t>
      </w:r>
      <w:r>
        <w:rPr>
          <w:sz w:val="16"/>
        </w:rPr>
        <w:t>O</w:t>
      </w:r>
      <w:r>
        <w:t>N</w:t>
      </w:r>
      <w:r>
        <w:rPr>
          <w:spacing w:val="-11"/>
        </w:rPr>
        <w:t xml:space="preserve"> </w:t>
      </w:r>
      <w:r>
        <w:t>N</w:t>
      </w:r>
      <w:r>
        <w:rPr>
          <w:sz w:val="16"/>
        </w:rPr>
        <w:t>ARRATIVE</w:t>
      </w:r>
      <w:r>
        <w:t>,</w:t>
      </w:r>
      <w:r>
        <w:rPr>
          <w:spacing w:val="-2"/>
        </w:rPr>
        <w:t xml:space="preserve"> </w:t>
      </w:r>
      <w:r>
        <w:rPr>
          <w:i/>
        </w:rPr>
        <w:t>supra</w:t>
      </w:r>
      <w:r>
        <w:rPr>
          <w:i/>
          <w:spacing w:val="-4"/>
        </w:rPr>
        <w:t xml:space="preserve"> </w:t>
      </w:r>
      <w:r>
        <w:t>note</w:t>
      </w:r>
      <w:r>
        <w:rPr>
          <w:spacing w:val="-3"/>
        </w:rPr>
        <w:t xml:space="preserve"> </w:t>
      </w:r>
      <w:hyperlink w:anchor="_bookmark7" w:history="1">
        <w:r>
          <w:t>8,</w:t>
        </w:r>
      </w:hyperlink>
      <w:r>
        <w:rPr>
          <w:spacing w:val="-2"/>
        </w:rPr>
        <w:t xml:space="preserve"> </w:t>
      </w:r>
      <w:r>
        <w:t>at</w:t>
      </w:r>
      <w:r>
        <w:rPr>
          <w:spacing w:val="-2"/>
        </w:rPr>
        <w:t xml:space="preserve"> </w:t>
      </w:r>
      <w:r>
        <w:t>17-18;</w:t>
      </w:r>
      <w:r>
        <w:rPr>
          <w:spacing w:val="-2"/>
        </w:rPr>
        <w:t xml:space="preserve"> </w:t>
      </w:r>
      <w:r>
        <w:t>DFCI</w:t>
      </w:r>
      <w:r>
        <w:rPr>
          <w:spacing w:val="-2"/>
        </w:rPr>
        <w:t xml:space="preserve"> </w:t>
      </w:r>
      <w:r>
        <w:t>S</w:t>
      </w:r>
      <w:r>
        <w:rPr>
          <w:sz w:val="16"/>
        </w:rPr>
        <w:t>TAFF</w:t>
      </w:r>
      <w:r>
        <w:rPr>
          <w:spacing w:val="-4"/>
          <w:sz w:val="16"/>
        </w:rPr>
        <w:t xml:space="preserve"> </w:t>
      </w:r>
      <w:r>
        <w:t>R</w:t>
      </w:r>
      <w:r>
        <w:rPr>
          <w:sz w:val="16"/>
        </w:rPr>
        <w:t>EPORT</w:t>
      </w:r>
      <w:r>
        <w:t>,</w:t>
      </w:r>
      <w:r>
        <w:rPr>
          <w:spacing w:val="-2"/>
        </w:rPr>
        <w:t xml:space="preserve"> </w:t>
      </w:r>
      <w:r>
        <w:rPr>
          <w:i/>
        </w:rPr>
        <w:t>supra</w:t>
      </w:r>
      <w:r>
        <w:rPr>
          <w:i/>
          <w:spacing w:val="-4"/>
        </w:rPr>
        <w:t xml:space="preserve"> </w:t>
      </w:r>
      <w:r>
        <w:t>note</w:t>
      </w:r>
      <w:r>
        <w:rPr>
          <w:spacing w:val="-3"/>
        </w:rPr>
        <w:t xml:space="preserve"> </w:t>
      </w:r>
      <w:hyperlink w:anchor="_bookmark15" w:history="1">
        <w:r>
          <w:t>15,</w:t>
        </w:r>
      </w:hyperlink>
      <w:r>
        <w:rPr>
          <w:spacing w:val="-2"/>
        </w:rPr>
        <w:t xml:space="preserve"> </w:t>
      </w:r>
      <w:r>
        <w:t>at</w:t>
      </w:r>
      <w:r>
        <w:rPr>
          <w:spacing w:val="-2"/>
        </w:rPr>
        <w:t xml:space="preserve"> </w:t>
      </w:r>
      <w:r>
        <w:t>25-26</w:t>
      </w:r>
      <w:r>
        <w:rPr>
          <w:spacing w:val="-2"/>
        </w:rPr>
        <w:t xml:space="preserve"> </w:t>
      </w:r>
      <w:r>
        <w:t>(“[DFCI]</w:t>
      </w:r>
      <w:r>
        <w:rPr>
          <w:spacing w:val="-4"/>
        </w:rPr>
        <w:t xml:space="preserve"> </w:t>
      </w:r>
      <w:r>
        <w:t>states that…</w:t>
      </w:r>
      <w:r>
        <w:rPr>
          <w:spacing w:val="-1"/>
        </w:rPr>
        <w:t xml:space="preserve"> </w:t>
      </w:r>
      <w:r>
        <w:t>other</w:t>
      </w:r>
      <w:r>
        <w:rPr>
          <w:spacing w:val="-2"/>
        </w:rPr>
        <w:t xml:space="preserve"> </w:t>
      </w:r>
      <w:r>
        <w:t>hospitals in</w:t>
      </w:r>
      <w:r>
        <w:rPr>
          <w:spacing w:val="-1"/>
        </w:rPr>
        <w:t xml:space="preserve"> </w:t>
      </w:r>
      <w:r>
        <w:t>the</w:t>
      </w:r>
      <w:r>
        <w:rPr>
          <w:spacing w:val="-2"/>
        </w:rPr>
        <w:t xml:space="preserve"> </w:t>
      </w:r>
      <w:r>
        <w:t>Alliance</w:t>
      </w:r>
      <w:r>
        <w:rPr>
          <w:spacing w:val="-2"/>
        </w:rPr>
        <w:t xml:space="preserve"> </w:t>
      </w:r>
      <w:r>
        <w:t>of</w:t>
      </w:r>
      <w:r>
        <w:rPr>
          <w:spacing w:val="-1"/>
        </w:rPr>
        <w:t xml:space="preserve"> </w:t>
      </w:r>
      <w:r>
        <w:t>Dedicated</w:t>
      </w:r>
      <w:r>
        <w:rPr>
          <w:spacing w:val="-1"/>
        </w:rPr>
        <w:t xml:space="preserve"> </w:t>
      </w:r>
      <w:r>
        <w:t>Cancer Care</w:t>
      </w:r>
      <w:r>
        <w:rPr>
          <w:spacing w:val="-2"/>
        </w:rPr>
        <w:t xml:space="preserve"> </w:t>
      </w:r>
      <w:r>
        <w:t>Centers discharge</w:t>
      </w:r>
      <w:r>
        <w:rPr>
          <w:spacing w:val="-2"/>
        </w:rPr>
        <w:t xml:space="preserve"> </w:t>
      </w:r>
      <w:r>
        <w:t>patients more</w:t>
      </w:r>
      <w:r>
        <w:rPr>
          <w:spacing w:val="-2"/>
        </w:rPr>
        <w:t xml:space="preserve"> </w:t>
      </w:r>
      <w:r>
        <w:t>efficiently than [DFCI]”).</w:t>
      </w:r>
    </w:p>
  </w:footnote>
  <w:footnote w:id="206">
    <w:p w14:paraId="46D3A5EF" w14:textId="0FDA1BC9" w:rsidR="009E5883" w:rsidRDefault="009E5883" w:rsidP="009E5883">
      <w:pPr>
        <w:pStyle w:val="FootnoteText"/>
        <w:ind w:left="900" w:right="940"/>
      </w:pPr>
      <w:r>
        <w:rPr>
          <w:rStyle w:val="FootnoteReference"/>
        </w:rPr>
        <w:footnoteRef/>
      </w:r>
      <w:r>
        <w:t xml:space="preserve"> Analysis limited to admissions from the emergency department and scheduled admissions discharged routinely, to home health, or to a SNF. Includes COVID-related discharges. Excludes pediatric, maternity, behavioral</w:t>
      </w:r>
      <w:r>
        <w:rPr>
          <w:spacing w:val="-3"/>
        </w:rPr>
        <w:t xml:space="preserve"> </w:t>
      </w:r>
      <w:r>
        <w:t>health,</w:t>
      </w:r>
      <w:r>
        <w:rPr>
          <w:spacing w:val="-2"/>
        </w:rPr>
        <w:t xml:space="preserve"> </w:t>
      </w:r>
      <w:r>
        <w:t>and</w:t>
      </w:r>
      <w:r>
        <w:rPr>
          <w:spacing w:val="-2"/>
        </w:rPr>
        <w:t xml:space="preserve"> </w:t>
      </w:r>
      <w:r>
        <w:t>rehabilitation</w:t>
      </w:r>
      <w:r>
        <w:rPr>
          <w:spacing w:val="-3"/>
        </w:rPr>
        <w:t xml:space="preserve"> </w:t>
      </w:r>
      <w:r>
        <w:t>admissions</w:t>
      </w:r>
      <w:r>
        <w:rPr>
          <w:spacing w:val="-2"/>
        </w:rPr>
        <w:t xml:space="preserve"> </w:t>
      </w:r>
      <w:r>
        <w:t>and</w:t>
      </w:r>
      <w:r>
        <w:rPr>
          <w:spacing w:val="-2"/>
        </w:rPr>
        <w:t xml:space="preserve"> </w:t>
      </w:r>
      <w:r>
        <w:t>admissions</w:t>
      </w:r>
      <w:r>
        <w:rPr>
          <w:spacing w:val="-2"/>
        </w:rPr>
        <w:t xml:space="preserve"> </w:t>
      </w:r>
      <w:r>
        <w:t>with</w:t>
      </w:r>
      <w:r>
        <w:rPr>
          <w:spacing w:val="-3"/>
        </w:rPr>
        <w:t xml:space="preserve"> </w:t>
      </w:r>
      <w:r>
        <w:t>length</w:t>
      </w:r>
      <w:r>
        <w:rPr>
          <w:spacing w:val="-3"/>
        </w:rPr>
        <w:t xml:space="preserve"> </w:t>
      </w:r>
      <w:r>
        <w:t>of</w:t>
      </w:r>
      <w:r>
        <w:rPr>
          <w:spacing w:val="-3"/>
        </w:rPr>
        <w:t xml:space="preserve"> </w:t>
      </w:r>
      <w:r>
        <w:t>stay</w:t>
      </w:r>
      <w:r>
        <w:rPr>
          <w:spacing w:val="-4"/>
        </w:rPr>
        <w:t xml:space="preserve"> </w:t>
      </w:r>
      <w:r>
        <w:t>greater</w:t>
      </w:r>
      <w:r>
        <w:rPr>
          <w:spacing w:val="-4"/>
        </w:rPr>
        <w:t xml:space="preserve"> </w:t>
      </w:r>
      <w:r>
        <w:t>than</w:t>
      </w:r>
      <w:r>
        <w:rPr>
          <w:spacing w:val="-3"/>
        </w:rPr>
        <w:t xml:space="preserve"> </w:t>
      </w:r>
      <w:r>
        <w:t>180</w:t>
      </w:r>
      <w:r>
        <w:rPr>
          <w:spacing w:val="-2"/>
        </w:rPr>
        <w:t xml:space="preserve"> </w:t>
      </w:r>
      <w:r>
        <w:t>days. 2024 HPC C</w:t>
      </w:r>
      <w:r>
        <w:rPr>
          <w:sz w:val="16"/>
        </w:rPr>
        <w:t xml:space="preserve">OST </w:t>
      </w:r>
      <w:r>
        <w:t>T</w:t>
      </w:r>
      <w:r>
        <w:rPr>
          <w:sz w:val="16"/>
        </w:rPr>
        <w:t xml:space="preserve">RENDS </w:t>
      </w:r>
      <w:r>
        <w:t>R</w:t>
      </w:r>
      <w:r>
        <w:rPr>
          <w:sz w:val="16"/>
        </w:rPr>
        <w:t xml:space="preserve">EPORT </w:t>
      </w:r>
      <w:r>
        <w:rPr>
          <w:i/>
        </w:rPr>
        <w:t xml:space="preserve">supra </w:t>
      </w:r>
      <w:r>
        <w:t xml:space="preserve">note </w:t>
      </w:r>
      <w:hyperlink w:anchor="_bookmark132" w:history="1">
        <w:r>
          <w:t>112,</w:t>
        </w:r>
      </w:hyperlink>
      <w:r>
        <w:t xml:space="preserve"> at 80-87.</w:t>
      </w:r>
    </w:p>
  </w:footnote>
  <w:footnote w:id="207">
    <w:p w14:paraId="69DE9443" w14:textId="20D77D40" w:rsidR="009E5883" w:rsidRDefault="009E5883" w:rsidP="009E5883">
      <w:pPr>
        <w:pStyle w:val="FootnoteText"/>
        <w:ind w:left="900" w:right="940"/>
      </w:pPr>
      <w:r>
        <w:rPr>
          <w:rStyle w:val="FootnoteReference"/>
        </w:rPr>
        <w:footnoteRef/>
      </w:r>
      <w:r>
        <w:t xml:space="preserve"> Institutional</w:t>
      </w:r>
      <w:r>
        <w:rPr>
          <w:spacing w:val="-3"/>
        </w:rPr>
        <w:t xml:space="preserve"> </w:t>
      </w:r>
      <w:r>
        <w:t>post-acute</w:t>
      </w:r>
      <w:r>
        <w:rPr>
          <w:spacing w:val="-4"/>
        </w:rPr>
        <w:t xml:space="preserve"> </w:t>
      </w:r>
      <w:r>
        <w:t>care</w:t>
      </w:r>
      <w:r>
        <w:rPr>
          <w:spacing w:val="-4"/>
        </w:rPr>
        <w:t xml:space="preserve"> </w:t>
      </w:r>
      <w:r>
        <w:t>settings</w:t>
      </w:r>
      <w:r>
        <w:rPr>
          <w:spacing w:val="-2"/>
        </w:rPr>
        <w:t xml:space="preserve"> </w:t>
      </w:r>
      <w:r>
        <w:t>were</w:t>
      </w:r>
      <w:r>
        <w:rPr>
          <w:spacing w:val="-4"/>
        </w:rPr>
        <w:t xml:space="preserve"> </w:t>
      </w:r>
      <w:r>
        <w:t>defined</w:t>
      </w:r>
      <w:r>
        <w:rPr>
          <w:spacing w:val="-2"/>
        </w:rPr>
        <w:t xml:space="preserve"> </w:t>
      </w:r>
      <w:r>
        <w:t>as</w:t>
      </w:r>
      <w:r>
        <w:rPr>
          <w:spacing w:val="-2"/>
        </w:rPr>
        <w:t xml:space="preserve"> </w:t>
      </w:r>
      <w:r>
        <w:t>long-term</w:t>
      </w:r>
      <w:r>
        <w:rPr>
          <w:spacing w:val="-2"/>
        </w:rPr>
        <w:t xml:space="preserve"> </w:t>
      </w:r>
      <w:r>
        <w:t>care</w:t>
      </w:r>
      <w:r>
        <w:rPr>
          <w:spacing w:val="-4"/>
        </w:rPr>
        <w:t xml:space="preserve"> </w:t>
      </w:r>
      <w:r>
        <w:t>hospitals,</w:t>
      </w:r>
      <w:r>
        <w:rPr>
          <w:spacing w:val="-2"/>
        </w:rPr>
        <w:t xml:space="preserve"> </w:t>
      </w:r>
      <w:r>
        <w:t>rehabilitation</w:t>
      </w:r>
      <w:r>
        <w:rPr>
          <w:spacing w:val="-3"/>
        </w:rPr>
        <w:t xml:space="preserve"> </w:t>
      </w:r>
      <w:r>
        <w:t>facilities</w:t>
      </w:r>
      <w:r>
        <w:rPr>
          <w:spacing w:val="-2"/>
        </w:rPr>
        <w:t xml:space="preserve"> </w:t>
      </w:r>
      <w:r>
        <w:t>or hospitals, rehabilitation hospitals, skilled nursing facilities, and intermediate care facilities.</w:t>
      </w:r>
    </w:p>
  </w:footnote>
  <w:footnote w:id="208">
    <w:p w14:paraId="68DFA0E0" w14:textId="46AC68C3" w:rsidR="00C0139B" w:rsidRDefault="00C0139B" w:rsidP="007C3E3F">
      <w:pPr>
        <w:pStyle w:val="FootnoteText"/>
        <w:ind w:left="990" w:right="940"/>
      </w:pPr>
      <w:r>
        <w:rPr>
          <w:rStyle w:val="FootnoteReference"/>
        </w:rPr>
        <w:footnoteRef/>
      </w:r>
      <w:r>
        <w:t xml:space="preserve"> </w:t>
      </w:r>
      <w:r w:rsidR="007C3E3F">
        <w:t>In 2022, MGB received regulatory approval for a significant expansion, renovation, and improvement of Massachusetts General Hospital, including the construction of a clinical care facility housing the Mass General Cancer Center and the Corrigan Minehan Heart Center. The clinical tower currently being built by MGH</w:t>
      </w:r>
      <w:r w:rsidR="007C3E3F">
        <w:rPr>
          <w:spacing w:val="-4"/>
        </w:rPr>
        <w:t xml:space="preserve"> </w:t>
      </w:r>
      <w:r w:rsidR="007C3E3F">
        <w:t>includes</w:t>
      </w:r>
      <w:r w:rsidR="007C3E3F">
        <w:rPr>
          <w:spacing w:val="-2"/>
        </w:rPr>
        <w:t xml:space="preserve"> </w:t>
      </w:r>
      <w:r w:rsidR="007C3E3F">
        <w:t>210</w:t>
      </w:r>
      <w:r w:rsidR="007C3E3F">
        <w:rPr>
          <w:spacing w:val="-2"/>
        </w:rPr>
        <w:t xml:space="preserve"> </w:t>
      </w:r>
      <w:r w:rsidR="007C3E3F">
        <w:t>beds</w:t>
      </w:r>
      <w:r w:rsidR="007C3E3F">
        <w:rPr>
          <w:spacing w:val="-2"/>
        </w:rPr>
        <w:t xml:space="preserve"> </w:t>
      </w:r>
      <w:r w:rsidR="007C3E3F">
        <w:t>designated</w:t>
      </w:r>
      <w:r w:rsidR="007C3E3F">
        <w:rPr>
          <w:spacing w:val="-2"/>
        </w:rPr>
        <w:t xml:space="preserve"> </w:t>
      </w:r>
      <w:r w:rsidR="007C3E3F">
        <w:t>specifically</w:t>
      </w:r>
      <w:r w:rsidR="007C3E3F">
        <w:rPr>
          <w:spacing w:val="-4"/>
        </w:rPr>
        <w:t xml:space="preserve"> </w:t>
      </w:r>
      <w:r w:rsidR="007C3E3F">
        <w:t>for</w:t>
      </w:r>
      <w:r w:rsidR="007C3E3F">
        <w:rPr>
          <w:spacing w:val="-4"/>
        </w:rPr>
        <w:t xml:space="preserve"> </w:t>
      </w:r>
      <w:r w:rsidR="007C3E3F">
        <w:t>cancer</w:t>
      </w:r>
      <w:r w:rsidR="007C3E3F">
        <w:rPr>
          <w:spacing w:val="-4"/>
        </w:rPr>
        <w:t xml:space="preserve"> </w:t>
      </w:r>
      <w:r w:rsidR="007C3E3F">
        <w:t>care,</w:t>
      </w:r>
      <w:r w:rsidR="007C3E3F">
        <w:rPr>
          <w:spacing w:val="-2"/>
        </w:rPr>
        <w:t xml:space="preserve"> </w:t>
      </w:r>
      <w:r w:rsidR="007C3E3F">
        <w:t>an</w:t>
      </w:r>
      <w:r w:rsidR="007C3E3F">
        <w:rPr>
          <w:spacing w:val="-3"/>
        </w:rPr>
        <w:t xml:space="preserve"> </w:t>
      </w:r>
      <w:r w:rsidR="007C3E3F">
        <w:t>increase</w:t>
      </w:r>
      <w:r w:rsidR="007C3E3F">
        <w:rPr>
          <w:spacing w:val="-4"/>
        </w:rPr>
        <w:t xml:space="preserve"> </w:t>
      </w:r>
      <w:r w:rsidR="007C3E3F">
        <w:t>of</w:t>
      </w:r>
      <w:r w:rsidR="007C3E3F">
        <w:rPr>
          <w:spacing w:val="-3"/>
        </w:rPr>
        <w:t xml:space="preserve"> </w:t>
      </w:r>
      <w:r w:rsidR="007C3E3F">
        <w:t>91</w:t>
      </w:r>
      <w:r w:rsidR="007C3E3F">
        <w:rPr>
          <w:spacing w:val="-2"/>
        </w:rPr>
        <w:t xml:space="preserve"> </w:t>
      </w:r>
      <w:r w:rsidR="007C3E3F">
        <w:t>dedicated</w:t>
      </w:r>
      <w:r w:rsidR="007C3E3F">
        <w:rPr>
          <w:spacing w:val="-2"/>
        </w:rPr>
        <w:t xml:space="preserve"> </w:t>
      </w:r>
      <w:r w:rsidR="007C3E3F">
        <w:t>cancer</w:t>
      </w:r>
      <w:r w:rsidR="007C3E3F">
        <w:rPr>
          <w:spacing w:val="-4"/>
        </w:rPr>
        <w:t xml:space="preserve"> </w:t>
      </w:r>
      <w:r w:rsidR="007C3E3F">
        <w:t>beds.</w:t>
      </w:r>
      <w:r w:rsidR="007C3E3F">
        <w:rPr>
          <w:spacing w:val="-2"/>
        </w:rPr>
        <w:t xml:space="preserve"> </w:t>
      </w:r>
      <w:r w:rsidR="007C3E3F">
        <w:t xml:space="preserve">It is possible this overrepresents the increase in MGH’s inpatient oncology capacity, since the project will increase MGH’s beds by a net total of 94 beds inclusive of both oncology and cardiac care beds; some of the 91 new cancer beds likely replace medical surgical beds not formerly designated solely for cancer care. </w:t>
      </w:r>
      <w:r w:rsidR="007C3E3F">
        <w:rPr>
          <w:i/>
        </w:rPr>
        <w:t xml:space="preserve">See </w:t>
      </w:r>
      <w:hyperlink r:id="rId265" w:history="1">
        <w:r w:rsidR="007C3E3F" w:rsidRPr="007C3E3F">
          <w:rPr>
            <w:rStyle w:val="Hyperlink"/>
            <w:color w:val="000000" w:themeColor="text1"/>
            <w:u w:val="none"/>
          </w:rPr>
          <w:t>Mass General Brigham, Application for Determination of Need for Substantial Capital Expenditure and Substantial Change in Service at MGH # MGB-20121612-HE</w:t>
        </w:r>
      </w:hyperlink>
      <w:r w:rsidR="007C3E3F" w:rsidRPr="007C3E3F">
        <w:rPr>
          <w:color w:val="000000" w:themeColor="text1"/>
        </w:rPr>
        <w:t xml:space="preserve">, Narrative </w:t>
      </w:r>
      <w:r w:rsidR="007C3E3F">
        <w:t xml:space="preserve">at 10-11 and 21, (Jan. 21, 2021), </w:t>
      </w:r>
      <w:r w:rsidR="007C3E3F">
        <w:rPr>
          <w:i/>
        </w:rPr>
        <w:t xml:space="preserve">available at </w:t>
      </w:r>
      <w:hyperlink r:id="rId266">
        <w:r w:rsidR="007C3E3F">
          <w:rPr>
            <w:color w:val="486794"/>
            <w:u w:val="single" w:color="486794"/>
          </w:rPr>
          <w:t>https://www.mass.gov/doc/mass-general-brigham-incorporated-mgh-application-form-and-</w:t>
        </w:r>
      </w:hyperlink>
      <w:r w:rsidR="007C3E3F">
        <w:rPr>
          <w:color w:val="486794"/>
        </w:rPr>
        <w:t xml:space="preserve"> </w:t>
      </w:r>
      <w:hyperlink r:id="rId267">
        <w:r w:rsidR="007C3E3F">
          <w:rPr>
            <w:color w:val="486794"/>
            <w:spacing w:val="-2"/>
            <w:u w:val="single" w:color="486794"/>
          </w:rPr>
          <w:t>attachments/download</w:t>
        </w:r>
        <w:r w:rsidR="007C3E3F">
          <w:rPr>
            <w:spacing w:val="-2"/>
          </w:rPr>
          <w:t>.</w:t>
        </w:r>
      </w:hyperlink>
    </w:p>
  </w:footnote>
  <w:footnote w:id="209">
    <w:p w14:paraId="10F1E63B" w14:textId="405ECC5D" w:rsidR="00434446" w:rsidRDefault="00434446" w:rsidP="00E56777">
      <w:pPr>
        <w:pStyle w:val="FootnoteText"/>
        <w:ind w:left="900" w:right="940"/>
      </w:pPr>
      <w:r>
        <w:rPr>
          <w:rStyle w:val="FootnoteReference"/>
        </w:rPr>
        <w:footnoteRef/>
      </w:r>
      <w:r>
        <w:t xml:space="preserve"> </w:t>
      </w:r>
      <w:r w:rsidR="00E56777">
        <w:t>MASS.</w:t>
      </w:r>
      <w:r w:rsidR="00E56777">
        <w:rPr>
          <w:spacing w:val="-3"/>
        </w:rPr>
        <w:t xml:space="preserve"> </w:t>
      </w:r>
      <w:r w:rsidR="00E56777">
        <w:t>GEN.</w:t>
      </w:r>
      <w:r w:rsidR="00E56777">
        <w:rPr>
          <w:spacing w:val="-3"/>
        </w:rPr>
        <w:t xml:space="preserve"> </w:t>
      </w:r>
      <w:r w:rsidR="00E56777">
        <w:t>LAWS</w:t>
      </w:r>
      <w:r w:rsidR="00E56777">
        <w:rPr>
          <w:spacing w:val="-5"/>
        </w:rPr>
        <w:t xml:space="preserve"> </w:t>
      </w:r>
      <w:proofErr w:type="spellStart"/>
      <w:r w:rsidR="00E56777">
        <w:t>ch.</w:t>
      </w:r>
      <w:proofErr w:type="spellEnd"/>
      <w:r w:rsidR="00E56777">
        <w:rPr>
          <w:spacing w:val="-2"/>
        </w:rPr>
        <w:t xml:space="preserve"> </w:t>
      </w:r>
      <w:r w:rsidR="00E56777">
        <w:t>6D,</w:t>
      </w:r>
      <w:r w:rsidR="00E56777">
        <w:rPr>
          <w:spacing w:val="-3"/>
        </w:rPr>
        <w:t xml:space="preserve"> </w:t>
      </w:r>
      <w:r w:rsidR="00E56777">
        <w:t>§</w:t>
      </w:r>
      <w:r w:rsidR="00E56777">
        <w:rPr>
          <w:spacing w:val="-6"/>
        </w:rPr>
        <w:t xml:space="preserve"> </w:t>
      </w:r>
      <w:r w:rsidR="00E56777">
        <w:rPr>
          <w:spacing w:val="-2"/>
        </w:rPr>
        <w:t>13(d)(ix).</w:t>
      </w:r>
    </w:p>
  </w:footnote>
  <w:footnote w:id="210">
    <w:p w14:paraId="343B3339" w14:textId="1DD33829" w:rsidR="00667703" w:rsidRDefault="00667703" w:rsidP="003733D3">
      <w:pPr>
        <w:pStyle w:val="FootnoteText"/>
        <w:ind w:left="900" w:right="940"/>
      </w:pPr>
      <w:r>
        <w:rPr>
          <w:rStyle w:val="FootnoteReference"/>
        </w:rPr>
        <w:footnoteRef/>
      </w:r>
      <w:r>
        <w:t xml:space="preserve"> Victoria</w:t>
      </w:r>
      <w:r>
        <w:rPr>
          <w:spacing w:val="-3"/>
        </w:rPr>
        <w:t xml:space="preserve"> </w:t>
      </w:r>
      <w:r>
        <w:t>Marks</w:t>
      </w:r>
      <w:r>
        <w:rPr>
          <w:spacing w:val="-2"/>
        </w:rPr>
        <w:t xml:space="preserve"> </w:t>
      </w:r>
      <w:r>
        <w:t>et</w:t>
      </w:r>
      <w:r>
        <w:rPr>
          <w:spacing w:val="-2"/>
        </w:rPr>
        <w:t xml:space="preserve"> </w:t>
      </w:r>
      <w:r>
        <w:t>al.,</w:t>
      </w:r>
      <w:r>
        <w:rPr>
          <w:spacing w:val="-2"/>
        </w:rPr>
        <w:t xml:space="preserve"> </w:t>
      </w:r>
      <w:hyperlink r:id="rId268" w:history="1">
        <w:r w:rsidRPr="00A93F0D">
          <w:rPr>
            <w:rStyle w:val="Hyperlink"/>
            <w:i/>
            <w:color w:val="000000" w:themeColor="text1"/>
            <w:u w:val="none"/>
          </w:rPr>
          <w:t>Acceptance</w:t>
        </w:r>
        <w:r w:rsidRPr="00A93F0D">
          <w:rPr>
            <w:rStyle w:val="Hyperlink"/>
            <w:i/>
            <w:color w:val="000000" w:themeColor="text1"/>
            <w:spacing w:val="-3"/>
            <w:u w:val="none"/>
          </w:rPr>
          <w:t xml:space="preserve"> </w:t>
        </w:r>
        <w:r w:rsidRPr="00A93F0D">
          <w:rPr>
            <w:rStyle w:val="Hyperlink"/>
            <w:i/>
            <w:color w:val="000000" w:themeColor="text1"/>
            <w:u w:val="none"/>
          </w:rPr>
          <w:t>of Simulated</w:t>
        </w:r>
        <w:r w:rsidRPr="00A93F0D">
          <w:rPr>
            <w:rStyle w:val="Hyperlink"/>
            <w:i/>
            <w:color w:val="000000" w:themeColor="text1"/>
            <w:spacing w:val="-2"/>
            <w:u w:val="none"/>
          </w:rPr>
          <w:t xml:space="preserve"> </w:t>
        </w:r>
        <w:r w:rsidRPr="00A93F0D">
          <w:rPr>
            <w:rStyle w:val="Hyperlink"/>
            <w:i/>
            <w:color w:val="000000" w:themeColor="text1"/>
            <w:u w:val="none"/>
          </w:rPr>
          <w:t>Adult</w:t>
        </w:r>
        <w:r w:rsidRPr="00A93F0D">
          <w:rPr>
            <w:rStyle w:val="Hyperlink"/>
            <w:i/>
            <w:color w:val="000000" w:themeColor="text1"/>
            <w:spacing w:val="-4"/>
            <w:u w:val="none"/>
          </w:rPr>
          <w:t xml:space="preserve"> </w:t>
        </w:r>
        <w:r w:rsidRPr="00A93F0D">
          <w:rPr>
            <w:rStyle w:val="Hyperlink"/>
            <w:i/>
            <w:color w:val="000000" w:themeColor="text1"/>
            <w:u w:val="none"/>
          </w:rPr>
          <w:t>Patients</w:t>
        </w:r>
        <w:r w:rsidRPr="00A93F0D">
          <w:rPr>
            <w:rStyle w:val="Hyperlink"/>
            <w:i/>
            <w:color w:val="000000" w:themeColor="text1"/>
            <w:spacing w:val="-1"/>
            <w:u w:val="none"/>
          </w:rPr>
          <w:t xml:space="preserve"> </w:t>
        </w:r>
        <w:r w:rsidRPr="00A93F0D">
          <w:rPr>
            <w:rStyle w:val="Hyperlink"/>
            <w:i/>
            <w:color w:val="000000" w:themeColor="text1"/>
            <w:u w:val="none"/>
          </w:rPr>
          <w:t>With</w:t>
        </w:r>
        <w:r w:rsidRPr="00A93F0D">
          <w:rPr>
            <w:rStyle w:val="Hyperlink"/>
            <w:i/>
            <w:color w:val="000000" w:themeColor="text1"/>
            <w:spacing w:val="-4"/>
            <w:u w:val="none"/>
          </w:rPr>
          <w:t xml:space="preserve"> </w:t>
        </w:r>
        <w:r w:rsidRPr="00A93F0D">
          <w:rPr>
            <w:rStyle w:val="Hyperlink"/>
            <w:i/>
            <w:color w:val="000000" w:themeColor="text1"/>
            <w:u w:val="none"/>
          </w:rPr>
          <w:t>Medicaid</w:t>
        </w:r>
        <w:r w:rsidRPr="00A93F0D">
          <w:rPr>
            <w:rStyle w:val="Hyperlink"/>
            <w:i/>
            <w:color w:val="000000" w:themeColor="text1"/>
            <w:spacing w:val="-2"/>
            <w:u w:val="none"/>
          </w:rPr>
          <w:t xml:space="preserve"> </w:t>
        </w:r>
        <w:r w:rsidRPr="00A93F0D">
          <w:rPr>
            <w:rStyle w:val="Hyperlink"/>
            <w:i/>
            <w:color w:val="000000" w:themeColor="text1"/>
            <w:u w:val="none"/>
          </w:rPr>
          <w:t>Insurance</w:t>
        </w:r>
        <w:r w:rsidRPr="00A93F0D">
          <w:rPr>
            <w:rStyle w:val="Hyperlink"/>
            <w:i/>
            <w:color w:val="000000" w:themeColor="text1"/>
            <w:spacing w:val="-3"/>
            <w:u w:val="none"/>
          </w:rPr>
          <w:t xml:space="preserve"> </w:t>
        </w:r>
        <w:r w:rsidRPr="00A93F0D">
          <w:rPr>
            <w:rStyle w:val="Hyperlink"/>
            <w:i/>
            <w:color w:val="000000" w:themeColor="text1"/>
            <w:u w:val="none"/>
          </w:rPr>
          <w:t>Seeking</w:t>
        </w:r>
        <w:r w:rsidRPr="00A93F0D">
          <w:rPr>
            <w:rStyle w:val="Hyperlink"/>
            <w:i/>
            <w:color w:val="000000" w:themeColor="text1"/>
            <w:spacing w:val="-3"/>
            <w:u w:val="none"/>
          </w:rPr>
          <w:t xml:space="preserve"> </w:t>
        </w:r>
        <w:r w:rsidRPr="00A93F0D">
          <w:rPr>
            <w:rStyle w:val="Hyperlink"/>
            <w:i/>
            <w:color w:val="000000" w:themeColor="text1"/>
            <w:u w:val="none"/>
          </w:rPr>
          <w:t>Care</w:t>
        </w:r>
        <w:r w:rsidRPr="00A93F0D">
          <w:rPr>
            <w:rStyle w:val="Hyperlink"/>
            <w:i/>
            <w:color w:val="000000" w:themeColor="text1"/>
            <w:spacing w:val="-3"/>
            <w:u w:val="none"/>
          </w:rPr>
          <w:t xml:space="preserve"> </w:t>
        </w:r>
        <w:r w:rsidRPr="00A93F0D">
          <w:rPr>
            <w:rStyle w:val="Hyperlink"/>
            <w:i/>
            <w:color w:val="000000" w:themeColor="text1"/>
            <w:u w:val="none"/>
          </w:rPr>
          <w:t>in</w:t>
        </w:r>
        <w:r w:rsidRPr="00A93F0D">
          <w:rPr>
            <w:rStyle w:val="Hyperlink"/>
            <w:i/>
            <w:color w:val="000000" w:themeColor="text1"/>
            <w:spacing w:val="-2"/>
            <w:u w:val="none"/>
          </w:rPr>
          <w:t xml:space="preserve"> </w:t>
        </w:r>
        <w:r w:rsidRPr="00A93F0D">
          <w:rPr>
            <w:rStyle w:val="Hyperlink"/>
            <w:i/>
            <w:color w:val="000000" w:themeColor="text1"/>
            <w:u w:val="none"/>
          </w:rPr>
          <w:t>a Cancer Hospital</w:t>
        </w:r>
        <w:r w:rsidRPr="00A93F0D">
          <w:rPr>
            <w:rStyle w:val="Hyperlink"/>
            <w:i/>
            <w:color w:val="000000" w:themeColor="text1"/>
            <w:spacing w:val="-2"/>
            <w:u w:val="none"/>
          </w:rPr>
          <w:t xml:space="preserve"> </w:t>
        </w:r>
        <w:r w:rsidRPr="00A93F0D">
          <w:rPr>
            <w:rStyle w:val="Hyperlink"/>
            <w:i/>
            <w:color w:val="000000" w:themeColor="text1"/>
            <w:u w:val="none"/>
          </w:rPr>
          <w:t>for a</w:t>
        </w:r>
        <w:r w:rsidRPr="00A93F0D">
          <w:rPr>
            <w:rStyle w:val="Hyperlink"/>
            <w:i/>
            <w:color w:val="000000" w:themeColor="text1"/>
            <w:spacing w:val="-3"/>
            <w:u w:val="none"/>
          </w:rPr>
          <w:t xml:space="preserve"> </w:t>
        </w:r>
        <w:r w:rsidRPr="00A93F0D">
          <w:rPr>
            <w:rStyle w:val="Hyperlink"/>
            <w:i/>
            <w:color w:val="000000" w:themeColor="text1"/>
            <w:u w:val="none"/>
          </w:rPr>
          <w:t>New</w:t>
        </w:r>
        <w:r w:rsidRPr="00A93F0D">
          <w:rPr>
            <w:rStyle w:val="Hyperlink"/>
            <w:i/>
            <w:color w:val="000000" w:themeColor="text1"/>
            <w:spacing w:val="-2"/>
            <w:u w:val="none"/>
          </w:rPr>
          <w:t xml:space="preserve"> </w:t>
        </w:r>
        <w:r w:rsidRPr="00A93F0D">
          <w:rPr>
            <w:rStyle w:val="Hyperlink"/>
            <w:i/>
            <w:color w:val="000000" w:themeColor="text1"/>
            <w:u w:val="none"/>
          </w:rPr>
          <w:t>Cancer</w:t>
        </w:r>
        <w:r w:rsidRPr="00A93F0D">
          <w:rPr>
            <w:rStyle w:val="Hyperlink"/>
            <w:i/>
            <w:color w:val="000000" w:themeColor="text1"/>
            <w:spacing w:val="-2"/>
            <w:u w:val="none"/>
          </w:rPr>
          <w:t xml:space="preserve"> </w:t>
        </w:r>
        <w:r w:rsidRPr="00A93F0D">
          <w:rPr>
            <w:rStyle w:val="Hyperlink"/>
            <w:i/>
            <w:color w:val="000000" w:themeColor="text1"/>
            <w:u w:val="none"/>
          </w:rPr>
          <w:t>Diagnosis</w:t>
        </w:r>
      </w:hyperlink>
      <w:r w:rsidRPr="00A93F0D">
        <w:rPr>
          <w:color w:val="000000" w:themeColor="text1"/>
        </w:rPr>
        <w:t>,</w:t>
      </w:r>
      <w:r w:rsidRPr="00A93F0D">
        <w:rPr>
          <w:color w:val="000000" w:themeColor="text1"/>
          <w:spacing w:val="-1"/>
        </w:rPr>
        <w:t xml:space="preserve"> </w:t>
      </w:r>
      <w:r w:rsidRPr="00A93F0D">
        <w:rPr>
          <w:color w:val="000000" w:themeColor="text1"/>
        </w:rPr>
        <w:t>5</w:t>
      </w:r>
      <w:r w:rsidRPr="00A93F0D">
        <w:rPr>
          <w:color w:val="000000" w:themeColor="text1"/>
          <w:spacing w:val="-1"/>
        </w:rPr>
        <w:t xml:space="preserve"> </w:t>
      </w:r>
      <w:r>
        <w:t>J</w:t>
      </w:r>
      <w:r>
        <w:rPr>
          <w:sz w:val="16"/>
        </w:rPr>
        <w:t xml:space="preserve">AMA </w:t>
      </w:r>
      <w:r>
        <w:t>N</w:t>
      </w:r>
      <w:r>
        <w:rPr>
          <w:sz w:val="16"/>
        </w:rPr>
        <w:t>ETWORK</w:t>
      </w:r>
      <w:r>
        <w:t>,</w:t>
      </w:r>
      <w:r>
        <w:rPr>
          <w:spacing w:val="-1"/>
        </w:rPr>
        <w:t xml:space="preserve"> </w:t>
      </w:r>
      <w:r>
        <w:t>(2022)</w:t>
      </w:r>
      <w:r>
        <w:rPr>
          <w:spacing w:val="-3"/>
        </w:rPr>
        <w:t xml:space="preserve"> </w:t>
      </w:r>
      <w:r>
        <w:t>[hereinafter</w:t>
      </w:r>
      <w:r>
        <w:rPr>
          <w:spacing w:val="-3"/>
        </w:rPr>
        <w:t xml:space="preserve"> </w:t>
      </w:r>
      <w:r>
        <w:t>Marks</w:t>
      </w:r>
      <w:r>
        <w:rPr>
          <w:spacing w:val="-1"/>
        </w:rPr>
        <w:t xml:space="preserve"> </w:t>
      </w:r>
      <w:r>
        <w:t>et</w:t>
      </w:r>
      <w:r>
        <w:rPr>
          <w:spacing w:val="-1"/>
        </w:rPr>
        <w:t xml:space="preserve"> </w:t>
      </w:r>
      <w:r>
        <w:t>al.],</w:t>
      </w:r>
      <w:r>
        <w:rPr>
          <w:spacing w:val="-1"/>
        </w:rPr>
        <w:t xml:space="preserve"> </w:t>
      </w:r>
      <w:r>
        <w:rPr>
          <w:i/>
        </w:rPr>
        <w:t xml:space="preserve">available at </w:t>
      </w:r>
      <w:hyperlink r:id="rId269">
        <w:r>
          <w:rPr>
            <w:color w:val="486794"/>
            <w:spacing w:val="-2"/>
            <w:u w:val="single" w:color="486794"/>
          </w:rPr>
          <w:t>https://jamanetwork.com/journals/jamanetworkopen/fullarticle/2794319</w:t>
        </w:r>
        <w:r>
          <w:rPr>
            <w:spacing w:val="-2"/>
          </w:rPr>
          <w:t>.</w:t>
        </w:r>
      </w:hyperlink>
    </w:p>
  </w:footnote>
  <w:footnote w:id="211">
    <w:p w14:paraId="5A9108E8" w14:textId="6455ADA4" w:rsidR="00670F0B" w:rsidRDefault="00670F0B" w:rsidP="003733D3">
      <w:pPr>
        <w:pStyle w:val="FootnoteText"/>
        <w:ind w:left="900" w:right="940"/>
      </w:pPr>
      <w:r>
        <w:rPr>
          <w:rStyle w:val="FootnoteReference"/>
        </w:rPr>
        <w:footnoteRef/>
      </w:r>
      <w:r>
        <w:t xml:space="preserve"> </w:t>
      </w:r>
      <w:proofErr w:type="spellStart"/>
      <w:r>
        <w:t>Runhua</w:t>
      </w:r>
      <w:proofErr w:type="spellEnd"/>
      <w:r>
        <w:rPr>
          <w:spacing w:val="-3"/>
        </w:rPr>
        <w:t xml:space="preserve"> </w:t>
      </w:r>
      <w:r>
        <w:t>Shi</w:t>
      </w:r>
      <w:r>
        <w:rPr>
          <w:spacing w:val="-3"/>
        </w:rPr>
        <w:t xml:space="preserve"> </w:t>
      </w:r>
      <w:r>
        <w:t>et</w:t>
      </w:r>
      <w:r>
        <w:rPr>
          <w:spacing w:val="-2"/>
        </w:rPr>
        <w:t xml:space="preserve"> </w:t>
      </w:r>
      <w:r>
        <w:t>al.,</w:t>
      </w:r>
      <w:r>
        <w:rPr>
          <w:spacing w:val="-2"/>
        </w:rPr>
        <w:t xml:space="preserve"> </w:t>
      </w:r>
      <w:hyperlink r:id="rId270" w:history="1">
        <w:r w:rsidRPr="00D00C86">
          <w:rPr>
            <w:rStyle w:val="Hyperlink"/>
            <w:i/>
            <w:color w:val="000000" w:themeColor="text1"/>
            <w:u w:val="none"/>
          </w:rPr>
          <w:t>Effects</w:t>
        </w:r>
        <w:r w:rsidRPr="00D00C86">
          <w:rPr>
            <w:rStyle w:val="Hyperlink"/>
            <w:i/>
            <w:color w:val="000000" w:themeColor="text1"/>
            <w:spacing w:val="-4"/>
            <w:u w:val="none"/>
          </w:rPr>
          <w:t xml:space="preserve"> </w:t>
        </w:r>
        <w:r w:rsidRPr="00D00C86">
          <w:rPr>
            <w:rStyle w:val="Hyperlink"/>
            <w:i/>
            <w:color w:val="000000" w:themeColor="text1"/>
            <w:u w:val="none"/>
          </w:rPr>
          <w:t>of payer</w:t>
        </w:r>
        <w:r w:rsidRPr="00D00C86">
          <w:rPr>
            <w:rStyle w:val="Hyperlink"/>
            <w:i/>
            <w:color w:val="000000" w:themeColor="text1"/>
            <w:spacing w:val="-1"/>
            <w:u w:val="none"/>
          </w:rPr>
          <w:t xml:space="preserve"> </w:t>
        </w:r>
        <w:r w:rsidRPr="00D00C86">
          <w:rPr>
            <w:rStyle w:val="Hyperlink"/>
            <w:i/>
            <w:color w:val="000000" w:themeColor="text1"/>
            <w:u w:val="none"/>
          </w:rPr>
          <w:t>status</w:t>
        </w:r>
        <w:r w:rsidRPr="00D00C86">
          <w:rPr>
            <w:rStyle w:val="Hyperlink"/>
            <w:i/>
            <w:color w:val="000000" w:themeColor="text1"/>
            <w:spacing w:val="-4"/>
            <w:u w:val="none"/>
          </w:rPr>
          <w:t xml:space="preserve"> </w:t>
        </w:r>
        <w:r w:rsidRPr="00D00C86">
          <w:rPr>
            <w:rStyle w:val="Hyperlink"/>
            <w:i/>
            <w:color w:val="000000" w:themeColor="text1"/>
            <w:u w:val="none"/>
          </w:rPr>
          <w:t>on</w:t>
        </w:r>
        <w:r w:rsidRPr="00D00C86">
          <w:rPr>
            <w:rStyle w:val="Hyperlink"/>
            <w:i/>
            <w:color w:val="000000" w:themeColor="text1"/>
            <w:spacing w:val="-2"/>
            <w:u w:val="none"/>
          </w:rPr>
          <w:t xml:space="preserve"> </w:t>
        </w:r>
        <w:r w:rsidRPr="00D00C86">
          <w:rPr>
            <w:rStyle w:val="Hyperlink"/>
            <w:i/>
            <w:color w:val="000000" w:themeColor="text1"/>
            <w:u w:val="none"/>
          </w:rPr>
          <w:t>breast</w:t>
        </w:r>
        <w:r w:rsidRPr="00D00C86">
          <w:rPr>
            <w:rStyle w:val="Hyperlink"/>
            <w:i/>
            <w:color w:val="000000" w:themeColor="text1"/>
            <w:spacing w:val="-4"/>
            <w:u w:val="none"/>
          </w:rPr>
          <w:t xml:space="preserve"> </w:t>
        </w:r>
        <w:r w:rsidRPr="00D00C86">
          <w:rPr>
            <w:rStyle w:val="Hyperlink"/>
            <w:i/>
            <w:color w:val="000000" w:themeColor="text1"/>
            <w:u w:val="none"/>
          </w:rPr>
          <w:t>cancer</w:t>
        </w:r>
        <w:r w:rsidRPr="00D00C86">
          <w:rPr>
            <w:rStyle w:val="Hyperlink"/>
            <w:i/>
            <w:color w:val="000000" w:themeColor="text1"/>
            <w:spacing w:val="-3"/>
            <w:u w:val="none"/>
          </w:rPr>
          <w:t xml:space="preserve"> </w:t>
        </w:r>
        <w:r w:rsidRPr="00D00C86">
          <w:rPr>
            <w:rStyle w:val="Hyperlink"/>
            <w:i/>
            <w:color w:val="000000" w:themeColor="text1"/>
            <w:u w:val="none"/>
          </w:rPr>
          <w:t>survival: a</w:t>
        </w:r>
        <w:r w:rsidRPr="00D00C86">
          <w:rPr>
            <w:rStyle w:val="Hyperlink"/>
            <w:i/>
            <w:color w:val="000000" w:themeColor="text1"/>
            <w:spacing w:val="-4"/>
            <w:u w:val="none"/>
          </w:rPr>
          <w:t xml:space="preserve"> </w:t>
        </w:r>
        <w:r w:rsidRPr="00D00C86">
          <w:rPr>
            <w:rStyle w:val="Hyperlink"/>
            <w:i/>
            <w:color w:val="000000" w:themeColor="text1"/>
            <w:u w:val="none"/>
          </w:rPr>
          <w:t>retrospective</w:t>
        </w:r>
        <w:r w:rsidRPr="00D00C86">
          <w:rPr>
            <w:rStyle w:val="Hyperlink"/>
            <w:i/>
            <w:color w:val="000000" w:themeColor="text1"/>
            <w:spacing w:val="-3"/>
            <w:u w:val="none"/>
          </w:rPr>
          <w:t xml:space="preserve"> </w:t>
        </w:r>
        <w:r w:rsidRPr="00D00C86">
          <w:rPr>
            <w:rStyle w:val="Hyperlink"/>
            <w:i/>
            <w:color w:val="000000" w:themeColor="text1"/>
            <w:u w:val="none"/>
          </w:rPr>
          <w:t>study</w:t>
        </w:r>
        <w:r w:rsidRPr="00D00C86">
          <w:rPr>
            <w:rStyle w:val="Hyperlink"/>
            <w:color w:val="000000" w:themeColor="text1"/>
            <w:u w:val="none"/>
          </w:rPr>
          <w:t>,</w:t>
        </w:r>
      </w:hyperlink>
      <w:r w:rsidRPr="00D00C86">
        <w:rPr>
          <w:color w:val="000000" w:themeColor="text1"/>
          <w:spacing w:val="-2"/>
        </w:rPr>
        <w:t xml:space="preserve"> </w:t>
      </w:r>
      <w:r w:rsidRPr="00D00C86">
        <w:rPr>
          <w:color w:val="000000" w:themeColor="text1"/>
        </w:rPr>
        <w:t>15</w:t>
      </w:r>
      <w:r w:rsidRPr="00D00C86">
        <w:rPr>
          <w:color w:val="000000" w:themeColor="text1"/>
          <w:spacing w:val="-2"/>
        </w:rPr>
        <w:t xml:space="preserve"> </w:t>
      </w:r>
      <w:r>
        <w:t>BMC C</w:t>
      </w:r>
      <w:r>
        <w:rPr>
          <w:sz w:val="16"/>
        </w:rPr>
        <w:t>ANCER</w:t>
      </w:r>
      <w:r>
        <w:t xml:space="preserve">, (2015), </w:t>
      </w:r>
      <w:r>
        <w:rPr>
          <w:i/>
        </w:rPr>
        <w:t xml:space="preserve">available at </w:t>
      </w:r>
      <w:hyperlink r:id="rId271">
        <w:r>
          <w:rPr>
            <w:color w:val="486794"/>
            <w:spacing w:val="-2"/>
            <w:u w:val="single" w:color="486794"/>
          </w:rPr>
          <w:t>https://pmc.ncbi.nlm.nih.gov/articles/PMC4383189/pdf/12885_2015_Article_1228.pdf</w:t>
        </w:r>
        <w:r>
          <w:rPr>
            <w:spacing w:val="-2"/>
          </w:rPr>
          <w:t>.</w:t>
        </w:r>
      </w:hyperlink>
    </w:p>
  </w:footnote>
  <w:footnote w:id="212">
    <w:p w14:paraId="57AEFC56" w14:textId="3EF43EF4" w:rsidR="00670F0B" w:rsidRDefault="00670F0B" w:rsidP="003733D3">
      <w:pPr>
        <w:pStyle w:val="FootnoteText"/>
        <w:ind w:left="900" w:right="940"/>
      </w:pPr>
      <w:r>
        <w:rPr>
          <w:rStyle w:val="FootnoteReference"/>
        </w:rPr>
        <w:footnoteRef/>
      </w:r>
      <w:r>
        <w:t xml:space="preserve"> Aaron</w:t>
      </w:r>
      <w:r>
        <w:rPr>
          <w:spacing w:val="-3"/>
        </w:rPr>
        <w:t xml:space="preserve"> </w:t>
      </w:r>
      <w:r>
        <w:t>Mitchell</w:t>
      </w:r>
      <w:r>
        <w:rPr>
          <w:spacing w:val="-4"/>
        </w:rPr>
        <w:t xml:space="preserve"> </w:t>
      </w:r>
      <w:r>
        <w:t>et</w:t>
      </w:r>
      <w:r>
        <w:rPr>
          <w:spacing w:val="-3"/>
        </w:rPr>
        <w:t xml:space="preserve"> </w:t>
      </w:r>
      <w:r>
        <w:t>al.,</w:t>
      </w:r>
      <w:r>
        <w:rPr>
          <w:spacing w:val="-3"/>
        </w:rPr>
        <w:t xml:space="preserve"> </w:t>
      </w:r>
      <w:hyperlink r:id="rId272" w:history="1">
        <w:r w:rsidRPr="00D00C86">
          <w:rPr>
            <w:rStyle w:val="Hyperlink"/>
            <w:i/>
            <w:color w:val="000000" w:themeColor="text1"/>
            <w:u w:val="none"/>
          </w:rPr>
          <w:t>Commercial</w:t>
        </w:r>
        <w:r w:rsidRPr="00D00C86">
          <w:rPr>
            <w:rStyle w:val="Hyperlink"/>
            <w:i/>
            <w:color w:val="000000" w:themeColor="text1"/>
            <w:spacing w:val="-4"/>
            <w:u w:val="none"/>
          </w:rPr>
          <w:t xml:space="preserve"> </w:t>
        </w:r>
        <w:r w:rsidRPr="00D00C86">
          <w:rPr>
            <w:rStyle w:val="Hyperlink"/>
            <w:i/>
            <w:color w:val="000000" w:themeColor="text1"/>
            <w:u w:val="none"/>
          </w:rPr>
          <w:t>Versus</w:t>
        </w:r>
        <w:r w:rsidRPr="00D00C86">
          <w:rPr>
            <w:rStyle w:val="Hyperlink"/>
            <w:i/>
            <w:color w:val="000000" w:themeColor="text1"/>
            <w:spacing w:val="-5"/>
            <w:u w:val="none"/>
          </w:rPr>
          <w:t xml:space="preserve"> </w:t>
        </w:r>
        <w:r w:rsidRPr="00D00C86">
          <w:rPr>
            <w:rStyle w:val="Hyperlink"/>
            <w:i/>
            <w:color w:val="000000" w:themeColor="text1"/>
            <w:u w:val="none"/>
          </w:rPr>
          <w:t>Medicaid</w:t>
        </w:r>
        <w:r w:rsidRPr="00D00C86">
          <w:rPr>
            <w:rStyle w:val="Hyperlink"/>
            <w:i/>
            <w:color w:val="000000" w:themeColor="text1"/>
            <w:spacing w:val="-3"/>
            <w:u w:val="none"/>
          </w:rPr>
          <w:t xml:space="preserve"> </w:t>
        </w:r>
        <w:r w:rsidRPr="00D00C86">
          <w:rPr>
            <w:rStyle w:val="Hyperlink"/>
            <w:i/>
            <w:color w:val="000000" w:themeColor="text1"/>
            <w:u w:val="none"/>
          </w:rPr>
          <w:t>Insurance</w:t>
        </w:r>
        <w:r w:rsidRPr="00D00C86">
          <w:rPr>
            <w:rStyle w:val="Hyperlink"/>
            <w:i/>
            <w:color w:val="000000" w:themeColor="text1"/>
            <w:spacing w:val="-3"/>
            <w:u w:val="none"/>
          </w:rPr>
          <w:t xml:space="preserve"> </w:t>
        </w:r>
        <w:r w:rsidRPr="00D00C86">
          <w:rPr>
            <w:rStyle w:val="Hyperlink"/>
            <w:i/>
            <w:color w:val="000000" w:themeColor="text1"/>
            <w:u w:val="none"/>
          </w:rPr>
          <w:t>and</w:t>
        </w:r>
        <w:r w:rsidRPr="00D00C86">
          <w:rPr>
            <w:rStyle w:val="Hyperlink"/>
            <w:i/>
            <w:color w:val="000000" w:themeColor="text1"/>
            <w:spacing w:val="-3"/>
            <w:u w:val="none"/>
          </w:rPr>
          <w:t xml:space="preserve"> </w:t>
        </w:r>
        <w:r w:rsidRPr="00D00C86">
          <w:rPr>
            <w:rStyle w:val="Hyperlink"/>
            <w:i/>
            <w:color w:val="000000" w:themeColor="text1"/>
            <w:u w:val="none"/>
          </w:rPr>
          <w:t>Use</w:t>
        </w:r>
        <w:r w:rsidRPr="00D00C86">
          <w:rPr>
            <w:rStyle w:val="Hyperlink"/>
            <w:i/>
            <w:color w:val="000000" w:themeColor="text1"/>
            <w:spacing w:val="-4"/>
            <w:u w:val="none"/>
          </w:rPr>
          <w:t xml:space="preserve"> </w:t>
        </w:r>
        <w:r w:rsidRPr="00D00C86">
          <w:rPr>
            <w:rStyle w:val="Hyperlink"/>
            <w:i/>
            <w:color w:val="000000" w:themeColor="text1"/>
            <w:u w:val="none"/>
          </w:rPr>
          <w:t>of</w:t>
        </w:r>
        <w:r w:rsidRPr="00D00C86">
          <w:rPr>
            <w:rStyle w:val="Hyperlink"/>
            <w:i/>
            <w:color w:val="000000" w:themeColor="text1"/>
            <w:spacing w:val="-2"/>
            <w:u w:val="none"/>
          </w:rPr>
          <w:t xml:space="preserve"> </w:t>
        </w:r>
        <w:r w:rsidRPr="00D00C86">
          <w:rPr>
            <w:rStyle w:val="Hyperlink"/>
            <w:i/>
            <w:color w:val="000000" w:themeColor="text1"/>
            <w:u w:val="none"/>
          </w:rPr>
          <w:t>High-Priced</w:t>
        </w:r>
        <w:r w:rsidRPr="00D00C86">
          <w:rPr>
            <w:rStyle w:val="Hyperlink"/>
            <w:i/>
            <w:color w:val="000000" w:themeColor="text1"/>
            <w:spacing w:val="-2"/>
            <w:u w:val="none"/>
          </w:rPr>
          <w:t xml:space="preserve"> </w:t>
        </w:r>
        <w:r w:rsidRPr="00D00C86">
          <w:rPr>
            <w:rStyle w:val="Hyperlink"/>
            <w:i/>
            <w:color w:val="000000" w:themeColor="text1"/>
            <w:u w:val="none"/>
          </w:rPr>
          <w:t>Anticancer Treatments</w:t>
        </w:r>
        <w:r w:rsidRPr="00D00C86">
          <w:rPr>
            <w:rStyle w:val="Hyperlink"/>
            <w:color w:val="000000" w:themeColor="text1"/>
            <w:u w:val="none"/>
          </w:rPr>
          <w:t>,</w:t>
        </w:r>
      </w:hyperlink>
      <w:r w:rsidRPr="00D00C86">
        <w:rPr>
          <w:color w:val="000000" w:themeColor="text1"/>
        </w:rPr>
        <w:t xml:space="preserve"> 29 T</w:t>
      </w:r>
      <w:r w:rsidRPr="00D00C86">
        <w:rPr>
          <w:color w:val="000000" w:themeColor="text1"/>
          <w:sz w:val="16"/>
        </w:rPr>
        <w:t xml:space="preserve">HE </w:t>
      </w:r>
      <w:r w:rsidRPr="00D00C86">
        <w:rPr>
          <w:color w:val="000000" w:themeColor="text1"/>
        </w:rPr>
        <w:t>O</w:t>
      </w:r>
      <w:r w:rsidRPr="00D00C86">
        <w:rPr>
          <w:color w:val="000000" w:themeColor="text1"/>
          <w:sz w:val="16"/>
        </w:rPr>
        <w:t xml:space="preserve">NCOLOGIST </w:t>
      </w:r>
      <w:r w:rsidRPr="00D00C86">
        <w:rPr>
          <w:color w:val="000000" w:themeColor="text1"/>
        </w:rPr>
        <w:t xml:space="preserve">527, (2024), </w:t>
      </w:r>
      <w:r>
        <w:rPr>
          <w:i/>
        </w:rPr>
        <w:t xml:space="preserve">available at </w:t>
      </w:r>
      <w:hyperlink r:id="rId273">
        <w:r>
          <w:rPr>
            <w:color w:val="486794"/>
            <w:spacing w:val="-2"/>
            <w:u w:val="single" w:color="486794"/>
          </w:rPr>
          <w:t>https://pmc.ncbi.nlm.nih.gov/articles/PMC11144993/pdf/oyae035.pdf</w:t>
        </w:r>
        <w:r>
          <w:rPr>
            <w:spacing w:val="-2"/>
          </w:rPr>
          <w:t>.</w:t>
        </w:r>
      </w:hyperlink>
    </w:p>
  </w:footnote>
  <w:footnote w:id="213">
    <w:p w14:paraId="1D7AB911" w14:textId="4C916076" w:rsidR="00670F0B" w:rsidRDefault="00670F0B" w:rsidP="003733D3">
      <w:pPr>
        <w:pStyle w:val="FootnoteText"/>
        <w:ind w:left="900" w:right="940"/>
      </w:pPr>
      <w:r>
        <w:rPr>
          <w:rStyle w:val="FootnoteReference"/>
        </w:rPr>
        <w:footnoteRef/>
      </w:r>
      <w:r>
        <w:t xml:space="preserve"> Marks</w:t>
      </w:r>
      <w:r>
        <w:rPr>
          <w:spacing w:val="-3"/>
        </w:rPr>
        <w:t xml:space="preserve"> </w:t>
      </w:r>
      <w:r>
        <w:t>et</w:t>
      </w:r>
      <w:r>
        <w:rPr>
          <w:spacing w:val="-3"/>
        </w:rPr>
        <w:t xml:space="preserve"> </w:t>
      </w:r>
      <w:r>
        <w:t>al.,</w:t>
      </w:r>
      <w:r>
        <w:rPr>
          <w:spacing w:val="-4"/>
        </w:rPr>
        <w:t xml:space="preserve"> </w:t>
      </w:r>
      <w:r>
        <w:rPr>
          <w:i/>
        </w:rPr>
        <w:t>supra</w:t>
      </w:r>
      <w:r>
        <w:rPr>
          <w:i/>
          <w:spacing w:val="-5"/>
        </w:rPr>
        <w:t xml:space="preserve"> </w:t>
      </w:r>
      <w:r>
        <w:t>note</w:t>
      </w:r>
      <w:r>
        <w:rPr>
          <w:spacing w:val="-4"/>
        </w:rPr>
        <w:t xml:space="preserve"> </w:t>
      </w:r>
      <w:hyperlink w:anchor="_bookmark240" w:history="1">
        <w:r>
          <w:rPr>
            <w:spacing w:val="-4"/>
          </w:rPr>
          <w:t>210.</w:t>
        </w:r>
      </w:hyperlink>
    </w:p>
  </w:footnote>
  <w:footnote w:id="214">
    <w:p w14:paraId="6BD5DD35" w14:textId="44A2182D" w:rsidR="00670F0B" w:rsidRDefault="00670F0B" w:rsidP="003733D3">
      <w:pPr>
        <w:pStyle w:val="FootnoteText"/>
        <w:ind w:left="900" w:right="940"/>
      </w:pPr>
      <w:r>
        <w:rPr>
          <w:rStyle w:val="FootnoteReference"/>
        </w:rPr>
        <w:footnoteRef/>
      </w:r>
      <w:r>
        <w:t xml:space="preserve"> Jeremy</w:t>
      </w:r>
      <w:r>
        <w:rPr>
          <w:spacing w:val="-4"/>
        </w:rPr>
        <w:t xml:space="preserve"> </w:t>
      </w:r>
      <w:r>
        <w:t>O’Connor</w:t>
      </w:r>
      <w:r>
        <w:rPr>
          <w:spacing w:val="-4"/>
        </w:rPr>
        <w:t xml:space="preserve"> </w:t>
      </w:r>
      <w:r>
        <w:t>et</w:t>
      </w:r>
      <w:r>
        <w:rPr>
          <w:spacing w:val="-2"/>
        </w:rPr>
        <w:t xml:space="preserve"> </w:t>
      </w:r>
      <w:r>
        <w:t>al.,</w:t>
      </w:r>
      <w:r>
        <w:rPr>
          <w:spacing w:val="-2"/>
        </w:rPr>
        <w:t xml:space="preserve"> </w:t>
      </w:r>
      <w:hyperlink r:id="rId274" w:history="1">
        <w:r w:rsidRPr="0037671A">
          <w:rPr>
            <w:rStyle w:val="Hyperlink"/>
            <w:i/>
            <w:color w:val="000000" w:themeColor="text1"/>
            <w:u w:val="none"/>
          </w:rPr>
          <w:t>Factors</w:t>
        </w:r>
        <w:r w:rsidRPr="0037671A">
          <w:rPr>
            <w:rStyle w:val="Hyperlink"/>
            <w:i/>
            <w:color w:val="000000" w:themeColor="text1"/>
            <w:spacing w:val="-4"/>
            <w:u w:val="none"/>
          </w:rPr>
          <w:t xml:space="preserve"> </w:t>
        </w:r>
        <w:r w:rsidRPr="0037671A">
          <w:rPr>
            <w:rStyle w:val="Hyperlink"/>
            <w:i/>
            <w:color w:val="000000" w:themeColor="text1"/>
            <w:u w:val="none"/>
          </w:rPr>
          <w:t>Associated</w:t>
        </w:r>
        <w:r w:rsidRPr="0037671A">
          <w:rPr>
            <w:rStyle w:val="Hyperlink"/>
            <w:i/>
            <w:color w:val="000000" w:themeColor="text1"/>
            <w:spacing w:val="-1"/>
            <w:u w:val="none"/>
          </w:rPr>
          <w:t xml:space="preserve"> </w:t>
        </w:r>
        <w:r w:rsidRPr="0037671A">
          <w:rPr>
            <w:rStyle w:val="Hyperlink"/>
            <w:i/>
            <w:color w:val="000000" w:themeColor="text1"/>
            <w:u w:val="none"/>
          </w:rPr>
          <w:t>With</w:t>
        </w:r>
        <w:r w:rsidRPr="0037671A">
          <w:rPr>
            <w:rStyle w:val="Hyperlink"/>
            <w:i/>
            <w:color w:val="000000" w:themeColor="text1"/>
            <w:spacing w:val="-4"/>
            <w:u w:val="none"/>
          </w:rPr>
          <w:t xml:space="preserve"> </w:t>
        </w:r>
        <w:r w:rsidRPr="0037671A">
          <w:rPr>
            <w:rStyle w:val="Hyperlink"/>
            <w:i/>
            <w:color w:val="000000" w:themeColor="text1"/>
            <w:u w:val="none"/>
          </w:rPr>
          <w:t>Cancer</w:t>
        </w:r>
        <w:r w:rsidRPr="0037671A">
          <w:rPr>
            <w:rStyle w:val="Hyperlink"/>
            <w:i/>
            <w:color w:val="000000" w:themeColor="text1"/>
            <w:spacing w:val="-2"/>
            <w:u w:val="none"/>
          </w:rPr>
          <w:t xml:space="preserve"> </w:t>
        </w:r>
        <w:r w:rsidRPr="0037671A">
          <w:rPr>
            <w:rStyle w:val="Hyperlink"/>
            <w:i/>
            <w:color w:val="000000" w:themeColor="text1"/>
            <w:u w:val="none"/>
          </w:rPr>
          <w:t>Disparities</w:t>
        </w:r>
        <w:r w:rsidRPr="0037671A">
          <w:rPr>
            <w:rStyle w:val="Hyperlink"/>
            <w:i/>
            <w:color w:val="000000" w:themeColor="text1"/>
            <w:spacing w:val="-4"/>
            <w:u w:val="none"/>
          </w:rPr>
          <w:t xml:space="preserve"> </w:t>
        </w:r>
        <w:r w:rsidRPr="0037671A">
          <w:rPr>
            <w:rStyle w:val="Hyperlink"/>
            <w:i/>
            <w:color w:val="000000" w:themeColor="text1"/>
            <w:u w:val="none"/>
          </w:rPr>
          <w:t>Among</w:t>
        </w:r>
        <w:r w:rsidRPr="0037671A">
          <w:rPr>
            <w:rStyle w:val="Hyperlink"/>
            <w:i/>
            <w:color w:val="000000" w:themeColor="text1"/>
            <w:spacing w:val="-3"/>
            <w:u w:val="none"/>
          </w:rPr>
          <w:t xml:space="preserve"> </w:t>
        </w:r>
        <w:r w:rsidRPr="0037671A">
          <w:rPr>
            <w:rStyle w:val="Hyperlink"/>
            <w:i/>
            <w:color w:val="000000" w:themeColor="text1"/>
            <w:u w:val="none"/>
          </w:rPr>
          <w:t>Low-,</w:t>
        </w:r>
        <w:r w:rsidRPr="0037671A">
          <w:rPr>
            <w:rStyle w:val="Hyperlink"/>
            <w:i/>
            <w:color w:val="000000" w:themeColor="text1"/>
            <w:spacing w:val="-2"/>
            <w:u w:val="none"/>
          </w:rPr>
          <w:t xml:space="preserve"> </w:t>
        </w:r>
        <w:r w:rsidRPr="0037671A">
          <w:rPr>
            <w:rStyle w:val="Hyperlink"/>
            <w:i/>
            <w:color w:val="000000" w:themeColor="text1"/>
            <w:u w:val="none"/>
          </w:rPr>
          <w:t>Medium-,</w:t>
        </w:r>
        <w:r w:rsidRPr="0037671A">
          <w:rPr>
            <w:rStyle w:val="Hyperlink"/>
            <w:i/>
            <w:color w:val="000000" w:themeColor="text1"/>
            <w:spacing w:val="-2"/>
            <w:u w:val="none"/>
          </w:rPr>
          <w:t xml:space="preserve"> </w:t>
        </w:r>
        <w:r w:rsidRPr="0037671A">
          <w:rPr>
            <w:rStyle w:val="Hyperlink"/>
            <w:i/>
            <w:color w:val="000000" w:themeColor="text1"/>
            <w:u w:val="none"/>
          </w:rPr>
          <w:t>and</w:t>
        </w:r>
        <w:r w:rsidRPr="0037671A">
          <w:rPr>
            <w:rStyle w:val="Hyperlink"/>
            <w:i/>
            <w:color w:val="000000" w:themeColor="text1"/>
            <w:spacing w:val="-2"/>
            <w:u w:val="none"/>
          </w:rPr>
          <w:t xml:space="preserve"> </w:t>
        </w:r>
        <w:r w:rsidRPr="0037671A">
          <w:rPr>
            <w:rStyle w:val="Hyperlink"/>
            <w:i/>
            <w:color w:val="000000" w:themeColor="text1"/>
            <w:u w:val="none"/>
          </w:rPr>
          <w:t>High- Income US Counties</w:t>
        </w:r>
        <w:r w:rsidRPr="0037671A">
          <w:rPr>
            <w:rStyle w:val="Hyperlink"/>
            <w:color w:val="000000" w:themeColor="text1"/>
            <w:u w:val="none"/>
          </w:rPr>
          <w:t>,</w:t>
        </w:r>
      </w:hyperlink>
      <w:r w:rsidRPr="0037671A">
        <w:rPr>
          <w:color w:val="000000" w:themeColor="text1"/>
        </w:rPr>
        <w:t xml:space="preserve"> 1 J</w:t>
      </w:r>
      <w:r w:rsidRPr="0037671A">
        <w:rPr>
          <w:color w:val="000000" w:themeColor="text1"/>
          <w:sz w:val="16"/>
        </w:rPr>
        <w:t xml:space="preserve">AMA </w:t>
      </w:r>
      <w:r>
        <w:t>N</w:t>
      </w:r>
      <w:r>
        <w:rPr>
          <w:sz w:val="16"/>
        </w:rPr>
        <w:t>ETWORK</w:t>
      </w:r>
      <w:r>
        <w:t xml:space="preserve">, (2018), </w:t>
      </w:r>
      <w:r>
        <w:rPr>
          <w:i/>
        </w:rPr>
        <w:t xml:space="preserve">available at </w:t>
      </w:r>
      <w:hyperlink r:id="rId275">
        <w:r>
          <w:rPr>
            <w:color w:val="486794"/>
            <w:spacing w:val="-2"/>
            <w:u w:val="single" w:color="486794"/>
          </w:rPr>
          <w:t>https://jamanetwork.com/journals/jamanetworkopen/fullarticle/2705856</w:t>
        </w:r>
        <w:r>
          <w:rPr>
            <w:spacing w:val="-2"/>
          </w:rPr>
          <w:t>.</w:t>
        </w:r>
      </w:hyperlink>
    </w:p>
  </w:footnote>
  <w:footnote w:id="215">
    <w:p w14:paraId="5DFFE2EA" w14:textId="77C33E43" w:rsidR="00670F0B" w:rsidRDefault="00670F0B" w:rsidP="003733D3">
      <w:pPr>
        <w:spacing w:before="1"/>
        <w:ind w:left="900" w:right="940"/>
        <w:rPr>
          <w:i/>
          <w:sz w:val="20"/>
        </w:rPr>
      </w:pPr>
      <w:r>
        <w:rPr>
          <w:rStyle w:val="FootnoteReference"/>
        </w:rPr>
        <w:footnoteRef/>
      </w:r>
      <w:r>
        <w:t xml:space="preserve"> </w:t>
      </w:r>
      <w:r>
        <w:rPr>
          <w:sz w:val="20"/>
        </w:rPr>
        <w:t>Limin</w:t>
      </w:r>
      <w:r>
        <w:rPr>
          <w:spacing w:val="-3"/>
          <w:sz w:val="20"/>
        </w:rPr>
        <w:t xml:space="preserve"> </w:t>
      </w:r>
      <w:r>
        <w:rPr>
          <w:sz w:val="20"/>
        </w:rPr>
        <w:t>Clegg</w:t>
      </w:r>
      <w:r>
        <w:rPr>
          <w:spacing w:val="-3"/>
          <w:sz w:val="20"/>
        </w:rPr>
        <w:t xml:space="preserve"> </w:t>
      </w:r>
      <w:r>
        <w:rPr>
          <w:sz w:val="20"/>
        </w:rPr>
        <w:t>et</w:t>
      </w:r>
      <w:r>
        <w:rPr>
          <w:spacing w:val="-2"/>
          <w:sz w:val="20"/>
        </w:rPr>
        <w:t xml:space="preserve"> </w:t>
      </w:r>
      <w:r>
        <w:rPr>
          <w:sz w:val="20"/>
        </w:rPr>
        <w:t>al.,</w:t>
      </w:r>
      <w:r>
        <w:rPr>
          <w:spacing w:val="-2"/>
          <w:sz w:val="20"/>
        </w:rPr>
        <w:t xml:space="preserve"> </w:t>
      </w:r>
      <w:hyperlink r:id="rId276" w:history="1">
        <w:r w:rsidRPr="0037671A">
          <w:rPr>
            <w:rStyle w:val="Hyperlink"/>
            <w:i/>
            <w:color w:val="000000" w:themeColor="text1"/>
            <w:sz w:val="20"/>
            <w:u w:val="none"/>
          </w:rPr>
          <w:t>Impact</w:t>
        </w:r>
        <w:r w:rsidRPr="0037671A">
          <w:rPr>
            <w:rStyle w:val="Hyperlink"/>
            <w:i/>
            <w:color w:val="000000" w:themeColor="text1"/>
            <w:spacing w:val="-4"/>
            <w:sz w:val="20"/>
            <w:u w:val="none"/>
          </w:rPr>
          <w:t xml:space="preserve"> </w:t>
        </w:r>
        <w:r w:rsidRPr="0037671A">
          <w:rPr>
            <w:rStyle w:val="Hyperlink"/>
            <w:i/>
            <w:color w:val="000000" w:themeColor="text1"/>
            <w:sz w:val="20"/>
            <w:u w:val="none"/>
          </w:rPr>
          <w:t>of</w:t>
        </w:r>
        <w:r w:rsidRPr="0037671A">
          <w:rPr>
            <w:rStyle w:val="Hyperlink"/>
            <w:i/>
            <w:color w:val="000000" w:themeColor="text1"/>
            <w:spacing w:val="-1"/>
            <w:sz w:val="20"/>
            <w:u w:val="none"/>
          </w:rPr>
          <w:t xml:space="preserve"> </w:t>
        </w:r>
        <w:r w:rsidRPr="0037671A">
          <w:rPr>
            <w:rStyle w:val="Hyperlink"/>
            <w:i/>
            <w:color w:val="000000" w:themeColor="text1"/>
            <w:sz w:val="20"/>
            <w:u w:val="none"/>
          </w:rPr>
          <w:t>socioeconomic</w:t>
        </w:r>
        <w:r w:rsidRPr="0037671A">
          <w:rPr>
            <w:rStyle w:val="Hyperlink"/>
            <w:i/>
            <w:color w:val="000000" w:themeColor="text1"/>
            <w:spacing w:val="-4"/>
            <w:sz w:val="20"/>
            <w:u w:val="none"/>
          </w:rPr>
          <w:t xml:space="preserve"> </w:t>
        </w:r>
        <w:r w:rsidRPr="0037671A">
          <w:rPr>
            <w:rStyle w:val="Hyperlink"/>
            <w:i/>
            <w:color w:val="000000" w:themeColor="text1"/>
            <w:sz w:val="20"/>
            <w:u w:val="none"/>
          </w:rPr>
          <w:t>status</w:t>
        </w:r>
        <w:r w:rsidRPr="0037671A">
          <w:rPr>
            <w:rStyle w:val="Hyperlink"/>
            <w:i/>
            <w:color w:val="000000" w:themeColor="text1"/>
            <w:spacing w:val="-4"/>
            <w:sz w:val="20"/>
            <w:u w:val="none"/>
          </w:rPr>
          <w:t xml:space="preserve"> </w:t>
        </w:r>
        <w:r w:rsidRPr="0037671A">
          <w:rPr>
            <w:rStyle w:val="Hyperlink"/>
            <w:i/>
            <w:color w:val="000000" w:themeColor="text1"/>
            <w:sz w:val="20"/>
            <w:u w:val="none"/>
          </w:rPr>
          <w:t>on</w:t>
        </w:r>
        <w:r w:rsidRPr="0037671A">
          <w:rPr>
            <w:rStyle w:val="Hyperlink"/>
            <w:i/>
            <w:color w:val="000000" w:themeColor="text1"/>
            <w:spacing w:val="-2"/>
            <w:sz w:val="20"/>
            <w:u w:val="none"/>
          </w:rPr>
          <w:t xml:space="preserve"> </w:t>
        </w:r>
        <w:r w:rsidRPr="0037671A">
          <w:rPr>
            <w:rStyle w:val="Hyperlink"/>
            <w:i/>
            <w:color w:val="000000" w:themeColor="text1"/>
            <w:sz w:val="20"/>
            <w:u w:val="none"/>
          </w:rPr>
          <w:t>cancer</w:t>
        </w:r>
        <w:r w:rsidRPr="0037671A">
          <w:rPr>
            <w:rStyle w:val="Hyperlink"/>
            <w:i/>
            <w:color w:val="000000" w:themeColor="text1"/>
            <w:spacing w:val="-3"/>
            <w:sz w:val="20"/>
            <w:u w:val="none"/>
          </w:rPr>
          <w:t xml:space="preserve"> </w:t>
        </w:r>
        <w:r w:rsidRPr="0037671A">
          <w:rPr>
            <w:rStyle w:val="Hyperlink"/>
            <w:i/>
            <w:color w:val="000000" w:themeColor="text1"/>
            <w:sz w:val="20"/>
            <w:u w:val="none"/>
          </w:rPr>
          <w:t>incidence</w:t>
        </w:r>
        <w:r w:rsidRPr="0037671A">
          <w:rPr>
            <w:rStyle w:val="Hyperlink"/>
            <w:i/>
            <w:color w:val="000000" w:themeColor="text1"/>
            <w:spacing w:val="-3"/>
            <w:sz w:val="20"/>
            <w:u w:val="none"/>
          </w:rPr>
          <w:t xml:space="preserve"> </w:t>
        </w:r>
        <w:r w:rsidRPr="0037671A">
          <w:rPr>
            <w:rStyle w:val="Hyperlink"/>
            <w:i/>
            <w:color w:val="000000" w:themeColor="text1"/>
            <w:sz w:val="20"/>
            <w:u w:val="none"/>
          </w:rPr>
          <w:t>and</w:t>
        </w:r>
        <w:r w:rsidRPr="0037671A">
          <w:rPr>
            <w:rStyle w:val="Hyperlink"/>
            <w:i/>
            <w:color w:val="000000" w:themeColor="text1"/>
            <w:spacing w:val="-2"/>
            <w:sz w:val="20"/>
            <w:u w:val="none"/>
          </w:rPr>
          <w:t xml:space="preserve"> </w:t>
        </w:r>
        <w:r w:rsidRPr="0037671A">
          <w:rPr>
            <w:rStyle w:val="Hyperlink"/>
            <w:i/>
            <w:color w:val="000000" w:themeColor="text1"/>
            <w:sz w:val="20"/>
            <w:u w:val="none"/>
          </w:rPr>
          <w:t>stage</w:t>
        </w:r>
        <w:r w:rsidRPr="0037671A">
          <w:rPr>
            <w:rStyle w:val="Hyperlink"/>
            <w:i/>
            <w:color w:val="000000" w:themeColor="text1"/>
            <w:spacing w:val="-2"/>
            <w:sz w:val="20"/>
            <w:u w:val="none"/>
          </w:rPr>
          <w:t xml:space="preserve"> </w:t>
        </w:r>
        <w:r w:rsidRPr="0037671A">
          <w:rPr>
            <w:rStyle w:val="Hyperlink"/>
            <w:i/>
            <w:color w:val="000000" w:themeColor="text1"/>
            <w:sz w:val="20"/>
            <w:u w:val="none"/>
          </w:rPr>
          <w:t>at</w:t>
        </w:r>
        <w:r w:rsidRPr="0037671A">
          <w:rPr>
            <w:rStyle w:val="Hyperlink"/>
            <w:i/>
            <w:color w:val="000000" w:themeColor="text1"/>
            <w:spacing w:val="-2"/>
            <w:sz w:val="20"/>
            <w:u w:val="none"/>
          </w:rPr>
          <w:t xml:space="preserve"> </w:t>
        </w:r>
        <w:r w:rsidRPr="0037671A">
          <w:rPr>
            <w:rStyle w:val="Hyperlink"/>
            <w:i/>
            <w:color w:val="000000" w:themeColor="text1"/>
            <w:sz w:val="20"/>
            <w:u w:val="none"/>
          </w:rPr>
          <w:t>diagnosis:</w:t>
        </w:r>
        <w:r w:rsidRPr="0037671A">
          <w:rPr>
            <w:rStyle w:val="Hyperlink"/>
            <w:i/>
            <w:color w:val="000000" w:themeColor="text1"/>
            <w:spacing w:val="-2"/>
            <w:sz w:val="20"/>
            <w:u w:val="none"/>
          </w:rPr>
          <w:t xml:space="preserve"> </w:t>
        </w:r>
        <w:r w:rsidRPr="0037671A">
          <w:rPr>
            <w:rStyle w:val="Hyperlink"/>
            <w:i/>
            <w:color w:val="000000" w:themeColor="text1"/>
            <w:sz w:val="20"/>
            <w:u w:val="none"/>
          </w:rPr>
          <w:t>selected findings from the surveillance, epidemiology, and end results: National Longitudinal Mortality Study</w:t>
        </w:r>
      </w:hyperlink>
      <w:r w:rsidRPr="0037671A">
        <w:rPr>
          <w:color w:val="000000" w:themeColor="text1"/>
          <w:sz w:val="20"/>
        </w:rPr>
        <w:t xml:space="preserve">, </w:t>
      </w:r>
      <w:r>
        <w:rPr>
          <w:sz w:val="20"/>
        </w:rPr>
        <w:t>20 C</w:t>
      </w:r>
      <w:r>
        <w:rPr>
          <w:sz w:val="16"/>
        </w:rPr>
        <w:t xml:space="preserve">ANCER </w:t>
      </w:r>
      <w:r>
        <w:rPr>
          <w:sz w:val="20"/>
        </w:rPr>
        <w:t>C</w:t>
      </w:r>
      <w:r>
        <w:rPr>
          <w:sz w:val="16"/>
        </w:rPr>
        <w:t xml:space="preserve">AUSES </w:t>
      </w:r>
      <w:r>
        <w:rPr>
          <w:sz w:val="20"/>
        </w:rPr>
        <w:t>&amp; C</w:t>
      </w:r>
      <w:r>
        <w:rPr>
          <w:sz w:val="16"/>
        </w:rPr>
        <w:t xml:space="preserve">ONTROL </w:t>
      </w:r>
      <w:r>
        <w:rPr>
          <w:sz w:val="20"/>
        </w:rPr>
        <w:t xml:space="preserve">417, (2009), </w:t>
      </w:r>
      <w:r>
        <w:rPr>
          <w:i/>
          <w:sz w:val="20"/>
        </w:rPr>
        <w:t>available at</w:t>
      </w:r>
    </w:p>
    <w:p w14:paraId="58FFD746" w14:textId="53018891" w:rsidR="00670F0B" w:rsidRPr="00670F0B" w:rsidRDefault="00670F0B" w:rsidP="003733D3">
      <w:pPr>
        <w:spacing w:line="226" w:lineRule="exact"/>
        <w:ind w:left="900" w:right="940"/>
        <w:rPr>
          <w:sz w:val="20"/>
        </w:rPr>
      </w:pPr>
      <w:hyperlink r:id="rId277">
        <w:r>
          <w:rPr>
            <w:color w:val="486794"/>
            <w:spacing w:val="-2"/>
            <w:sz w:val="20"/>
            <w:u w:val="single" w:color="486794"/>
          </w:rPr>
          <w:t>https://pmc.ncbi.nlm.nih.gov/articles/PMC2711979/pdf/nihms-104105.pdf</w:t>
        </w:r>
        <w:r>
          <w:rPr>
            <w:spacing w:val="-2"/>
            <w:sz w:val="20"/>
          </w:rPr>
          <w:t>.</w:t>
        </w:r>
      </w:hyperlink>
    </w:p>
  </w:footnote>
  <w:footnote w:id="216">
    <w:p w14:paraId="109F539F" w14:textId="1ED4A6F3" w:rsidR="00670F0B" w:rsidRPr="0037671A" w:rsidRDefault="00670F0B" w:rsidP="003733D3">
      <w:pPr>
        <w:spacing w:before="1" w:line="226" w:lineRule="exact"/>
        <w:ind w:left="900" w:right="940"/>
        <w:rPr>
          <w:rStyle w:val="Hyperlink"/>
          <w:color w:val="000000" w:themeColor="text1"/>
          <w:sz w:val="16"/>
          <w:u w:val="none"/>
        </w:rPr>
      </w:pPr>
      <w:r>
        <w:rPr>
          <w:rStyle w:val="FootnoteReference"/>
        </w:rPr>
        <w:footnoteRef/>
      </w:r>
      <w:r>
        <w:t xml:space="preserve"> </w:t>
      </w:r>
      <w:r w:rsidR="0037671A" w:rsidRPr="0037671A">
        <w:rPr>
          <w:color w:val="000000" w:themeColor="text1"/>
          <w:sz w:val="20"/>
        </w:rPr>
        <w:fldChar w:fldCharType="begin"/>
      </w:r>
      <w:r w:rsidR="0037671A" w:rsidRPr="0037671A">
        <w:rPr>
          <w:color w:val="000000" w:themeColor="text1"/>
          <w:sz w:val="20"/>
        </w:rPr>
        <w:instrText>HYPERLINK "https://acsjournals.onlinelibrary.wiley.com/doi/epdf/10.3322/caac.21812"</w:instrText>
      </w:r>
      <w:r w:rsidR="0037671A" w:rsidRPr="0037671A">
        <w:rPr>
          <w:color w:val="000000" w:themeColor="text1"/>
          <w:sz w:val="20"/>
        </w:rPr>
      </w:r>
      <w:r w:rsidR="0037671A" w:rsidRPr="0037671A">
        <w:rPr>
          <w:color w:val="000000" w:themeColor="text1"/>
          <w:sz w:val="20"/>
        </w:rPr>
        <w:fldChar w:fldCharType="separate"/>
      </w:r>
      <w:r w:rsidRPr="0037671A">
        <w:rPr>
          <w:rStyle w:val="Hyperlink"/>
          <w:color w:val="000000" w:themeColor="text1"/>
          <w:sz w:val="20"/>
          <w:u w:val="none"/>
        </w:rPr>
        <w:t>A</w:t>
      </w:r>
      <w:r w:rsidRPr="0037671A">
        <w:rPr>
          <w:rStyle w:val="Hyperlink"/>
          <w:color w:val="000000" w:themeColor="text1"/>
          <w:sz w:val="16"/>
          <w:u w:val="none"/>
        </w:rPr>
        <w:t>MERICAN</w:t>
      </w:r>
      <w:r w:rsidRPr="0037671A">
        <w:rPr>
          <w:rStyle w:val="Hyperlink"/>
          <w:color w:val="000000" w:themeColor="text1"/>
          <w:spacing w:val="-6"/>
          <w:sz w:val="16"/>
          <w:u w:val="none"/>
        </w:rPr>
        <w:t xml:space="preserve"> </w:t>
      </w:r>
      <w:r w:rsidRPr="0037671A">
        <w:rPr>
          <w:rStyle w:val="Hyperlink"/>
          <w:color w:val="000000" w:themeColor="text1"/>
          <w:sz w:val="20"/>
          <w:u w:val="none"/>
        </w:rPr>
        <w:t>C</w:t>
      </w:r>
      <w:r w:rsidRPr="0037671A">
        <w:rPr>
          <w:rStyle w:val="Hyperlink"/>
          <w:color w:val="000000" w:themeColor="text1"/>
          <w:sz w:val="16"/>
          <w:u w:val="none"/>
        </w:rPr>
        <w:t>ANCER</w:t>
      </w:r>
      <w:r w:rsidRPr="0037671A">
        <w:rPr>
          <w:rStyle w:val="Hyperlink"/>
          <w:color w:val="000000" w:themeColor="text1"/>
          <w:spacing w:val="-4"/>
          <w:sz w:val="16"/>
          <w:u w:val="none"/>
        </w:rPr>
        <w:t xml:space="preserve"> </w:t>
      </w:r>
      <w:r w:rsidRPr="0037671A">
        <w:rPr>
          <w:rStyle w:val="Hyperlink"/>
          <w:color w:val="000000" w:themeColor="text1"/>
          <w:sz w:val="20"/>
          <w:u w:val="none"/>
        </w:rPr>
        <w:t>S</w:t>
      </w:r>
      <w:r w:rsidRPr="0037671A">
        <w:rPr>
          <w:rStyle w:val="Hyperlink"/>
          <w:color w:val="000000" w:themeColor="text1"/>
          <w:sz w:val="16"/>
          <w:u w:val="none"/>
        </w:rPr>
        <w:t>OCIETY</w:t>
      </w:r>
      <w:r w:rsidRPr="0037671A">
        <w:rPr>
          <w:rStyle w:val="Hyperlink"/>
          <w:color w:val="000000" w:themeColor="text1"/>
          <w:sz w:val="20"/>
          <w:u w:val="none"/>
        </w:rPr>
        <w:t>,</w:t>
      </w:r>
      <w:r w:rsidRPr="0037671A">
        <w:rPr>
          <w:rStyle w:val="Hyperlink"/>
          <w:color w:val="000000" w:themeColor="text1"/>
          <w:spacing w:val="-13"/>
          <w:sz w:val="20"/>
          <w:u w:val="none"/>
        </w:rPr>
        <w:t xml:space="preserve"> </w:t>
      </w:r>
      <w:r w:rsidRPr="0037671A">
        <w:rPr>
          <w:rStyle w:val="Hyperlink"/>
          <w:color w:val="000000" w:themeColor="text1"/>
          <w:sz w:val="20"/>
          <w:u w:val="none"/>
        </w:rPr>
        <w:t>A</w:t>
      </w:r>
      <w:r w:rsidRPr="0037671A">
        <w:rPr>
          <w:rStyle w:val="Hyperlink"/>
          <w:color w:val="000000" w:themeColor="text1"/>
          <w:sz w:val="16"/>
          <w:u w:val="none"/>
        </w:rPr>
        <w:t>MERICAN</w:t>
      </w:r>
      <w:r w:rsidRPr="0037671A">
        <w:rPr>
          <w:rStyle w:val="Hyperlink"/>
          <w:color w:val="000000" w:themeColor="text1"/>
          <w:spacing w:val="-4"/>
          <w:sz w:val="16"/>
          <w:u w:val="none"/>
        </w:rPr>
        <w:t xml:space="preserve"> </w:t>
      </w:r>
      <w:r w:rsidRPr="0037671A">
        <w:rPr>
          <w:rStyle w:val="Hyperlink"/>
          <w:color w:val="000000" w:themeColor="text1"/>
          <w:sz w:val="20"/>
          <w:u w:val="none"/>
        </w:rPr>
        <w:t>C</w:t>
      </w:r>
      <w:r w:rsidRPr="0037671A">
        <w:rPr>
          <w:rStyle w:val="Hyperlink"/>
          <w:color w:val="000000" w:themeColor="text1"/>
          <w:sz w:val="16"/>
          <w:u w:val="none"/>
        </w:rPr>
        <w:t>ANCER</w:t>
      </w:r>
      <w:r w:rsidRPr="0037671A">
        <w:rPr>
          <w:rStyle w:val="Hyperlink"/>
          <w:color w:val="000000" w:themeColor="text1"/>
          <w:spacing w:val="-6"/>
          <w:sz w:val="16"/>
          <w:u w:val="none"/>
        </w:rPr>
        <w:t xml:space="preserve"> </w:t>
      </w:r>
      <w:r w:rsidRPr="0037671A">
        <w:rPr>
          <w:rStyle w:val="Hyperlink"/>
          <w:color w:val="000000" w:themeColor="text1"/>
          <w:sz w:val="20"/>
          <w:u w:val="none"/>
        </w:rPr>
        <w:t>S</w:t>
      </w:r>
      <w:r w:rsidRPr="0037671A">
        <w:rPr>
          <w:rStyle w:val="Hyperlink"/>
          <w:color w:val="000000" w:themeColor="text1"/>
          <w:sz w:val="16"/>
          <w:u w:val="none"/>
        </w:rPr>
        <w:t>OCIETY</w:t>
      </w:r>
      <w:r w:rsidRPr="0037671A">
        <w:rPr>
          <w:rStyle w:val="Hyperlink"/>
          <w:color w:val="000000" w:themeColor="text1"/>
          <w:sz w:val="20"/>
          <w:u w:val="none"/>
        </w:rPr>
        <w:t>’</w:t>
      </w:r>
      <w:r w:rsidRPr="0037671A">
        <w:rPr>
          <w:rStyle w:val="Hyperlink"/>
          <w:color w:val="000000" w:themeColor="text1"/>
          <w:sz w:val="16"/>
          <w:u w:val="none"/>
        </w:rPr>
        <w:t>S</w:t>
      </w:r>
      <w:r w:rsidRPr="0037671A">
        <w:rPr>
          <w:rStyle w:val="Hyperlink"/>
          <w:color w:val="000000" w:themeColor="text1"/>
          <w:spacing w:val="-6"/>
          <w:sz w:val="16"/>
          <w:u w:val="none"/>
        </w:rPr>
        <w:t xml:space="preserve"> </w:t>
      </w:r>
      <w:r w:rsidRPr="0037671A">
        <w:rPr>
          <w:rStyle w:val="Hyperlink"/>
          <w:color w:val="000000" w:themeColor="text1"/>
          <w:sz w:val="16"/>
          <w:u w:val="none"/>
        </w:rPr>
        <w:t>REPORT</w:t>
      </w:r>
      <w:r w:rsidRPr="0037671A">
        <w:rPr>
          <w:rStyle w:val="Hyperlink"/>
          <w:color w:val="000000" w:themeColor="text1"/>
          <w:spacing w:val="-3"/>
          <w:sz w:val="16"/>
          <w:u w:val="none"/>
        </w:rPr>
        <w:t xml:space="preserve"> </w:t>
      </w:r>
      <w:r w:rsidRPr="0037671A">
        <w:rPr>
          <w:rStyle w:val="Hyperlink"/>
          <w:color w:val="000000" w:themeColor="text1"/>
          <w:sz w:val="16"/>
          <w:u w:val="none"/>
        </w:rPr>
        <w:t>ON</w:t>
      </w:r>
      <w:r w:rsidRPr="0037671A">
        <w:rPr>
          <w:rStyle w:val="Hyperlink"/>
          <w:color w:val="000000" w:themeColor="text1"/>
          <w:spacing w:val="-6"/>
          <w:sz w:val="16"/>
          <w:u w:val="none"/>
        </w:rPr>
        <w:t xml:space="preserve"> </w:t>
      </w:r>
      <w:r w:rsidRPr="0037671A">
        <w:rPr>
          <w:rStyle w:val="Hyperlink"/>
          <w:color w:val="000000" w:themeColor="text1"/>
          <w:sz w:val="16"/>
          <w:u w:val="none"/>
        </w:rPr>
        <w:t>THE</w:t>
      </w:r>
      <w:r w:rsidRPr="0037671A">
        <w:rPr>
          <w:rStyle w:val="Hyperlink"/>
          <w:color w:val="000000" w:themeColor="text1"/>
          <w:spacing w:val="-3"/>
          <w:sz w:val="16"/>
          <w:u w:val="none"/>
        </w:rPr>
        <w:t xml:space="preserve"> </w:t>
      </w:r>
      <w:r w:rsidRPr="0037671A">
        <w:rPr>
          <w:rStyle w:val="Hyperlink"/>
          <w:color w:val="000000" w:themeColor="text1"/>
          <w:sz w:val="16"/>
          <w:u w:val="none"/>
        </w:rPr>
        <w:t>STATUS</w:t>
      </w:r>
      <w:r w:rsidRPr="0037671A">
        <w:rPr>
          <w:rStyle w:val="Hyperlink"/>
          <w:color w:val="000000" w:themeColor="text1"/>
          <w:spacing w:val="-6"/>
          <w:sz w:val="16"/>
          <w:u w:val="none"/>
        </w:rPr>
        <w:t xml:space="preserve"> </w:t>
      </w:r>
      <w:r w:rsidRPr="0037671A">
        <w:rPr>
          <w:rStyle w:val="Hyperlink"/>
          <w:color w:val="000000" w:themeColor="text1"/>
          <w:sz w:val="16"/>
          <w:u w:val="none"/>
        </w:rPr>
        <w:t>OF</w:t>
      </w:r>
      <w:r w:rsidRPr="0037671A">
        <w:rPr>
          <w:rStyle w:val="Hyperlink"/>
          <w:color w:val="000000" w:themeColor="text1"/>
          <w:spacing w:val="-5"/>
          <w:sz w:val="16"/>
          <w:u w:val="none"/>
        </w:rPr>
        <w:t xml:space="preserve"> </w:t>
      </w:r>
      <w:r w:rsidRPr="0037671A">
        <w:rPr>
          <w:rStyle w:val="Hyperlink"/>
          <w:color w:val="000000" w:themeColor="text1"/>
          <w:sz w:val="16"/>
          <w:u w:val="none"/>
        </w:rPr>
        <w:t>CANCER</w:t>
      </w:r>
      <w:r w:rsidRPr="0037671A">
        <w:rPr>
          <w:rStyle w:val="Hyperlink"/>
          <w:color w:val="000000" w:themeColor="text1"/>
          <w:spacing w:val="-4"/>
          <w:sz w:val="16"/>
          <w:u w:val="none"/>
        </w:rPr>
        <w:t xml:space="preserve"> </w:t>
      </w:r>
      <w:r w:rsidRPr="0037671A">
        <w:rPr>
          <w:rStyle w:val="Hyperlink"/>
          <w:color w:val="000000" w:themeColor="text1"/>
          <w:sz w:val="16"/>
          <w:u w:val="none"/>
        </w:rPr>
        <w:t>DISPARITIES</w:t>
      </w:r>
      <w:r w:rsidRPr="0037671A">
        <w:rPr>
          <w:rStyle w:val="Hyperlink"/>
          <w:color w:val="000000" w:themeColor="text1"/>
          <w:spacing w:val="-6"/>
          <w:sz w:val="16"/>
          <w:u w:val="none"/>
        </w:rPr>
        <w:t xml:space="preserve"> </w:t>
      </w:r>
      <w:r w:rsidRPr="0037671A">
        <w:rPr>
          <w:rStyle w:val="Hyperlink"/>
          <w:color w:val="000000" w:themeColor="text1"/>
          <w:sz w:val="16"/>
          <w:u w:val="none"/>
        </w:rPr>
        <w:t>IN</w:t>
      </w:r>
      <w:r w:rsidRPr="0037671A">
        <w:rPr>
          <w:rStyle w:val="Hyperlink"/>
          <w:color w:val="000000" w:themeColor="text1"/>
          <w:spacing w:val="-6"/>
          <w:sz w:val="16"/>
          <w:u w:val="none"/>
        </w:rPr>
        <w:t xml:space="preserve"> </w:t>
      </w:r>
      <w:r w:rsidRPr="0037671A">
        <w:rPr>
          <w:rStyle w:val="Hyperlink"/>
          <w:color w:val="000000" w:themeColor="text1"/>
          <w:sz w:val="16"/>
          <w:u w:val="none"/>
        </w:rPr>
        <w:t>THE</w:t>
      </w:r>
      <w:r w:rsidRPr="0037671A">
        <w:rPr>
          <w:rStyle w:val="Hyperlink"/>
          <w:color w:val="000000" w:themeColor="text1"/>
          <w:spacing w:val="-4"/>
          <w:sz w:val="16"/>
          <w:u w:val="none"/>
        </w:rPr>
        <w:t xml:space="preserve"> </w:t>
      </w:r>
      <w:r w:rsidRPr="0037671A">
        <w:rPr>
          <w:rStyle w:val="Hyperlink"/>
          <w:color w:val="000000" w:themeColor="text1"/>
          <w:spacing w:val="-2"/>
          <w:sz w:val="20"/>
          <w:u w:val="none"/>
        </w:rPr>
        <w:t>U</w:t>
      </w:r>
      <w:r w:rsidRPr="0037671A">
        <w:rPr>
          <w:rStyle w:val="Hyperlink"/>
          <w:color w:val="000000" w:themeColor="text1"/>
          <w:spacing w:val="-2"/>
          <w:sz w:val="16"/>
          <w:u w:val="none"/>
        </w:rPr>
        <w:t>NITED</w:t>
      </w:r>
    </w:p>
    <w:p w14:paraId="4B57C3E4" w14:textId="3F8292EC" w:rsidR="00670F0B" w:rsidRDefault="00670F0B" w:rsidP="003733D3">
      <w:pPr>
        <w:spacing w:line="226" w:lineRule="exact"/>
        <w:ind w:left="900" w:right="940"/>
        <w:rPr>
          <w:i/>
          <w:sz w:val="20"/>
        </w:rPr>
      </w:pPr>
      <w:r w:rsidRPr="0037671A">
        <w:rPr>
          <w:rStyle w:val="Hyperlink"/>
          <w:color w:val="000000" w:themeColor="text1"/>
          <w:spacing w:val="-2"/>
          <w:sz w:val="20"/>
          <w:u w:val="none"/>
        </w:rPr>
        <w:t>S</w:t>
      </w:r>
      <w:r w:rsidRPr="0037671A">
        <w:rPr>
          <w:rStyle w:val="Hyperlink"/>
          <w:color w:val="000000" w:themeColor="text1"/>
          <w:spacing w:val="-2"/>
          <w:sz w:val="16"/>
          <w:u w:val="none"/>
        </w:rPr>
        <w:t>TATES</w:t>
      </w:r>
      <w:r w:rsidR="0037671A" w:rsidRPr="0037671A">
        <w:rPr>
          <w:color w:val="000000" w:themeColor="text1"/>
          <w:sz w:val="20"/>
        </w:rPr>
        <w:fldChar w:fldCharType="end"/>
      </w:r>
      <w:r w:rsidRPr="0037671A">
        <w:rPr>
          <w:color w:val="000000" w:themeColor="text1"/>
          <w:spacing w:val="5"/>
          <w:sz w:val="16"/>
        </w:rPr>
        <w:t xml:space="preserve"> </w:t>
      </w:r>
      <w:r w:rsidRPr="0037671A">
        <w:rPr>
          <w:color w:val="000000" w:themeColor="text1"/>
          <w:spacing w:val="-2"/>
          <w:sz w:val="20"/>
        </w:rPr>
        <w:t>(</w:t>
      </w:r>
      <w:r>
        <w:rPr>
          <w:spacing w:val="-2"/>
          <w:sz w:val="20"/>
        </w:rPr>
        <w:t>Nov.</w:t>
      </w:r>
      <w:r>
        <w:rPr>
          <w:spacing w:val="-3"/>
          <w:sz w:val="20"/>
        </w:rPr>
        <w:t xml:space="preserve"> </w:t>
      </w:r>
      <w:r>
        <w:rPr>
          <w:spacing w:val="-2"/>
          <w:sz w:val="20"/>
        </w:rPr>
        <w:t>2023)</w:t>
      </w:r>
      <w:r>
        <w:rPr>
          <w:spacing w:val="-4"/>
          <w:sz w:val="20"/>
        </w:rPr>
        <w:t xml:space="preserve"> </w:t>
      </w:r>
      <w:r>
        <w:rPr>
          <w:spacing w:val="-2"/>
          <w:sz w:val="20"/>
        </w:rPr>
        <w:t>[hereinafter</w:t>
      </w:r>
      <w:r>
        <w:rPr>
          <w:spacing w:val="6"/>
          <w:sz w:val="20"/>
        </w:rPr>
        <w:t xml:space="preserve"> </w:t>
      </w:r>
      <w:r>
        <w:rPr>
          <w:spacing w:val="-2"/>
          <w:sz w:val="20"/>
        </w:rPr>
        <w:t>ACS</w:t>
      </w:r>
      <w:r>
        <w:rPr>
          <w:spacing w:val="-4"/>
          <w:sz w:val="20"/>
        </w:rPr>
        <w:t xml:space="preserve"> </w:t>
      </w:r>
      <w:r>
        <w:rPr>
          <w:spacing w:val="-2"/>
          <w:sz w:val="20"/>
        </w:rPr>
        <w:t>2023</w:t>
      </w:r>
      <w:r>
        <w:rPr>
          <w:spacing w:val="-3"/>
          <w:sz w:val="20"/>
        </w:rPr>
        <w:t xml:space="preserve"> </w:t>
      </w:r>
      <w:r>
        <w:rPr>
          <w:spacing w:val="-2"/>
          <w:sz w:val="20"/>
        </w:rPr>
        <w:t>R</w:t>
      </w:r>
      <w:r>
        <w:rPr>
          <w:spacing w:val="-2"/>
          <w:sz w:val="16"/>
        </w:rPr>
        <w:t>EPORT</w:t>
      </w:r>
      <w:r>
        <w:rPr>
          <w:spacing w:val="-2"/>
          <w:sz w:val="20"/>
        </w:rPr>
        <w:t>],</w:t>
      </w:r>
      <w:r>
        <w:rPr>
          <w:spacing w:val="-3"/>
          <w:sz w:val="20"/>
        </w:rPr>
        <w:t xml:space="preserve"> </w:t>
      </w:r>
      <w:r>
        <w:rPr>
          <w:i/>
          <w:spacing w:val="-2"/>
          <w:sz w:val="20"/>
        </w:rPr>
        <w:t>available</w:t>
      </w:r>
      <w:r>
        <w:rPr>
          <w:i/>
          <w:spacing w:val="7"/>
          <w:sz w:val="20"/>
        </w:rPr>
        <w:t xml:space="preserve"> </w:t>
      </w:r>
      <w:r>
        <w:rPr>
          <w:i/>
          <w:spacing w:val="-5"/>
          <w:sz w:val="20"/>
        </w:rPr>
        <w:t>at</w:t>
      </w:r>
    </w:p>
    <w:p w14:paraId="0102E676" w14:textId="77777777" w:rsidR="00670F0B" w:rsidRDefault="00670F0B" w:rsidP="003733D3">
      <w:pPr>
        <w:spacing w:before="1"/>
        <w:ind w:left="900" w:right="940"/>
        <w:rPr>
          <w:sz w:val="20"/>
        </w:rPr>
      </w:pPr>
      <w:hyperlink r:id="rId278">
        <w:r>
          <w:rPr>
            <w:color w:val="486794"/>
            <w:spacing w:val="-2"/>
            <w:sz w:val="20"/>
            <w:u w:val="single" w:color="486794"/>
          </w:rPr>
          <w:t>https://acsjournals.onlinelibrary.wiley.com/doi/epdf/10.3322/caac.21812</w:t>
        </w:r>
        <w:r>
          <w:rPr>
            <w:spacing w:val="-2"/>
            <w:sz w:val="20"/>
          </w:rPr>
          <w:t>.</w:t>
        </w:r>
      </w:hyperlink>
    </w:p>
    <w:p w14:paraId="42E91137" w14:textId="674FEE2B" w:rsidR="00670F0B" w:rsidRDefault="00670F0B">
      <w:pPr>
        <w:pStyle w:val="FootnoteText"/>
      </w:pPr>
    </w:p>
  </w:footnote>
  <w:footnote w:id="217">
    <w:p w14:paraId="08773C37" w14:textId="40CA73DE" w:rsidR="00F46EB7" w:rsidRDefault="00F46EB7" w:rsidP="00870A4B">
      <w:pPr>
        <w:ind w:left="960" w:right="940"/>
        <w:rPr>
          <w:i/>
          <w:sz w:val="20"/>
        </w:rPr>
      </w:pPr>
      <w:r>
        <w:rPr>
          <w:rStyle w:val="FootnoteReference"/>
        </w:rPr>
        <w:footnoteRef/>
      </w:r>
      <w:r>
        <w:t xml:space="preserve"> </w:t>
      </w:r>
      <w:hyperlink r:id="rId279" w:history="1">
        <w:r w:rsidRPr="00DB5379">
          <w:rPr>
            <w:rStyle w:val="Hyperlink"/>
            <w:color w:val="000000" w:themeColor="text1"/>
            <w:sz w:val="20"/>
            <w:u w:val="none"/>
          </w:rPr>
          <w:t>B</w:t>
        </w:r>
        <w:r w:rsidRPr="00DB5379">
          <w:rPr>
            <w:rStyle w:val="Hyperlink"/>
            <w:color w:val="000000" w:themeColor="text1"/>
            <w:sz w:val="16"/>
            <w:u w:val="none"/>
          </w:rPr>
          <w:t>OSTON</w:t>
        </w:r>
        <w:r w:rsidRPr="00DB5379">
          <w:rPr>
            <w:rStyle w:val="Hyperlink"/>
            <w:color w:val="000000" w:themeColor="text1"/>
            <w:spacing w:val="-5"/>
            <w:sz w:val="16"/>
            <w:u w:val="none"/>
          </w:rPr>
          <w:t xml:space="preserve"> </w:t>
        </w:r>
        <w:r w:rsidRPr="00DB5379">
          <w:rPr>
            <w:rStyle w:val="Hyperlink"/>
            <w:color w:val="000000" w:themeColor="text1"/>
            <w:sz w:val="20"/>
            <w:u w:val="none"/>
          </w:rPr>
          <w:t>P</w:t>
        </w:r>
        <w:r w:rsidRPr="00DB5379">
          <w:rPr>
            <w:rStyle w:val="Hyperlink"/>
            <w:color w:val="000000" w:themeColor="text1"/>
            <w:sz w:val="16"/>
            <w:u w:val="none"/>
          </w:rPr>
          <w:t>UBLIC</w:t>
        </w:r>
        <w:r w:rsidRPr="00DB5379">
          <w:rPr>
            <w:rStyle w:val="Hyperlink"/>
            <w:color w:val="000000" w:themeColor="text1"/>
            <w:spacing w:val="-5"/>
            <w:sz w:val="16"/>
            <w:u w:val="none"/>
          </w:rPr>
          <w:t xml:space="preserve"> </w:t>
        </w:r>
        <w:r w:rsidRPr="00DB5379">
          <w:rPr>
            <w:rStyle w:val="Hyperlink"/>
            <w:color w:val="000000" w:themeColor="text1"/>
            <w:sz w:val="20"/>
            <w:u w:val="none"/>
          </w:rPr>
          <w:t>H</w:t>
        </w:r>
        <w:r w:rsidRPr="00DB5379">
          <w:rPr>
            <w:rStyle w:val="Hyperlink"/>
            <w:color w:val="000000" w:themeColor="text1"/>
            <w:sz w:val="16"/>
            <w:u w:val="none"/>
          </w:rPr>
          <w:t>EALTH</w:t>
        </w:r>
        <w:r w:rsidRPr="00DB5379">
          <w:rPr>
            <w:rStyle w:val="Hyperlink"/>
            <w:color w:val="000000" w:themeColor="text1"/>
            <w:spacing w:val="-7"/>
            <w:sz w:val="16"/>
            <w:u w:val="none"/>
          </w:rPr>
          <w:t xml:space="preserve"> </w:t>
        </w:r>
        <w:r w:rsidRPr="00DB5379">
          <w:rPr>
            <w:rStyle w:val="Hyperlink"/>
            <w:color w:val="000000" w:themeColor="text1"/>
            <w:sz w:val="20"/>
            <w:u w:val="none"/>
          </w:rPr>
          <w:t>C</w:t>
        </w:r>
        <w:r w:rsidRPr="00DB5379">
          <w:rPr>
            <w:rStyle w:val="Hyperlink"/>
            <w:color w:val="000000" w:themeColor="text1"/>
            <w:sz w:val="16"/>
            <w:u w:val="none"/>
          </w:rPr>
          <w:t>OMMISSION</w:t>
        </w:r>
        <w:r w:rsidRPr="00DB5379">
          <w:rPr>
            <w:rStyle w:val="Hyperlink"/>
            <w:color w:val="000000" w:themeColor="text1"/>
            <w:sz w:val="20"/>
            <w:u w:val="none"/>
          </w:rPr>
          <w:t>,</w:t>
        </w:r>
        <w:r w:rsidRPr="00DB5379">
          <w:rPr>
            <w:rStyle w:val="Hyperlink"/>
            <w:color w:val="000000" w:themeColor="text1"/>
            <w:spacing w:val="-12"/>
            <w:sz w:val="20"/>
            <w:u w:val="none"/>
          </w:rPr>
          <w:t xml:space="preserve"> </w:t>
        </w:r>
        <w:r w:rsidRPr="00DB5379">
          <w:rPr>
            <w:rStyle w:val="Hyperlink"/>
            <w:color w:val="000000" w:themeColor="text1"/>
            <w:sz w:val="20"/>
            <w:u w:val="none"/>
          </w:rPr>
          <w:t>H</w:t>
        </w:r>
        <w:r w:rsidRPr="00DB5379">
          <w:rPr>
            <w:rStyle w:val="Hyperlink"/>
            <w:color w:val="000000" w:themeColor="text1"/>
            <w:sz w:val="16"/>
            <w:u w:val="none"/>
          </w:rPr>
          <w:t>EALTH</w:t>
        </w:r>
        <w:r w:rsidRPr="00DB5379">
          <w:rPr>
            <w:rStyle w:val="Hyperlink"/>
            <w:color w:val="000000" w:themeColor="text1"/>
            <w:spacing w:val="-7"/>
            <w:sz w:val="16"/>
            <w:u w:val="none"/>
          </w:rPr>
          <w:t xml:space="preserve"> </w:t>
        </w:r>
        <w:r w:rsidRPr="00DB5379">
          <w:rPr>
            <w:rStyle w:val="Hyperlink"/>
            <w:color w:val="000000" w:themeColor="text1"/>
            <w:sz w:val="16"/>
            <w:u w:val="none"/>
          </w:rPr>
          <w:t>OF</w:t>
        </w:r>
        <w:r w:rsidRPr="00DB5379">
          <w:rPr>
            <w:rStyle w:val="Hyperlink"/>
            <w:color w:val="000000" w:themeColor="text1"/>
            <w:spacing w:val="-5"/>
            <w:sz w:val="16"/>
            <w:u w:val="none"/>
          </w:rPr>
          <w:t xml:space="preserve"> </w:t>
        </w:r>
        <w:r w:rsidRPr="00DB5379">
          <w:rPr>
            <w:rStyle w:val="Hyperlink"/>
            <w:color w:val="000000" w:themeColor="text1"/>
            <w:sz w:val="20"/>
            <w:u w:val="none"/>
          </w:rPr>
          <w:t>B</w:t>
        </w:r>
        <w:r w:rsidRPr="00DB5379">
          <w:rPr>
            <w:rStyle w:val="Hyperlink"/>
            <w:color w:val="000000" w:themeColor="text1"/>
            <w:sz w:val="16"/>
            <w:u w:val="none"/>
          </w:rPr>
          <w:t>OSTON</w:t>
        </w:r>
        <w:r w:rsidRPr="00DB5379">
          <w:rPr>
            <w:rStyle w:val="Hyperlink"/>
            <w:color w:val="000000" w:themeColor="text1"/>
            <w:spacing w:val="-7"/>
            <w:sz w:val="16"/>
            <w:u w:val="none"/>
          </w:rPr>
          <w:t xml:space="preserve"> </w:t>
        </w:r>
        <w:r w:rsidRPr="00DB5379">
          <w:rPr>
            <w:rStyle w:val="Hyperlink"/>
            <w:color w:val="000000" w:themeColor="text1"/>
            <w:sz w:val="20"/>
            <w:u w:val="none"/>
          </w:rPr>
          <w:t>2023:</w:t>
        </w:r>
        <w:r w:rsidRPr="00DB5379">
          <w:rPr>
            <w:rStyle w:val="Hyperlink"/>
            <w:color w:val="000000" w:themeColor="text1"/>
            <w:spacing w:val="-14"/>
            <w:sz w:val="20"/>
            <w:u w:val="none"/>
          </w:rPr>
          <w:t xml:space="preserve"> </w:t>
        </w:r>
        <w:r w:rsidRPr="00DB5379">
          <w:rPr>
            <w:rStyle w:val="Hyperlink"/>
            <w:color w:val="000000" w:themeColor="text1"/>
            <w:sz w:val="20"/>
            <w:u w:val="none"/>
          </w:rPr>
          <w:t>T</w:t>
        </w:r>
        <w:r w:rsidRPr="00DB5379">
          <w:rPr>
            <w:rStyle w:val="Hyperlink"/>
            <w:color w:val="000000" w:themeColor="text1"/>
            <w:sz w:val="16"/>
            <w:u w:val="none"/>
          </w:rPr>
          <w:t>HE</w:t>
        </w:r>
        <w:r w:rsidRPr="00DB5379">
          <w:rPr>
            <w:rStyle w:val="Hyperlink"/>
            <w:color w:val="000000" w:themeColor="text1"/>
            <w:spacing w:val="-5"/>
            <w:sz w:val="16"/>
            <w:u w:val="none"/>
          </w:rPr>
          <w:t xml:space="preserve"> </w:t>
        </w:r>
        <w:r w:rsidRPr="00DB5379">
          <w:rPr>
            <w:rStyle w:val="Hyperlink"/>
            <w:color w:val="000000" w:themeColor="text1"/>
            <w:sz w:val="20"/>
            <w:u w:val="none"/>
          </w:rPr>
          <w:t>C</w:t>
        </w:r>
        <w:r w:rsidRPr="00DB5379">
          <w:rPr>
            <w:rStyle w:val="Hyperlink"/>
            <w:color w:val="000000" w:themeColor="text1"/>
            <w:sz w:val="16"/>
            <w:u w:val="none"/>
          </w:rPr>
          <w:t>ANCER</w:t>
        </w:r>
        <w:r w:rsidRPr="00DB5379">
          <w:rPr>
            <w:rStyle w:val="Hyperlink"/>
            <w:color w:val="000000" w:themeColor="text1"/>
            <w:spacing w:val="-5"/>
            <w:sz w:val="16"/>
            <w:u w:val="none"/>
          </w:rPr>
          <w:t xml:space="preserve"> </w:t>
        </w:r>
        <w:r w:rsidRPr="00DB5379">
          <w:rPr>
            <w:rStyle w:val="Hyperlink"/>
            <w:color w:val="000000" w:themeColor="text1"/>
            <w:sz w:val="20"/>
            <w:u w:val="none"/>
          </w:rPr>
          <w:t>R</w:t>
        </w:r>
        <w:r w:rsidRPr="00DB5379">
          <w:rPr>
            <w:rStyle w:val="Hyperlink"/>
            <w:color w:val="000000" w:themeColor="text1"/>
            <w:sz w:val="16"/>
            <w:u w:val="none"/>
          </w:rPr>
          <w:t>EPORT</w:t>
        </w:r>
      </w:hyperlink>
      <w:r w:rsidRPr="00DB5379">
        <w:rPr>
          <w:color w:val="000000" w:themeColor="text1"/>
          <w:spacing w:val="-4"/>
          <w:sz w:val="16"/>
        </w:rPr>
        <w:t xml:space="preserve"> </w:t>
      </w:r>
      <w:r w:rsidRPr="00DB5379">
        <w:rPr>
          <w:color w:val="000000" w:themeColor="text1"/>
          <w:sz w:val="20"/>
        </w:rPr>
        <w:t>(May</w:t>
      </w:r>
      <w:r w:rsidRPr="00DB5379">
        <w:rPr>
          <w:color w:val="000000" w:themeColor="text1"/>
          <w:spacing w:val="-7"/>
          <w:sz w:val="20"/>
        </w:rPr>
        <w:t xml:space="preserve"> </w:t>
      </w:r>
      <w:r>
        <w:rPr>
          <w:sz w:val="20"/>
        </w:rPr>
        <w:t>2023),</w:t>
      </w:r>
      <w:r>
        <w:rPr>
          <w:spacing w:val="-13"/>
          <w:sz w:val="20"/>
        </w:rPr>
        <w:t xml:space="preserve"> </w:t>
      </w:r>
      <w:r>
        <w:rPr>
          <w:i/>
          <w:sz w:val="20"/>
        </w:rPr>
        <w:t>available</w:t>
      </w:r>
      <w:r>
        <w:rPr>
          <w:i/>
          <w:spacing w:val="-5"/>
          <w:sz w:val="20"/>
        </w:rPr>
        <w:t xml:space="preserve"> at</w:t>
      </w:r>
    </w:p>
    <w:p w14:paraId="66D5A610" w14:textId="6B70F8CB" w:rsidR="00F46EB7" w:rsidRPr="00DC769C" w:rsidRDefault="00F46EB7" w:rsidP="00870A4B">
      <w:pPr>
        <w:spacing w:before="2" w:line="226" w:lineRule="exact"/>
        <w:ind w:left="960" w:right="940"/>
        <w:rPr>
          <w:sz w:val="20"/>
        </w:rPr>
      </w:pPr>
      <w:hyperlink r:id="rId280">
        <w:r>
          <w:rPr>
            <w:color w:val="486794"/>
            <w:spacing w:val="-2"/>
            <w:sz w:val="20"/>
            <w:u w:val="single" w:color="486794"/>
          </w:rPr>
          <w:t>https://www.boston.gov/sites/default/files/file/2023/05/HOB_Cancer_2023_FINAL_May11.pdf</w:t>
        </w:r>
        <w:r>
          <w:rPr>
            <w:spacing w:val="-2"/>
            <w:sz w:val="20"/>
          </w:rPr>
          <w:t>.</w:t>
        </w:r>
      </w:hyperlink>
    </w:p>
  </w:footnote>
  <w:footnote w:id="218">
    <w:p w14:paraId="130BEF4E" w14:textId="74D8C254" w:rsidR="00DC769C" w:rsidRDefault="00F46EB7" w:rsidP="00870A4B">
      <w:pPr>
        <w:spacing w:line="226" w:lineRule="exact"/>
        <w:ind w:left="960" w:right="940"/>
        <w:rPr>
          <w:sz w:val="20"/>
        </w:rPr>
      </w:pPr>
      <w:r>
        <w:rPr>
          <w:rStyle w:val="FootnoteReference"/>
        </w:rPr>
        <w:footnoteRef/>
      </w:r>
      <w:r>
        <w:t xml:space="preserve"> </w:t>
      </w:r>
      <w:hyperlink r:id="rId281" w:history="1">
        <w:r w:rsidR="00DC769C" w:rsidRPr="008B2BDB">
          <w:rPr>
            <w:rStyle w:val="Hyperlink"/>
            <w:i/>
            <w:color w:val="000000" w:themeColor="text1"/>
            <w:sz w:val="20"/>
            <w:u w:val="none"/>
          </w:rPr>
          <w:t>Cancer</w:t>
        </w:r>
        <w:r w:rsidR="00DC769C" w:rsidRPr="008B2BDB">
          <w:rPr>
            <w:rStyle w:val="Hyperlink"/>
            <w:i/>
            <w:color w:val="000000" w:themeColor="text1"/>
            <w:spacing w:val="-5"/>
            <w:sz w:val="20"/>
            <w:u w:val="none"/>
          </w:rPr>
          <w:t xml:space="preserve"> </w:t>
        </w:r>
        <w:r w:rsidR="00DC769C" w:rsidRPr="008B2BDB">
          <w:rPr>
            <w:rStyle w:val="Hyperlink"/>
            <w:i/>
            <w:color w:val="000000" w:themeColor="text1"/>
            <w:sz w:val="20"/>
            <w:u w:val="none"/>
          </w:rPr>
          <w:t>and</w:t>
        </w:r>
        <w:r w:rsidR="00DC769C" w:rsidRPr="008B2BDB">
          <w:rPr>
            <w:rStyle w:val="Hyperlink"/>
            <w:i/>
            <w:color w:val="000000" w:themeColor="text1"/>
            <w:spacing w:val="-5"/>
            <w:sz w:val="20"/>
            <w:u w:val="none"/>
          </w:rPr>
          <w:t xml:space="preserve"> </w:t>
        </w:r>
        <w:r w:rsidR="00DC769C" w:rsidRPr="008B2BDB">
          <w:rPr>
            <w:rStyle w:val="Hyperlink"/>
            <w:i/>
            <w:color w:val="000000" w:themeColor="text1"/>
            <w:sz w:val="20"/>
            <w:u w:val="none"/>
          </w:rPr>
          <w:t>Hispanic</w:t>
        </w:r>
        <w:r w:rsidR="00DC769C" w:rsidRPr="008B2BDB">
          <w:rPr>
            <w:rStyle w:val="Hyperlink"/>
            <w:i/>
            <w:color w:val="000000" w:themeColor="text1"/>
            <w:spacing w:val="-7"/>
            <w:sz w:val="20"/>
            <w:u w:val="none"/>
          </w:rPr>
          <w:t xml:space="preserve"> </w:t>
        </w:r>
        <w:r w:rsidR="00DC769C" w:rsidRPr="008B2BDB">
          <w:rPr>
            <w:rStyle w:val="Hyperlink"/>
            <w:i/>
            <w:color w:val="000000" w:themeColor="text1"/>
            <w:sz w:val="20"/>
            <w:u w:val="none"/>
          </w:rPr>
          <w:t>Americans</w:t>
        </w:r>
        <w:r w:rsidR="00DC769C" w:rsidRPr="008B2BDB">
          <w:rPr>
            <w:rStyle w:val="Hyperlink"/>
            <w:color w:val="000000" w:themeColor="text1"/>
            <w:sz w:val="20"/>
            <w:u w:val="none"/>
          </w:rPr>
          <w:t>,</w:t>
        </w:r>
      </w:hyperlink>
      <w:r w:rsidR="00DC769C" w:rsidRPr="008B2BDB">
        <w:rPr>
          <w:color w:val="000000" w:themeColor="text1"/>
          <w:spacing w:val="-5"/>
          <w:sz w:val="20"/>
        </w:rPr>
        <w:t xml:space="preserve"> </w:t>
      </w:r>
      <w:r w:rsidR="00DC769C" w:rsidRPr="008B2BDB">
        <w:rPr>
          <w:color w:val="000000" w:themeColor="text1"/>
          <w:sz w:val="20"/>
        </w:rPr>
        <w:t>U.</w:t>
      </w:r>
      <w:r w:rsidR="00DC769C">
        <w:rPr>
          <w:sz w:val="20"/>
        </w:rPr>
        <w:t>S.</w:t>
      </w:r>
      <w:r w:rsidR="00DC769C">
        <w:rPr>
          <w:spacing w:val="-13"/>
          <w:sz w:val="20"/>
        </w:rPr>
        <w:t xml:space="preserve"> </w:t>
      </w:r>
      <w:r w:rsidR="00DC769C">
        <w:rPr>
          <w:sz w:val="20"/>
        </w:rPr>
        <w:t>D</w:t>
      </w:r>
      <w:r w:rsidR="00DC769C">
        <w:rPr>
          <w:sz w:val="16"/>
        </w:rPr>
        <w:t>EPARTMENT</w:t>
      </w:r>
      <w:r w:rsidR="00DC769C">
        <w:rPr>
          <w:spacing w:val="-3"/>
          <w:sz w:val="16"/>
        </w:rPr>
        <w:t xml:space="preserve"> </w:t>
      </w:r>
      <w:r w:rsidR="00DC769C">
        <w:rPr>
          <w:sz w:val="16"/>
        </w:rPr>
        <w:t>OF</w:t>
      </w:r>
      <w:r w:rsidR="00DC769C">
        <w:rPr>
          <w:spacing w:val="-7"/>
          <w:sz w:val="16"/>
        </w:rPr>
        <w:t xml:space="preserve"> </w:t>
      </w:r>
      <w:r w:rsidR="00DC769C">
        <w:rPr>
          <w:sz w:val="20"/>
        </w:rPr>
        <w:t>H</w:t>
      </w:r>
      <w:r w:rsidR="00DC769C">
        <w:rPr>
          <w:sz w:val="16"/>
        </w:rPr>
        <w:t>EALTH</w:t>
      </w:r>
      <w:r w:rsidR="00DC769C">
        <w:rPr>
          <w:spacing w:val="-5"/>
          <w:sz w:val="16"/>
        </w:rPr>
        <w:t xml:space="preserve"> </w:t>
      </w:r>
      <w:r w:rsidR="00DC769C">
        <w:rPr>
          <w:sz w:val="20"/>
        </w:rPr>
        <w:t>H</w:t>
      </w:r>
      <w:r w:rsidR="00DC769C">
        <w:rPr>
          <w:sz w:val="16"/>
        </w:rPr>
        <w:t>UMAN</w:t>
      </w:r>
      <w:r w:rsidR="00DC769C">
        <w:rPr>
          <w:spacing w:val="-5"/>
          <w:sz w:val="16"/>
        </w:rPr>
        <w:t xml:space="preserve"> </w:t>
      </w:r>
      <w:r w:rsidR="00DC769C">
        <w:rPr>
          <w:sz w:val="20"/>
        </w:rPr>
        <w:t>S</w:t>
      </w:r>
      <w:r w:rsidR="00DC769C">
        <w:rPr>
          <w:sz w:val="16"/>
        </w:rPr>
        <w:t>ERVICES</w:t>
      </w:r>
      <w:r w:rsidR="00DC769C">
        <w:rPr>
          <w:spacing w:val="-5"/>
          <w:sz w:val="16"/>
        </w:rPr>
        <w:t xml:space="preserve"> </w:t>
      </w:r>
      <w:r w:rsidR="00DC769C">
        <w:rPr>
          <w:sz w:val="20"/>
        </w:rPr>
        <w:t>O</w:t>
      </w:r>
      <w:r w:rsidR="00DC769C">
        <w:rPr>
          <w:sz w:val="16"/>
        </w:rPr>
        <w:t>FFICE</w:t>
      </w:r>
      <w:r w:rsidR="00DC769C">
        <w:rPr>
          <w:spacing w:val="-4"/>
          <w:sz w:val="16"/>
        </w:rPr>
        <w:t xml:space="preserve"> </w:t>
      </w:r>
      <w:r w:rsidR="00DC769C">
        <w:rPr>
          <w:sz w:val="16"/>
        </w:rPr>
        <w:t>OF</w:t>
      </w:r>
      <w:r w:rsidR="00DC769C">
        <w:rPr>
          <w:spacing w:val="-9"/>
          <w:sz w:val="16"/>
        </w:rPr>
        <w:t xml:space="preserve"> </w:t>
      </w:r>
      <w:r w:rsidR="00DC769C">
        <w:rPr>
          <w:sz w:val="20"/>
        </w:rPr>
        <w:t>M</w:t>
      </w:r>
      <w:r w:rsidR="00DC769C">
        <w:rPr>
          <w:sz w:val="16"/>
        </w:rPr>
        <w:t>INORITY</w:t>
      </w:r>
      <w:r w:rsidR="00DC769C">
        <w:rPr>
          <w:spacing w:val="-5"/>
          <w:sz w:val="16"/>
        </w:rPr>
        <w:t xml:space="preserve"> </w:t>
      </w:r>
      <w:r w:rsidR="00DC769C">
        <w:rPr>
          <w:spacing w:val="-2"/>
          <w:sz w:val="20"/>
        </w:rPr>
        <w:t>H</w:t>
      </w:r>
      <w:r w:rsidR="00DC769C">
        <w:rPr>
          <w:spacing w:val="-2"/>
          <w:sz w:val="16"/>
        </w:rPr>
        <w:t>EALTH</w:t>
      </w:r>
      <w:r w:rsidR="00DC769C">
        <w:rPr>
          <w:spacing w:val="-2"/>
          <w:sz w:val="20"/>
        </w:rPr>
        <w:t>,</w:t>
      </w:r>
    </w:p>
    <w:p w14:paraId="7C7F5885" w14:textId="664C1E87" w:rsidR="00F46EB7" w:rsidRPr="008A1A8E" w:rsidRDefault="00DC769C" w:rsidP="00870A4B">
      <w:pPr>
        <w:spacing w:before="1" w:line="226" w:lineRule="exact"/>
        <w:ind w:left="960" w:right="940"/>
        <w:rPr>
          <w:sz w:val="20"/>
        </w:rPr>
      </w:pPr>
      <w:hyperlink r:id="rId282">
        <w:r>
          <w:rPr>
            <w:color w:val="486794"/>
            <w:spacing w:val="-2"/>
            <w:sz w:val="20"/>
            <w:u w:val="single" w:color="486794"/>
          </w:rPr>
          <w:t>https://minorityhealth.hhs.gov/cancer-and-hispanic-americans</w:t>
        </w:r>
      </w:hyperlink>
      <w:r>
        <w:rPr>
          <w:color w:val="486794"/>
          <w:spacing w:val="17"/>
          <w:sz w:val="20"/>
        </w:rPr>
        <w:t xml:space="preserve"> </w:t>
      </w:r>
      <w:r>
        <w:rPr>
          <w:spacing w:val="-2"/>
          <w:sz w:val="20"/>
        </w:rPr>
        <w:t>(last</w:t>
      </w:r>
      <w:r>
        <w:rPr>
          <w:spacing w:val="18"/>
          <w:sz w:val="20"/>
        </w:rPr>
        <w:t xml:space="preserve"> </w:t>
      </w:r>
      <w:r>
        <w:rPr>
          <w:spacing w:val="-2"/>
          <w:sz w:val="20"/>
        </w:rPr>
        <w:t>visited</w:t>
      </w:r>
      <w:r>
        <w:rPr>
          <w:spacing w:val="18"/>
          <w:sz w:val="20"/>
        </w:rPr>
        <w:t xml:space="preserve"> </w:t>
      </w:r>
      <w:r>
        <w:rPr>
          <w:spacing w:val="-2"/>
          <w:sz w:val="20"/>
        </w:rPr>
        <w:t>February</w:t>
      </w:r>
      <w:r>
        <w:rPr>
          <w:spacing w:val="17"/>
          <w:sz w:val="20"/>
        </w:rPr>
        <w:t xml:space="preserve"> </w:t>
      </w:r>
      <w:r>
        <w:rPr>
          <w:spacing w:val="-2"/>
          <w:sz w:val="20"/>
        </w:rPr>
        <w:t>27,</w:t>
      </w:r>
      <w:r>
        <w:rPr>
          <w:spacing w:val="18"/>
          <w:sz w:val="20"/>
        </w:rPr>
        <w:t xml:space="preserve"> </w:t>
      </w:r>
      <w:r>
        <w:rPr>
          <w:spacing w:val="-2"/>
          <w:sz w:val="20"/>
        </w:rPr>
        <w:t>2025).</w:t>
      </w:r>
    </w:p>
  </w:footnote>
  <w:footnote w:id="219">
    <w:p w14:paraId="772B3177" w14:textId="68A845E2" w:rsidR="008A1A8E" w:rsidRDefault="008A1A8E" w:rsidP="00870A4B">
      <w:pPr>
        <w:spacing w:line="226" w:lineRule="exact"/>
        <w:ind w:left="960" w:right="940"/>
        <w:rPr>
          <w:sz w:val="20"/>
        </w:rPr>
      </w:pPr>
      <w:r>
        <w:rPr>
          <w:rStyle w:val="FootnoteReference"/>
        </w:rPr>
        <w:footnoteRef/>
      </w:r>
      <w:r>
        <w:t xml:space="preserve"> </w:t>
      </w:r>
      <w:hyperlink r:id="rId283" w:history="1">
        <w:r w:rsidRPr="008B2BDB">
          <w:rPr>
            <w:rStyle w:val="Hyperlink"/>
            <w:i/>
            <w:color w:val="000000" w:themeColor="text1"/>
            <w:sz w:val="20"/>
            <w:u w:val="none"/>
          </w:rPr>
          <w:t>Cancer</w:t>
        </w:r>
        <w:r w:rsidRPr="008B2BDB">
          <w:rPr>
            <w:rStyle w:val="Hyperlink"/>
            <w:i/>
            <w:color w:val="000000" w:themeColor="text1"/>
            <w:spacing w:val="-4"/>
            <w:sz w:val="20"/>
            <w:u w:val="none"/>
          </w:rPr>
          <w:t xml:space="preserve"> </w:t>
        </w:r>
        <w:r w:rsidRPr="008B2BDB">
          <w:rPr>
            <w:rStyle w:val="Hyperlink"/>
            <w:i/>
            <w:color w:val="000000" w:themeColor="text1"/>
            <w:sz w:val="20"/>
            <w:u w:val="none"/>
          </w:rPr>
          <w:t>and</w:t>
        </w:r>
        <w:r w:rsidRPr="008B2BDB">
          <w:rPr>
            <w:rStyle w:val="Hyperlink"/>
            <w:i/>
            <w:color w:val="000000" w:themeColor="text1"/>
            <w:spacing w:val="-5"/>
            <w:sz w:val="20"/>
            <w:u w:val="none"/>
          </w:rPr>
          <w:t xml:space="preserve"> </w:t>
        </w:r>
        <w:r w:rsidRPr="008B2BDB">
          <w:rPr>
            <w:rStyle w:val="Hyperlink"/>
            <w:i/>
            <w:color w:val="000000" w:themeColor="text1"/>
            <w:sz w:val="20"/>
            <w:u w:val="none"/>
          </w:rPr>
          <w:t>Asian</w:t>
        </w:r>
        <w:r w:rsidRPr="008B2BDB">
          <w:rPr>
            <w:rStyle w:val="Hyperlink"/>
            <w:i/>
            <w:color w:val="000000" w:themeColor="text1"/>
            <w:spacing w:val="-5"/>
            <w:sz w:val="20"/>
            <w:u w:val="none"/>
          </w:rPr>
          <w:t xml:space="preserve"> </w:t>
        </w:r>
        <w:r w:rsidRPr="008B2BDB">
          <w:rPr>
            <w:rStyle w:val="Hyperlink"/>
            <w:i/>
            <w:color w:val="000000" w:themeColor="text1"/>
            <w:sz w:val="20"/>
            <w:u w:val="none"/>
          </w:rPr>
          <w:t>Americans</w:t>
        </w:r>
        <w:r w:rsidRPr="008B2BDB">
          <w:rPr>
            <w:rStyle w:val="Hyperlink"/>
            <w:color w:val="000000" w:themeColor="text1"/>
            <w:sz w:val="20"/>
            <w:u w:val="none"/>
          </w:rPr>
          <w:t>,</w:t>
        </w:r>
      </w:hyperlink>
      <w:r w:rsidRPr="008B2BDB">
        <w:rPr>
          <w:color w:val="000000" w:themeColor="text1"/>
          <w:spacing w:val="-5"/>
          <w:sz w:val="20"/>
        </w:rPr>
        <w:t xml:space="preserve"> </w:t>
      </w:r>
      <w:r w:rsidRPr="008B2BDB">
        <w:rPr>
          <w:color w:val="000000" w:themeColor="text1"/>
          <w:sz w:val="20"/>
        </w:rPr>
        <w:t>U</w:t>
      </w:r>
      <w:r>
        <w:rPr>
          <w:sz w:val="20"/>
        </w:rPr>
        <w:t>.S.</w:t>
      </w:r>
      <w:r>
        <w:rPr>
          <w:spacing w:val="-12"/>
          <w:sz w:val="20"/>
        </w:rPr>
        <w:t xml:space="preserve"> </w:t>
      </w:r>
      <w:r>
        <w:rPr>
          <w:sz w:val="20"/>
        </w:rPr>
        <w:t>D</w:t>
      </w:r>
      <w:r>
        <w:rPr>
          <w:sz w:val="16"/>
        </w:rPr>
        <w:t>EPARTMENT</w:t>
      </w:r>
      <w:r>
        <w:rPr>
          <w:spacing w:val="-6"/>
          <w:sz w:val="16"/>
        </w:rPr>
        <w:t xml:space="preserve"> </w:t>
      </w:r>
      <w:r>
        <w:rPr>
          <w:sz w:val="16"/>
        </w:rPr>
        <w:t>OF</w:t>
      </w:r>
      <w:r>
        <w:rPr>
          <w:spacing w:val="-5"/>
          <w:sz w:val="16"/>
        </w:rPr>
        <w:t xml:space="preserve"> </w:t>
      </w:r>
      <w:r>
        <w:rPr>
          <w:sz w:val="20"/>
        </w:rPr>
        <w:t>H</w:t>
      </w:r>
      <w:r>
        <w:rPr>
          <w:sz w:val="16"/>
        </w:rPr>
        <w:t>EALTH</w:t>
      </w:r>
      <w:r>
        <w:rPr>
          <w:spacing w:val="-9"/>
          <w:sz w:val="16"/>
        </w:rPr>
        <w:t xml:space="preserve"> </w:t>
      </w:r>
      <w:r>
        <w:rPr>
          <w:sz w:val="20"/>
        </w:rPr>
        <w:t>H</w:t>
      </w:r>
      <w:r>
        <w:rPr>
          <w:sz w:val="16"/>
        </w:rPr>
        <w:t>UMAN</w:t>
      </w:r>
      <w:r>
        <w:rPr>
          <w:spacing w:val="-5"/>
          <w:sz w:val="16"/>
        </w:rPr>
        <w:t xml:space="preserve"> </w:t>
      </w:r>
      <w:r>
        <w:rPr>
          <w:sz w:val="20"/>
        </w:rPr>
        <w:t>S</w:t>
      </w:r>
      <w:r>
        <w:rPr>
          <w:sz w:val="16"/>
        </w:rPr>
        <w:t>ERVICES</w:t>
      </w:r>
      <w:r>
        <w:rPr>
          <w:spacing w:val="-6"/>
          <w:sz w:val="16"/>
        </w:rPr>
        <w:t xml:space="preserve"> </w:t>
      </w:r>
      <w:r>
        <w:rPr>
          <w:sz w:val="20"/>
        </w:rPr>
        <w:t>O</w:t>
      </w:r>
      <w:r>
        <w:rPr>
          <w:sz w:val="16"/>
        </w:rPr>
        <w:t>FFICE</w:t>
      </w:r>
      <w:r>
        <w:rPr>
          <w:spacing w:val="-4"/>
          <w:sz w:val="16"/>
        </w:rPr>
        <w:t xml:space="preserve"> </w:t>
      </w:r>
      <w:r>
        <w:rPr>
          <w:sz w:val="16"/>
        </w:rPr>
        <w:t>OF</w:t>
      </w:r>
      <w:r>
        <w:rPr>
          <w:spacing w:val="-5"/>
          <w:sz w:val="16"/>
        </w:rPr>
        <w:t xml:space="preserve"> </w:t>
      </w:r>
      <w:r>
        <w:rPr>
          <w:sz w:val="20"/>
        </w:rPr>
        <w:t>M</w:t>
      </w:r>
      <w:r>
        <w:rPr>
          <w:sz w:val="16"/>
        </w:rPr>
        <w:t>INORITY</w:t>
      </w:r>
      <w:r>
        <w:rPr>
          <w:spacing w:val="-4"/>
          <w:sz w:val="16"/>
        </w:rPr>
        <w:t xml:space="preserve"> </w:t>
      </w:r>
      <w:r>
        <w:rPr>
          <w:spacing w:val="-2"/>
          <w:sz w:val="20"/>
        </w:rPr>
        <w:t>H</w:t>
      </w:r>
      <w:r>
        <w:rPr>
          <w:spacing w:val="-2"/>
          <w:sz w:val="16"/>
        </w:rPr>
        <w:t>EALTH</w:t>
      </w:r>
      <w:r>
        <w:rPr>
          <w:spacing w:val="-2"/>
          <w:sz w:val="20"/>
        </w:rPr>
        <w:t>,</w:t>
      </w:r>
    </w:p>
    <w:p w14:paraId="166F3D47" w14:textId="30FD75C5" w:rsidR="008A1A8E" w:rsidRPr="003D7E15" w:rsidRDefault="008A1A8E" w:rsidP="00870A4B">
      <w:pPr>
        <w:spacing w:before="1" w:line="226" w:lineRule="exact"/>
        <w:ind w:left="960" w:right="940"/>
        <w:rPr>
          <w:sz w:val="20"/>
        </w:rPr>
      </w:pPr>
      <w:hyperlink r:id="rId284">
        <w:r>
          <w:rPr>
            <w:color w:val="486794"/>
            <w:spacing w:val="-2"/>
            <w:sz w:val="20"/>
            <w:u w:val="single" w:color="486794"/>
          </w:rPr>
          <w:t>https://minorityhealth.hhs.gov/cancer-and-hispanic-americans</w:t>
        </w:r>
      </w:hyperlink>
      <w:r>
        <w:rPr>
          <w:color w:val="486794"/>
          <w:spacing w:val="17"/>
          <w:sz w:val="20"/>
        </w:rPr>
        <w:t xml:space="preserve"> </w:t>
      </w:r>
      <w:r>
        <w:rPr>
          <w:spacing w:val="-2"/>
          <w:sz w:val="20"/>
        </w:rPr>
        <w:t>(last</w:t>
      </w:r>
      <w:r>
        <w:rPr>
          <w:spacing w:val="18"/>
          <w:sz w:val="20"/>
        </w:rPr>
        <w:t xml:space="preserve"> </w:t>
      </w:r>
      <w:r>
        <w:rPr>
          <w:spacing w:val="-2"/>
          <w:sz w:val="20"/>
        </w:rPr>
        <w:t>visited</w:t>
      </w:r>
      <w:r>
        <w:rPr>
          <w:spacing w:val="18"/>
          <w:sz w:val="20"/>
        </w:rPr>
        <w:t xml:space="preserve"> </w:t>
      </w:r>
      <w:r>
        <w:rPr>
          <w:spacing w:val="-2"/>
          <w:sz w:val="20"/>
        </w:rPr>
        <w:t>February</w:t>
      </w:r>
      <w:r>
        <w:rPr>
          <w:spacing w:val="17"/>
          <w:sz w:val="20"/>
        </w:rPr>
        <w:t xml:space="preserve"> </w:t>
      </w:r>
      <w:r>
        <w:rPr>
          <w:spacing w:val="-2"/>
          <w:sz w:val="20"/>
        </w:rPr>
        <w:t>27,</w:t>
      </w:r>
      <w:r>
        <w:rPr>
          <w:spacing w:val="18"/>
          <w:sz w:val="20"/>
        </w:rPr>
        <w:t xml:space="preserve"> </w:t>
      </w:r>
      <w:r>
        <w:rPr>
          <w:spacing w:val="-2"/>
          <w:sz w:val="20"/>
        </w:rPr>
        <w:t>2025).</w:t>
      </w:r>
    </w:p>
  </w:footnote>
  <w:footnote w:id="220">
    <w:p w14:paraId="0444E3B6" w14:textId="1A6FF3F2" w:rsidR="003D7E15" w:rsidRDefault="003D7E15" w:rsidP="00870A4B">
      <w:pPr>
        <w:spacing w:line="226" w:lineRule="exact"/>
        <w:ind w:left="960" w:right="940"/>
        <w:rPr>
          <w:sz w:val="20"/>
        </w:rPr>
      </w:pPr>
      <w:r>
        <w:rPr>
          <w:rStyle w:val="FootnoteReference"/>
        </w:rPr>
        <w:footnoteRef/>
      </w:r>
      <w:r>
        <w:t xml:space="preserve"> </w:t>
      </w:r>
      <w:hyperlink r:id="rId285" w:history="1">
        <w:r w:rsidRPr="0050434E">
          <w:rPr>
            <w:rStyle w:val="Hyperlink"/>
            <w:color w:val="000000" w:themeColor="text1"/>
            <w:sz w:val="20"/>
            <w:u w:val="none"/>
          </w:rPr>
          <w:t>M</w:t>
        </w:r>
        <w:r w:rsidRPr="0050434E">
          <w:rPr>
            <w:rStyle w:val="Hyperlink"/>
            <w:color w:val="000000" w:themeColor="text1"/>
            <w:sz w:val="16"/>
            <w:u w:val="none"/>
          </w:rPr>
          <w:t>ASSACHUSETTS</w:t>
        </w:r>
        <w:r w:rsidRPr="0050434E">
          <w:rPr>
            <w:rStyle w:val="Hyperlink"/>
            <w:color w:val="000000" w:themeColor="text1"/>
            <w:spacing w:val="-8"/>
            <w:sz w:val="16"/>
            <w:u w:val="none"/>
          </w:rPr>
          <w:t xml:space="preserve"> </w:t>
        </w:r>
        <w:r w:rsidRPr="0050434E">
          <w:rPr>
            <w:rStyle w:val="Hyperlink"/>
            <w:color w:val="000000" w:themeColor="text1"/>
            <w:sz w:val="20"/>
            <w:u w:val="none"/>
          </w:rPr>
          <w:t>C</w:t>
        </w:r>
        <w:r w:rsidRPr="0050434E">
          <w:rPr>
            <w:rStyle w:val="Hyperlink"/>
            <w:color w:val="000000" w:themeColor="text1"/>
            <w:sz w:val="16"/>
            <w:u w:val="none"/>
          </w:rPr>
          <w:t>ANCER</w:t>
        </w:r>
        <w:r w:rsidRPr="0050434E">
          <w:rPr>
            <w:rStyle w:val="Hyperlink"/>
            <w:color w:val="000000" w:themeColor="text1"/>
            <w:spacing w:val="-7"/>
            <w:sz w:val="16"/>
            <w:u w:val="none"/>
          </w:rPr>
          <w:t xml:space="preserve"> </w:t>
        </w:r>
        <w:r w:rsidRPr="0050434E">
          <w:rPr>
            <w:rStyle w:val="Hyperlink"/>
            <w:color w:val="000000" w:themeColor="text1"/>
            <w:sz w:val="20"/>
            <w:u w:val="none"/>
          </w:rPr>
          <w:t>R</w:t>
        </w:r>
        <w:r w:rsidRPr="0050434E">
          <w:rPr>
            <w:rStyle w:val="Hyperlink"/>
            <w:color w:val="000000" w:themeColor="text1"/>
            <w:sz w:val="16"/>
            <w:u w:val="none"/>
          </w:rPr>
          <w:t>EGISTRY</w:t>
        </w:r>
        <w:r w:rsidRPr="0050434E">
          <w:rPr>
            <w:rStyle w:val="Hyperlink"/>
            <w:color w:val="000000" w:themeColor="text1"/>
            <w:sz w:val="20"/>
            <w:u w:val="none"/>
          </w:rPr>
          <w:t>,</w:t>
        </w:r>
        <w:r w:rsidRPr="0050434E">
          <w:rPr>
            <w:rStyle w:val="Hyperlink"/>
            <w:color w:val="000000" w:themeColor="text1"/>
            <w:spacing w:val="-12"/>
            <w:sz w:val="20"/>
            <w:u w:val="none"/>
          </w:rPr>
          <w:t xml:space="preserve"> </w:t>
        </w:r>
        <w:r w:rsidRPr="0050434E">
          <w:rPr>
            <w:rStyle w:val="Hyperlink"/>
            <w:color w:val="000000" w:themeColor="text1"/>
            <w:sz w:val="20"/>
            <w:u w:val="none"/>
          </w:rPr>
          <w:t>C</w:t>
        </w:r>
        <w:r w:rsidRPr="0050434E">
          <w:rPr>
            <w:rStyle w:val="Hyperlink"/>
            <w:color w:val="000000" w:themeColor="text1"/>
            <w:sz w:val="16"/>
            <w:u w:val="none"/>
          </w:rPr>
          <w:t>ANCER</w:t>
        </w:r>
        <w:r w:rsidRPr="0050434E">
          <w:rPr>
            <w:rStyle w:val="Hyperlink"/>
            <w:color w:val="000000" w:themeColor="text1"/>
            <w:spacing w:val="-8"/>
            <w:sz w:val="16"/>
            <w:u w:val="none"/>
          </w:rPr>
          <w:t xml:space="preserve"> </w:t>
        </w:r>
        <w:r w:rsidRPr="0050434E">
          <w:rPr>
            <w:rStyle w:val="Hyperlink"/>
            <w:color w:val="000000" w:themeColor="text1"/>
            <w:sz w:val="20"/>
            <w:u w:val="none"/>
          </w:rPr>
          <w:t>I</w:t>
        </w:r>
        <w:r w:rsidRPr="0050434E">
          <w:rPr>
            <w:rStyle w:val="Hyperlink"/>
            <w:color w:val="000000" w:themeColor="text1"/>
            <w:sz w:val="16"/>
            <w:u w:val="none"/>
          </w:rPr>
          <w:t>NCIDENCE</w:t>
        </w:r>
        <w:r w:rsidRPr="0050434E">
          <w:rPr>
            <w:rStyle w:val="Hyperlink"/>
            <w:color w:val="000000" w:themeColor="text1"/>
            <w:spacing w:val="-7"/>
            <w:sz w:val="16"/>
            <w:u w:val="none"/>
          </w:rPr>
          <w:t xml:space="preserve"> </w:t>
        </w:r>
        <w:r w:rsidRPr="0050434E">
          <w:rPr>
            <w:rStyle w:val="Hyperlink"/>
            <w:color w:val="000000" w:themeColor="text1"/>
            <w:sz w:val="16"/>
            <w:u w:val="none"/>
          </w:rPr>
          <w:t>AND</w:t>
        </w:r>
        <w:r w:rsidRPr="0050434E">
          <w:rPr>
            <w:rStyle w:val="Hyperlink"/>
            <w:color w:val="000000" w:themeColor="text1"/>
            <w:spacing w:val="-7"/>
            <w:sz w:val="16"/>
            <w:u w:val="none"/>
          </w:rPr>
          <w:t xml:space="preserve"> </w:t>
        </w:r>
        <w:r w:rsidRPr="0050434E">
          <w:rPr>
            <w:rStyle w:val="Hyperlink"/>
            <w:color w:val="000000" w:themeColor="text1"/>
            <w:sz w:val="20"/>
            <w:u w:val="none"/>
          </w:rPr>
          <w:t>M</w:t>
        </w:r>
        <w:r w:rsidRPr="0050434E">
          <w:rPr>
            <w:rStyle w:val="Hyperlink"/>
            <w:color w:val="000000" w:themeColor="text1"/>
            <w:sz w:val="16"/>
            <w:u w:val="none"/>
          </w:rPr>
          <w:t>ORTALITY</w:t>
        </w:r>
        <w:r w:rsidRPr="0050434E">
          <w:rPr>
            <w:rStyle w:val="Hyperlink"/>
            <w:color w:val="000000" w:themeColor="text1"/>
            <w:spacing w:val="-8"/>
            <w:sz w:val="16"/>
            <w:u w:val="none"/>
          </w:rPr>
          <w:t xml:space="preserve"> </w:t>
        </w:r>
        <w:r w:rsidRPr="0050434E">
          <w:rPr>
            <w:rStyle w:val="Hyperlink"/>
            <w:color w:val="000000" w:themeColor="text1"/>
            <w:sz w:val="16"/>
            <w:u w:val="none"/>
          </w:rPr>
          <w:t>IN</w:t>
        </w:r>
        <w:r w:rsidRPr="0050434E">
          <w:rPr>
            <w:rStyle w:val="Hyperlink"/>
            <w:color w:val="000000" w:themeColor="text1"/>
            <w:spacing w:val="-8"/>
            <w:sz w:val="16"/>
            <w:u w:val="none"/>
          </w:rPr>
          <w:t xml:space="preserve"> </w:t>
        </w:r>
        <w:r w:rsidRPr="0050434E">
          <w:rPr>
            <w:rStyle w:val="Hyperlink"/>
            <w:color w:val="000000" w:themeColor="text1"/>
            <w:sz w:val="20"/>
            <w:u w:val="none"/>
          </w:rPr>
          <w:t>M</w:t>
        </w:r>
        <w:r w:rsidRPr="0050434E">
          <w:rPr>
            <w:rStyle w:val="Hyperlink"/>
            <w:color w:val="000000" w:themeColor="text1"/>
            <w:sz w:val="16"/>
            <w:u w:val="none"/>
          </w:rPr>
          <w:t>ASSACHUSETTS</w:t>
        </w:r>
        <w:r w:rsidRPr="0050434E">
          <w:rPr>
            <w:rStyle w:val="Hyperlink"/>
            <w:color w:val="000000" w:themeColor="text1"/>
            <w:spacing w:val="-6"/>
            <w:sz w:val="16"/>
            <w:u w:val="none"/>
          </w:rPr>
          <w:t xml:space="preserve"> </w:t>
        </w:r>
        <w:r w:rsidRPr="0050434E">
          <w:rPr>
            <w:rStyle w:val="Hyperlink"/>
            <w:color w:val="000000" w:themeColor="text1"/>
            <w:sz w:val="20"/>
            <w:u w:val="none"/>
          </w:rPr>
          <w:t>2016-2020</w:t>
        </w:r>
      </w:hyperlink>
      <w:r w:rsidRPr="0050434E">
        <w:rPr>
          <w:color w:val="000000" w:themeColor="text1"/>
          <w:spacing w:val="-12"/>
          <w:sz w:val="20"/>
        </w:rPr>
        <w:t xml:space="preserve"> </w:t>
      </w:r>
      <w:r w:rsidRPr="0050434E">
        <w:rPr>
          <w:color w:val="000000" w:themeColor="text1"/>
          <w:sz w:val="20"/>
        </w:rPr>
        <w:t>(Jun</w:t>
      </w:r>
      <w:r>
        <w:rPr>
          <w:sz w:val="20"/>
        </w:rPr>
        <w:t>.</w:t>
      </w:r>
      <w:r>
        <w:rPr>
          <w:spacing w:val="-7"/>
          <w:sz w:val="20"/>
        </w:rPr>
        <w:t xml:space="preserve"> </w:t>
      </w:r>
      <w:r>
        <w:rPr>
          <w:spacing w:val="-2"/>
          <w:sz w:val="20"/>
        </w:rPr>
        <w:t>2024),</w:t>
      </w:r>
    </w:p>
    <w:p w14:paraId="12083217" w14:textId="4148216C" w:rsidR="003D7E15" w:rsidRPr="00017F05" w:rsidRDefault="003D7E15" w:rsidP="00870A4B">
      <w:pPr>
        <w:spacing w:before="2"/>
        <w:ind w:left="960" w:right="940"/>
        <w:rPr>
          <w:sz w:val="20"/>
        </w:rPr>
      </w:pPr>
      <w:r>
        <w:rPr>
          <w:i/>
          <w:sz w:val="20"/>
        </w:rPr>
        <w:t>available</w:t>
      </w:r>
      <w:r>
        <w:rPr>
          <w:i/>
          <w:spacing w:val="-13"/>
          <w:sz w:val="20"/>
        </w:rPr>
        <w:t xml:space="preserve"> </w:t>
      </w:r>
      <w:r>
        <w:rPr>
          <w:i/>
          <w:sz w:val="20"/>
        </w:rPr>
        <w:t>at</w:t>
      </w:r>
      <w:r>
        <w:rPr>
          <w:i/>
          <w:spacing w:val="-12"/>
          <w:sz w:val="20"/>
        </w:rPr>
        <w:t xml:space="preserve"> </w:t>
      </w:r>
      <w:hyperlink r:id="rId286">
        <w:r>
          <w:rPr>
            <w:color w:val="486794"/>
            <w:sz w:val="20"/>
            <w:u w:val="single" w:color="486794"/>
          </w:rPr>
          <w:t>https://www.mass.gov/doc/cancer-incidence-and-mortality-in-massachusetts-2016-2020-</w:t>
        </w:r>
      </w:hyperlink>
      <w:r>
        <w:rPr>
          <w:color w:val="486794"/>
          <w:sz w:val="20"/>
        </w:rPr>
        <w:t xml:space="preserve"> </w:t>
      </w:r>
      <w:hyperlink r:id="rId287">
        <w:r>
          <w:rPr>
            <w:color w:val="486794"/>
            <w:spacing w:val="-2"/>
            <w:sz w:val="20"/>
            <w:u w:val="single" w:color="486794"/>
          </w:rPr>
          <w:t>statewide-report/download</w:t>
        </w:r>
        <w:r>
          <w:rPr>
            <w:spacing w:val="-2"/>
            <w:sz w:val="20"/>
          </w:rPr>
          <w:t>.</w:t>
        </w:r>
      </w:hyperlink>
    </w:p>
  </w:footnote>
  <w:footnote w:id="221">
    <w:p w14:paraId="2868FC81" w14:textId="32AA644D" w:rsidR="00017F05" w:rsidRDefault="00017F05" w:rsidP="00870A4B">
      <w:pPr>
        <w:pStyle w:val="FootnoteText"/>
        <w:ind w:left="960" w:right="940"/>
      </w:pPr>
      <w:r>
        <w:rPr>
          <w:rStyle w:val="FootnoteReference"/>
        </w:rPr>
        <w:footnoteRef/>
      </w:r>
      <w:r>
        <w:t xml:space="preserve"> Darran</w:t>
      </w:r>
      <w:r>
        <w:rPr>
          <w:spacing w:val="-3"/>
        </w:rPr>
        <w:t xml:space="preserve"> </w:t>
      </w:r>
      <w:r>
        <w:t>Liu</w:t>
      </w:r>
      <w:r>
        <w:rPr>
          <w:spacing w:val="-3"/>
        </w:rPr>
        <w:t xml:space="preserve"> </w:t>
      </w:r>
      <w:r>
        <w:t>et</w:t>
      </w:r>
      <w:r>
        <w:rPr>
          <w:spacing w:val="-2"/>
        </w:rPr>
        <w:t xml:space="preserve"> </w:t>
      </w:r>
      <w:r>
        <w:t>al.,</w:t>
      </w:r>
      <w:r>
        <w:rPr>
          <w:spacing w:val="-2"/>
        </w:rPr>
        <w:t xml:space="preserve"> </w:t>
      </w:r>
      <w:hyperlink r:id="rId288" w:history="1">
        <w:r w:rsidRPr="001A0C21">
          <w:rPr>
            <w:rStyle w:val="Hyperlink"/>
            <w:i/>
            <w:color w:val="000000" w:themeColor="text1"/>
            <w:u w:val="none"/>
          </w:rPr>
          <w:t>Interventions</w:t>
        </w:r>
        <w:r w:rsidRPr="001A0C21">
          <w:rPr>
            <w:rStyle w:val="Hyperlink"/>
            <w:i/>
            <w:color w:val="000000" w:themeColor="text1"/>
            <w:spacing w:val="-4"/>
            <w:u w:val="none"/>
          </w:rPr>
          <w:t xml:space="preserve"> </w:t>
        </w:r>
        <w:r w:rsidRPr="001A0C21">
          <w:rPr>
            <w:rStyle w:val="Hyperlink"/>
            <w:i/>
            <w:color w:val="000000" w:themeColor="text1"/>
            <w:u w:val="none"/>
          </w:rPr>
          <w:t>to</w:t>
        </w:r>
        <w:r w:rsidRPr="001A0C21">
          <w:rPr>
            <w:rStyle w:val="Hyperlink"/>
            <w:i/>
            <w:color w:val="000000" w:themeColor="text1"/>
            <w:spacing w:val="-4"/>
            <w:u w:val="none"/>
          </w:rPr>
          <w:t xml:space="preserve"> </w:t>
        </w:r>
        <w:r w:rsidRPr="001A0C21">
          <w:rPr>
            <w:rStyle w:val="Hyperlink"/>
            <w:i/>
            <w:color w:val="000000" w:themeColor="text1"/>
            <w:u w:val="none"/>
          </w:rPr>
          <w:t>Reduce</w:t>
        </w:r>
        <w:r w:rsidRPr="001A0C21">
          <w:rPr>
            <w:rStyle w:val="Hyperlink"/>
            <w:i/>
            <w:color w:val="000000" w:themeColor="text1"/>
            <w:spacing w:val="-3"/>
            <w:u w:val="none"/>
          </w:rPr>
          <w:t xml:space="preserve"> </w:t>
        </w:r>
        <w:r w:rsidRPr="001A0C21">
          <w:rPr>
            <w:rStyle w:val="Hyperlink"/>
            <w:i/>
            <w:color w:val="000000" w:themeColor="text1"/>
            <w:u w:val="none"/>
          </w:rPr>
          <w:t>Healthcare</w:t>
        </w:r>
        <w:r w:rsidRPr="001A0C21">
          <w:rPr>
            <w:rStyle w:val="Hyperlink"/>
            <w:i/>
            <w:color w:val="000000" w:themeColor="text1"/>
            <w:spacing w:val="-3"/>
            <w:u w:val="none"/>
          </w:rPr>
          <w:t xml:space="preserve"> </w:t>
        </w:r>
        <w:r w:rsidRPr="001A0C21">
          <w:rPr>
            <w:rStyle w:val="Hyperlink"/>
            <w:i/>
            <w:color w:val="000000" w:themeColor="text1"/>
            <w:u w:val="none"/>
          </w:rPr>
          <w:t>Disparities</w:t>
        </w:r>
        <w:r w:rsidRPr="001A0C21">
          <w:rPr>
            <w:rStyle w:val="Hyperlink"/>
            <w:i/>
            <w:color w:val="000000" w:themeColor="text1"/>
            <w:spacing w:val="-4"/>
            <w:u w:val="none"/>
          </w:rPr>
          <w:t xml:space="preserve"> </w:t>
        </w:r>
        <w:r w:rsidRPr="001A0C21">
          <w:rPr>
            <w:rStyle w:val="Hyperlink"/>
            <w:i/>
            <w:color w:val="000000" w:themeColor="text1"/>
            <w:u w:val="none"/>
          </w:rPr>
          <w:t>in</w:t>
        </w:r>
        <w:r w:rsidRPr="001A0C21">
          <w:rPr>
            <w:rStyle w:val="Hyperlink"/>
            <w:i/>
            <w:color w:val="000000" w:themeColor="text1"/>
            <w:spacing w:val="-2"/>
            <w:u w:val="none"/>
          </w:rPr>
          <w:t xml:space="preserve"> </w:t>
        </w:r>
        <w:r w:rsidRPr="001A0C21">
          <w:rPr>
            <w:rStyle w:val="Hyperlink"/>
            <w:i/>
            <w:color w:val="000000" w:themeColor="text1"/>
            <w:u w:val="none"/>
          </w:rPr>
          <w:t>Cancer</w:t>
        </w:r>
        <w:r w:rsidRPr="001A0C21">
          <w:rPr>
            <w:rStyle w:val="Hyperlink"/>
            <w:i/>
            <w:color w:val="000000" w:themeColor="text1"/>
            <w:spacing w:val="-3"/>
            <w:u w:val="none"/>
          </w:rPr>
          <w:t xml:space="preserve"> </w:t>
        </w:r>
        <w:r w:rsidRPr="001A0C21">
          <w:rPr>
            <w:rStyle w:val="Hyperlink"/>
            <w:i/>
            <w:color w:val="000000" w:themeColor="text1"/>
            <w:u w:val="none"/>
          </w:rPr>
          <w:t>Screening</w:t>
        </w:r>
        <w:r w:rsidRPr="001A0C21">
          <w:rPr>
            <w:rStyle w:val="Hyperlink"/>
            <w:i/>
            <w:color w:val="000000" w:themeColor="text1"/>
            <w:spacing w:val="-3"/>
            <w:u w:val="none"/>
          </w:rPr>
          <w:t xml:space="preserve"> </w:t>
        </w:r>
        <w:r w:rsidRPr="001A0C21">
          <w:rPr>
            <w:rStyle w:val="Hyperlink"/>
            <w:i/>
            <w:color w:val="000000" w:themeColor="text1"/>
            <w:u w:val="none"/>
          </w:rPr>
          <w:t>Among</w:t>
        </w:r>
        <w:r w:rsidRPr="001A0C21">
          <w:rPr>
            <w:rStyle w:val="Hyperlink"/>
            <w:i/>
            <w:color w:val="000000" w:themeColor="text1"/>
            <w:spacing w:val="-3"/>
            <w:u w:val="none"/>
          </w:rPr>
          <w:t xml:space="preserve"> </w:t>
        </w:r>
        <w:r w:rsidRPr="001A0C21">
          <w:rPr>
            <w:rStyle w:val="Hyperlink"/>
            <w:i/>
            <w:color w:val="000000" w:themeColor="text1"/>
            <w:u w:val="none"/>
          </w:rPr>
          <w:t>Minority Adults: A Systematic Review,</w:t>
        </w:r>
      </w:hyperlink>
      <w:r w:rsidRPr="001A0C21">
        <w:rPr>
          <w:i/>
          <w:color w:val="000000" w:themeColor="text1"/>
        </w:rPr>
        <w:t xml:space="preserve"> </w:t>
      </w:r>
      <w:r w:rsidRPr="001A0C21">
        <w:rPr>
          <w:color w:val="000000" w:themeColor="text1"/>
        </w:rPr>
        <w:t xml:space="preserve">8 </w:t>
      </w:r>
      <w:r>
        <w:t>J</w:t>
      </w:r>
      <w:r>
        <w:rPr>
          <w:sz w:val="16"/>
        </w:rPr>
        <w:t xml:space="preserve">OURNAL OF </w:t>
      </w:r>
      <w:r>
        <w:t>R</w:t>
      </w:r>
      <w:r>
        <w:rPr>
          <w:sz w:val="16"/>
        </w:rPr>
        <w:t xml:space="preserve">ACIAL AND </w:t>
      </w:r>
      <w:r>
        <w:t>E</w:t>
      </w:r>
      <w:r>
        <w:rPr>
          <w:sz w:val="16"/>
        </w:rPr>
        <w:t xml:space="preserve">THNIC </w:t>
      </w:r>
      <w:r>
        <w:t>H</w:t>
      </w:r>
      <w:r>
        <w:rPr>
          <w:sz w:val="16"/>
        </w:rPr>
        <w:t xml:space="preserve">EALTH </w:t>
      </w:r>
      <w:r>
        <w:t>D</w:t>
      </w:r>
      <w:r>
        <w:rPr>
          <w:sz w:val="16"/>
        </w:rPr>
        <w:t xml:space="preserve">ISPARITIES </w:t>
      </w:r>
      <w:r>
        <w:t xml:space="preserve">107, (2021), </w:t>
      </w:r>
      <w:r>
        <w:rPr>
          <w:i/>
        </w:rPr>
        <w:t xml:space="preserve">available at </w:t>
      </w:r>
      <w:hyperlink r:id="rId289">
        <w:r>
          <w:rPr>
            <w:color w:val="486794"/>
            <w:spacing w:val="-2"/>
            <w:u w:val="single" w:color="486794"/>
          </w:rPr>
          <w:t>https://link.springer.com/article/10.1007/s40615-020-00763-1</w:t>
        </w:r>
        <w:r>
          <w:rPr>
            <w:spacing w:val="-2"/>
          </w:rPr>
          <w:t>.</w:t>
        </w:r>
      </w:hyperlink>
    </w:p>
  </w:footnote>
  <w:footnote w:id="222">
    <w:p w14:paraId="224ABA8B" w14:textId="10B04281" w:rsidR="00017F05" w:rsidRDefault="00017F05" w:rsidP="00870A4B">
      <w:pPr>
        <w:pStyle w:val="FootnoteText"/>
        <w:ind w:left="960" w:right="940"/>
      </w:pPr>
      <w:r>
        <w:rPr>
          <w:rStyle w:val="FootnoteReference"/>
        </w:rPr>
        <w:footnoteRef/>
      </w:r>
      <w:r>
        <w:t xml:space="preserve"> Michelle Tong et al., </w:t>
      </w:r>
      <w:hyperlink r:id="rId290" w:history="1">
        <w:r w:rsidRPr="00DA4F24">
          <w:rPr>
            <w:rStyle w:val="Hyperlink"/>
            <w:i/>
            <w:color w:val="000000" w:themeColor="text1"/>
            <w:u w:val="none"/>
          </w:rPr>
          <w:t>Racial Disparities in Cancer Outcomes, Screening, and Treatment</w:t>
        </w:r>
        <w:r w:rsidRPr="00DA4F24">
          <w:rPr>
            <w:rStyle w:val="Hyperlink"/>
            <w:color w:val="000000" w:themeColor="text1"/>
            <w:u w:val="none"/>
          </w:rPr>
          <w:t>,</w:t>
        </w:r>
      </w:hyperlink>
      <w:r w:rsidRPr="00DA4F24">
        <w:rPr>
          <w:color w:val="000000" w:themeColor="text1"/>
        </w:rPr>
        <w:t xml:space="preserve"> KFF</w:t>
      </w:r>
      <w:r>
        <w:t xml:space="preserve">, </w:t>
      </w:r>
      <w:hyperlink r:id="rId291">
        <w:r>
          <w:rPr>
            <w:color w:val="486794"/>
            <w:spacing w:val="-2"/>
            <w:u w:val="single" w:color="486794"/>
          </w:rPr>
          <w:t>https://www.kff.org/racial-equity-and-health-policy/issue-brief/racial-disparities-in-cancer-outcomes-</w:t>
        </w:r>
      </w:hyperlink>
      <w:r>
        <w:rPr>
          <w:color w:val="486794"/>
          <w:spacing w:val="-2"/>
        </w:rPr>
        <w:t xml:space="preserve"> </w:t>
      </w:r>
      <w:hyperlink r:id="rId292">
        <w:r>
          <w:rPr>
            <w:color w:val="486794"/>
            <w:u w:val="single" w:color="486794"/>
          </w:rPr>
          <w:t>screening-and-treatment/</w:t>
        </w:r>
      </w:hyperlink>
      <w:r>
        <w:rPr>
          <w:color w:val="486794"/>
        </w:rPr>
        <w:t xml:space="preserve"> </w:t>
      </w:r>
      <w:r>
        <w:t>(last visited February 27, 2025).</w:t>
      </w:r>
    </w:p>
  </w:footnote>
  <w:footnote w:id="223">
    <w:p w14:paraId="0C75949C" w14:textId="3B0864B2" w:rsidR="00EF363F" w:rsidRDefault="00EF363F" w:rsidP="00870A4B">
      <w:pPr>
        <w:pStyle w:val="FootnoteText"/>
        <w:ind w:left="960" w:right="940"/>
      </w:pPr>
      <w:r>
        <w:rPr>
          <w:rStyle w:val="FootnoteReference"/>
        </w:rPr>
        <w:footnoteRef/>
      </w:r>
      <w:r>
        <w:t xml:space="preserve"> </w:t>
      </w:r>
      <w:r>
        <w:rPr>
          <w:i/>
          <w:spacing w:val="-5"/>
          <w:position w:val="-4"/>
        </w:rPr>
        <w:t>Id</w:t>
      </w:r>
      <w:r>
        <w:rPr>
          <w:spacing w:val="-5"/>
          <w:position w:val="-4"/>
        </w:rPr>
        <w:t>.</w:t>
      </w:r>
    </w:p>
  </w:footnote>
  <w:footnote w:id="224">
    <w:p w14:paraId="7C7AB0BE" w14:textId="1718BE52" w:rsidR="00124C27" w:rsidRDefault="009D1200" w:rsidP="00870A4B">
      <w:pPr>
        <w:ind w:left="960" w:right="940"/>
        <w:rPr>
          <w:i/>
          <w:sz w:val="20"/>
        </w:rPr>
      </w:pPr>
      <w:r>
        <w:rPr>
          <w:rStyle w:val="FootnoteReference"/>
        </w:rPr>
        <w:footnoteRef/>
      </w:r>
      <w:r>
        <w:t xml:space="preserve"> </w:t>
      </w:r>
      <w:r w:rsidR="00124C27">
        <w:rPr>
          <w:sz w:val="20"/>
        </w:rPr>
        <w:t>Whitney</w:t>
      </w:r>
      <w:r w:rsidR="00124C27">
        <w:rPr>
          <w:spacing w:val="-4"/>
          <w:sz w:val="20"/>
        </w:rPr>
        <w:t xml:space="preserve"> </w:t>
      </w:r>
      <w:r w:rsidR="00124C27">
        <w:rPr>
          <w:sz w:val="20"/>
        </w:rPr>
        <w:t>Zahnd</w:t>
      </w:r>
      <w:r w:rsidR="00124C27">
        <w:rPr>
          <w:spacing w:val="-2"/>
          <w:sz w:val="20"/>
        </w:rPr>
        <w:t xml:space="preserve"> </w:t>
      </w:r>
      <w:r w:rsidR="00124C27">
        <w:rPr>
          <w:sz w:val="20"/>
        </w:rPr>
        <w:t>et</w:t>
      </w:r>
      <w:r w:rsidR="00124C27">
        <w:rPr>
          <w:spacing w:val="-2"/>
          <w:sz w:val="20"/>
        </w:rPr>
        <w:t xml:space="preserve"> </w:t>
      </w:r>
      <w:r w:rsidR="00124C27">
        <w:rPr>
          <w:sz w:val="20"/>
        </w:rPr>
        <w:t>al.,</w:t>
      </w:r>
      <w:r w:rsidR="00124C27">
        <w:rPr>
          <w:spacing w:val="-2"/>
          <w:sz w:val="20"/>
        </w:rPr>
        <w:t xml:space="preserve"> </w:t>
      </w:r>
      <w:hyperlink r:id="rId293" w:history="1">
        <w:r w:rsidR="00124C27" w:rsidRPr="00DA4F24">
          <w:rPr>
            <w:rStyle w:val="Hyperlink"/>
            <w:i/>
            <w:color w:val="000000" w:themeColor="text1"/>
            <w:sz w:val="20"/>
            <w:u w:val="none"/>
          </w:rPr>
          <w:t>Rural-Urban</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Differences</w:t>
        </w:r>
        <w:r w:rsidR="00124C27" w:rsidRPr="00DA4F24">
          <w:rPr>
            <w:rStyle w:val="Hyperlink"/>
            <w:i/>
            <w:color w:val="000000" w:themeColor="text1"/>
            <w:spacing w:val="-4"/>
            <w:sz w:val="20"/>
            <w:u w:val="none"/>
          </w:rPr>
          <w:t xml:space="preserve"> </w:t>
        </w:r>
        <w:r w:rsidR="00124C27" w:rsidRPr="00DA4F24">
          <w:rPr>
            <w:rStyle w:val="Hyperlink"/>
            <w:i/>
            <w:color w:val="000000" w:themeColor="text1"/>
            <w:sz w:val="20"/>
            <w:u w:val="none"/>
          </w:rPr>
          <w:t>in</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Cancer</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Incidence</w:t>
        </w:r>
        <w:r w:rsidR="00124C27" w:rsidRPr="00DA4F24">
          <w:rPr>
            <w:rStyle w:val="Hyperlink"/>
            <w:i/>
            <w:color w:val="000000" w:themeColor="text1"/>
            <w:spacing w:val="-3"/>
            <w:sz w:val="20"/>
            <w:u w:val="none"/>
          </w:rPr>
          <w:t xml:space="preserve"> </w:t>
        </w:r>
        <w:r w:rsidR="00124C27" w:rsidRPr="00DA4F24">
          <w:rPr>
            <w:rStyle w:val="Hyperlink"/>
            <w:i/>
            <w:color w:val="000000" w:themeColor="text1"/>
            <w:sz w:val="20"/>
            <w:u w:val="none"/>
          </w:rPr>
          <w:t>and</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Trends</w:t>
        </w:r>
        <w:r w:rsidR="00124C27" w:rsidRPr="00DA4F24">
          <w:rPr>
            <w:rStyle w:val="Hyperlink"/>
            <w:i/>
            <w:color w:val="000000" w:themeColor="text1"/>
            <w:spacing w:val="-4"/>
            <w:sz w:val="20"/>
            <w:u w:val="none"/>
          </w:rPr>
          <w:t xml:space="preserve"> </w:t>
        </w:r>
        <w:r w:rsidR="00124C27" w:rsidRPr="00DA4F24">
          <w:rPr>
            <w:rStyle w:val="Hyperlink"/>
            <w:i/>
            <w:color w:val="000000" w:themeColor="text1"/>
            <w:sz w:val="20"/>
            <w:u w:val="none"/>
          </w:rPr>
          <w:t>in</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the</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United</w:t>
        </w:r>
        <w:r w:rsidR="00124C27" w:rsidRPr="00DA4F24">
          <w:rPr>
            <w:rStyle w:val="Hyperlink"/>
            <w:i/>
            <w:color w:val="000000" w:themeColor="text1"/>
            <w:spacing w:val="-2"/>
            <w:sz w:val="20"/>
            <w:u w:val="none"/>
          </w:rPr>
          <w:t xml:space="preserve"> </w:t>
        </w:r>
        <w:r w:rsidR="00124C27" w:rsidRPr="00DA4F24">
          <w:rPr>
            <w:rStyle w:val="Hyperlink"/>
            <w:i/>
            <w:color w:val="000000" w:themeColor="text1"/>
            <w:sz w:val="20"/>
            <w:u w:val="none"/>
          </w:rPr>
          <w:t>States,</w:t>
        </w:r>
      </w:hyperlink>
      <w:r w:rsidR="00124C27" w:rsidRPr="00DA4F24">
        <w:rPr>
          <w:i/>
          <w:color w:val="000000" w:themeColor="text1"/>
          <w:spacing w:val="-2"/>
          <w:sz w:val="20"/>
        </w:rPr>
        <w:t xml:space="preserve"> </w:t>
      </w:r>
      <w:r w:rsidR="00124C27" w:rsidRPr="00DA4F24">
        <w:rPr>
          <w:color w:val="000000" w:themeColor="text1"/>
          <w:sz w:val="20"/>
        </w:rPr>
        <w:t xml:space="preserve">27 </w:t>
      </w:r>
      <w:r w:rsidR="00124C27">
        <w:rPr>
          <w:sz w:val="20"/>
        </w:rPr>
        <w:t>C</w:t>
      </w:r>
      <w:r w:rsidR="00124C27">
        <w:rPr>
          <w:sz w:val="16"/>
        </w:rPr>
        <w:t xml:space="preserve">ANCER </w:t>
      </w:r>
      <w:r w:rsidR="00124C27">
        <w:rPr>
          <w:sz w:val="20"/>
        </w:rPr>
        <w:t>E</w:t>
      </w:r>
      <w:r w:rsidR="00124C27">
        <w:rPr>
          <w:sz w:val="16"/>
        </w:rPr>
        <w:t xml:space="preserve">PIDEMIOL </w:t>
      </w:r>
      <w:r w:rsidR="00124C27">
        <w:rPr>
          <w:sz w:val="20"/>
        </w:rPr>
        <w:t>B</w:t>
      </w:r>
      <w:r w:rsidR="00124C27">
        <w:rPr>
          <w:sz w:val="16"/>
        </w:rPr>
        <w:t xml:space="preserve">IOMARKERS </w:t>
      </w:r>
      <w:r w:rsidR="00124C27">
        <w:rPr>
          <w:sz w:val="20"/>
        </w:rPr>
        <w:t>P</w:t>
      </w:r>
      <w:r w:rsidR="00124C27">
        <w:rPr>
          <w:sz w:val="16"/>
        </w:rPr>
        <w:t>REV</w:t>
      </w:r>
      <w:r w:rsidR="00124C27">
        <w:rPr>
          <w:sz w:val="20"/>
        </w:rPr>
        <w:t xml:space="preserve">. 1265, (2018), </w:t>
      </w:r>
      <w:r w:rsidR="00124C27">
        <w:rPr>
          <w:i/>
          <w:sz w:val="20"/>
        </w:rPr>
        <w:t>available at</w:t>
      </w:r>
    </w:p>
    <w:p w14:paraId="3E7F5A65" w14:textId="652F2492" w:rsidR="009D1200" w:rsidRPr="00870A4B" w:rsidRDefault="00124C27" w:rsidP="00870A4B">
      <w:pPr>
        <w:ind w:left="960" w:right="940"/>
        <w:rPr>
          <w:sz w:val="20"/>
        </w:rPr>
      </w:pPr>
      <w:hyperlink r:id="rId294">
        <w:r>
          <w:rPr>
            <w:color w:val="486794"/>
            <w:spacing w:val="-2"/>
            <w:sz w:val="20"/>
            <w:u w:val="single" w:color="486794"/>
          </w:rPr>
          <w:t>https://pmc.ncbi.nlm.nih.gov/articles/PMC5787045/pdf/nihms895528.pdf</w:t>
        </w:r>
        <w:r>
          <w:rPr>
            <w:spacing w:val="-2"/>
            <w:sz w:val="20"/>
          </w:rPr>
          <w:t>.</w:t>
        </w:r>
      </w:hyperlink>
    </w:p>
  </w:footnote>
  <w:footnote w:id="225">
    <w:p w14:paraId="558C2392" w14:textId="42278E5D" w:rsidR="00870A4B" w:rsidRDefault="00870A4B" w:rsidP="00870A4B">
      <w:pPr>
        <w:pStyle w:val="FootnoteText"/>
        <w:ind w:left="960" w:right="940"/>
      </w:pPr>
      <w:r>
        <w:rPr>
          <w:rStyle w:val="FootnoteReference"/>
        </w:rPr>
        <w:footnoteRef/>
      </w:r>
      <w:r>
        <w:t xml:space="preserve"> ACS</w:t>
      </w:r>
      <w:r>
        <w:rPr>
          <w:spacing w:val="-12"/>
        </w:rPr>
        <w:t xml:space="preserve"> </w:t>
      </w:r>
      <w:r>
        <w:t>2023</w:t>
      </w:r>
      <w:r>
        <w:rPr>
          <w:spacing w:val="-13"/>
        </w:rPr>
        <w:t xml:space="preserve"> </w:t>
      </w:r>
      <w:r>
        <w:t>R</w:t>
      </w:r>
      <w:r>
        <w:rPr>
          <w:sz w:val="16"/>
        </w:rPr>
        <w:t>EPORT</w:t>
      </w:r>
      <w:r>
        <w:t>,</w:t>
      </w:r>
      <w:r>
        <w:rPr>
          <w:spacing w:val="-12"/>
        </w:rPr>
        <w:t xml:space="preserve"> </w:t>
      </w:r>
      <w:r>
        <w:rPr>
          <w:i/>
        </w:rPr>
        <w:t>supra</w:t>
      </w:r>
      <w:r>
        <w:rPr>
          <w:i/>
          <w:spacing w:val="-7"/>
        </w:rPr>
        <w:t xml:space="preserve"> </w:t>
      </w:r>
      <w:r>
        <w:t>note</w:t>
      </w:r>
      <w:r>
        <w:rPr>
          <w:spacing w:val="-5"/>
        </w:rPr>
        <w:t xml:space="preserve"> </w:t>
      </w:r>
      <w:hyperlink w:anchor="_bookmark241" w:history="1">
        <w:r>
          <w:rPr>
            <w:spacing w:val="-4"/>
          </w:rPr>
          <w:t>216.</w:t>
        </w:r>
      </w:hyperlink>
    </w:p>
  </w:footnote>
  <w:footnote w:id="226">
    <w:p w14:paraId="062F397D" w14:textId="4385BEB9" w:rsidR="00887B3C" w:rsidRDefault="00887B3C" w:rsidP="00887B3C">
      <w:pPr>
        <w:pStyle w:val="FootnoteText"/>
        <w:ind w:left="990" w:right="940"/>
      </w:pPr>
      <w:r>
        <w:rPr>
          <w:rStyle w:val="FootnoteReference"/>
        </w:rPr>
        <w:footnoteRef/>
      </w:r>
      <w:r>
        <w:t xml:space="preserve"> Competitor hospitals were defined as those providing the majority of Massachusetts’ adult inpatient oncology</w:t>
      </w:r>
      <w:r>
        <w:rPr>
          <w:spacing w:val="-5"/>
        </w:rPr>
        <w:t xml:space="preserve"> </w:t>
      </w:r>
      <w:r>
        <w:t>care,</w:t>
      </w:r>
      <w:r>
        <w:rPr>
          <w:spacing w:val="-3"/>
        </w:rPr>
        <w:t xml:space="preserve"> </w:t>
      </w:r>
      <w:r>
        <w:t>consisting</w:t>
      </w:r>
      <w:r>
        <w:rPr>
          <w:spacing w:val="-4"/>
        </w:rPr>
        <w:t xml:space="preserve"> </w:t>
      </w:r>
      <w:r>
        <w:t>of</w:t>
      </w:r>
      <w:r>
        <w:rPr>
          <w:spacing w:val="-4"/>
        </w:rPr>
        <w:t xml:space="preserve"> </w:t>
      </w:r>
      <w:r>
        <w:t>Massachusetts</w:t>
      </w:r>
      <w:r>
        <w:rPr>
          <w:spacing w:val="-3"/>
        </w:rPr>
        <w:t xml:space="preserve"> </w:t>
      </w:r>
      <w:r>
        <w:t>General</w:t>
      </w:r>
      <w:r>
        <w:rPr>
          <w:spacing w:val="-4"/>
        </w:rPr>
        <w:t xml:space="preserve"> </w:t>
      </w:r>
      <w:r>
        <w:t>Hospital,</w:t>
      </w:r>
      <w:r>
        <w:rPr>
          <w:spacing w:val="-3"/>
        </w:rPr>
        <w:t xml:space="preserve"> </w:t>
      </w:r>
      <w:r>
        <w:t>South</w:t>
      </w:r>
      <w:r>
        <w:rPr>
          <w:spacing w:val="-4"/>
        </w:rPr>
        <w:t xml:space="preserve"> </w:t>
      </w:r>
      <w:r>
        <w:t>Shore</w:t>
      </w:r>
      <w:r>
        <w:rPr>
          <w:spacing w:val="-2"/>
        </w:rPr>
        <w:t xml:space="preserve"> </w:t>
      </w:r>
      <w:r>
        <w:t>Hospital,</w:t>
      </w:r>
      <w:r>
        <w:rPr>
          <w:spacing w:val="-3"/>
        </w:rPr>
        <w:t xml:space="preserve"> </w:t>
      </w:r>
      <w:r>
        <w:t>Tufts</w:t>
      </w:r>
      <w:r>
        <w:rPr>
          <w:spacing w:val="-3"/>
        </w:rPr>
        <w:t xml:space="preserve"> </w:t>
      </w:r>
      <w:r>
        <w:t>Medical</w:t>
      </w:r>
      <w:r>
        <w:rPr>
          <w:spacing w:val="-4"/>
        </w:rPr>
        <w:t xml:space="preserve"> </w:t>
      </w:r>
      <w:r>
        <w:t>Center, and UMass Memorial Medical Center.</w:t>
      </w:r>
    </w:p>
  </w:footnote>
  <w:footnote w:id="227">
    <w:p w14:paraId="7C946977" w14:textId="420A9E76" w:rsidR="00887B3C" w:rsidRPr="0025444C" w:rsidRDefault="00887B3C" w:rsidP="00887B3C">
      <w:pPr>
        <w:spacing w:before="2"/>
        <w:ind w:left="990" w:right="940"/>
        <w:rPr>
          <w:rStyle w:val="Hyperlink"/>
          <w:color w:val="000000" w:themeColor="text1"/>
          <w:sz w:val="16"/>
          <w:u w:val="none"/>
        </w:rPr>
      </w:pPr>
      <w:r>
        <w:rPr>
          <w:rStyle w:val="FootnoteReference"/>
        </w:rPr>
        <w:footnoteRef/>
      </w:r>
      <w:r>
        <w:t xml:space="preserve"> </w:t>
      </w:r>
      <w:r>
        <w:rPr>
          <w:sz w:val="20"/>
        </w:rPr>
        <w:t>The declining share of Medicaid-insured discharges may have, at least in part, resulted from the MassHealth</w:t>
      </w:r>
      <w:r>
        <w:rPr>
          <w:spacing w:val="-4"/>
          <w:sz w:val="20"/>
        </w:rPr>
        <w:t xml:space="preserve"> </w:t>
      </w:r>
      <w:r>
        <w:rPr>
          <w:sz w:val="20"/>
        </w:rPr>
        <w:t>redeterminations</w:t>
      </w:r>
      <w:r>
        <w:rPr>
          <w:spacing w:val="-3"/>
          <w:sz w:val="20"/>
        </w:rPr>
        <w:t xml:space="preserve"> </w:t>
      </w:r>
      <w:r>
        <w:rPr>
          <w:sz w:val="20"/>
        </w:rPr>
        <w:t>process,</w:t>
      </w:r>
      <w:r>
        <w:rPr>
          <w:spacing w:val="-4"/>
          <w:sz w:val="20"/>
        </w:rPr>
        <w:t xml:space="preserve"> </w:t>
      </w:r>
      <w:r>
        <w:rPr>
          <w:sz w:val="20"/>
        </w:rPr>
        <w:t>which</w:t>
      </w:r>
      <w:r>
        <w:rPr>
          <w:spacing w:val="-4"/>
          <w:sz w:val="20"/>
        </w:rPr>
        <w:t xml:space="preserve"> </w:t>
      </w:r>
      <w:r>
        <w:rPr>
          <w:sz w:val="20"/>
        </w:rPr>
        <w:t>resulted</w:t>
      </w:r>
      <w:r>
        <w:rPr>
          <w:spacing w:val="-3"/>
          <w:sz w:val="20"/>
        </w:rPr>
        <w:t xml:space="preserve"> </w:t>
      </w:r>
      <w:r>
        <w:rPr>
          <w:sz w:val="20"/>
        </w:rPr>
        <w:t>in</w:t>
      </w:r>
      <w:r>
        <w:rPr>
          <w:spacing w:val="-2"/>
          <w:sz w:val="20"/>
        </w:rPr>
        <w:t xml:space="preserve"> </w:t>
      </w:r>
      <w:r>
        <w:rPr>
          <w:sz w:val="20"/>
        </w:rPr>
        <w:t>MassHealth</w:t>
      </w:r>
      <w:r>
        <w:rPr>
          <w:spacing w:val="-4"/>
          <w:sz w:val="20"/>
        </w:rPr>
        <w:t xml:space="preserve"> </w:t>
      </w:r>
      <w:r>
        <w:rPr>
          <w:sz w:val="20"/>
        </w:rPr>
        <w:t>membership</w:t>
      </w:r>
      <w:r>
        <w:rPr>
          <w:spacing w:val="-5"/>
          <w:sz w:val="20"/>
        </w:rPr>
        <w:t xml:space="preserve"> </w:t>
      </w:r>
      <w:r>
        <w:rPr>
          <w:sz w:val="20"/>
        </w:rPr>
        <w:t>decreasing</w:t>
      </w:r>
      <w:r>
        <w:rPr>
          <w:spacing w:val="-4"/>
          <w:sz w:val="20"/>
        </w:rPr>
        <w:t xml:space="preserve"> </w:t>
      </w:r>
      <w:r>
        <w:rPr>
          <w:sz w:val="20"/>
        </w:rPr>
        <w:t>by</w:t>
      </w:r>
      <w:r>
        <w:rPr>
          <w:spacing w:val="-5"/>
          <w:sz w:val="20"/>
        </w:rPr>
        <w:t xml:space="preserve"> </w:t>
      </w:r>
      <w:r>
        <w:rPr>
          <w:sz w:val="20"/>
        </w:rPr>
        <w:t>16%</w:t>
      </w:r>
      <w:r>
        <w:rPr>
          <w:spacing w:val="-4"/>
          <w:sz w:val="20"/>
        </w:rPr>
        <w:t xml:space="preserve"> </w:t>
      </w:r>
      <w:r>
        <w:rPr>
          <w:sz w:val="20"/>
        </w:rPr>
        <w:t xml:space="preserve">from April 2023 through May 2024. </w:t>
      </w:r>
      <w:r w:rsidR="0025444C" w:rsidRPr="0025444C">
        <w:rPr>
          <w:color w:val="000000" w:themeColor="text1"/>
          <w:sz w:val="20"/>
        </w:rPr>
        <w:fldChar w:fldCharType="begin"/>
      </w:r>
      <w:r w:rsidR="0025444C" w:rsidRPr="0025444C">
        <w:rPr>
          <w:color w:val="000000" w:themeColor="text1"/>
          <w:sz w:val="20"/>
        </w:rPr>
        <w:instrText>HYPERLINK "https://www.mass.gov/doc/june-2024-%20redetermination-key-takeaways/download."</w:instrText>
      </w:r>
      <w:r w:rsidR="0025444C" w:rsidRPr="0025444C">
        <w:rPr>
          <w:color w:val="000000" w:themeColor="text1"/>
          <w:sz w:val="20"/>
        </w:rPr>
      </w:r>
      <w:r w:rsidR="0025444C" w:rsidRPr="0025444C">
        <w:rPr>
          <w:color w:val="000000" w:themeColor="text1"/>
          <w:sz w:val="20"/>
        </w:rPr>
        <w:fldChar w:fldCharType="separate"/>
      </w:r>
      <w:r w:rsidRPr="0025444C">
        <w:rPr>
          <w:rStyle w:val="Hyperlink"/>
          <w:color w:val="000000" w:themeColor="text1"/>
          <w:sz w:val="20"/>
          <w:u w:val="none"/>
        </w:rPr>
        <w:t>M</w:t>
      </w:r>
      <w:r w:rsidRPr="0025444C">
        <w:rPr>
          <w:rStyle w:val="Hyperlink"/>
          <w:color w:val="000000" w:themeColor="text1"/>
          <w:sz w:val="16"/>
          <w:u w:val="none"/>
        </w:rPr>
        <w:t>ASS</w:t>
      </w:r>
      <w:r w:rsidRPr="0025444C">
        <w:rPr>
          <w:rStyle w:val="Hyperlink"/>
          <w:color w:val="000000" w:themeColor="text1"/>
          <w:sz w:val="20"/>
          <w:u w:val="none"/>
        </w:rPr>
        <w:t>.</w:t>
      </w:r>
      <w:r w:rsidRPr="0025444C">
        <w:rPr>
          <w:rStyle w:val="Hyperlink"/>
          <w:color w:val="000000" w:themeColor="text1"/>
          <w:spacing w:val="-6"/>
          <w:sz w:val="20"/>
          <w:u w:val="none"/>
        </w:rPr>
        <w:t xml:space="preserve"> </w:t>
      </w:r>
      <w:r w:rsidRPr="0025444C">
        <w:rPr>
          <w:rStyle w:val="Hyperlink"/>
          <w:color w:val="000000" w:themeColor="text1"/>
          <w:sz w:val="20"/>
          <w:u w:val="none"/>
        </w:rPr>
        <w:t>E</w:t>
      </w:r>
      <w:r w:rsidRPr="0025444C">
        <w:rPr>
          <w:rStyle w:val="Hyperlink"/>
          <w:color w:val="000000" w:themeColor="text1"/>
          <w:sz w:val="16"/>
          <w:u w:val="none"/>
        </w:rPr>
        <w:t>XEC</w:t>
      </w:r>
      <w:r w:rsidRPr="0025444C">
        <w:rPr>
          <w:rStyle w:val="Hyperlink"/>
          <w:color w:val="000000" w:themeColor="text1"/>
          <w:sz w:val="20"/>
          <w:u w:val="none"/>
        </w:rPr>
        <w:t>.</w:t>
      </w:r>
      <w:r w:rsidRPr="0025444C">
        <w:rPr>
          <w:rStyle w:val="Hyperlink"/>
          <w:color w:val="000000" w:themeColor="text1"/>
          <w:spacing w:val="-6"/>
          <w:sz w:val="20"/>
          <w:u w:val="none"/>
        </w:rPr>
        <w:t xml:space="preserve"> </w:t>
      </w:r>
      <w:r w:rsidRPr="0025444C">
        <w:rPr>
          <w:rStyle w:val="Hyperlink"/>
          <w:color w:val="000000" w:themeColor="text1"/>
          <w:sz w:val="20"/>
          <w:u w:val="none"/>
        </w:rPr>
        <w:t>O</w:t>
      </w:r>
      <w:r w:rsidRPr="0025444C">
        <w:rPr>
          <w:rStyle w:val="Hyperlink"/>
          <w:color w:val="000000" w:themeColor="text1"/>
          <w:sz w:val="16"/>
          <w:u w:val="none"/>
        </w:rPr>
        <w:t xml:space="preserve">FFICE OF </w:t>
      </w:r>
      <w:r w:rsidRPr="0025444C">
        <w:rPr>
          <w:rStyle w:val="Hyperlink"/>
          <w:color w:val="000000" w:themeColor="text1"/>
          <w:sz w:val="20"/>
          <w:u w:val="none"/>
        </w:rPr>
        <w:t>H</w:t>
      </w:r>
      <w:r w:rsidRPr="0025444C">
        <w:rPr>
          <w:rStyle w:val="Hyperlink"/>
          <w:color w:val="000000" w:themeColor="text1"/>
          <w:sz w:val="16"/>
          <w:u w:val="none"/>
        </w:rPr>
        <w:t xml:space="preserve">EALTH AND </w:t>
      </w:r>
      <w:r w:rsidRPr="0025444C">
        <w:rPr>
          <w:rStyle w:val="Hyperlink"/>
          <w:color w:val="000000" w:themeColor="text1"/>
          <w:sz w:val="20"/>
          <w:u w:val="none"/>
        </w:rPr>
        <w:t>H</w:t>
      </w:r>
      <w:r w:rsidRPr="0025444C">
        <w:rPr>
          <w:rStyle w:val="Hyperlink"/>
          <w:color w:val="000000" w:themeColor="text1"/>
          <w:sz w:val="16"/>
          <w:u w:val="none"/>
        </w:rPr>
        <w:t xml:space="preserve">UMAN </w:t>
      </w:r>
      <w:r w:rsidRPr="0025444C">
        <w:rPr>
          <w:rStyle w:val="Hyperlink"/>
          <w:color w:val="000000" w:themeColor="text1"/>
          <w:sz w:val="20"/>
          <w:u w:val="none"/>
        </w:rPr>
        <w:t>S</w:t>
      </w:r>
      <w:r w:rsidRPr="0025444C">
        <w:rPr>
          <w:rStyle w:val="Hyperlink"/>
          <w:color w:val="000000" w:themeColor="text1"/>
          <w:sz w:val="16"/>
          <w:u w:val="none"/>
        </w:rPr>
        <w:t>ERVICES</w:t>
      </w:r>
      <w:r w:rsidRPr="0025444C">
        <w:rPr>
          <w:rStyle w:val="Hyperlink"/>
          <w:color w:val="000000" w:themeColor="text1"/>
          <w:sz w:val="20"/>
          <w:u w:val="none"/>
        </w:rPr>
        <w:t>,</w:t>
      </w:r>
      <w:r w:rsidRPr="0025444C">
        <w:rPr>
          <w:rStyle w:val="Hyperlink"/>
          <w:color w:val="000000" w:themeColor="text1"/>
          <w:spacing w:val="-6"/>
          <w:sz w:val="20"/>
          <w:u w:val="none"/>
        </w:rPr>
        <w:t xml:space="preserve"> </w:t>
      </w:r>
      <w:r w:rsidRPr="0025444C">
        <w:rPr>
          <w:rStyle w:val="Hyperlink"/>
          <w:color w:val="000000" w:themeColor="text1"/>
          <w:sz w:val="20"/>
          <w:u w:val="none"/>
        </w:rPr>
        <w:t>J</w:t>
      </w:r>
      <w:r w:rsidRPr="0025444C">
        <w:rPr>
          <w:rStyle w:val="Hyperlink"/>
          <w:color w:val="000000" w:themeColor="text1"/>
          <w:sz w:val="16"/>
          <w:u w:val="none"/>
        </w:rPr>
        <w:t xml:space="preserve">UNE </w:t>
      </w:r>
      <w:r w:rsidRPr="0025444C">
        <w:rPr>
          <w:rStyle w:val="Hyperlink"/>
          <w:color w:val="000000" w:themeColor="text1"/>
          <w:sz w:val="20"/>
          <w:u w:val="none"/>
        </w:rPr>
        <w:t>2024:</w:t>
      </w:r>
      <w:r w:rsidRPr="0025444C">
        <w:rPr>
          <w:rStyle w:val="Hyperlink"/>
          <w:color w:val="000000" w:themeColor="text1"/>
          <w:spacing w:val="-6"/>
          <w:sz w:val="20"/>
          <w:u w:val="none"/>
        </w:rPr>
        <w:t xml:space="preserve"> </w:t>
      </w:r>
      <w:r w:rsidRPr="0025444C">
        <w:rPr>
          <w:rStyle w:val="Hyperlink"/>
          <w:color w:val="000000" w:themeColor="text1"/>
          <w:sz w:val="20"/>
          <w:u w:val="none"/>
        </w:rPr>
        <w:t>F</w:t>
      </w:r>
      <w:r w:rsidRPr="0025444C">
        <w:rPr>
          <w:rStyle w:val="Hyperlink"/>
          <w:color w:val="000000" w:themeColor="text1"/>
          <w:sz w:val="16"/>
          <w:u w:val="none"/>
        </w:rPr>
        <w:t xml:space="preserve">INAL </w:t>
      </w:r>
      <w:r w:rsidRPr="0025444C">
        <w:rPr>
          <w:rStyle w:val="Hyperlink"/>
          <w:color w:val="000000" w:themeColor="text1"/>
          <w:sz w:val="20"/>
          <w:u w:val="none"/>
        </w:rPr>
        <w:t>U</w:t>
      </w:r>
      <w:r w:rsidRPr="0025444C">
        <w:rPr>
          <w:rStyle w:val="Hyperlink"/>
          <w:color w:val="000000" w:themeColor="text1"/>
          <w:sz w:val="16"/>
          <w:u w:val="none"/>
        </w:rPr>
        <w:t>PDATE ON</w:t>
      </w:r>
    </w:p>
    <w:p w14:paraId="72F06127" w14:textId="3DAD0C2A" w:rsidR="00887B3C" w:rsidRPr="00887B3C" w:rsidRDefault="00887B3C" w:rsidP="00887B3C">
      <w:pPr>
        <w:ind w:left="990" w:right="940"/>
        <w:rPr>
          <w:sz w:val="20"/>
        </w:rPr>
      </w:pPr>
      <w:r w:rsidRPr="0025444C">
        <w:rPr>
          <w:rStyle w:val="Hyperlink"/>
          <w:color w:val="000000" w:themeColor="text1"/>
          <w:sz w:val="20"/>
          <w:u w:val="none"/>
        </w:rPr>
        <w:t>M</w:t>
      </w:r>
      <w:r w:rsidRPr="0025444C">
        <w:rPr>
          <w:rStyle w:val="Hyperlink"/>
          <w:color w:val="000000" w:themeColor="text1"/>
          <w:sz w:val="16"/>
          <w:u w:val="none"/>
        </w:rPr>
        <w:t>ASS</w:t>
      </w:r>
      <w:r w:rsidRPr="0025444C">
        <w:rPr>
          <w:rStyle w:val="Hyperlink"/>
          <w:color w:val="000000" w:themeColor="text1"/>
          <w:sz w:val="20"/>
          <w:u w:val="none"/>
        </w:rPr>
        <w:t>H</w:t>
      </w:r>
      <w:r w:rsidRPr="0025444C">
        <w:rPr>
          <w:rStyle w:val="Hyperlink"/>
          <w:color w:val="000000" w:themeColor="text1"/>
          <w:sz w:val="16"/>
          <w:u w:val="none"/>
        </w:rPr>
        <w:t>EALTH</w:t>
      </w:r>
      <w:r w:rsidRPr="0025444C">
        <w:rPr>
          <w:rStyle w:val="Hyperlink"/>
          <w:color w:val="000000" w:themeColor="text1"/>
          <w:spacing w:val="-8"/>
          <w:sz w:val="16"/>
          <w:u w:val="none"/>
        </w:rPr>
        <w:t xml:space="preserve"> </w:t>
      </w:r>
      <w:r w:rsidRPr="0025444C">
        <w:rPr>
          <w:rStyle w:val="Hyperlink"/>
          <w:color w:val="000000" w:themeColor="text1"/>
          <w:sz w:val="20"/>
          <w:u w:val="none"/>
        </w:rPr>
        <w:t>R</w:t>
      </w:r>
      <w:r w:rsidRPr="0025444C">
        <w:rPr>
          <w:rStyle w:val="Hyperlink"/>
          <w:color w:val="000000" w:themeColor="text1"/>
          <w:sz w:val="16"/>
          <w:u w:val="none"/>
        </w:rPr>
        <w:t>EDETERMINATIONS</w:t>
      </w:r>
      <w:r w:rsidRPr="0025444C">
        <w:rPr>
          <w:rStyle w:val="Hyperlink"/>
          <w:color w:val="000000" w:themeColor="text1"/>
          <w:sz w:val="20"/>
          <w:u w:val="none"/>
        </w:rPr>
        <w:t>,</w:t>
      </w:r>
      <w:r w:rsidR="0025444C" w:rsidRPr="0025444C">
        <w:rPr>
          <w:color w:val="000000" w:themeColor="text1"/>
          <w:sz w:val="20"/>
        </w:rPr>
        <w:fldChar w:fldCharType="end"/>
      </w:r>
      <w:r w:rsidRPr="0025444C">
        <w:rPr>
          <w:color w:val="000000" w:themeColor="text1"/>
          <w:spacing w:val="-13"/>
          <w:sz w:val="20"/>
        </w:rPr>
        <w:t xml:space="preserve"> </w:t>
      </w:r>
      <w:r w:rsidRPr="0025444C">
        <w:rPr>
          <w:color w:val="000000" w:themeColor="text1"/>
          <w:sz w:val="20"/>
        </w:rPr>
        <w:t>at</w:t>
      </w:r>
      <w:r w:rsidRPr="0025444C">
        <w:rPr>
          <w:color w:val="000000" w:themeColor="text1"/>
          <w:spacing w:val="-5"/>
          <w:sz w:val="20"/>
        </w:rPr>
        <w:t xml:space="preserve"> </w:t>
      </w:r>
      <w:r w:rsidRPr="0025444C">
        <w:rPr>
          <w:color w:val="000000" w:themeColor="text1"/>
          <w:sz w:val="20"/>
        </w:rPr>
        <w:t>1</w:t>
      </w:r>
      <w:r w:rsidRPr="0025444C">
        <w:rPr>
          <w:color w:val="000000" w:themeColor="text1"/>
          <w:spacing w:val="-5"/>
          <w:sz w:val="20"/>
        </w:rPr>
        <w:t xml:space="preserve"> </w:t>
      </w:r>
      <w:r>
        <w:rPr>
          <w:sz w:val="20"/>
        </w:rPr>
        <w:t>(Jun.</w:t>
      </w:r>
      <w:r>
        <w:rPr>
          <w:spacing w:val="-5"/>
          <w:sz w:val="20"/>
        </w:rPr>
        <w:t xml:space="preserve"> </w:t>
      </w:r>
      <w:r>
        <w:rPr>
          <w:sz w:val="20"/>
        </w:rPr>
        <w:t>24),</w:t>
      </w:r>
      <w:r>
        <w:rPr>
          <w:spacing w:val="-5"/>
          <w:sz w:val="20"/>
        </w:rPr>
        <w:t xml:space="preserve"> </w:t>
      </w:r>
      <w:r>
        <w:rPr>
          <w:i/>
          <w:sz w:val="20"/>
        </w:rPr>
        <w:t>available</w:t>
      </w:r>
      <w:r>
        <w:rPr>
          <w:i/>
          <w:spacing w:val="-4"/>
          <w:sz w:val="20"/>
        </w:rPr>
        <w:t xml:space="preserve"> </w:t>
      </w:r>
      <w:r>
        <w:rPr>
          <w:i/>
          <w:sz w:val="20"/>
        </w:rPr>
        <w:t>at</w:t>
      </w:r>
      <w:r>
        <w:rPr>
          <w:i/>
          <w:spacing w:val="-5"/>
          <w:sz w:val="20"/>
        </w:rPr>
        <w:t xml:space="preserve"> </w:t>
      </w:r>
      <w:hyperlink r:id="rId295">
        <w:r>
          <w:rPr>
            <w:color w:val="486794"/>
            <w:sz w:val="20"/>
            <w:u w:val="single" w:color="486794"/>
          </w:rPr>
          <w:t>https://www.mass.gov/doc/june-2024-</w:t>
        </w:r>
      </w:hyperlink>
      <w:r>
        <w:rPr>
          <w:color w:val="486794"/>
          <w:sz w:val="20"/>
        </w:rPr>
        <w:t xml:space="preserve"> </w:t>
      </w:r>
      <w:hyperlink r:id="rId296">
        <w:r>
          <w:rPr>
            <w:color w:val="486794"/>
            <w:spacing w:val="-2"/>
            <w:sz w:val="20"/>
            <w:u w:val="single" w:color="486794"/>
          </w:rPr>
          <w:t>redetermination-key-takeaways/download</w:t>
        </w:r>
        <w:r>
          <w:rPr>
            <w:spacing w:val="-2"/>
            <w:sz w:val="20"/>
          </w:rPr>
          <w:t>.</w:t>
        </w:r>
      </w:hyperlink>
    </w:p>
  </w:footnote>
  <w:footnote w:id="228">
    <w:p w14:paraId="77FCF82C" w14:textId="0D490EAB" w:rsidR="00887B3C" w:rsidRDefault="00887B3C" w:rsidP="00887B3C">
      <w:pPr>
        <w:pStyle w:val="FootnoteText"/>
        <w:ind w:left="990" w:right="940"/>
      </w:pPr>
      <w:r>
        <w:rPr>
          <w:rStyle w:val="FootnoteReference"/>
        </w:rPr>
        <w:footnoteRef/>
      </w:r>
      <w:r>
        <w:t xml:space="preserve"> HPC analysis of 2019 – 2023 CHIA Massachusetts Hospital Discharge Database, including discharges at all Massachusetts hospitals and excluding non-MA residents, normal newborns, and discharges for patients under 18 years of age. We found that the statewide share of commercially insured discharges declined</w:t>
      </w:r>
      <w:r>
        <w:rPr>
          <w:spacing w:val="-2"/>
        </w:rPr>
        <w:t xml:space="preserve"> </w:t>
      </w:r>
      <w:r>
        <w:t>over</w:t>
      </w:r>
      <w:r>
        <w:rPr>
          <w:spacing w:val="-4"/>
        </w:rPr>
        <w:t xml:space="preserve"> </w:t>
      </w:r>
      <w:r>
        <w:t>time,</w:t>
      </w:r>
      <w:r>
        <w:rPr>
          <w:spacing w:val="-2"/>
        </w:rPr>
        <w:t xml:space="preserve"> </w:t>
      </w:r>
      <w:r>
        <w:t>though</w:t>
      </w:r>
      <w:r>
        <w:rPr>
          <w:spacing w:val="-3"/>
        </w:rPr>
        <w:t xml:space="preserve"> </w:t>
      </w:r>
      <w:r>
        <w:t>the</w:t>
      </w:r>
      <w:r>
        <w:rPr>
          <w:spacing w:val="-4"/>
        </w:rPr>
        <w:t xml:space="preserve"> </w:t>
      </w:r>
      <w:r>
        <w:t>decline</w:t>
      </w:r>
      <w:r>
        <w:rPr>
          <w:spacing w:val="-4"/>
        </w:rPr>
        <w:t xml:space="preserve"> </w:t>
      </w:r>
      <w:r>
        <w:t>was</w:t>
      </w:r>
      <w:r>
        <w:rPr>
          <w:spacing w:val="-2"/>
        </w:rPr>
        <w:t xml:space="preserve"> </w:t>
      </w:r>
      <w:r>
        <w:t>slower</w:t>
      </w:r>
      <w:r>
        <w:rPr>
          <w:spacing w:val="-4"/>
        </w:rPr>
        <w:t xml:space="preserve"> </w:t>
      </w:r>
      <w:r>
        <w:t>than</w:t>
      </w:r>
      <w:r>
        <w:rPr>
          <w:spacing w:val="-3"/>
        </w:rPr>
        <w:t xml:space="preserve"> </w:t>
      </w:r>
      <w:r>
        <w:t>that</w:t>
      </w:r>
      <w:r>
        <w:rPr>
          <w:spacing w:val="-2"/>
        </w:rPr>
        <w:t xml:space="preserve"> </w:t>
      </w:r>
      <w:r>
        <w:t>for</w:t>
      </w:r>
      <w:r>
        <w:rPr>
          <w:spacing w:val="-4"/>
        </w:rPr>
        <w:t xml:space="preserve"> </w:t>
      </w:r>
      <w:r>
        <w:t>oncology</w:t>
      </w:r>
      <w:r>
        <w:rPr>
          <w:spacing w:val="-4"/>
        </w:rPr>
        <w:t xml:space="preserve"> </w:t>
      </w:r>
      <w:r>
        <w:t>discharges.</w:t>
      </w:r>
      <w:r>
        <w:rPr>
          <w:spacing w:val="-2"/>
        </w:rPr>
        <w:t xml:space="preserve"> </w:t>
      </w:r>
      <w:r>
        <w:t>Over</w:t>
      </w:r>
      <w:r>
        <w:rPr>
          <w:spacing w:val="-4"/>
        </w:rPr>
        <w:t xml:space="preserve"> </w:t>
      </w:r>
      <w:r>
        <w:t>the</w:t>
      </w:r>
      <w:r>
        <w:rPr>
          <w:spacing w:val="-4"/>
        </w:rPr>
        <w:t xml:space="preserve"> </w:t>
      </w:r>
      <w:r>
        <w:t>same</w:t>
      </w:r>
      <w:r>
        <w:rPr>
          <w:spacing w:val="-4"/>
        </w:rPr>
        <w:t xml:space="preserve"> </w:t>
      </w:r>
      <w:r>
        <w:t>period,</w:t>
      </w:r>
      <w:r w:rsidRPr="00887B3C">
        <w:t xml:space="preserve"> </w:t>
      </w:r>
      <w:r>
        <w:t xml:space="preserve">the proportion of Medicaid-insured discharges decreased, and the share of Medicare-insured discharges </w:t>
      </w:r>
      <w:r>
        <w:rPr>
          <w:spacing w:val="-2"/>
        </w:rPr>
        <w:t>increased.</w:t>
      </w:r>
    </w:p>
  </w:footnote>
  <w:footnote w:id="229">
    <w:p w14:paraId="138E927B" w14:textId="54533083" w:rsidR="00225EDD" w:rsidRDefault="00225EDD" w:rsidP="008616D9">
      <w:pPr>
        <w:pStyle w:val="FootnoteText"/>
        <w:tabs>
          <w:tab w:val="left" w:pos="10080"/>
        </w:tabs>
        <w:ind w:left="990" w:right="940"/>
      </w:pPr>
      <w:r>
        <w:rPr>
          <w:rStyle w:val="FootnoteReference"/>
        </w:rPr>
        <w:footnoteRef/>
      </w:r>
      <w:r>
        <w:t xml:space="preserve"> Accounting</w:t>
      </w:r>
      <w:r>
        <w:rPr>
          <w:spacing w:val="-3"/>
        </w:rPr>
        <w:t xml:space="preserve"> </w:t>
      </w:r>
      <w:r>
        <w:t>for</w:t>
      </w:r>
      <w:r>
        <w:rPr>
          <w:spacing w:val="-2"/>
        </w:rPr>
        <w:t xml:space="preserve"> </w:t>
      </w:r>
      <w:r>
        <w:t>patients</w:t>
      </w:r>
      <w:r>
        <w:rPr>
          <w:spacing w:val="-2"/>
        </w:rPr>
        <w:t xml:space="preserve"> </w:t>
      </w:r>
      <w:r>
        <w:t>managed</w:t>
      </w:r>
      <w:r>
        <w:rPr>
          <w:spacing w:val="-2"/>
        </w:rPr>
        <w:t xml:space="preserve"> </w:t>
      </w:r>
      <w:r>
        <w:t>by</w:t>
      </w:r>
      <w:r>
        <w:rPr>
          <w:spacing w:val="-4"/>
        </w:rPr>
        <w:t xml:space="preserve"> </w:t>
      </w:r>
      <w:r>
        <w:t>DFCI</w:t>
      </w:r>
      <w:r>
        <w:rPr>
          <w:spacing w:val="-2"/>
        </w:rPr>
        <w:t xml:space="preserve"> </w:t>
      </w:r>
      <w:r>
        <w:t>at</w:t>
      </w:r>
      <w:r>
        <w:rPr>
          <w:spacing w:val="-2"/>
        </w:rPr>
        <w:t xml:space="preserve"> </w:t>
      </w:r>
      <w:r>
        <w:t>BWH,</w:t>
      </w:r>
      <w:r>
        <w:rPr>
          <w:spacing w:val="-2"/>
        </w:rPr>
        <w:t xml:space="preserve"> </w:t>
      </w:r>
      <w:r>
        <w:t>DFCI</w:t>
      </w:r>
      <w:r>
        <w:rPr>
          <w:spacing w:val="-2"/>
        </w:rPr>
        <w:t xml:space="preserve"> </w:t>
      </w:r>
      <w:r>
        <w:t>and</w:t>
      </w:r>
      <w:r>
        <w:rPr>
          <w:spacing w:val="-2"/>
        </w:rPr>
        <w:t xml:space="preserve"> </w:t>
      </w:r>
      <w:r>
        <w:t>BWH</w:t>
      </w:r>
      <w:r>
        <w:rPr>
          <w:spacing w:val="-4"/>
        </w:rPr>
        <w:t xml:space="preserve"> </w:t>
      </w:r>
      <w:r>
        <w:t>together</w:t>
      </w:r>
      <w:r>
        <w:rPr>
          <w:spacing w:val="-4"/>
        </w:rPr>
        <w:t xml:space="preserve"> </w:t>
      </w:r>
      <w:r>
        <w:t>have</w:t>
      </w:r>
      <w:r>
        <w:rPr>
          <w:spacing w:val="-4"/>
        </w:rPr>
        <w:t xml:space="preserve"> </w:t>
      </w:r>
      <w:r>
        <w:t>higher</w:t>
      </w:r>
      <w:r>
        <w:rPr>
          <w:spacing w:val="-4"/>
        </w:rPr>
        <w:t xml:space="preserve"> </w:t>
      </w:r>
      <w:r>
        <w:t>inpatient</w:t>
      </w:r>
      <w:r>
        <w:rPr>
          <w:spacing w:val="-2"/>
        </w:rPr>
        <w:t xml:space="preserve"> </w:t>
      </w:r>
      <w:r>
        <w:t>medical oncology commercial mix, higher Medicaid mix, and lower Medicare mix than the statewide average. HPC analysis of 2019 – 2023 CHIA Massachusetts Hospital Discharge Database.</w:t>
      </w:r>
    </w:p>
  </w:footnote>
  <w:footnote w:id="230">
    <w:p w14:paraId="067404D1" w14:textId="77777777" w:rsidR="003E1DFC" w:rsidRDefault="003E1DFC" w:rsidP="008616D9">
      <w:pPr>
        <w:tabs>
          <w:tab w:val="left" w:pos="10080"/>
        </w:tabs>
        <w:spacing w:before="2"/>
        <w:ind w:left="990" w:right="991"/>
        <w:rPr>
          <w:sz w:val="20"/>
        </w:rPr>
      </w:pPr>
      <w:r>
        <w:rPr>
          <w:rStyle w:val="FootnoteReference"/>
        </w:rPr>
        <w:footnoteRef/>
      </w:r>
      <w:r>
        <w:t xml:space="preserve"> </w:t>
      </w:r>
      <w:r>
        <w:rPr>
          <w:sz w:val="20"/>
        </w:rPr>
        <w:t>HPC</w:t>
      </w:r>
      <w:r>
        <w:rPr>
          <w:spacing w:val="-3"/>
          <w:sz w:val="20"/>
        </w:rPr>
        <w:t xml:space="preserve"> </w:t>
      </w:r>
      <w:r>
        <w:rPr>
          <w:sz w:val="20"/>
        </w:rPr>
        <w:t>analysis</w:t>
      </w:r>
      <w:r>
        <w:rPr>
          <w:spacing w:val="-2"/>
          <w:sz w:val="20"/>
        </w:rPr>
        <w:t xml:space="preserve"> </w:t>
      </w:r>
      <w:r>
        <w:rPr>
          <w:sz w:val="20"/>
        </w:rPr>
        <w:t>of</w:t>
      </w:r>
      <w:r>
        <w:rPr>
          <w:spacing w:val="-3"/>
          <w:sz w:val="20"/>
        </w:rPr>
        <w:t xml:space="preserve"> </w:t>
      </w:r>
      <w:r>
        <w:rPr>
          <w:sz w:val="20"/>
        </w:rPr>
        <w:t>DFCI’s</w:t>
      </w:r>
      <w:r>
        <w:rPr>
          <w:spacing w:val="-2"/>
          <w:sz w:val="20"/>
        </w:rPr>
        <w:t xml:space="preserve"> </w:t>
      </w:r>
      <w:r>
        <w:rPr>
          <w:sz w:val="20"/>
        </w:rPr>
        <w:t>combined</w:t>
      </w:r>
      <w:r>
        <w:rPr>
          <w:spacing w:val="-2"/>
          <w:sz w:val="20"/>
        </w:rPr>
        <w:t xml:space="preserve"> </w:t>
      </w:r>
      <w:r>
        <w:rPr>
          <w:sz w:val="20"/>
        </w:rPr>
        <w:t>inpatient</w:t>
      </w:r>
      <w:r>
        <w:rPr>
          <w:spacing w:val="-2"/>
          <w:sz w:val="20"/>
        </w:rPr>
        <w:t xml:space="preserve"> </w:t>
      </w:r>
      <w:r>
        <w:rPr>
          <w:sz w:val="20"/>
        </w:rPr>
        <w:t>and</w:t>
      </w:r>
      <w:r>
        <w:rPr>
          <w:spacing w:val="-2"/>
          <w:sz w:val="20"/>
        </w:rPr>
        <w:t xml:space="preserve"> </w:t>
      </w:r>
      <w:r>
        <w:rPr>
          <w:sz w:val="20"/>
        </w:rPr>
        <w:t>outpatient</w:t>
      </w:r>
      <w:r>
        <w:rPr>
          <w:spacing w:val="-2"/>
          <w:sz w:val="20"/>
        </w:rPr>
        <w:t xml:space="preserve"> </w:t>
      </w:r>
      <w:r>
        <w:rPr>
          <w:sz w:val="20"/>
        </w:rPr>
        <w:t>payer</w:t>
      </w:r>
      <w:r>
        <w:rPr>
          <w:spacing w:val="-4"/>
          <w:sz w:val="20"/>
        </w:rPr>
        <w:t xml:space="preserve"> </w:t>
      </w:r>
      <w:r>
        <w:rPr>
          <w:sz w:val="20"/>
        </w:rPr>
        <w:t>mix</w:t>
      </w:r>
      <w:r>
        <w:rPr>
          <w:spacing w:val="-4"/>
          <w:sz w:val="20"/>
        </w:rPr>
        <w:t xml:space="preserve"> </w:t>
      </w:r>
      <w:r>
        <w:rPr>
          <w:sz w:val="20"/>
        </w:rPr>
        <w:t>using</w:t>
      </w:r>
      <w:r>
        <w:rPr>
          <w:spacing w:val="-3"/>
          <w:sz w:val="20"/>
        </w:rPr>
        <w:t xml:space="preserve"> </w:t>
      </w:r>
      <w:r>
        <w:rPr>
          <w:sz w:val="20"/>
        </w:rPr>
        <w:t>gross</w:t>
      </w:r>
      <w:r>
        <w:rPr>
          <w:spacing w:val="-2"/>
          <w:sz w:val="20"/>
        </w:rPr>
        <w:t xml:space="preserve"> </w:t>
      </w:r>
      <w:r>
        <w:rPr>
          <w:sz w:val="20"/>
        </w:rPr>
        <w:t>patient</w:t>
      </w:r>
      <w:r>
        <w:rPr>
          <w:spacing w:val="-2"/>
          <w:sz w:val="20"/>
        </w:rPr>
        <w:t xml:space="preserve"> </w:t>
      </w:r>
      <w:r>
        <w:rPr>
          <w:sz w:val="20"/>
        </w:rPr>
        <w:t>service</w:t>
      </w:r>
      <w:r>
        <w:rPr>
          <w:spacing w:val="-1"/>
          <w:sz w:val="20"/>
        </w:rPr>
        <w:t xml:space="preserve"> </w:t>
      </w:r>
      <w:r>
        <w:rPr>
          <w:sz w:val="20"/>
        </w:rPr>
        <w:t>revenue (GPSR) data from CHIA Hospital Cost Reports found that DFCI’s overall payer mix is primarily commercial and</w:t>
      </w:r>
      <w:r>
        <w:rPr>
          <w:spacing w:val="-2"/>
          <w:sz w:val="20"/>
        </w:rPr>
        <w:t xml:space="preserve"> </w:t>
      </w:r>
      <w:r>
        <w:rPr>
          <w:sz w:val="20"/>
        </w:rPr>
        <w:t>Medicare,</w:t>
      </w:r>
      <w:r>
        <w:rPr>
          <w:spacing w:val="-2"/>
          <w:sz w:val="20"/>
        </w:rPr>
        <w:t xml:space="preserve"> </w:t>
      </w:r>
      <w:r>
        <w:rPr>
          <w:sz w:val="20"/>
        </w:rPr>
        <w:t>with</w:t>
      </w:r>
      <w:r>
        <w:rPr>
          <w:spacing w:val="-3"/>
          <w:sz w:val="20"/>
        </w:rPr>
        <w:t xml:space="preserve"> </w:t>
      </w:r>
      <w:r>
        <w:rPr>
          <w:sz w:val="20"/>
        </w:rPr>
        <w:t>DFCI</w:t>
      </w:r>
      <w:r>
        <w:rPr>
          <w:spacing w:val="-2"/>
          <w:sz w:val="20"/>
        </w:rPr>
        <w:t xml:space="preserve"> </w:t>
      </w:r>
      <w:r>
        <w:rPr>
          <w:sz w:val="20"/>
        </w:rPr>
        <w:t>having</w:t>
      </w:r>
      <w:r>
        <w:rPr>
          <w:spacing w:val="-3"/>
          <w:sz w:val="20"/>
        </w:rPr>
        <w:t xml:space="preserve"> </w:t>
      </w:r>
      <w:r>
        <w:rPr>
          <w:sz w:val="20"/>
        </w:rPr>
        <w:t>a</w:t>
      </w:r>
      <w:r>
        <w:rPr>
          <w:spacing w:val="-3"/>
          <w:sz w:val="20"/>
        </w:rPr>
        <w:t xml:space="preserve"> </w:t>
      </w:r>
      <w:r>
        <w:rPr>
          <w:sz w:val="20"/>
        </w:rPr>
        <w:t>Medicaid</w:t>
      </w:r>
      <w:r>
        <w:rPr>
          <w:spacing w:val="-2"/>
          <w:sz w:val="20"/>
        </w:rPr>
        <w:t xml:space="preserve"> </w:t>
      </w:r>
      <w:r>
        <w:rPr>
          <w:sz w:val="20"/>
        </w:rPr>
        <w:t>mix</w:t>
      </w:r>
      <w:r>
        <w:rPr>
          <w:spacing w:val="-4"/>
          <w:sz w:val="20"/>
        </w:rPr>
        <w:t xml:space="preserve"> </w:t>
      </w:r>
      <w:r>
        <w:rPr>
          <w:sz w:val="20"/>
        </w:rPr>
        <w:t>of</w:t>
      </w:r>
      <w:r>
        <w:rPr>
          <w:spacing w:val="-3"/>
          <w:sz w:val="20"/>
        </w:rPr>
        <w:t xml:space="preserve"> </w:t>
      </w:r>
      <w:r>
        <w:rPr>
          <w:sz w:val="20"/>
        </w:rPr>
        <w:t>only</w:t>
      </w:r>
      <w:r>
        <w:rPr>
          <w:spacing w:val="-4"/>
          <w:sz w:val="20"/>
        </w:rPr>
        <w:t xml:space="preserve"> </w:t>
      </w:r>
      <w:r>
        <w:rPr>
          <w:sz w:val="20"/>
        </w:rPr>
        <w:t>8.2%.</w:t>
      </w:r>
      <w:r>
        <w:rPr>
          <w:spacing w:val="-2"/>
          <w:sz w:val="20"/>
        </w:rPr>
        <w:t xml:space="preserve"> </w:t>
      </w:r>
      <w:r>
        <w:rPr>
          <w:sz w:val="20"/>
        </w:rPr>
        <w:t>Comparator</w:t>
      </w:r>
      <w:r>
        <w:rPr>
          <w:spacing w:val="-4"/>
          <w:sz w:val="20"/>
        </w:rPr>
        <w:t xml:space="preserve"> </w:t>
      </w:r>
      <w:r>
        <w:rPr>
          <w:sz w:val="20"/>
        </w:rPr>
        <w:t>GPSR</w:t>
      </w:r>
      <w:r>
        <w:rPr>
          <w:spacing w:val="-3"/>
          <w:sz w:val="20"/>
        </w:rPr>
        <w:t xml:space="preserve"> </w:t>
      </w:r>
      <w:r>
        <w:rPr>
          <w:sz w:val="20"/>
        </w:rPr>
        <w:t>data</w:t>
      </w:r>
      <w:r>
        <w:rPr>
          <w:spacing w:val="-3"/>
          <w:sz w:val="20"/>
        </w:rPr>
        <w:t xml:space="preserve"> </w:t>
      </w:r>
      <w:r>
        <w:rPr>
          <w:sz w:val="20"/>
        </w:rPr>
        <w:t>for</w:t>
      </w:r>
      <w:r>
        <w:rPr>
          <w:spacing w:val="-4"/>
          <w:sz w:val="20"/>
        </w:rPr>
        <w:t xml:space="preserve"> </w:t>
      </w:r>
      <w:r>
        <w:rPr>
          <w:sz w:val="20"/>
        </w:rPr>
        <w:t>other</w:t>
      </w:r>
      <w:r>
        <w:rPr>
          <w:spacing w:val="-4"/>
          <w:sz w:val="20"/>
        </w:rPr>
        <w:t xml:space="preserve"> </w:t>
      </w:r>
      <w:r>
        <w:rPr>
          <w:sz w:val="20"/>
        </w:rPr>
        <w:t>hospitals</w:t>
      </w:r>
      <w:r>
        <w:rPr>
          <w:spacing w:val="-2"/>
          <w:sz w:val="20"/>
        </w:rPr>
        <w:t xml:space="preserve"> </w:t>
      </w:r>
      <w:r>
        <w:rPr>
          <w:sz w:val="20"/>
        </w:rPr>
        <w:t>are not limited to oncology service lines, but the statewide hospital median Medicaid mix by GPSR is 21.5%.</w:t>
      </w:r>
    </w:p>
    <w:p w14:paraId="2BE98BFC" w14:textId="5A7A2373" w:rsidR="003E1DFC" w:rsidRPr="001956C5" w:rsidRDefault="001956C5" w:rsidP="008616D9">
      <w:pPr>
        <w:tabs>
          <w:tab w:val="left" w:pos="10080"/>
        </w:tabs>
        <w:spacing w:line="226" w:lineRule="exact"/>
        <w:ind w:left="990"/>
        <w:rPr>
          <w:rStyle w:val="Hyperlink"/>
          <w:color w:val="000000" w:themeColor="text1"/>
          <w:sz w:val="20"/>
          <w:u w:val="none"/>
        </w:rPr>
      </w:pPr>
      <w:r w:rsidRPr="001956C5">
        <w:rPr>
          <w:smallCaps/>
          <w:color w:val="000000" w:themeColor="text1"/>
          <w:sz w:val="20"/>
        </w:rPr>
        <w:fldChar w:fldCharType="begin"/>
      </w:r>
      <w:r w:rsidRPr="001956C5">
        <w:rPr>
          <w:smallCaps/>
          <w:color w:val="000000" w:themeColor="text1"/>
          <w:sz w:val="20"/>
        </w:rPr>
        <w:instrText>HYPERLINK "https://www.chiamass.gov/assets/docs/r/hospital-profiles/2022/FY22-Massachusetts-Hospital-Profiles-%20Databook.xlsx."</w:instrText>
      </w:r>
      <w:r w:rsidRPr="001956C5">
        <w:rPr>
          <w:smallCaps/>
          <w:color w:val="000000" w:themeColor="text1"/>
          <w:sz w:val="20"/>
        </w:rPr>
      </w:r>
      <w:r w:rsidRPr="001956C5">
        <w:rPr>
          <w:smallCaps/>
          <w:color w:val="000000" w:themeColor="text1"/>
          <w:sz w:val="20"/>
        </w:rPr>
        <w:fldChar w:fldCharType="separate"/>
      </w:r>
      <w:r w:rsidR="003E1DFC" w:rsidRPr="001956C5">
        <w:rPr>
          <w:rStyle w:val="Hyperlink"/>
          <w:smallCaps/>
          <w:color w:val="000000" w:themeColor="text1"/>
          <w:sz w:val="20"/>
          <w:u w:val="none"/>
        </w:rPr>
        <w:t>Ctr.</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For</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Health</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Info.</w:t>
      </w:r>
      <w:r w:rsidR="003E1DFC" w:rsidRPr="001956C5">
        <w:rPr>
          <w:rStyle w:val="Hyperlink"/>
          <w:smallCaps/>
          <w:color w:val="000000" w:themeColor="text1"/>
          <w:spacing w:val="-11"/>
          <w:sz w:val="20"/>
          <w:u w:val="none"/>
        </w:rPr>
        <w:t xml:space="preserve"> </w:t>
      </w:r>
      <w:r w:rsidR="003E1DFC" w:rsidRPr="001956C5">
        <w:rPr>
          <w:rStyle w:val="Hyperlink"/>
          <w:smallCaps/>
          <w:color w:val="000000" w:themeColor="text1"/>
          <w:sz w:val="20"/>
          <w:u w:val="none"/>
        </w:rPr>
        <w:t>&amp;</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Analysis,</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Massachusetts</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Hospital</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Profiles</w:t>
      </w:r>
      <w:r w:rsidR="003E1DFC" w:rsidRPr="001956C5">
        <w:rPr>
          <w:rStyle w:val="Hyperlink"/>
          <w:smallCaps/>
          <w:color w:val="000000" w:themeColor="text1"/>
          <w:spacing w:val="-10"/>
          <w:sz w:val="20"/>
          <w:u w:val="none"/>
        </w:rPr>
        <w:t xml:space="preserve"> </w:t>
      </w:r>
      <w:r w:rsidR="003E1DFC" w:rsidRPr="001956C5">
        <w:rPr>
          <w:rStyle w:val="Hyperlink"/>
          <w:smallCaps/>
          <w:color w:val="000000" w:themeColor="text1"/>
          <w:sz w:val="20"/>
          <w:u w:val="none"/>
        </w:rPr>
        <w:t>Acute</w:t>
      </w:r>
      <w:r w:rsidR="003E1DFC" w:rsidRPr="001956C5">
        <w:rPr>
          <w:rStyle w:val="Hyperlink"/>
          <w:smallCaps/>
          <w:color w:val="000000" w:themeColor="text1"/>
          <w:spacing w:val="-8"/>
          <w:sz w:val="20"/>
          <w:u w:val="none"/>
        </w:rPr>
        <w:t xml:space="preserve"> </w:t>
      </w:r>
      <w:r w:rsidR="003E1DFC" w:rsidRPr="001956C5">
        <w:rPr>
          <w:rStyle w:val="Hyperlink"/>
          <w:smallCaps/>
          <w:color w:val="000000" w:themeColor="text1"/>
          <w:sz w:val="20"/>
          <w:u w:val="none"/>
        </w:rPr>
        <w:t>Databook</w:t>
      </w:r>
      <w:r w:rsidR="003E1DFC" w:rsidRPr="001956C5">
        <w:rPr>
          <w:rStyle w:val="Hyperlink"/>
          <w:smallCaps/>
          <w:color w:val="000000" w:themeColor="text1"/>
          <w:spacing w:val="-6"/>
          <w:sz w:val="20"/>
          <w:u w:val="none"/>
        </w:rPr>
        <w:t xml:space="preserve"> </w:t>
      </w:r>
      <w:r w:rsidR="003E1DFC" w:rsidRPr="001956C5">
        <w:rPr>
          <w:rStyle w:val="Hyperlink"/>
          <w:smallCaps/>
          <w:color w:val="000000" w:themeColor="text1"/>
          <w:sz w:val="20"/>
          <w:u w:val="none"/>
        </w:rPr>
        <w:t>Data</w:t>
      </w:r>
      <w:r w:rsidR="003E1DFC" w:rsidRPr="001956C5">
        <w:rPr>
          <w:rStyle w:val="Hyperlink"/>
          <w:smallCaps/>
          <w:color w:val="000000" w:themeColor="text1"/>
          <w:spacing w:val="-5"/>
          <w:sz w:val="20"/>
          <w:u w:val="none"/>
        </w:rPr>
        <w:t xml:space="preserve"> </w:t>
      </w:r>
      <w:r w:rsidR="003E1DFC" w:rsidRPr="001956C5">
        <w:rPr>
          <w:rStyle w:val="Hyperlink"/>
          <w:smallCaps/>
          <w:color w:val="000000" w:themeColor="text1"/>
          <w:sz w:val="20"/>
          <w:u w:val="none"/>
        </w:rPr>
        <w:t>Through</w:t>
      </w:r>
      <w:r w:rsidR="003E1DFC" w:rsidRPr="001956C5">
        <w:rPr>
          <w:rStyle w:val="Hyperlink"/>
          <w:smallCaps/>
          <w:color w:val="000000" w:themeColor="text1"/>
          <w:spacing w:val="-6"/>
          <w:sz w:val="20"/>
          <w:u w:val="none"/>
        </w:rPr>
        <w:t xml:space="preserve"> </w:t>
      </w:r>
      <w:r w:rsidR="003E1DFC" w:rsidRPr="001956C5">
        <w:rPr>
          <w:rStyle w:val="Hyperlink"/>
          <w:smallCaps/>
          <w:color w:val="000000" w:themeColor="text1"/>
          <w:sz w:val="20"/>
          <w:u w:val="none"/>
        </w:rPr>
        <w:t>Fiscal</w:t>
      </w:r>
      <w:r w:rsidR="003E1DFC" w:rsidRPr="001956C5">
        <w:rPr>
          <w:rStyle w:val="Hyperlink"/>
          <w:smallCaps/>
          <w:color w:val="000000" w:themeColor="text1"/>
          <w:spacing w:val="-8"/>
          <w:sz w:val="20"/>
          <w:u w:val="none"/>
        </w:rPr>
        <w:t xml:space="preserve"> </w:t>
      </w:r>
      <w:r w:rsidR="003E1DFC" w:rsidRPr="001956C5">
        <w:rPr>
          <w:rStyle w:val="Hyperlink"/>
          <w:smallCaps/>
          <w:color w:val="000000" w:themeColor="text1"/>
          <w:spacing w:val="-4"/>
          <w:sz w:val="20"/>
          <w:u w:val="none"/>
        </w:rPr>
        <w:t>Year</w:t>
      </w:r>
    </w:p>
    <w:p w14:paraId="3A5B686A" w14:textId="0904E04D" w:rsidR="003E1DFC" w:rsidRPr="003E1DFC" w:rsidRDefault="003E1DFC" w:rsidP="008616D9">
      <w:pPr>
        <w:tabs>
          <w:tab w:val="left" w:pos="10080"/>
        </w:tabs>
        <w:ind w:left="990" w:right="1180"/>
        <w:rPr>
          <w:sz w:val="20"/>
        </w:rPr>
      </w:pPr>
      <w:r w:rsidRPr="001956C5">
        <w:rPr>
          <w:rStyle w:val="Hyperlink"/>
          <w:color w:val="000000" w:themeColor="text1"/>
          <w:sz w:val="20"/>
          <w:u w:val="none"/>
        </w:rPr>
        <w:t>2022</w:t>
      </w:r>
      <w:r w:rsidR="001956C5" w:rsidRPr="001956C5">
        <w:rPr>
          <w:smallCaps/>
          <w:color w:val="000000" w:themeColor="text1"/>
          <w:sz w:val="20"/>
        </w:rPr>
        <w:fldChar w:fldCharType="end"/>
      </w:r>
      <w:r w:rsidRPr="001956C5">
        <w:rPr>
          <w:color w:val="000000" w:themeColor="text1"/>
          <w:sz w:val="20"/>
        </w:rPr>
        <w:t xml:space="preserve"> (Feb. 2024) [Hereinafter </w:t>
      </w:r>
      <w:r>
        <w:rPr>
          <w:sz w:val="20"/>
        </w:rPr>
        <w:t>CHIA</w:t>
      </w:r>
      <w:r>
        <w:rPr>
          <w:spacing w:val="-1"/>
          <w:sz w:val="20"/>
        </w:rPr>
        <w:t xml:space="preserve"> </w:t>
      </w:r>
      <w:r>
        <w:rPr>
          <w:sz w:val="20"/>
        </w:rPr>
        <w:t>2022 H</w:t>
      </w:r>
      <w:r>
        <w:rPr>
          <w:sz w:val="16"/>
        </w:rPr>
        <w:t xml:space="preserve">OSPITAL </w:t>
      </w:r>
      <w:r>
        <w:rPr>
          <w:sz w:val="20"/>
        </w:rPr>
        <w:t>P</w:t>
      </w:r>
      <w:r>
        <w:rPr>
          <w:sz w:val="16"/>
        </w:rPr>
        <w:t xml:space="preserve">ROFILES </w:t>
      </w:r>
      <w:r>
        <w:rPr>
          <w:sz w:val="20"/>
        </w:rPr>
        <w:t>D</w:t>
      </w:r>
      <w:r>
        <w:rPr>
          <w:sz w:val="16"/>
        </w:rPr>
        <w:t>ATABOOK</w:t>
      </w:r>
      <w:r>
        <w:rPr>
          <w:sz w:val="20"/>
        </w:rPr>
        <w:t xml:space="preserve">], </w:t>
      </w:r>
      <w:r>
        <w:rPr>
          <w:i/>
          <w:sz w:val="20"/>
        </w:rPr>
        <w:t xml:space="preserve">available at </w:t>
      </w:r>
      <w:hyperlink r:id="rId297">
        <w:r>
          <w:rPr>
            <w:color w:val="486794"/>
            <w:spacing w:val="-2"/>
            <w:sz w:val="20"/>
            <w:u w:val="single" w:color="486794"/>
          </w:rPr>
          <w:t>https://www.chiamass.gov/assets/docs/r/hospital-profiles/2022/FY22-Massachusetts-Hospital-Profiles-</w:t>
        </w:r>
      </w:hyperlink>
      <w:r>
        <w:rPr>
          <w:color w:val="486794"/>
          <w:spacing w:val="-2"/>
          <w:sz w:val="20"/>
        </w:rPr>
        <w:t xml:space="preserve"> </w:t>
      </w:r>
      <w:hyperlink r:id="rId298">
        <w:r>
          <w:rPr>
            <w:color w:val="486794"/>
            <w:spacing w:val="-2"/>
            <w:sz w:val="20"/>
            <w:u w:val="single" w:color="486794"/>
          </w:rPr>
          <w:t>Databook.xlsx</w:t>
        </w:r>
        <w:r>
          <w:rPr>
            <w:spacing w:val="-2"/>
            <w:sz w:val="20"/>
          </w:rPr>
          <w:t>.</w:t>
        </w:r>
      </w:hyperlink>
    </w:p>
  </w:footnote>
  <w:footnote w:id="231">
    <w:p w14:paraId="42C11A6A" w14:textId="07F0D46A" w:rsidR="003E1DFC" w:rsidRDefault="003E1DFC" w:rsidP="008616D9">
      <w:pPr>
        <w:pStyle w:val="FootnoteText"/>
        <w:tabs>
          <w:tab w:val="left" w:pos="10080"/>
        </w:tabs>
        <w:ind w:left="990"/>
      </w:pPr>
      <w:r>
        <w:rPr>
          <w:rStyle w:val="FootnoteReference"/>
        </w:rPr>
        <w:footnoteRef/>
      </w:r>
      <w:r>
        <w:t xml:space="preserve"> HPC</w:t>
      </w:r>
      <w:r>
        <w:rPr>
          <w:spacing w:val="-3"/>
        </w:rPr>
        <w:t xml:space="preserve"> </w:t>
      </w:r>
      <w:r>
        <w:t>analysis</w:t>
      </w:r>
      <w:r>
        <w:rPr>
          <w:spacing w:val="-2"/>
        </w:rPr>
        <w:t xml:space="preserve"> </w:t>
      </w:r>
      <w:r>
        <w:t>of</w:t>
      </w:r>
      <w:r>
        <w:rPr>
          <w:spacing w:val="-3"/>
        </w:rPr>
        <w:t xml:space="preserve"> </w:t>
      </w:r>
      <w:r>
        <w:t>2019</w:t>
      </w:r>
      <w:r>
        <w:rPr>
          <w:spacing w:val="-2"/>
        </w:rPr>
        <w:t xml:space="preserve"> </w:t>
      </w:r>
      <w:r>
        <w:t>–</w:t>
      </w:r>
      <w:r>
        <w:rPr>
          <w:spacing w:val="-2"/>
        </w:rPr>
        <w:t xml:space="preserve"> </w:t>
      </w:r>
      <w:r>
        <w:t>2023</w:t>
      </w:r>
      <w:r>
        <w:rPr>
          <w:spacing w:val="-2"/>
        </w:rPr>
        <w:t xml:space="preserve"> </w:t>
      </w:r>
      <w:r>
        <w:t>CHIA</w:t>
      </w:r>
      <w:r>
        <w:rPr>
          <w:spacing w:val="-4"/>
        </w:rPr>
        <w:t xml:space="preserve"> </w:t>
      </w:r>
      <w:r>
        <w:t>Massachusetts</w:t>
      </w:r>
      <w:r>
        <w:rPr>
          <w:spacing w:val="-2"/>
        </w:rPr>
        <w:t xml:space="preserve"> </w:t>
      </w:r>
      <w:r>
        <w:t>Hospital</w:t>
      </w:r>
      <w:r>
        <w:rPr>
          <w:spacing w:val="-3"/>
        </w:rPr>
        <w:t xml:space="preserve"> </w:t>
      </w:r>
      <w:r>
        <w:t>Discharge</w:t>
      </w:r>
      <w:r>
        <w:rPr>
          <w:spacing w:val="-4"/>
        </w:rPr>
        <w:t xml:space="preserve"> </w:t>
      </w:r>
      <w:r>
        <w:t>Database.</w:t>
      </w:r>
      <w:r>
        <w:rPr>
          <w:spacing w:val="-2"/>
        </w:rPr>
        <w:t xml:space="preserve"> </w:t>
      </w:r>
      <w:r>
        <w:t>See</w:t>
      </w:r>
      <w:r>
        <w:rPr>
          <w:spacing w:val="-4"/>
        </w:rPr>
        <w:t xml:space="preserve"> </w:t>
      </w:r>
      <w:r>
        <w:t>the</w:t>
      </w:r>
      <w:r>
        <w:rPr>
          <w:spacing w:val="-4"/>
        </w:rPr>
        <w:t xml:space="preserve"> </w:t>
      </w:r>
      <w:r>
        <w:t>Data Appendix, Figure A6, showing DFCI’s inpatient medical oncology payer mix over time.</w:t>
      </w:r>
    </w:p>
  </w:footnote>
  <w:footnote w:id="232">
    <w:p w14:paraId="7EED1F89" w14:textId="5F38034F" w:rsidR="00C46FC7" w:rsidRDefault="00C46FC7" w:rsidP="008616D9">
      <w:pPr>
        <w:pStyle w:val="FootnoteText"/>
        <w:tabs>
          <w:tab w:val="left" w:pos="10080"/>
        </w:tabs>
        <w:ind w:left="990"/>
      </w:pPr>
      <w:r>
        <w:rPr>
          <w:rStyle w:val="FootnoteReference"/>
        </w:rPr>
        <w:footnoteRef/>
      </w:r>
      <w:r>
        <w:t xml:space="preserve"> </w:t>
      </w:r>
      <w:r w:rsidR="002E1C32">
        <w:t xml:space="preserve">BIDMC’s GPSR-based payer mix across all inpatient and outpatient services </w:t>
      </w:r>
      <w:proofErr w:type="gramStart"/>
      <w:r w:rsidR="002E1C32">
        <w:t>is</w:t>
      </w:r>
      <w:proofErr w:type="gramEnd"/>
      <w:r w:rsidR="002E1C32">
        <w:t xml:space="preserve"> comparable to the statewide</w:t>
      </w:r>
      <w:r w:rsidR="002E1C32">
        <w:rPr>
          <w:spacing w:val="-4"/>
        </w:rPr>
        <w:t xml:space="preserve"> </w:t>
      </w:r>
      <w:r w:rsidR="002E1C32">
        <w:t>hospital</w:t>
      </w:r>
      <w:r w:rsidR="002E1C32">
        <w:rPr>
          <w:spacing w:val="-3"/>
        </w:rPr>
        <w:t xml:space="preserve"> </w:t>
      </w:r>
      <w:r w:rsidR="002E1C32">
        <w:t>median,</w:t>
      </w:r>
      <w:r w:rsidR="002E1C32">
        <w:rPr>
          <w:spacing w:val="-2"/>
        </w:rPr>
        <w:t xml:space="preserve"> </w:t>
      </w:r>
      <w:r w:rsidR="002E1C32">
        <w:t>with</w:t>
      </w:r>
      <w:r w:rsidR="002E1C32">
        <w:rPr>
          <w:spacing w:val="-3"/>
        </w:rPr>
        <w:t xml:space="preserve"> </w:t>
      </w:r>
      <w:r w:rsidR="002E1C32">
        <w:t>BIDMC</w:t>
      </w:r>
      <w:r w:rsidR="002E1C32">
        <w:rPr>
          <w:spacing w:val="-3"/>
        </w:rPr>
        <w:t xml:space="preserve"> </w:t>
      </w:r>
      <w:r w:rsidR="002E1C32">
        <w:t>having</w:t>
      </w:r>
      <w:r w:rsidR="002E1C32">
        <w:rPr>
          <w:spacing w:val="-3"/>
        </w:rPr>
        <w:t xml:space="preserve"> </w:t>
      </w:r>
      <w:r w:rsidR="002E1C32">
        <w:t>slightly</w:t>
      </w:r>
      <w:r w:rsidR="002E1C32">
        <w:rPr>
          <w:spacing w:val="-4"/>
        </w:rPr>
        <w:t xml:space="preserve"> </w:t>
      </w:r>
      <w:r w:rsidR="002E1C32">
        <w:t>lower</w:t>
      </w:r>
      <w:r w:rsidR="002E1C32">
        <w:rPr>
          <w:spacing w:val="-4"/>
        </w:rPr>
        <w:t xml:space="preserve"> </w:t>
      </w:r>
      <w:r w:rsidR="002E1C32">
        <w:t>Medicaid</w:t>
      </w:r>
      <w:r w:rsidR="002E1C32">
        <w:rPr>
          <w:spacing w:val="-2"/>
        </w:rPr>
        <w:t xml:space="preserve"> </w:t>
      </w:r>
      <w:r w:rsidR="002E1C32">
        <w:t>mix</w:t>
      </w:r>
      <w:r w:rsidR="002E1C32">
        <w:rPr>
          <w:spacing w:val="-4"/>
        </w:rPr>
        <w:t xml:space="preserve"> </w:t>
      </w:r>
      <w:r w:rsidR="002E1C32">
        <w:t>and</w:t>
      </w:r>
      <w:r w:rsidR="002E1C32">
        <w:rPr>
          <w:spacing w:val="-2"/>
        </w:rPr>
        <w:t xml:space="preserve"> </w:t>
      </w:r>
      <w:r w:rsidR="002E1C32">
        <w:t>slightly</w:t>
      </w:r>
      <w:r w:rsidR="002E1C32">
        <w:rPr>
          <w:spacing w:val="-2"/>
        </w:rPr>
        <w:t xml:space="preserve"> </w:t>
      </w:r>
      <w:r w:rsidR="002E1C32">
        <w:t>higher</w:t>
      </w:r>
      <w:r w:rsidR="002E1C32">
        <w:rPr>
          <w:spacing w:val="-4"/>
        </w:rPr>
        <w:t xml:space="preserve"> </w:t>
      </w:r>
      <w:r w:rsidR="002E1C32">
        <w:t>Medicare</w:t>
      </w:r>
      <w:r w:rsidR="002E1C32">
        <w:rPr>
          <w:spacing w:val="-4"/>
        </w:rPr>
        <w:t xml:space="preserve"> </w:t>
      </w:r>
      <w:r w:rsidR="002E1C32">
        <w:t>mix. CHIA 2022 H</w:t>
      </w:r>
      <w:r w:rsidR="002E1C32">
        <w:rPr>
          <w:sz w:val="16"/>
        </w:rPr>
        <w:t xml:space="preserve">OSPITAL </w:t>
      </w:r>
      <w:r w:rsidR="002E1C32">
        <w:t>P</w:t>
      </w:r>
      <w:r w:rsidR="002E1C32">
        <w:rPr>
          <w:sz w:val="16"/>
        </w:rPr>
        <w:t xml:space="preserve">ROFILES </w:t>
      </w:r>
      <w:r w:rsidR="002E1C32">
        <w:t>D</w:t>
      </w:r>
      <w:r w:rsidR="002E1C32">
        <w:rPr>
          <w:sz w:val="16"/>
        </w:rPr>
        <w:t>ATABOOK</w:t>
      </w:r>
      <w:r w:rsidR="002E1C32">
        <w:rPr>
          <w:i/>
        </w:rPr>
        <w:t xml:space="preserve">, supra </w:t>
      </w:r>
      <w:r w:rsidR="002E1C32">
        <w:t xml:space="preserve">note </w:t>
      </w:r>
      <w:hyperlink w:anchor="_bookmark261" w:history="1">
        <w:r w:rsidR="002E1C32">
          <w:t>230.</w:t>
        </w:r>
      </w:hyperlink>
    </w:p>
  </w:footnote>
  <w:footnote w:id="233">
    <w:p w14:paraId="22A424D2" w14:textId="5535986E" w:rsidR="002E1C32" w:rsidRDefault="002E1C32" w:rsidP="008616D9">
      <w:pPr>
        <w:pStyle w:val="FootnoteText"/>
        <w:tabs>
          <w:tab w:val="left" w:pos="10080"/>
        </w:tabs>
        <w:ind w:left="990"/>
      </w:pPr>
      <w:r>
        <w:rPr>
          <w:rStyle w:val="FootnoteReference"/>
        </w:rPr>
        <w:footnoteRef/>
      </w:r>
      <w:r>
        <w:t xml:space="preserve"> HPC</w:t>
      </w:r>
      <w:r>
        <w:rPr>
          <w:spacing w:val="-3"/>
        </w:rPr>
        <w:t xml:space="preserve"> </w:t>
      </w:r>
      <w:r>
        <w:t>analysis</w:t>
      </w:r>
      <w:r>
        <w:rPr>
          <w:spacing w:val="-2"/>
        </w:rPr>
        <w:t xml:space="preserve"> </w:t>
      </w:r>
      <w:r>
        <w:t>of</w:t>
      </w:r>
      <w:r>
        <w:rPr>
          <w:spacing w:val="-3"/>
        </w:rPr>
        <w:t xml:space="preserve"> </w:t>
      </w:r>
      <w:r>
        <w:t>2019</w:t>
      </w:r>
      <w:r>
        <w:rPr>
          <w:spacing w:val="-2"/>
        </w:rPr>
        <w:t xml:space="preserve"> </w:t>
      </w:r>
      <w:r>
        <w:t>–</w:t>
      </w:r>
      <w:r>
        <w:rPr>
          <w:spacing w:val="-2"/>
        </w:rPr>
        <w:t xml:space="preserve"> </w:t>
      </w:r>
      <w:r>
        <w:t>2023</w:t>
      </w:r>
      <w:r>
        <w:rPr>
          <w:spacing w:val="-2"/>
        </w:rPr>
        <w:t xml:space="preserve"> </w:t>
      </w:r>
      <w:r>
        <w:t>CHIA</w:t>
      </w:r>
      <w:r>
        <w:rPr>
          <w:spacing w:val="-4"/>
        </w:rPr>
        <w:t xml:space="preserve"> </w:t>
      </w:r>
      <w:r>
        <w:t>Massachusetts</w:t>
      </w:r>
      <w:r>
        <w:rPr>
          <w:spacing w:val="-2"/>
        </w:rPr>
        <w:t xml:space="preserve"> </w:t>
      </w:r>
      <w:r>
        <w:t>Hospital</w:t>
      </w:r>
      <w:r>
        <w:rPr>
          <w:spacing w:val="-3"/>
        </w:rPr>
        <w:t xml:space="preserve"> </w:t>
      </w:r>
      <w:r>
        <w:t>Discharge</w:t>
      </w:r>
      <w:r>
        <w:rPr>
          <w:spacing w:val="-4"/>
        </w:rPr>
        <w:t xml:space="preserve"> </w:t>
      </w:r>
      <w:r>
        <w:t>Database.</w:t>
      </w:r>
      <w:r>
        <w:rPr>
          <w:spacing w:val="-2"/>
        </w:rPr>
        <w:t xml:space="preserve"> </w:t>
      </w:r>
      <w:r>
        <w:t>See</w:t>
      </w:r>
      <w:r>
        <w:rPr>
          <w:spacing w:val="-4"/>
        </w:rPr>
        <w:t xml:space="preserve"> </w:t>
      </w:r>
      <w:r>
        <w:t>the</w:t>
      </w:r>
      <w:r>
        <w:rPr>
          <w:spacing w:val="-4"/>
        </w:rPr>
        <w:t xml:space="preserve"> </w:t>
      </w:r>
      <w:r>
        <w:t>Data Appendix, Figure A7, showing BIDMC’s inpatient oncology payer mix over time.</w:t>
      </w:r>
    </w:p>
  </w:footnote>
  <w:footnote w:id="234">
    <w:p w14:paraId="17B85C53" w14:textId="7B09F668" w:rsidR="008616D9" w:rsidRDefault="008616D9" w:rsidP="008616D9">
      <w:pPr>
        <w:pStyle w:val="FootnoteText"/>
        <w:tabs>
          <w:tab w:val="left" w:pos="10080"/>
        </w:tabs>
        <w:ind w:left="990"/>
      </w:pPr>
      <w:r>
        <w:rPr>
          <w:rStyle w:val="FootnoteReference"/>
        </w:rPr>
        <w:footnoteRef/>
      </w:r>
      <w:r>
        <w:t xml:space="preserve"> </w:t>
      </w:r>
      <w:r>
        <w:rPr>
          <w:i/>
        </w:rPr>
        <w:t>See</w:t>
      </w:r>
      <w:r>
        <w:rPr>
          <w:i/>
          <w:spacing w:val="-7"/>
        </w:rPr>
        <w:t xml:space="preserve"> </w:t>
      </w:r>
      <w:r>
        <w:t>the</w:t>
      </w:r>
      <w:r>
        <w:rPr>
          <w:spacing w:val="-6"/>
        </w:rPr>
        <w:t xml:space="preserve"> </w:t>
      </w:r>
      <w:r>
        <w:t>Data</w:t>
      </w:r>
      <w:r>
        <w:rPr>
          <w:spacing w:val="-6"/>
        </w:rPr>
        <w:t xml:space="preserve"> </w:t>
      </w:r>
      <w:r>
        <w:t>Appendix,</w:t>
      </w:r>
      <w:r>
        <w:rPr>
          <w:spacing w:val="-5"/>
        </w:rPr>
        <w:t xml:space="preserve"> </w:t>
      </w:r>
      <w:r>
        <w:t>Figure</w:t>
      </w:r>
      <w:r>
        <w:rPr>
          <w:spacing w:val="-7"/>
        </w:rPr>
        <w:t xml:space="preserve"> </w:t>
      </w:r>
      <w:r>
        <w:t>A5,</w:t>
      </w:r>
      <w:r>
        <w:rPr>
          <w:spacing w:val="-4"/>
        </w:rPr>
        <w:t xml:space="preserve"> </w:t>
      </w:r>
      <w:r>
        <w:t>Infographic</w:t>
      </w:r>
      <w:r>
        <w:rPr>
          <w:spacing w:val="-5"/>
        </w:rPr>
        <w:t xml:space="preserve"> </w:t>
      </w:r>
      <w:r>
        <w:t>on</w:t>
      </w:r>
      <w:r>
        <w:rPr>
          <w:spacing w:val="-6"/>
        </w:rPr>
        <w:t xml:space="preserve"> </w:t>
      </w:r>
      <w:r>
        <w:t>Disparities</w:t>
      </w:r>
      <w:r>
        <w:rPr>
          <w:spacing w:val="-5"/>
        </w:rPr>
        <w:t xml:space="preserve"> </w:t>
      </w:r>
      <w:r>
        <w:t>in</w:t>
      </w:r>
      <w:r>
        <w:rPr>
          <w:spacing w:val="-5"/>
        </w:rPr>
        <w:t xml:space="preserve"> </w:t>
      </w:r>
      <w:r>
        <w:t>Cancer</w:t>
      </w:r>
      <w:r>
        <w:rPr>
          <w:spacing w:val="-7"/>
        </w:rPr>
        <w:t xml:space="preserve"> </w:t>
      </w:r>
      <w:r>
        <w:t>Incidence,</w:t>
      </w:r>
      <w:r>
        <w:rPr>
          <w:spacing w:val="-6"/>
        </w:rPr>
        <w:t xml:space="preserve"> </w:t>
      </w:r>
      <w:r>
        <w:t>Care,</w:t>
      </w:r>
      <w:r>
        <w:rPr>
          <w:spacing w:val="-4"/>
        </w:rPr>
        <w:t xml:space="preserve"> </w:t>
      </w:r>
      <w:r>
        <w:t>and</w:t>
      </w:r>
      <w:r>
        <w:rPr>
          <w:spacing w:val="-5"/>
        </w:rPr>
        <w:t xml:space="preserve"> </w:t>
      </w:r>
      <w:r>
        <w:rPr>
          <w:spacing w:val="-2"/>
        </w:rPr>
        <w:t>Outcomes.</w:t>
      </w:r>
    </w:p>
  </w:footnote>
  <w:footnote w:id="235">
    <w:p w14:paraId="45AEDEEB" w14:textId="09B9FBDF" w:rsidR="008616D9" w:rsidRDefault="008616D9" w:rsidP="008616D9">
      <w:pPr>
        <w:pStyle w:val="FootnoteText"/>
        <w:tabs>
          <w:tab w:val="left" w:pos="10080"/>
        </w:tabs>
        <w:ind w:left="990"/>
      </w:pPr>
      <w:r>
        <w:rPr>
          <w:rStyle w:val="FootnoteReference"/>
        </w:rPr>
        <w:footnoteRef/>
      </w:r>
      <w:r>
        <w:t xml:space="preserve"> DFCI</w:t>
      </w:r>
      <w:r>
        <w:rPr>
          <w:spacing w:val="-2"/>
        </w:rPr>
        <w:t xml:space="preserve"> </w:t>
      </w:r>
      <w:r>
        <w:t>“expects</w:t>
      </w:r>
      <w:r>
        <w:rPr>
          <w:spacing w:val="-2"/>
        </w:rPr>
        <w:t xml:space="preserve"> </w:t>
      </w:r>
      <w:r>
        <w:t>that</w:t>
      </w:r>
      <w:r>
        <w:rPr>
          <w:spacing w:val="-2"/>
        </w:rPr>
        <w:t xml:space="preserve"> </w:t>
      </w:r>
      <w:r>
        <w:t>its</w:t>
      </w:r>
      <w:r>
        <w:rPr>
          <w:spacing w:val="-3"/>
        </w:rPr>
        <w:t xml:space="preserve"> </w:t>
      </w:r>
      <w:r>
        <w:t>MassHealth</w:t>
      </w:r>
      <w:r>
        <w:rPr>
          <w:spacing w:val="-2"/>
        </w:rPr>
        <w:t xml:space="preserve"> </w:t>
      </w:r>
      <w:r>
        <w:t>payor</w:t>
      </w:r>
      <w:r>
        <w:rPr>
          <w:spacing w:val="-3"/>
        </w:rPr>
        <w:t xml:space="preserve"> </w:t>
      </w:r>
      <w:r>
        <w:t>mix</w:t>
      </w:r>
      <w:r>
        <w:rPr>
          <w:spacing w:val="-3"/>
        </w:rPr>
        <w:t xml:space="preserve"> </w:t>
      </w:r>
      <w:r>
        <w:t>will</w:t>
      </w:r>
      <w:r>
        <w:rPr>
          <w:spacing w:val="-2"/>
        </w:rPr>
        <w:t xml:space="preserve"> </w:t>
      </w:r>
      <w:r>
        <w:t>increase,</w:t>
      </w:r>
      <w:r>
        <w:rPr>
          <w:spacing w:val="-2"/>
        </w:rPr>
        <w:t xml:space="preserve"> </w:t>
      </w:r>
      <w:r>
        <w:t>due</w:t>
      </w:r>
      <w:r>
        <w:rPr>
          <w:spacing w:val="-3"/>
        </w:rPr>
        <w:t xml:space="preserve"> </w:t>
      </w:r>
      <w:r>
        <w:t>in</w:t>
      </w:r>
      <w:r>
        <w:rPr>
          <w:spacing w:val="-2"/>
        </w:rPr>
        <w:t xml:space="preserve"> </w:t>
      </w:r>
      <w:r>
        <w:t>part</w:t>
      </w:r>
      <w:r>
        <w:rPr>
          <w:spacing w:val="-2"/>
        </w:rPr>
        <w:t xml:space="preserve"> </w:t>
      </w:r>
      <w:r>
        <w:t>to</w:t>
      </w:r>
      <w:r>
        <w:rPr>
          <w:spacing w:val="-2"/>
        </w:rPr>
        <w:t xml:space="preserve"> </w:t>
      </w:r>
      <w:r>
        <w:t>the</w:t>
      </w:r>
      <w:r>
        <w:rPr>
          <w:spacing w:val="-3"/>
        </w:rPr>
        <w:t xml:space="preserve"> </w:t>
      </w:r>
      <w:r>
        <w:t>efforts</w:t>
      </w:r>
      <w:r>
        <w:rPr>
          <w:spacing w:val="-2"/>
        </w:rPr>
        <w:t xml:space="preserve"> </w:t>
      </w:r>
      <w:r>
        <w:t>BIDMC</w:t>
      </w:r>
      <w:r>
        <w:rPr>
          <w:spacing w:val="-2"/>
        </w:rPr>
        <w:t xml:space="preserve"> </w:t>
      </w:r>
      <w:r>
        <w:t>has</w:t>
      </w:r>
      <w:r>
        <w:rPr>
          <w:spacing w:val="-2"/>
        </w:rPr>
        <w:t xml:space="preserve"> </w:t>
      </w:r>
      <w:r>
        <w:t>made</w:t>
      </w:r>
      <w:r>
        <w:rPr>
          <w:spacing w:val="-3"/>
        </w:rPr>
        <w:t xml:space="preserve"> </w:t>
      </w:r>
      <w:r>
        <w:t xml:space="preserve">in recent years to increase its MassHealth population and the preferred provider relationship that will exist between [DFCI] and BIDMC.” DFCI Response to Applicant Questions #4 </w:t>
      </w:r>
      <w:r>
        <w:rPr>
          <w:i/>
        </w:rPr>
        <w:t xml:space="preserve">supra </w:t>
      </w:r>
      <w:r>
        <w:t xml:space="preserve">note </w:t>
      </w:r>
      <w:hyperlink w:anchor="_bookmark90" w:history="1">
        <w:r>
          <w:t>77,</w:t>
        </w:r>
      </w:hyperlink>
      <w:r>
        <w:t xml:space="preserve"> at 6.</w:t>
      </w:r>
    </w:p>
  </w:footnote>
  <w:footnote w:id="236">
    <w:p w14:paraId="6456ABAD" w14:textId="3D802B82" w:rsidR="00235CD2" w:rsidRDefault="00235CD2" w:rsidP="00235CD2">
      <w:pPr>
        <w:pStyle w:val="FootnoteText"/>
        <w:ind w:left="907" w:right="936"/>
      </w:pPr>
      <w:r>
        <w:rPr>
          <w:rStyle w:val="FootnoteReference"/>
        </w:rPr>
        <w:footnoteRef/>
      </w:r>
      <w:r>
        <w:t xml:space="preserve"> Comparable</w:t>
      </w:r>
      <w:r>
        <w:rPr>
          <w:spacing w:val="-6"/>
        </w:rPr>
        <w:t xml:space="preserve"> </w:t>
      </w:r>
      <w:r>
        <w:t>data</w:t>
      </w:r>
      <w:r>
        <w:rPr>
          <w:spacing w:val="-5"/>
        </w:rPr>
        <w:t xml:space="preserve"> </w:t>
      </w:r>
      <w:r>
        <w:t>were</w:t>
      </w:r>
      <w:r>
        <w:rPr>
          <w:spacing w:val="-7"/>
        </w:rPr>
        <w:t xml:space="preserve"> </w:t>
      </w:r>
      <w:r>
        <w:t>not</w:t>
      </w:r>
      <w:r>
        <w:rPr>
          <w:spacing w:val="-4"/>
        </w:rPr>
        <w:t xml:space="preserve"> </w:t>
      </w:r>
      <w:r>
        <w:t>available</w:t>
      </w:r>
      <w:r>
        <w:rPr>
          <w:spacing w:val="-6"/>
        </w:rPr>
        <w:t xml:space="preserve"> </w:t>
      </w:r>
      <w:r>
        <w:t>for</w:t>
      </w:r>
      <w:r>
        <w:rPr>
          <w:spacing w:val="-6"/>
        </w:rPr>
        <w:t xml:space="preserve"> </w:t>
      </w:r>
      <w:r>
        <w:t>outpatients</w:t>
      </w:r>
      <w:r>
        <w:rPr>
          <w:spacing w:val="-5"/>
        </w:rPr>
        <w:t xml:space="preserve"> </w:t>
      </w:r>
      <w:r>
        <w:t>on</w:t>
      </w:r>
      <w:r>
        <w:rPr>
          <w:spacing w:val="-5"/>
        </w:rPr>
        <w:t xml:space="preserve"> </w:t>
      </w:r>
      <w:r>
        <w:t>an</w:t>
      </w:r>
      <w:r>
        <w:rPr>
          <w:spacing w:val="-5"/>
        </w:rPr>
        <w:t xml:space="preserve"> </w:t>
      </w:r>
      <w:r>
        <w:t>all-payer</w:t>
      </w:r>
      <w:r>
        <w:rPr>
          <w:spacing w:val="-7"/>
        </w:rPr>
        <w:t xml:space="preserve"> </w:t>
      </w:r>
      <w:r>
        <w:rPr>
          <w:spacing w:val="-2"/>
        </w:rPr>
        <w:t>basis.</w:t>
      </w:r>
    </w:p>
  </w:footnote>
  <w:footnote w:id="237">
    <w:p w14:paraId="2D908531" w14:textId="6FB752D9" w:rsidR="00235CD2" w:rsidRDefault="00235CD2" w:rsidP="00235CD2">
      <w:pPr>
        <w:pStyle w:val="FootnoteText"/>
        <w:ind w:left="907" w:right="936"/>
      </w:pPr>
      <w:r>
        <w:rPr>
          <w:rStyle w:val="FootnoteReference"/>
        </w:rPr>
        <w:footnoteRef/>
      </w:r>
      <w:r>
        <w:t xml:space="preserve"> For</w:t>
      </w:r>
      <w:r>
        <w:rPr>
          <w:spacing w:val="-2"/>
        </w:rPr>
        <w:t xml:space="preserve"> </w:t>
      </w:r>
      <w:r>
        <w:t>more</w:t>
      </w:r>
      <w:r>
        <w:rPr>
          <w:spacing w:val="-2"/>
        </w:rPr>
        <w:t xml:space="preserve"> </w:t>
      </w:r>
      <w:r>
        <w:t>detail</w:t>
      </w:r>
      <w:r>
        <w:rPr>
          <w:spacing w:val="-1"/>
        </w:rPr>
        <w:t xml:space="preserve"> </w:t>
      </w:r>
      <w:r>
        <w:t>on</w:t>
      </w:r>
      <w:r>
        <w:rPr>
          <w:spacing w:val="-1"/>
        </w:rPr>
        <w:t xml:space="preserve"> </w:t>
      </w:r>
      <w:r>
        <w:t>the</w:t>
      </w:r>
      <w:r>
        <w:rPr>
          <w:spacing w:val="-2"/>
        </w:rPr>
        <w:t xml:space="preserve"> </w:t>
      </w:r>
      <w:proofErr w:type="spellStart"/>
      <w:r>
        <w:t>SDoH</w:t>
      </w:r>
      <w:proofErr w:type="spellEnd"/>
      <w:r>
        <w:t xml:space="preserve"> measures, see</w:t>
      </w:r>
      <w:r>
        <w:rPr>
          <w:spacing w:val="-2"/>
        </w:rPr>
        <w:t xml:space="preserve"> </w:t>
      </w:r>
      <w:r>
        <w:rPr>
          <w:i/>
        </w:rPr>
        <w:t>Social</w:t>
      </w:r>
      <w:r>
        <w:rPr>
          <w:i/>
          <w:spacing w:val="-1"/>
        </w:rPr>
        <w:t xml:space="preserve"> </w:t>
      </w:r>
      <w:r>
        <w:rPr>
          <w:i/>
        </w:rPr>
        <w:t>Determinants</w:t>
      </w:r>
      <w:r>
        <w:rPr>
          <w:i/>
          <w:spacing w:val="-2"/>
        </w:rPr>
        <w:t xml:space="preserve"> </w:t>
      </w:r>
      <w:r>
        <w:rPr>
          <w:i/>
        </w:rPr>
        <w:t>of Health</w:t>
      </w:r>
      <w:r>
        <w:rPr>
          <w:i/>
          <w:spacing w:val="-2"/>
        </w:rPr>
        <w:t xml:space="preserve"> </w:t>
      </w:r>
      <w:r>
        <w:rPr>
          <w:i/>
        </w:rPr>
        <w:t>Resources</w:t>
      </w:r>
      <w:r>
        <w:t>, A</w:t>
      </w:r>
      <w:r>
        <w:rPr>
          <w:sz w:val="16"/>
        </w:rPr>
        <w:t>GENCY</w:t>
      </w:r>
      <w:r>
        <w:rPr>
          <w:spacing w:val="-1"/>
          <w:sz w:val="16"/>
        </w:rPr>
        <w:t xml:space="preserve"> </w:t>
      </w:r>
      <w:r>
        <w:rPr>
          <w:sz w:val="16"/>
        </w:rPr>
        <w:t>FOR</w:t>
      </w:r>
      <w:r>
        <w:rPr>
          <w:spacing w:val="40"/>
          <w:sz w:val="16"/>
        </w:rPr>
        <w:t xml:space="preserve"> </w:t>
      </w:r>
      <w:r>
        <w:t>H</w:t>
      </w:r>
      <w:r>
        <w:rPr>
          <w:sz w:val="16"/>
        </w:rPr>
        <w:t>EALTH</w:t>
      </w:r>
      <w:r>
        <w:rPr>
          <w:spacing w:val="-7"/>
          <w:sz w:val="16"/>
        </w:rPr>
        <w:t xml:space="preserve"> </w:t>
      </w:r>
      <w:r>
        <w:t>C</w:t>
      </w:r>
      <w:r>
        <w:rPr>
          <w:sz w:val="16"/>
        </w:rPr>
        <w:t>ARE</w:t>
      </w:r>
      <w:r>
        <w:rPr>
          <w:spacing w:val="-5"/>
          <w:sz w:val="16"/>
        </w:rPr>
        <w:t xml:space="preserve"> </w:t>
      </w:r>
      <w:r>
        <w:t>R</w:t>
      </w:r>
      <w:r>
        <w:rPr>
          <w:sz w:val="16"/>
        </w:rPr>
        <w:t>ESEARCH</w:t>
      </w:r>
      <w:r>
        <w:rPr>
          <w:spacing w:val="-4"/>
          <w:sz w:val="16"/>
        </w:rPr>
        <w:t xml:space="preserve"> </w:t>
      </w:r>
      <w:r>
        <w:t>&amp;</w:t>
      </w:r>
      <w:r>
        <w:rPr>
          <w:spacing w:val="-13"/>
        </w:rPr>
        <w:t xml:space="preserve"> </w:t>
      </w:r>
      <w:r>
        <w:t>Q</w:t>
      </w:r>
      <w:r>
        <w:rPr>
          <w:sz w:val="16"/>
        </w:rPr>
        <w:t>UALITY</w:t>
      </w:r>
      <w:r>
        <w:t>,</w:t>
      </w:r>
      <w:r>
        <w:rPr>
          <w:spacing w:val="-4"/>
        </w:rPr>
        <w:t xml:space="preserve"> </w:t>
      </w:r>
      <w:hyperlink r:id="rId299">
        <w:r>
          <w:rPr>
            <w:color w:val="486794"/>
            <w:u w:val="single" w:color="486794"/>
          </w:rPr>
          <w:t>https://www.ahrq.gov/sdoh/resources.html</w:t>
        </w:r>
      </w:hyperlink>
      <w:r>
        <w:rPr>
          <w:color w:val="486794"/>
          <w:spacing w:val="-6"/>
        </w:rPr>
        <w:t xml:space="preserve"> </w:t>
      </w:r>
      <w:r>
        <w:t>(last</w:t>
      </w:r>
      <w:r>
        <w:rPr>
          <w:spacing w:val="-4"/>
        </w:rPr>
        <w:t xml:space="preserve"> </w:t>
      </w:r>
      <w:r>
        <w:t>visited</w:t>
      </w:r>
      <w:r>
        <w:rPr>
          <w:spacing w:val="-4"/>
        </w:rPr>
        <w:t xml:space="preserve"> </w:t>
      </w:r>
      <w:r>
        <w:t>February</w:t>
      </w:r>
      <w:r>
        <w:rPr>
          <w:spacing w:val="-6"/>
        </w:rPr>
        <w:t xml:space="preserve"> </w:t>
      </w:r>
      <w:r>
        <w:t xml:space="preserve">27, </w:t>
      </w:r>
      <w:r>
        <w:rPr>
          <w:spacing w:val="-2"/>
        </w:rPr>
        <w:t>2025).</w:t>
      </w:r>
    </w:p>
  </w:footnote>
  <w:footnote w:id="238">
    <w:p w14:paraId="1F78B979" w14:textId="7257DE66" w:rsidR="005372F8" w:rsidRDefault="005372F8" w:rsidP="003D5413">
      <w:pPr>
        <w:pStyle w:val="FootnoteText"/>
        <w:ind w:left="990" w:right="940"/>
      </w:pPr>
      <w:r>
        <w:rPr>
          <w:rStyle w:val="FootnoteReference"/>
        </w:rPr>
        <w:footnoteRef/>
      </w:r>
      <w:r>
        <w:t xml:space="preserve"> </w:t>
      </w:r>
      <w:r w:rsidR="00457427">
        <w:t>HPC</w:t>
      </w:r>
      <w:r w:rsidR="00457427">
        <w:rPr>
          <w:spacing w:val="-6"/>
        </w:rPr>
        <w:t xml:space="preserve"> </w:t>
      </w:r>
      <w:r w:rsidR="00457427">
        <w:t>analysis</w:t>
      </w:r>
      <w:r w:rsidR="00457427">
        <w:rPr>
          <w:spacing w:val="-4"/>
        </w:rPr>
        <w:t xml:space="preserve"> </w:t>
      </w:r>
      <w:r w:rsidR="00457427">
        <w:t>of</w:t>
      </w:r>
      <w:r w:rsidR="00457427">
        <w:rPr>
          <w:spacing w:val="-6"/>
        </w:rPr>
        <w:t xml:space="preserve"> </w:t>
      </w:r>
      <w:r w:rsidR="00457427">
        <w:t>2019</w:t>
      </w:r>
      <w:r w:rsidR="00457427">
        <w:rPr>
          <w:spacing w:val="-5"/>
        </w:rPr>
        <w:t xml:space="preserve"> </w:t>
      </w:r>
      <w:r w:rsidR="00457427">
        <w:t>–</w:t>
      </w:r>
      <w:r w:rsidR="00457427">
        <w:rPr>
          <w:spacing w:val="-4"/>
        </w:rPr>
        <w:t xml:space="preserve"> </w:t>
      </w:r>
      <w:r w:rsidR="00457427">
        <w:t>2023</w:t>
      </w:r>
      <w:r w:rsidR="00457427">
        <w:rPr>
          <w:spacing w:val="-5"/>
        </w:rPr>
        <w:t xml:space="preserve"> </w:t>
      </w:r>
      <w:r w:rsidR="00457427">
        <w:t>CHIA</w:t>
      </w:r>
      <w:r w:rsidR="00457427">
        <w:rPr>
          <w:spacing w:val="-7"/>
        </w:rPr>
        <w:t xml:space="preserve"> </w:t>
      </w:r>
      <w:r w:rsidR="00457427">
        <w:t>Massachusetts</w:t>
      </w:r>
      <w:r w:rsidR="00457427">
        <w:rPr>
          <w:spacing w:val="-4"/>
        </w:rPr>
        <w:t xml:space="preserve"> </w:t>
      </w:r>
      <w:r w:rsidR="00457427">
        <w:t>Hospital</w:t>
      </w:r>
      <w:r w:rsidR="00457427">
        <w:rPr>
          <w:spacing w:val="-6"/>
        </w:rPr>
        <w:t xml:space="preserve"> </w:t>
      </w:r>
      <w:r w:rsidR="00457427">
        <w:t>Discharge</w:t>
      </w:r>
      <w:r w:rsidR="00457427">
        <w:rPr>
          <w:spacing w:val="-7"/>
        </w:rPr>
        <w:t xml:space="preserve"> </w:t>
      </w:r>
      <w:r w:rsidR="00457427">
        <w:rPr>
          <w:spacing w:val="-2"/>
        </w:rPr>
        <w:t>Database.</w:t>
      </w:r>
    </w:p>
  </w:footnote>
  <w:footnote w:id="239">
    <w:p w14:paraId="7DBEAD1A" w14:textId="0F63B2A2" w:rsidR="008E3E00" w:rsidRDefault="008E3E00" w:rsidP="003D5413">
      <w:pPr>
        <w:pStyle w:val="FootnoteText"/>
        <w:ind w:left="990" w:right="940"/>
      </w:pPr>
      <w:r>
        <w:rPr>
          <w:rStyle w:val="FootnoteReference"/>
        </w:rPr>
        <w:footnoteRef/>
      </w:r>
      <w:r>
        <w:t xml:space="preserve"> HPC analysis of 2019 – 2023 CHIA Massachusetts Hospital Discharge Database, including discharges at all Massachusetts hospitals and excluding non-MA residents, normal newborns, and discharges for patients</w:t>
      </w:r>
      <w:r>
        <w:rPr>
          <w:spacing w:val="-2"/>
        </w:rPr>
        <w:t xml:space="preserve"> </w:t>
      </w:r>
      <w:r>
        <w:t>under</w:t>
      </w:r>
      <w:r>
        <w:rPr>
          <w:spacing w:val="-4"/>
        </w:rPr>
        <w:t xml:space="preserve"> </w:t>
      </w:r>
      <w:r>
        <w:t>18</w:t>
      </w:r>
      <w:r>
        <w:rPr>
          <w:spacing w:val="-2"/>
        </w:rPr>
        <w:t xml:space="preserve"> </w:t>
      </w:r>
      <w:r>
        <w:t>years</w:t>
      </w:r>
      <w:r>
        <w:rPr>
          <w:spacing w:val="-2"/>
        </w:rPr>
        <w:t xml:space="preserve"> </w:t>
      </w:r>
      <w:r>
        <w:t>of</w:t>
      </w:r>
      <w:r>
        <w:rPr>
          <w:spacing w:val="-3"/>
        </w:rPr>
        <w:t xml:space="preserve"> </w:t>
      </w:r>
      <w:r>
        <w:t>age.</w:t>
      </w:r>
      <w:r>
        <w:rPr>
          <w:spacing w:val="-2"/>
        </w:rPr>
        <w:t xml:space="preserve"> </w:t>
      </w:r>
      <w:r>
        <w:t>We</w:t>
      </w:r>
      <w:r>
        <w:rPr>
          <w:spacing w:val="-4"/>
        </w:rPr>
        <w:t xml:space="preserve"> </w:t>
      </w:r>
      <w:r>
        <w:t>found</w:t>
      </w:r>
      <w:r>
        <w:rPr>
          <w:spacing w:val="-2"/>
        </w:rPr>
        <w:t xml:space="preserve"> </w:t>
      </w:r>
      <w:r>
        <w:t>that,</w:t>
      </w:r>
      <w:r>
        <w:rPr>
          <w:spacing w:val="-2"/>
        </w:rPr>
        <w:t xml:space="preserve"> </w:t>
      </w:r>
      <w:r>
        <w:t>from</w:t>
      </w:r>
      <w:r>
        <w:rPr>
          <w:spacing w:val="-2"/>
        </w:rPr>
        <w:t xml:space="preserve"> </w:t>
      </w:r>
      <w:r>
        <w:t>2019-2023,</w:t>
      </w:r>
      <w:r>
        <w:rPr>
          <w:spacing w:val="-2"/>
        </w:rPr>
        <w:t xml:space="preserve"> </w:t>
      </w:r>
      <w:r>
        <w:t>the</w:t>
      </w:r>
      <w:r>
        <w:rPr>
          <w:spacing w:val="-6"/>
        </w:rPr>
        <w:t xml:space="preserve"> </w:t>
      </w:r>
      <w:r>
        <w:t>statewide</w:t>
      </w:r>
      <w:r>
        <w:rPr>
          <w:spacing w:val="-4"/>
        </w:rPr>
        <w:t xml:space="preserve"> </w:t>
      </w:r>
      <w:r>
        <w:t>proportion</w:t>
      </w:r>
      <w:r>
        <w:rPr>
          <w:spacing w:val="-3"/>
        </w:rPr>
        <w:t xml:space="preserve"> </w:t>
      </w:r>
      <w:r>
        <w:t>of</w:t>
      </w:r>
      <w:r>
        <w:rPr>
          <w:spacing w:val="-3"/>
        </w:rPr>
        <w:t xml:space="preserve"> </w:t>
      </w:r>
      <w:r>
        <w:t>discharges</w:t>
      </w:r>
      <w:r>
        <w:rPr>
          <w:spacing w:val="-2"/>
        </w:rPr>
        <w:t xml:space="preserve"> </w:t>
      </w:r>
      <w:r>
        <w:t>for BIPOC patients increased slightly, while the proportion for white patients decreased slightly.</w:t>
      </w:r>
    </w:p>
  </w:footnote>
  <w:footnote w:id="240">
    <w:p w14:paraId="5D2539F2" w14:textId="03AB88BF" w:rsidR="0025168C" w:rsidRDefault="0025168C" w:rsidP="003D5413">
      <w:pPr>
        <w:pStyle w:val="FootnoteText"/>
        <w:ind w:left="990" w:right="940"/>
      </w:pPr>
      <w:r>
        <w:rPr>
          <w:rStyle w:val="FootnoteReference"/>
        </w:rPr>
        <w:footnoteRef/>
      </w:r>
      <w:r>
        <w:t xml:space="preserve"> When we expanded our analysis to include all the patients that DFCI currently manages in both DFCI beds</w:t>
      </w:r>
      <w:r>
        <w:rPr>
          <w:spacing w:val="-2"/>
        </w:rPr>
        <w:t xml:space="preserve"> </w:t>
      </w:r>
      <w:r>
        <w:t>and</w:t>
      </w:r>
      <w:r>
        <w:rPr>
          <w:spacing w:val="-3"/>
        </w:rPr>
        <w:t xml:space="preserve"> </w:t>
      </w:r>
      <w:r>
        <w:t>BWH</w:t>
      </w:r>
      <w:r>
        <w:rPr>
          <w:spacing w:val="-4"/>
        </w:rPr>
        <w:t xml:space="preserve"> </w:t>
      </w:r>
      <w:r>
        <w:t>beds,</w:t>
      </w:r>
      <w:r>
        <w:rPr>
          <w:spacing w:val="-2"/>
        </w:rPr>
        <w:t xml:space="preserve"> </w:t>
      </w:r>
      <w:r>
        <w:t>we</w:t>
      </w:r>
      <w:r>
        <w:rPr>
          <w:spacing w:val="-4"/>
        </w:rPr>
        <w:t xml:space="preserve"> </w:t>
      </w:r>
      <w:r>
        <w:t>found</w:t>
      </w:r>
      <w:r>
        <w:rPr>
          <w:spacing w:val="-2"/>
        </w:rPr>
        <w:t xml:space="preserve"> </w:t>
      </w:r>
      <w:r>
        <w:t>that</w:t>
      </w:r>
      <w:r>
        <w:rPr>
          <w:spacing w:val="-2"/>
        </w:rPr>
        <w:t xml:space="preserve"> </w:t>
      </w:r>
      <w:r>
        <w:t>the</w:t>
      </w:r>
      <w:r>
        <w:rPr>
          <w:spacing w:val="-4"/>
        </w:rPr>
        <w:t xml:space="preserve"> </w:t>
      </w:r>
      <w:r>
        <w:t>proportion</w:t>
      </w:r>
      <w:r>
        <w:rPr>
          <w:spacing w:val="-3"/>
        </w:rPr>
        <w:t xml:space="preserve"> </w:t>
      </w:r>
      <w:r>
        <w:t>of</w:t>
      </w:r>
      <w:r>
        <w:rPr>
          <w:spacing w:val="-3"/>
        </w:rPr>
        <w:t xml:space="preserve"> </w:t>
      </w:r>
      <w:r>
        <w:t>BIPOC</w:t>
      </w:r>
      <w:r>
        <w:rPr>
          <w:spacing w:val="-3"/>
        </w:rPr>
        <w:t xml:space="preserve"> </w:t>
      </w:r>
      <w:r>
        <w:t>individuals</w:t>
      </w:r>
      <w:r>
        <w:rPr>
          <w:spacing w:val="-2"/>
        </w:rPr>
        <w:t xml:space="preserve"> </w:t>
      </w:r>
      <w:r>
        <w:t>DFCI</w:t>
      </w:r>
      <w:r>
        <w:rPr>
          <w:spacing w:val="-2"/>
        </w:rPr>
        <w:t xml:space="preserve"> </w:t>
      </w:r>
      <w:r>
        <w:t>serves</w:t>
      </w:r>
      <w:r>
        <w:rPr>
          <w:spacing w:val="-2"/>
        </w:rPr>
        <w:t xml:space="preserve"> </w:t>
      </w:r>
      <w:r>
        <w:t>is</w:t>
      </w:r>
      <w:r>
        <w:rPr>
          <w:spacing w:val="-2"/>
        </w:rPr>
        <w:t xml:space="preserve"> </w:t>
      </w:r>
      <w:r>
        <w:t>slightly</w:t>
      </w:r>
      <w:r>
        <w:rPr>
          <w:spacing w:val="-4"/>
        </w:rPr>
        <w:t xml:space="preserve"> </w:t>
      </w:r>
      <w:r>
        <w:t>higher</w:t>
      </w:r>
      <w:r>
        <w:rPr>
          <w:spacing w:val="-4"/>
        </w:rPr>
        <w:t xml:space="preserve"> </w:t>
      </w:r>
      <w:r>
        <w:t>than the proportion of BIPOC patients just in DFCI beds.</w:t>
      </w:r>
    </w:p>
  </w:footnote>
  <w:footnote w:id="241">
    <w:p w14:paraId="2D42C886" w14:textId="1265DD12" w:rsidR="003529EB" w:rsidRDefault="003529EB" w:rsidP="007A361E">
      <w:pPr>
        <w:pStyle w:val="FootnoteText"/>
        <w:ind w:left="990" w:right="940"/>
      </w:pPr>
      <w:r>
        <w:rPr>
          <w:rStyle w:val="FootnoteReference"/>
        </w:rPr>
        <w:footnoteRef/>
      </w:r>
      <w:r>
        <w:t xml:space="preserve"> </w:t>
      </w:r>
      <w:r w:rsidR="0027322A">
        <w:rPr>
          <w:i/>
        </w:rPr>
        <w:t>See</w:t>
      </w:r>
      <w:r w:rsidR="0027322A">
        <w:rPr>
          <w:i/>
          <w:spacing w:val="-7"/>
        </w:rPr>
        <w:t xml:space="preserve"> </w:t>
      </w:r>
      <w:r w:rsidR="0027322A">
        <w:t>the</w:t>
      </w:r>
      <w:r w:rsidR="0027322A">
        <w:rPr>
          <w:spacing w:val="-6"/>
        </w:rPr>
        <w:t xml:space="preserve"> </w:t>
      </w:r>
      <w:r w:rsidR="0027322A">
        <w:t>Data</w:t>
      </w:r>
      <w:r w:rsidR="0027322A">
        <w:rPr>
          <w:spacing w:val="-6"/>
        </w:rPr>
        <w:t xml:space="preserve"> </w:t>
      </w:r>
      <w:r w:rsidR="0027322A">
        <w:t>Appendix,</w:t>
      </w:r>
      <w:r w:rsidR="0027322A">
        <w:rPr>
          <w:spacing w:val="-5"/>
        </w:rPr>
        <w:t xml:space="preserve"> </w:t>
      </w:r>
      <w:r w:rsidR="0027322A">
        <w:t>Figure</w:t>
      </w:r>
      <w:r w:rsidR="0027322A">
        <w:rPr>
          <w:spacing w:val="-6"/>
        </w:rPr>
        <w:t xml:space="preserve"> </w:t>
      </w:r>
      <w:r w:rsidR="0027322A">
        <w:t>A5,</w:t>
      </w:r>
      <w:r w:rsidR="0027322A">
        <w:rPr>
          <w:spacing w:val="-5"/>
        </w:rPr>
        <w:t xml:space="preserve"> </w:t>
      </w:r>
      <w:r w:rsidR="0027322A">
        <w:t>Infographic</w:t>
      </w:r>
      <w:r w:rsidR="0027322A">
        <w:rPr>
          <w:spacing w:val="-5"/>
        </w:rPr>
        <w:t xml:space="preserve"> </w:t>
      </w:r>
      <w:r w:rsidR="0027322A">
        <w:t>on</w:t>
      </w:r>
      <w:r w:rsidR="0027322A">
        <w:rPr>
          <w:spacing w:val="-6"/>
        </w:rPr>
        <w:t xml:space="preserve"> </w:t>
      </w:r>
      <w:r w:rsidR="0027322A">
        <w:t>Disparities</w:t>
      </w:r>
      <w:r w:rsidR="0027322A">
        <w:rPr>
          <w:spacing w:val="-5"/>
        </w:rPr>
        <w:t xml:space="preserve"> </w:t>
      </w:r>
      <w:r w:rsidR="0027322A">
        <w:t>in</w:t>
      </w:r>
      <w:r w:rsidR="0027322A">
        <w:rPr>
          <w:spacing w:val="-5"/>
        </w:rPr>
        <w:t xml:space="preserve"> </w:t>
      </w:r>
      <w:r w:rsidR="0027322A">
        <w:t>Cancer</w:t>
      </w:r>
      <w:r w:rsidR="0027322A">
        <w:rPr>
          <w:spacing w:val="-7"/>
        </w:rPr>
        <w:t xml:space="preserve"> </w:t>
      </w:r>
      <w:r w:rsidR="0027322A">
        <w:t>Incidence,</w:t>
      </w:r>
      <w:r w:rsidR="0027322A">
        <w:rPr>
          <w:spacing w:val="-5"/>
        </w:rPr>
        <w:t xml:space="preserve"> </w:t>
      </w:r>
      <w:r w:rsidR="0027322A">
        <w:t>Care,</w:t>
      </w:r>
      <w:r w:rsidR="0027322A">
        <w:rPr>
          <w:spacing w:val="-4"/>
        </w:rPr>
        <w:t xml:space="preserve"> </w:t>
      </w:r>
      <w:r w:rsidR="0027322A">
        <w:t>and</w:t>
      </w:r>
      <w:r w:rsidR="0027322A">
        <w:rPr>
          <w:spacing w:val="-5"/>
        </w:rPr>
        <w:t xml:space="preserve"> </w:t>
      </w:r>
      <w:r w:rsidR="0027322A">
        <w:rPr>
          <w:spacing w:val="-2"/>
        </w:rPr>
        <w:t>Outcomes.</w:t>
      </w:r>
    </w:p>
  </w:footnote>
  <w:footnote w:id="242">
    <w:p w14:paraId="716E1E8C" w14:textId="4A9B1A85" w:rsidR="002A518E" w:rsidRDefault="002A518E" w:rsidP="007A361E">
      <w:pPr>
        <w:pStyle w:val="FootnoteText"/>
        <w:ind w:left="990" w:right="940"/>
      </w:pPr>
      <w:r>
        <w:rPr>
          <w:rStyle w:val="FootnoteReference"/>
        </w:rPr>
        <w:footnoteRef/>
      </w:r>
      <w:r>
        <w:t xml:space="preserve"> The HPC defined rural areas in accordance with the Massachusetts State Office of Rural Health, which considers a municipality to be rural if it meets one of the following criteria: 1) meets at least one of three federal</w:t>
      </w:r>
      <w:r>
        <w:rPr>
          <w:spacing w:val="-2"/>
        </w:rPr>
        <w:t xml:space="preserve"> </w:t>
      </w:r>
      <w:r>
        <w:t>rural</w:t>
      </w:r>
      <w:r>
        <w:rPr>
          <w:spacing w:val="-4"/>
        </w:rPr>
        <w:t xml:space="preserve"> </w:t>
      </w:r>
      <w:r>
        <w:t>definitions</w:t>
      </w:r>
      <w:r>
        <w:rPr>
          <w:spacing w:val="-3"/>
        </w:rPr>
        <w:t xml:space="preserve"> </w:t>
      </w:r>
      <w:r>
        <w:t>(Census</w:t>
      </w:r>
      <w:r>
        <w:rPr>
          <w:spacing w:val="-3"/>
        </w:rPr>
        <w:t xml:space="preserve"> </w:t>
      </w:r>
      <w:r>
        <w:t>Bureau,</w:t>
      </w:r>
      <w:r>
        <w:rPr>
          <w:spacing w:val="-3"/>
        </w:rPr>
        <w:t xml:space="preserve"> </w:t>
      </w:r>
      <w:r>
        <w:t>Office</w:t>
      </w:r>
      <w:r>
        <w:rPr>
          <w:spacing w:val="-2"/>
        </w:rPr>
        <w:t xml:space="preserve"> </w:t>
      </w:r>
      <w:r>
        <w:t>of</w:t>
      </w:r>
      <w:r>
        <w:rPr>
          <w:spacing w:val="-4"/>
        </w:rPr>
        <w:t xml:space="preserve"> </w:t>
      </w:r>
      <w:r>
        <w:t>Management</w:t>
      </w:r>
      <w:r>
        <w:rPr>
          <w:spacing w:val="-3"/>
        </w:rPr>
        <w:t xml:space="preserve"> </w:t>
      </w:r>
      <w:r>
        <w:t>and</w:t>
      </w:r>
      <w:r>
        <w:rPr>
          <w:spacing w:val="-3"/>
        </w:rPr>
        <w:t xml:space="preserve"> </w:t>
      </w:r>
      <w:r>
        <w:t>Budget,</w:t>
      </w:r>
      <w:r>
        <w:rPr>
          <w:spacing w:val="-3"/>
        </w:rPr>
        <w:t xml:space="preserve"> </w:t>
      </w:r>
      <w:r>
        <w:t>or</w:t>
      </w:r>
      <w:r>
        <w:rPr>
          <w:spacing w:val="-5"/>
        </w:rPr>
        <w:t xml:space="preserve"> </w:t>
      </w:r>
      <w:r>
        <w:t>rural-urban</w:t>
      </w:r>
      <w:r>
        <w:rPr>
          <w:spacing w:val="-4"/>
        </w:rPr>
        <w:t xml:space="preserve"> </w:t>
      </w:r>
      <w:r>
        <w:t>commuting</w:t>
      </w:r>
      <w:r>
        <w:rPr>
          <w:spacing w:val="-4"/>
        </w:rPr>
        <w:t xml:space="preserve"> </w:t>
      </w:r>
      <w:r>
        <w:t>area codes)</w:t>
      </w:r>
      <w:r>
        <w:rPr>
          <w:spacing w:val="-4"/>
        </w:rPr>
        <w:t xml:space="preserve"> </w:t>
      </w:r>
      <w:r>
        <w:t>at</w:t>
      </w:r>
      <w:r>
        <w:rPr>
          <w:spacing w:val="-2"/>
        </w:rPr>
        <w:t xml:space="preserve"> </w:t>
      </w:r>
      <w:r>
        <w:t>the</w:t>
      </w:r>
      <w:r>
        <w:rPr>
          <w:spacing w:val="-4"/>
        </w:rPr>
        <w:t xml:space="preserve"> </w:t>
      </w:r>
      <w:r>
        <w:t>sub-county</w:t>
      </w:r>
      <w:r>
        <w:rPr>
          <w:spacing w:val="-4"/>
        </w:rPr>
        <w:t xml:space="preserve"> </w:t>
      </w:r>
      <w:r>
        <w:t>level,</w:t>
      </w:r>
      <w:r>
        <w:rPr>
          <w:spacing w:val="-2"/>
        </w:rPr>
        <w:t xml:space="preserve"> </w:t>
      </w:r>
      <w:r>
        <w:t>2)</w:t>
      </w:r>
      <w:r>
        <w:rPr>
          <w:spacing w:val="-4"/>
        </w:rPr>
        <w:t xml:space="preserve"> </w:t>
      </w:r>
      <w:r>
        <w:t>has</w:t>
      </w:r>
      <w:r>
        <w:rPr>
          <w:spacing w:val="-2"/>
        </w:rPr>
        <w:t xml:space="preserve"> </w:t>
      </w:r>
      <w:r>
        <w:t>a</w:t>
      </w:r>
      <w:r>
        <w:rPr>
          <w:spacing w:val="-3"/>
        </w:rPr>
        <w:t xml:space="preserve"> </w:t>
      </w:r>
      <w:r>
        <w:t>population</w:t>
      </w:r>
      <w:r>
        <w:rPr>
          <w:spacing w:val="-3"/>
        </w:rPr>
        <w:t xml:space="preserve"> </w:t>
      </w:r>
      <w:r>
        <w:t>less</w:t>
      </w:r>
      <w:r>
        <w:rPr>
          <w:spacing w:val="-2"/>
        </w:rPr>
        <w:t xml:space="preserve"> </w:t>
      </w:r>
      <w:r>
        <w:t>than</w:t>
      </w:r>
      <w:r>
        <w:rPr>
          <w:spacing w:val="-3"/>
        </w:rPr>
        <w:t xml:space="preserve"> </w:t>
      </w:r>
      <w:r>
        <w:t>10,000</w:t>
      </w:r>
      <w:r>
        <w:rPr>
          <w:spacing w:val="-2"/>
        </w:rPr>
        <w:t xml:space="preserve"> </w:t>
      </w:r>
      <w:r>
        <w:t>people</w:t>
      </w:r>
      <w:r>
        <w:rPr>
          <w:spacing w:val="-4"/>
        </w:rPr>
        <w:t xml:space="preserve"> </w:t>
      </w:r>
      <w:r>
        <w:t>and</w:t>
      </w:r>
      <w:r>
        <w:rPr>
          <w:spacing w:val="-2"/>
        </w:rPr>
        <w:t xml:space="preserve"> </w:t>
      </w:r>
      <w:r>
        <w:t>a population</w:t>
      </w:r>
      <w:r>
        <w:rPr>
          <w:spacing w:val="-3"/>
        </w:rPr>
        <w:t xml:space="preserve"> </w:t>
      </w:r>
      <w:r>
        <w:t>density</w:t>
      </w:r>
      <w:r>
        <w:rPr>
          <w:spacing w:val="-4"/>
        </w:rPr>
        <w:t xml:space="preserve"> </w:t>
      </w:r>
      <w:r>
        <w:t>below 500 people</w:t>
      </w:r>
      <w:r>
        <w:rPr>
          <w:spacing w:val="-1"/>
        </w:rPr>
        <w:t xml:space="preserve"> </w:t>
      </w:r>
      <w:r>
        <w:t>per</w:t>
      </w:r>
      <w:r>
        <w:rPr>
          <w:spacing w:val="-1"/>
        </w:rPr>
        <w:t xml:space="preserve"> </w:t>
      </w:r>
      <w:r>
        <w:t>square</w:t>
      </w:r>
      <w:r>
        <w:rPr>
          <w:spacing w:val="-1"/>
        </w:rPr>
        <w:t xml:space="preserve"> </w:t>
      </w:r>
      <w:r>
        <w:t>mile, and/or</w:t>
      </w:r>
      <w:r>
        <w:rPr>
          <w:spacing w:val="-1"/>
        </w:rPr>
        <w:t xml:space="preserve"> </w:t>
      </w:r>
      <w:r>
        <w:t>3)</w:t>
      </w:r>
      <w:r>
        <w:rPr>
          <w:spacing w:val="-1"/>
        </w:rPr>
        <w:t xml:space="preserve"> </w:t>
      </w:r>
      <w:r>
        <w:t>has an acute</w:t>
      </w:r>
      <w:r>
        <w:rPr>
          <w:spacing w:val="-1"/>
        </w:rPr>
        <w:t xml:space="preserve"> </w:t>
      </w:r>
      <w:r>
        <w:t>care hospital in the</w:t>
      </w:r>
      <w:r>
        <w:rPr>
          <w:spacing w:val="-1"/>
        </w:rPr>
        <w:t xml:space="preserve"> </w:t>
      </w:r>
      <w:r>
        <w:t>town that me</w:t>
      </w:r>
      <w:r w:rsidRPr="00CF2E86">
        <w:rPr>
          <w:color w:val="000000" w:themeColor="text1"/>
        </w:rPr>
        <w:t>ets the</w:t>
      </w:r>
      <w:r w:rsidRPr="00CF2E86">
        <w:rPr>
          <w:color w:val="000000" w:themeColor="text1"/>
          <w:spacing w:val="-1"/>
        </w:rPr>
        <w:t xml:space="preserve"> </w:t>
      </w:r>
      <w:r w:rsidRPr="00CF2E86">
        <w:rPr>
          <w:color w:val="000000" w:themeColor="text1"/>
        </w:rPr>
        <w:t>state</w:t>
      </w:r>
      <w:r w:rsidRPr="00CF2E86">
        <w:rPr>
          <w:color w:val="000000" w:themeColor="text1"/>
          <w:spacing w:val="-1"/>
        </w:rPr>
        <w:t xml:space="preserve"> </w:t>
      </w:r>
      <w:r w:rsidRPr="00CF2E86">
        <w:rPr>
          <w:color w:val="000000" w:themeColor="text1"/>
        </w:rPr>
        <w:t xml:space="preserve">hospital licensure definition of a small rural hospital, or is a certified critical access hospital. </w:t>
      </w:r>
      <w:hyperlink r:id="rId300" w:history="1">
        <w:r w:rsidRPr="00CF2E86">
          <w:rPr>
            <w:rStyle w:val="Hyperlink"/>
            <w:i/>
            <w:color w:val="000000" w:themeColor="text1"/>
            <w:u w:val="none"/>
          </w:rPr>
          <w:t>Rural Definition</w:t>
        </w:r>
        <w:r w:rsidRPr="00CF2E86">
          <w:rPr>
            <w:rStyle w:val="Hyperlink"/>
            <w:color w:val="000000" w:themeColor="text1"/>
            <w:u w:val="none"/>
          </w:rPr>
          <w:t>, M</w:t>
        </w:r>
        <w:r w:rsidRPr="00CF2E86">
          <w:rPr>
            <w:rStyle w:val="Hyperlink"/>
            <w:color w:val="000000" w:themeColor="text1"/>
            <w:sz w:val="16"/>
            <w:u w:val="none"/>
          </w:rPr>
          <w:t xml:space="preserve">ASSACHUSETTS </w:t>
        </w:r>
        <w:r w:rsidRPr="00CF2E86">
          <w:rPr>
            <w:rStyle w:val="Hyperlink"/>
            <w:color w:val="000000" w:themeColor="text1"/>
            <w:u w:val="none"/>
          </w:rPr>
          <w:t>S</w:t>
        </w:r>
        <w:r w:rsidRPr="00CF2E86">
          <w:rPr>
            <w:rStyle w:val="Hyperlink"/>
            <w:color w:val="000000" w:themeColor="text1"/>
            <w:sz w:val="16"/>
            <w:u w:val="none"/>
          </w:rPr>
          <w:t xml:space="preserve">TATE </w:t>
        </w:r>
        <w:r w:rsidRPr="00CF2E86">
          <w:rPr>
            <w:rStyle w:val="Hyperlink"/>
            <w:color w:val="000000" w:themeColor="text1"/>
            <w:u w:val="none"/>
          </w:rPr>
          <w:t>O</w:t>
        </w:r>
        <w:r w:rsidRPr="00CF2E86">
          <w:rPr>
            <w:rStyle w:val="Hyperlink"/>
            <w:color w:val="000000" w:themeColor="text1"/>
            <w:sz w:val="16"/>
            <w:u w:val="none"/>
          </w:rPr>
          <w:t xml:space="preserve">FFICE OF </w:t>
        </w:r>
        <w:r w:rsidRPr="00CF2E86">
          <w:rPr>
            <w:rStyle w:val="Hyperlink"/>
            <w:color w:val="000000" w:themeColor="text1"/>
            <w:u w:val="none"/>
          </w:rPr>
          <w:t>R</w:t>
        </w:r>
        <w:r w:rsidRPr="00CF2E86">
          <w:rPr>
            <w:rStyle w:val="Hyperlink"/>
            <w:color w:val="000000" w:themeColor="text1"/>
            <w:sz w:val="16"/>
            <w:u w:val="none"/>
          </w:rPr>
          <w:t xml:space="preserve">URAL </w:t>
        </w:r>
        <w:r w:rsidRPr="00CF2E86">
          <w:rPr>
            <w:rStyle w:val="Hyperlink"/>
            <w:color w:val="000000" w:themeColor="text1"/>
            <w:u w:val="none"/>
          </w:rPr>
          <w:t>H</w:t>
        </w:r>
        <w:r w:rsidRPr="00CF2E86">
          <w:rPr>
            <w:rStyle w:val="Hyperlink"/>
            <w:color w:val="000000" w:themeColor="text1"/>
            <w:sz w:val="16"/>
            <w:u w:val="none"/>
          </w:rPr>
          <w:t>EALTH</w:t>
        </w:r>
      </w:hyperlink>
      <w:r w:rsidRPr="00CF2E86">
        <w:rPr>
          <w:color w:val="000000" w:themeColor="text1"/>
        </w:rPr>
        <w:t xml:space="preserve">, </w:t>
      </w:r>
      <w:hyperlink r:id="rId301">
        <w:r>
          <w:rPr>
            <w:color w:val="486794"/>
            <w:u w:val="single" w:color="486794"/>
          </w:rPr>
          <w:t>https://www.mass.gov/doc/rural-definition-detail-0/download</w:t>
        </w:r>
      </w:hyperlink>
      <w:r>
        <w:rPr>
          <w:color w:val="486794"/>
        </w:rPr>
        <w:t xml:space="preserve"> </w:t>
      </w:r>
      <w:r>
        <w:t>(last visited February 27, 2025).</w:t>
      </w:r>
    </w:p>
  </w:footnote>
  <w:footnote w:id="243">
    <w:p w14:paraId="535D390D" w14:textId="4DC4B4E8" w:rsidR="003856E9" w:rsidRDefault="003856E9" w:rsidP="007A361E">
      <w:pPr>
        <w:pStyle w:val="FootnoteText"/>
        <w:ind w:left="990" w:right="940"/>
      </w:pPr>
      <w:r>
        <w:rPr>
          <w:rStyle w:val="FootnoteReference"/>
        </w:rPr>
        <w:footnoteRef/>
      </w:r>
      <w:r>
        <w:t xml:space="preserve"> Trends were similar for all discharges statewide. HPC analysis of 2019 – 2023 CHIA Massachusetts Hospital</w:t>
      </w:r>
      <w:r>
        <w:rPr>
          <w:spacing w:val="-4"/>
        </w:rPr>
        <w:t xml:space="preserve"> </w:t>
      </w:r>
      <w:r>
        <w:t>Discharge</w:t>
      </w:r>
      <w:r>
        <w:rPr>
          <w:spacing w:val="-5"/>
        </w:rPr>
        <w:t xml:space="preserve"> </w:t>
      </w:r>
      <w:r>
        <w:t>Database,</w:t>
      </w:r>
      <w:r>
        <w:rPr>
          <w:spacing w:val="-3"/>
        </w:rPr>
        <w:t xml:space="preserve"> </w:t>
      </w:r>
      <w:r>
        <w:t>including</w:t>
      </w:r>
      <w:r>
        <w:rPr>
          <w:spacing w:val="-4"/>
        </w:rPr>
        <w:t xml:space="preserve"> </w:t>
      </w:r>
      <w:r>
        <w:t>discharges</w:t>
      </w:r>
      <w:r>
        <w:rPr>
          <w:spacing w:val="-3"/>
        </w:rPr>
        <w:t xml:space="preserve"> </w:t>
      </w:r>
      <w:r>
        <w:t>at</w:t>
      </w:r>
      <w:r>
        <w:rPr>
          <w:spacing w:val="-3"/>
        </w:rPr>
        <w:t xml:space="preserve"> </w:t>
      </w:r>
      <w:r>
        <w:t>all</w:t>
      </w:r>
      <w:r>
        <w:rPr>
          <w:spacing w:val="-4"/>
        </w:rPr>
        <w:t xml:space="preserve"> </w:t>
      </w:r>
      <w:r>
        <w:t>Massachusetts</w:t>
      </w:r>
      <w:r>
        <w:rPr>
          <w:spacing w:val="-3"/>
        </w:rPr>
        <w:t xml:space="preserve"> </w:t>
      </w:r>
      <w:r>
        <w:t>hospitals</w:t>
      </w:r>
      <w:r>
        <w:rPr>
          <w:spacing w:val="-3"/>
        </w:rPr>
        <w:t xml:space="preserve"> </w:t>
      </w:r>
      <w:r>
        <w:t>and</w:t>
      </w:r>
      <w:r>
        <w:rPr>
          <w:spacing w:val="-4"/>
        </w:rPr>
        <w:t xml:space="preserve"> </w:t>
      </w:r>
      <w:r>
        <w:t>excluding</w:t>
      </w:r>
      <w:r>
        <w:rPr>
          <w:spacing w:val="-4"/>
        </w:rPr>
        <w:t xml:space="preserve"> </w:t>
      </w:r>
      <w:r>
        <w:t>non-MA residents, normal newborns, and discharges for patients under 18 years of age.</w:t>
      </w:r>
    </w:p>
  </w:footnote>
  <w:footnote w:id="244">
    <w:p w14:paraId="7B50C909" w14:textId="77777777" w:rsidR="00220B9A" w:rsidRDefault="00220B9A" w:rsidP="007A361E">
      <w:pPr>
        <w:spacing w:before="1" w:line="226" w:lineRule="exact"/>
        <w:ind w:left="990" w:right="940"/>
        <w:rPr>
          <w:sz w:val="20"/>
        </w:rPr>
      </w:pPr>
      <w:r>
        <w:rPr>
          <w:rStyle w:val="FootnoteReference"/>
        </w:rPr>
        <w:footnoteRef/>
      </w:r>
      <w:r>
        <w:t xml:space="preserve"> </w:t>
      </w:r>
      <w:r>
        <w:rPr>
          <w:sz w:val="20"/>
        </w:rPr>
        <w:t>From</w:t>
      </w:r>
      <w:r>
        <w:rPr>
          <w:spacing w:val="-5"/>
          <w:sz w:val="20"/>
        </w:rPr>
        <w:t xml:space="preserve"> </w:t>
      </w:r>
      <w:r>
        <w:rPr>
          <w:sz w:val="20"/>
        </w:rPr>
        <w:t>2019</w:t>
      </w:r>
      <w:r>
        <w:rPr>
          <w:spacing w:val="-5"/>
          <w:sz w:val="20"/>
        </w:rPr>
        <w:t xml:space="preserve"> </w:t>
      </w:r>
      <w:r>
        <w:rPr>
          <w:sz w:val="20"/>
        </w:rPr>
        <w:t>–</w:t>
      </w:r>
      <w:r>
        <w:rPr>
          <w:spacing w:val="-5"/>
          <w:sz w:val="20"/>
        </w:rPr>
        <w:t xml:space="preserve"> </w:t>
      </w:r>
      <w:r>
        <w:rPr>
          <w:sz w:val="20"/>
        </w:rPr>
        <w:t>2023,</w:t>
      </w:r>
      <w:r>
        <w:rPr>
          <w:spacing w:val="-8"/>
          <w:sz w:val="20"/>
        </w:rPr>
        <w:t xml:space="preserve"> </w:t>
      </w:r>
      <w:r>
        <w:rPr>
          <w:sz w:val="20"/>
        </w:rPr>
        <w:t>the</w:t>
      </w:r>
      <w:r>
        <w:rPr>
          <w:spacing w:val="-6"/>
          <w:sz w:val="20"/>
        </w:rPr>
        <w:t xml:space="preserve"> </w:t>
      </w:r>
      <w:r>
        <w:rPr>
          <w:sz w:val="20"/>
        </w:rPr>
        <w:t>share</w:t>
      </w:r>
      <w:r>
        <w:rPr>
          <w:spacing w:val="-7"/>
          <w:sz w:val="20"/>
        </w:rPr>
        <w:t xml:space="preserve"> </w:t>
      </w:r>
      <w:r>
        <w:rPr>
          <w:sz w:val="20"/>
        </w:rPr>
        <w:t>of</w:t>
      </w:r>
      <w:r>
        <w:rPr>
          <w:spacing w:val="-6"/>
          <w:sz w:val="20"/>
        </w:rPr>
        <w:t xml:space="preserve"> </w:t>
      </w:r>
      <w:r>
        <w:rPr>
          <w:sz w:val="20"/>
        </w:rPr>
        <w:t>inpatient</w:t>
      </w:r>
      <w:r>
        <w:rPr>
          <w:spacing w:val="-5"/>
          <w:sz w:val="20"/>
        </w:rPr>
        <w:t xml:space="preserve"> </w:t>
      </w:r>
      <w:r>
        <w:rPr>
          <w:sz w:val="20"/>
        </w:rPr>
        <w:t>medical</w:t>
      </w:r>
      <w:r>
        <w:rPr>
          <w:spacing w:val="-5"/>
          <w:sz w:val="20"/>
        </w:rPr>
        <w:t xml:space="preserve"> </w:t>
      </w:r>
      <w:r>
        <w:rPr>
          <w:sz w:val="20"/>
        </w:rPr>
        <w:t>oncology</w:t>
      </w:r>
      <w:r>
        <w:rPr>
          <w:spacing w:val="-7"/>
          <w:sz w:val="20"/>
        </w:rPr>
        <w:t xml:space="preserve"> </w:t>
      </w:r>
      <w:r>
        <w:rPr>
          <w:sz w:val="20"/>
        </w:rPr>
        <w:t>discharges</w:t>
      </w:r>
      <w:r>
        <w:rPr>
          <w:spacing w:val="-5"/>
          <w:sz w:val="20"/>
        </w:rPr>
        <w:t xml:space="preserve"> </w:t>
      </w:r>
      <w:r>
        <w:rPr>
          <w:sz w:val="20"/>
        </w:rPr>
        <w:t>from</w:t>
      </w:r>
      <w:r>
        <w:rPr>
          <w:spacing w:val="-5"/>
          <w:sz w:val="20"/>
        </w:rPr>
        <w:t xml:space="preserve"> </w:t>
      </w:r>
      <w:r>
        <w:rPr>
          <w:sz w:val="20"/>
        </w:rPr>
        <w:t>rural</w:t>
      </w:r>
      <w:r>
        <w:rPr>
          <w:spacing w:val="-6"/>
          <w:sz w:val="20"/>
        </w:rPr>
        <w:t xml:space="preserve"> </w:t>
      </w:r>
      <w:r>
        <w:rPr>
          <w:sz w:val="20"/>
        </w:rPr>
        <w:t>areas</w:t>
      </w:r>
      <w:r>
        <w:rPr>
          <w:spacing w:val="-5"/>
          <w:sz w:val="20"/>
        </w:rPr>
        <w:t xml:space="preserve"> </w:t>
      </w:r>
      <w:r>
        <w:rPr>
          <w:sz w:val="20"/>
        </w:rPr>
        <w:t>decreased</w:t>
      </w:r>
      <w:r>
        <w:rPr>
          <w:spacing w:val="-4"/>
          <w:sz w:val="20"/>
        </w:rPr>
        <w:t xml:space="preserve"> </w:t>
      </w:r>
      <w:r>
        <w:rPr>
          <w:spacing w:val="-5"/>
          <w:sz w:val="20"/>
        </w:rPr>
        <w:t>by</w:t>
      </w:r>
    </w:p>
    <w:p w14:paraId="050C86E5" w14:textId="7A46360D" w:rsidR="00220B9A" w:rsidRPr="00A56EAE" w:rsidRDefault="00220B9A" w:rsidP="00A56EAE">
      <w:pPr>
        <w:ind w:left="990" w:right="940"/>
        <w:rPr>
          <w:sz w:val="20"/>
        </w:rPr>
      </w:pPr>
      <w:r>
        <w:rPr>
          <w:sz w:val="20"/>
        </w:rPr>
        <w:t>0.5</w:t>
      </w:r>
      <w:r>
        <w:rPr>
          <w:spacing w:val="-2"/>
          <w:sz w:val="20"/>
        </w:rPr>
        <w:t xml:space="preserve"> </w:t>
      </w:r>
      <w:r>
        <w:rPr>
          <w:sz w:val="20"/>
        </w:rPr>
        <w:t>percentage</w:t>
      </w:r>
      <w:r>
        <w:rPr>
          <w:spacing w:val="-1"/>
          <w:sz w:val="20"/>
        </w:rPr>
        <w:t xml:space="preserve"> </w:t>
      </w:r>
      <w:r>
        <w:rPr>
          <w:sz w:val="20"/>
        </w:rPr>
        <w:t>points</w:t>
      </w:r>
      <w:r>
        <w:rPr>
          <w:spacing w:val="-2"/>
          <w:sz w:val="20"/>
        </w:rPr>
        <w:t xml:space="preserve"> </w:t>
      </w:r>
      <w:r>
        <w:rPr>
          <w:sz w:val="20"/>
        </w:rPr>
        <w:t>for</w:t>
      </w:r>
      <w:r>
        <w:rPr>
          <w:spacing w:val="-4"/>
          <w:sz w:val="20"/>
        </w:rPr>
        <w:t xml:space="preserve"> </w:t>
      </w:r>
      <w:r>
        <w:rPr>
          <w:sz w:val="20"/>
        </w:rPr>
        <w:t>BIDMC</w:t>
      </w:r>
      <w:r>
        <w:rPr>
          <w:spacing w:val="-3"/>
          <w:sz w:val="20"/>
        </w:rPr>
        <w:t xml:space="preserve"> </w:t>
      </w:r>
      <w:r>
        <w:rPr>
          <w:sz w:val="20"/>
        </w:rPr>
        <w:t>and</w:t>
      </w:r>
      <w:r>
        <w:rPr>
          <w:spacing w:val="-2"/>
          <w:sz w:val="20"/>
        </w:rPr>
        <w:t xml:space="preserve"> </w:t>
      </w:r>
      <w:r>
        <w:rPr>
          <w:sz w:val="20"/>
        </w:rPr>
        <w:t>increased</w:t>
      </w:r>
      <w:r>
        <w:rPr>
          <w:spacing w:val="-2"/>
          <w:sz w:val="20"/>
        </w:rPr>
        <w:t xml:space="preserve"> </w:t>
      </w:r>
      <w:r>
        <w:rPr>
          <w:sz w:val="20"/>
        </w:rPr>
        <w:t>by</w:t>
      </w:r>
      <w:r>
        <w:rPr>
          <w:spacing w:val="-4"/>
          <w:sz w:val="20"/>
        </w:rPr>
        <w:t xml:space="preserve"> </w:t>
      </w:r>
      <w:r>
        <w:rPr>
          <w:sz w:val="20"/>
        </w:rPr>
        <w:t>0.3</w:t>
      </w:r>
      <w:r>
        <w:rPr>
          <w:spacing w:val="-2"/>
          <w:sz w:val="20"/>
        </w:rPr>
        <w:t xml:space="preserve"> </w:t>
      </w:r>
      <w:r>
        <w:rPr>
          <w:sz w:val="20"/>
        </w:rPr>
        <w:t>points</w:t>
      </w:r>
      <w:r>
        <w:rPr>
          <w:spacing w:val="-2"/>
          <w:sz w:val="20"/>
        </w:rPr>
        <w:t xml:space="preserve"> </w:t>
      </w:r>
      <w:r>
        <w:rPr>
          <w:sz w:val="20"/>
        </w:rPr>
        <w:t>statewide,</w:t>
      </w:r>
      <w:r>
        <w:rPr>
          <w:spacing w:val="-3"/>
          <w:sz w:val="20"/>
        </w:rPr>
        <w:t xml:space="preserve"> </w:t>
      </w:r>
      <w:r>
        <w:rPr>
          <w:sz w:val="20"/>
        </w:rPr>
        <w:t>by</w:t>
      </w:r>
      <w:r>
        <w:rPr>
          <w:spacing w:val="-4"/>
          <w:sz w:val="20"/>
        </w:rPr>
        <w:t xml:space="preserve"> </w:t>
      </w:r>
      <w:r>
        <w:rPr>
          <w:sz w:val="20"/>
        </w:rPr>
        <w:t>1.2</w:t>
      </w:r>
      <w:r>
        <w:rPr>
          <w:spacing w:val="-2"/>
          <w:sz w:val="20"/>
        </w:rPr>
        <w:t xml:space="preserve"> </w:t>
      </w:r>
      <w:r>
        <w:rPr>
          <w:sz w:val="20"/>
        </w:rPr>
        <w:t>points</w:t>
      </w:r>
      <w:r>
        <w:rPr>
          <w:spacing w:val="-2"/>
          <w:sz w:val="20"/>
        </w:rPr>
        <w:t xml:space="preserve"> </w:t>
      </w:r>
      <w:r>
        <w:rPr>
          <w:sz w:val="20"/>
        </w:rPr>
        <w:t>for</w:t>
      </w:r>
      <w:r>
        <w:rPr>
          <w:spacing w:val="-4"/>
          <w:sz w:val="20"/>
        </w:rPr>
        <w:t xml:space="preserve"> </w:t>
      </w:r>
      <w:r>
        <w:rPr>
          <w:sz w:val="20"/>
        </w:rPr>
        <w:t>DFCI,</w:t>
      </w:r>
      <w:r>
        <w:rPr>
          <w:spacing w:val="-2"/>
          <w:sz w:val="20"/>
        </w:rPr>
        <w:t xml:space="preserve"> </w:t>
      </w:r>
      <w:r>
        <w:rPr>
          <w:sz w:val="20"/>
        </w:rPr>
        <w:t>and</w:t>
      </w:r>
      <w:r>
        <w:rPr>
          <w:spacing w:val="-2"/>
          <w:sz w:val="20"/>
        </w:rPr>
        <w:t xml:space="preserve"> </w:t>
      </w:r>
      <w:r>
        <w:rPr>
          <w:sz w:val="20"/>
        </w:rPr>
        <w:t>by</w:t>
      </w:r>
      <w:r>
        <w:rPr>
          <w:spacing w:val="-4"/>
          <w:sz w:val="20"/>
        </w:rPr>
        <w:t xml:space="preserve"> </w:t>
      </w:r>
      <w:r>
        <w:rPr>
          <w:sz w:val="20"/>
        </w:rPr>
        <w:t>1.8 points for BWH. HPC analysis of 2019 – 2023 CHIA Massachusetts Hospital Discharge Database.</w:t>
      </w:r>
    </w:p>
  </w:footnote>
  <w:footnote w:id="245">
    <w:p w14:paraId="2648BAC0" w14:textId="63EEF39C" w:rsidR="00220B9A" w:rsidRDefault="00220B9A" w:rsidP="007A361E">
      <w:pPr>
        <w:pStyle w:val="FootnoteText"/>
        <w:ind w:left="990" w:right="940"/>
      </w:pPr>
      <w:r>
        <w:rPr>
          <w:rStyle w:val="FootnoteReference"/>
        </w:rPr>
        <w:footnoteRef/>
      </w:r>
      <w:r>
        <w:t xml:space="preserve"> HPC</w:t>
      </w:r>
      <w:r>
        <w:rPr>
          <w:spacing w:val="-6"/>
        </w:rPr>
        <w:t xml:space="preserve"> </w:t>
      </w:r>
      <w:r>
        <w:t>analysis</w:t>
      </w:r>
      <w:r>
        <w:rPr>
          <w:spacing w:val="-4"/>
        </w:rPr>
        <w:t xml:space="preserve"> </w:t>
      </w:r>
      <w:r>
        <w:t>of</w:t>
      </w:r>
      <w:r>
        <w:rPr>
          <w:spacing w:val="-6"/>
        </w:rPr>
        <w:t xml:space="preserve"> </w:t>
      </w:r>
      <w:r>
        <w:t>2019</w:t>
      </w:r>
      <w:r>
        <w:rPr>
          <w:spacing w:val="-5"/>
        </w:rPr>
        <w:t xml:space="preserve"> </w:t>
      </w:r>
      <w:r>
        <w:t>–</w:t>
      </w:r>
      <w:r>
        <w:rPr>
          <w:spacing w:val="-4"/>
        </w:rPr>
        <w:t xml:space="preserve"> </w:t>
      </w:r>
      <w:r>
        <w:t>2023</w:t>
      </w:r>
      <w:r>
        <w:rPr>
          <w:spacing w:val="-5"/>
        </w:rPr>
        <w:t xml:space="preserve"> </w:t>
      </w:r>
      <w:r>
        <w:t>CHIA</w:t>
      </w:r>
      <w:r>
        <w:rPr>
          <w:spacing w:val="-7"/>
        </w:rPr>
        <w:t xml:space="preserve"> </w:t>
      </w:r>
      <w:r>
        <w:t>Massachusetts</w:t>
      </w:r>
      <w:r>
        <w:rPr>
          <w:spacing w:val="-4"/>
        </w:rPr>
        <w:t xml:space="preserve"> </w:t>
      </w:r>
      <w:r>
        <w:t>Hospital</w:t>
      </w:r>
      <w:r>
        <w:rPr>
          <w:spacing w:val="-6"/>
        </w:rPr>
        <w:t xml:space="preserve"> </w:t>
      </w:r>
      <w:r>
        <w:t>Discharge</w:t>
      </w:r>
      <w:r>
        <w:rPr>
          <w:spacing w:val="-7"/>
        </w:rPr>
        <w:t xml:space="preserve"> </w:t>
      </w:r>
      <w:r>
        <w:rPr>
          <w:spacing w:val="-2"/>
        </w:rPr>
        <w:t>Database.</w:t>
      </w:r>
    </w:p>
  </w:footnote>
  <w:footnote w:id="246">
    <w:p w14:paraId="4FF11989" w14:textId="430D4A95" w:rsidR="00220B9A" w:rsidRDefault="00220B9A" w:rsidP="007A361E">
      <w:pPr>
        <w:pStyle w:val="FootnoteText"/>
        <w:ind w:left="990" w:right="940"/>
      </w:pPr>
      <w:r>
        <w:rPr>
          <w:rStyle w:val="FootnoteReference"/>
        </w:rPr>
        <w:footnoteRef/>
      </w:r>
      <w:r>
        <w:t xml:space="preserve"> </w:t>
      </w:r>
      <w:hyperlink r:id="rId302" w:history="1">
        <w:r w:rsidR="00CD0BB1" w:rsidRPr="00CF2E86">
          <w:rPr>
            <w:rStyle w:val="Hyperlink"/>
            <w:i/>
            <w:color w:val="000000" w:themeColor="text1"/>
            <w:u w:val="none"/>
          </w:rPr>
          <w:t>Collaborations,</w:t>
        </w:r>
        <w:r w:rsidR="00CD0BB1" w:rsidRPr="00CF2E86">
          <w:rPr>
            <w:rStyle w:val="Hyperlink"/>
            <w:i/>
            <w:color w:val="000000" w:themeColor="text1"/>
            <w:spacing w:val="-7"/>
            <w:u w:val="none"/>
          </w:rPr>
          <w:t xml:space="preserve"> </w:t>
        </w:r>
        <w:r w:rsidR="00CD0BB1" w:rsidRPr="00CF2E86">
          <w:rPr>
            <w:rStyle w:val="Hyperlink"/>
            <w:color w:val="000000" w:themeColor="text1"/>
            <w:u w:val="none"/>
          </w:rPr>
          <w:t>D</w:t>
        </w:r>
        <w:r w:rsidR="00CD0BB1" w:rsidRPr="00CF2E86">
          <w:rPr>
            <w:rStyle w:val="Hyperlink"/>
            <w:color w:val="000000" w:themeColor="text1"/>
            <w:sz w:val="16"/>
            <w:u w:val="none"/>
          </w:rPr>
          <w:t>ANA</w:t>
        </w:r>
        <w:r w:rsidR="00CD0BB1" w:rsidRPr="00CF2E86">
          <w:rPr>
            <w:rStyle w:val="Hyperlink"/>
            <w:color w:val="000000" w:themeColor="text1"/>
            <w:u w:val="none"/>
          </w:rPr>
          <w:t>-F</w:t>
        </w:r>
        <w:r w:rsidR="00CD0BB1" w:rsidRPr="00CF2E86">
          <w:rPr>
            <w:rStyle w:val="Hyperlink"/>
            <w:color w:val="000000" w:themeColor="text1"/>
            <w:sz w:val="16"/>
            <w:u w:val="none"/>
          </w:rPr>
          <w:t>ARBER</w:t>
        </w:r>
        <w:r w:rsidR="00CD0BB1" w:rsidRPr="00CF2E86">
          <w:rPr>
            <w:rStyle w:val="Hyperlink"/>
            <w:color w:val="000000" w:themeColor="text1"/>
            <w:spacing w:val="-7"/>
            <w:sz w:val="16"/>
            <w:u w:val="none"/>
          </w:rPr>
          <w:t xml:space="preserve"> </w:t>
        </w:r>
        <w:r w:rsidR="00CD0BB1" w:rsidRPr="00CF2E86">
          <w:rPr>
            <w:rStyle w:val="Hyperlink"/>
            <w:color w:val="000000" w:themeColor="text1"/>
            <w:u w:val="none"/>
          </w:rPr>
          <w:t>C</w:t>
        </w:r>
        <w:r w:rsidR="00CD0BB1" w:rsidRPr="00CF2E86">
          <w:rPr>
            <w:rStyle w:val="Hyperlink"/>
            <w:color w:val="000000" w:themeColor="text1"/>
            <w:sz w:val="16"/>
            <w:u w:val="none"/>
          </w:rPr>
          <w:t>ANCER</w:t>
        </w:r>
        <w:r w:rsidR="00CD0BB1" w:rsidRPr="00CF2E86">
          <w:rPr>
            <w:rStyle w:val="Hyperlink"/>
            <w:color w:val="000000" w:themeColor="text1"/>
            <w:spacing w:val="-7"/>
            <w:sz w:val="16"/>
            <w:u w:val="none"/>
          </w:rPr>
          <w:t xml:space="preserve"> </w:t>
        </w:r>
        <w:r w:rsidR="00CD0BB1" w:rsidRPr="00CF2E86">
          <w:rPr>
            <w:rStyle w:val="Hyperlink"/>
            <w:color w:val="000000" w:themeColor="text1"/>
            <w:u w:val="none"/>
          </w:rPr>
          <w:t>I</w:t>
        </w:r>
        <w:r w:rsidR="00CD0BB1" w:rsidRPr="00CF2E86">
          <w:rPr>
            <w:rStyle w:val="Hyperlink"/>
            <w:color w:val="000000" w:themeColor="text1"/>
            <w:sz w:val="16"/>
            <w:u w:val="none"/>
          </w:rPr>
          <w:t>NSTITUTE</w:t>
        </w:r>
      </w:hyperlink>
      <w:r w:rsidR="00CD0BB1">
        <w:t>,</w:t>
      </w:r>
      <w:r w:rsidR="00CD0BB1">
        <w:rPr>
          <w:spacing w:val="-13"/>
        </w:rPr>
        <w:t xml:space="preserve"> </w:t>
      </w:r>
      <w:hyperlink r:id="rId303">
        <w:r w:rsidR="00CD0BB1">
          <w:rPr>
            <w:color w:val="486794"/>
            <w:u w:val="single" w:color="486794"/>
          </w:rPr>
          <w:t>https://www.dana-farber.org/about/collaborations</w:t>
        </w:r>
      </w:hyperlink>
      <w:r w:rsidR="00CD0BB1">
        <w:rPr>
          <w:color w:val="486794"/>
          <w:spacing w:val="-5"/>
        </w:rPr>
        <w:t xml:space="preserve"> </w:t>
      </w:r>
      <w:r w:rsidR="00CD0BB1">
        <w:t>(last visited February 27, 2025).</w:t>
      </w:r>
    </w:p>
  </w:footnote>
  <w:footnote w:id="247">
    <w:p w14:paraId="2AEC5CFD" w14:textId="100360A3" w:rsidR="007E3BD9" w:rsidRDefault="007E3BD9" w:rsidP="007A361E">
      <w:pPr>
        <w:pStyle w:val="FootnoteText"/>
        <w:ind w:left="990" w:right="940"/>
      </w:pPr>
      <w:r>
        <w:rPr>
          <w:rStyle w:val="FootnoteReference"/>
        </w:rPr>
        <w:footnoteRef/>
      </w:r>
      <w:r>
        <w:t xml:space="preserve"> </w:t>
      </w:r>
      <w:r w:rsidR="007A361E">
        <w:t>DFCI</w:t>
      </w:r>
      <w:r w:rsidR="007A361E">
        <w:rPr>
          <w:spacing w:val="-3"/>
        </w:rPr>
        <w:t xml:space="preserve"> </w:t>
      </w:r>
      <w:r w:rsidR="007A361E">
        <w:t>has</w:t>
      </w:r>
      <w:r w:rsidR="007A361E">
        <w:rPr>
          <w:spacing w:val="-3"/>
        </w:rPr>
        <w:t xml:space="preserve"> </w:t>
      </w:r>
      <w:r w:rsidR="007A361E">
        <w:t>community-based</w:t>
      </w:r>
      <w:r w:rsidR="007A361E">
        <w:rPr>
          <w:spacing w:val="-3"/>
        </w:rPr>
        <w:t xml:space="preserve"> </w:t>
      </w:r>
      <w:r w:rsidR="007A361E">
        <w:t>locations</w:t>
      </w:r>
      <w:r w:rsidR="007A361E">
        <w:rPr>
          <w:spacing w:val="-3"/>
        </w:rPr>
        <w:t xml:space="preserve"> </w:t>
      </w:r>
      <w:r w:rsidR="007A361E">
        <w:t>in</w:t>
      </w:r>
      <w:r w:rsidR="007A361E">
        <w:rPr>
          <w:spacing w:val="-4"/>
        </w:rPr>
        <w:t xml:space="preserve"> </w:t>
      </w:r>
      <w:r w:rsidR="007A361E">
        <w:t>Brighton,</w:t>
      </w:r>
      <w:r w:rsidR="007A361E">
        <w:rPr>
          <w:spacing w:val="-4"/>
        </w:rPr>
        <w:t xml:space="preserve"> </w:t>
      </w:r>
      <w:r w:rsidR="007A361E">
        <w:t>Milford,</w:t>
      </w:r>
      <w:r w:rsidR="007A361E">
        <w:rPr>
          <w:spacing w:val="-1"/>
        </w:rPr>
        <w:t xml:space="preserve"> </w:t>
      </w:r>
      <w:r w:rsidR="007A361E">
        <w:t>South</w:t>
      </w:r>
      <w:r w:rsidR="007A361E">
        <w:rPr>
          <w:spacing w:val="-4"/>
        </w:rPr>
        <w:t xml:space="preserve"> </w:t>
      </w:r>
      <w:r w:rsidR="007A361E">
        <w:t>Weymouth,</w:t>
      </w:r>
      <w:r w:rsidR="007A361E">
        <w:rPr>
          <w:spacing w:val="-4"/>
        </w:rPr>
        <w:t xml:space="preserve"> </w:t>
      </w:r>
      <w:r w:rsidR="007A361E">
        <w:t>Methuen,</w:t>
      </w:r>
      <w:r w:rsidR="007A361E">
        <w:rPr>
          <w:spacing w:val="-1"/>
        </w:rPr>
        <w:t xml:space="preserve"> </w:t>
      </w:r>
      <w:r w:rsidR="007A361E">
        <w:t>Foxborough,</w:t>
      </w:r>
      <w:r w:rsidR="007A361E">
        <w:rPr>
          <w:spacing w:val="-3"/>
        </w:rPr>
        <w:t xml:space="preserve"> </w:t>
      </w:r>
      <w:r w:rsidR="007A361E">
        <w:t xml:space="preserve">and Londonderry (NH). </w:t>
      </w:r>
      <w:hyperlink r:id="rId304" w:history="1">
        <w:r w:rsidR="007A361E" w:rsidRPr="00CF2E86">
          <w:rPr>
            <w:rStyle w:val="Hyperlink"/>
            <w:i/>
            <w:color w:val="000000" w:themeColor="text1"/>
            <w:u w:val="none"/>
          </w:rPr>
          <w:t>Locations</w:t>
        </w:r>
        <w:r w:rsidR="007A361E" w:rsidRPr="00CF2E86">
          <w:rPr>
            <w:rStyle w:val="Hyperlink"/>
            <w:color w:val="000000" w:themeColor="text1"/>
            <w:u w:val="none"/>
          </w:rPr>
          <w:t>, D</w:t>
        </w:r>
        <w:r w:rsidR="007A361E" w:rsidRPr="00CF2E86">
          <w:rPr>
            <w:rStyle w:val="Hyperlink"/>
            <w:color w:val="000000" w:themeColor="text1"/>
            <w:sz w:val="16"/>
            <w:u w:val="none"/>
          </w:rPr>
          <w:t>ANA</w:t>
        </w:r>
        <w:r w:rsidR="007A361E" w:rsidRPr="00CF2E86">
          <w:rPr>
            <w:rStyle w:val="Hyperlink"/>
            <w:color w:val="000000" w:themeColor="text1"/>
            <w:u w:val="none"/>
          </w:rPr>
          <w:t>-F</w:t>
        </w:r>
        <w:r w:rsidR="007A361E" w:rsidRPr="00CF2E86">
          <w:rPr>
            <w:rStyle w:val="Hyperlink"/>
            <w:color w:val="000000" w:themeColor="text1"/>
            <w:sz w:val="16"/>
            <w:u w:val="none"/>
          </w:rPr>
          <w:t xml:space="preserve">ARBER </w:t>
        </w:r>
        <w:r w:rsidR="007A361E" w:rsidRPr="00CF2E86">
          <w:rPr>
            <w:rStyle w:val="Hyperlink"/>
            <w:color w:val="000000" w:themeColor="text1"/>
            <w:u w:val="none"/>
          </w:rPr>
          <w:t>C</w:t>
        </w:r>
        <w:r w:rsidR="007A361E" w:rsidRPr="00CF2E86">
          <w:rPr>
            <w:rStyle w:val="Hyperlink"/>
            <w:color w:val="000000" w:themeColor="text1"/>
            <w:sz w:val="16"/>
            <w:u w:val="none"/>
          </w:rPr>
          <w:t xml:space="preserve">ANCER </w:t>
        </w:r>
        <w:r w:rsidR="007A361E" w:rsidRPr="00CF2E86">
          <w:rPr>
            <w:rStyle w:val="Hyperlink"/>
            <w:color w:val="000000" w:themeColor="text1"/>
            <w:u w:val="none"/>
          </w:rPr>
          <w:t>I</w:t>
        </w:r>
        <w:r w:rsidR="007A361E" w:rsidRPr="00CF2E86">
          <w:rPr>
            <w:rStyle w:val="Hyperlink"/>
            <w:color w:val="000000" w:themeColor="text1"/>
            <w:sz w:val="16"/>
            <w:u w:val="none"/>
          </w:rPr>
          <w:t>NSTITUTE</w:t>
        </w:r>
        <w:r w:rsidR="007A361E" w:rsidRPr="00CF2E86">
          <w:rPr>
            <w:rStyle w:val="Hyperlink"/>
            <w:color w:val="000000" w:themeColor="text1"/>
            <w:u w:val="none"/>
          </w:rPr>
          <w:t>,</w:t>
        </w:r>
      </w:hyperlink>
      <w:r w:rsidR="007A361E" w:rsidRPr="00CF2E86">
        <w:rPr>
          <w:color w:val="000000" w:themeColor="text1"/>
        </w:rPr>
        <w:t xml:space="preserve"> </w:t>
      </w:r>
      <w:hyperlink r:id="rId305">
        <w:r w:rsidR="007A361E">
          <w:rPr>
            <w:color w:val="486794"/>
            <w:u w:val="single" w:color="486794"/>
          </w:rPr>
          <w:t>https://www.dana-farber.org/locations</w:t>
        </w:r>
      </w:hyperlink>
      <w:r w:rsidR="007A361E">
        <w:rPr>
          <w:color w:val="486794"/>
        </w:rPr>
        <w:t xml:space="preserve"> </w:t>
      </w:r>
      <w:r w:rsidR="007A361E">
        <w:t>(last visited February 27, 2025).</w:t>
      </w:r>
    </w:p>
  </w:footnote>
  <w:footnote w:id="248">
    <w:p w14:paraId="612C62D9" w14:textId="2EBC067F" w:rsidR="00DA59D7" w:rsidRDefault="00DA59D7" w:rsidP="00DA59D7">
      <w:pPr>
        <w:pStyle w:val="FootnoteText"/>
        <w:ind w:left="990" w:right="940"/>
      </w:pPr>
      <w:r>
        <w:rPr>
          <w:rStyle w:val="FootnoteReference"/>
        </w:rPr>
        <w:footnoteRef/>
      </w:r>
      <w:r>
        <w:t xml:space="preserve"> </w:t>
      </w:r>
      <w:r>
        <w:rPr>
          <w:i/>
        </w:rPr>
        <w:t>See</w:t>
      </w:r>
      <w:r>
        <w:rPr>
          <w:i/>
          <w:spacing w:val="-8"/>
        </w:rPr>
        <w:t xml:space="preserve"> </w:t>
      </w:r>
      <w:r>
        <w:t>DFCI</w:t>
      </w:r>
      <w:r>
        <w:rPr>
          <w:spacing w:val="-7"/>
        </w:rPr>
        <w:t xml:space="preserve"> </w:t>
      </w:r>
      <w:r>
        <w:t>S</w:t>
      </w:r>
      <w:r>
        <w:rPr>
          <w:sz w:val="16"/>
        </w:rPr>
        <w:t xml:space="preserve">TAFF </w:t>
      </w:r>
      <w:r>
        <w:t>R</w:t>
      </w:r>
      <w:r>
        <w:rPr>
          <w:sz w:val="16"/>
        </w:rPr>
        <w:t>EPORT</w:t>
      </w:r>
      <w:r>
        <w:t xml:space="preserve">, </w:t>
      </w:r>
      <w:r>
        <w:rPr>
          <w:i/>
        </w:rPr>
        <w:t xml:space="preserve">supra </w:t>
      </w:r>
      <w:r>
        <w:t xml:space="preserve">note </w:t>
      </w:r>
      <w:hyperlink w:anchor="_bookmark15" w:history="1">
        <w:r>
          <w:t>15,</w:t>
        </w:r>
      </w:hyperlink>
      <w:r>
        <w:t xml:space="preserve"> at 25 (“[DFCI] envisions that inpatient admissions [to the new hospital] will occur through a number of additional pathways, that include the outpatient environment, elective admissions, admissions from observation beds, admissions from the expanded Dana-Farber oncology-specific</w:t>
      </w:r>
      <w:r>
        <w:rPr>
          <w:spacing w:val="-3"/>
        </w:rPr>
        <w:t xml:space="preserve"> </w:t>
      </w:r>
      <w:r>
        <w:t>Acute</w:t>
      </w:r>
      <w:r>
        <w:rPr>
          <w:spacing w:val="-5"/>
        </w:rPr>
        <w:t xml:space="preserve"> </w:t>
      </w:r>
      <w:r>
        <w:t>Care</w:t>
      </w:r>
      <w:r>
        <w:rPr>
          <w:spacing w:val="-2"/>
        </w:rPr>
        <w:t xml:space="preserve"> </w:t>
      </w:r>
      <w:r>
        <w:t>Clinic,</w:t>
      </w:r>
      <w:r>
        <w:rPr>
          <w:spacing w:val="-3"/>
        </w:rPr>
        <w:t xml:space="preserve"> </w:t>
      </w:r>
      <w:r>
        <w:t>transfers</w:t>
      </w:r>
      <w:r>
        <w:rPr>
          <w:spacing w:val="-3"/>
        </w:rPr>
        <w:t xml:space="preserve"> </w:t>
      </w:r>
      <w:r>
        <w:t>from</w:t>
      </w:r>
      <w:r>
        <w:rPr>
          <w:spacing w:val="-3"/>
        </w:rPr>
        <w:t xml:space="preserve"> </w:t>
      </w:r>
      <w:r>
        <w:t>other</w:t>
      </w:r>
      <w:r>
        <w:rPr>
          <w:spacing w:val="-5"/>
        </w:rPr>
        <w:t xml:space="preserve"> </w:t>
      </w:r>
      <w:r>
        <w:t>general</w:t>
      </w:r>
      <w:r>
        <w:rPr>
          <w:spacing w:val="-4"/>
        </w:rPr>
        <w:t xml:space="preserve"> </w:t>
      </w:r>
      <w:r>
        <w:t>acute</w:t>
      </w:r>
      <w:r>
        <w:rPr>
          <w:spacing w:val="-5"/>
        </w:rPr>
        <w:t xml:space="preserve"> </w:t>
      </w:r>
      <w:r>
        <w:t>care</w:t>
      </w:r>
      <w:r>
        <w:rPr>
          <w:spacing w:val="-5"/>
        </w:rPr>
        <w:t xml:space="preserve"> </w:t>
      </w:r>
      <w:r>
        <w:t>hospitals,</w:t>
      </w:r>
      <w:r>
        <w:rPr>
          <w:spacing w:val="-3"/>
        </w:rPr>
        <w:t xml:space="preserve"> </w:t>
      </w:r>
      <w:r>
        <w:t>and</w:t>
      </w:r>
      <w:r>
        <w:rPr>
          <w:spacing w:val="-3"/>
        </w:rPr>
        <w:t xml:space="preserve"> </w:t>
      </w:r>
      <w:r>
        <w:t>transfers</w:t>
      </w:r>
      <w:r>
        <w:rPr>
          <w:spacing w:val="-3"/>
        </w:rPr>
        <w:t xml:space="preserve"> </w:t>
      </w:r>
      <w:r>
        <w:t>from post-acute facilities and nursing homes”).</w:t>
      </w:r>
    </w:p>
  </w:footnote>
  <w:footnote w:id="249">
    <w:p w14:paraId="27112378" w14:textId="06B4308C" w:rsidR="00DA59D7" w:rsidRDefault="00DA59D7" w:rsidP="00DA59D7">
      <w:pPr>
        <w:pStyle w:val="FootnoteText"/>
        <w:ind w:left="990" w:right="940"/>
      </w:pPr>
      <w:r>
        <w:rPr>
          <w:rStyle w:val="FootnoteReference"/>
        </w:rPr>
        <w:footnoteRef/>
      </w:r>
      <w:r>
        <w:t xml:space="preserve"> </w:t>
      </w:r>
      <w:r>
        <w:rPr>
          <w:i/>
        </w:rPr>
        <w:t>See</w:t>
      </w:r>
      <w:r>
        <w:rPr>
          <w:i/>
          <w:spacing w:val="-5"/>
        </w:rPr>
        <w:t xml:space="preserve"> </w:t>
      </w:r>
      <w:r>
        <w:rPr>
          <w:i/>
        </w:rPr>
        <w:t>supra</w:t>
      </w:r>
      <w:r>
        <w:rPr>
          <w:i/>
          <w:spacing w:val="-5"/>
        </w:rPr>
        <w:t xml:space="preserve"> </w:t>
      </w:r>
      <w:r>
        <w:t>note</w:t>
      </w:r>
      <w:r>
        <w:rPr>
          <w:spacing w:val="-5"/>
        </w:rPr>
        <w:t xml:space="preserve"> </w:t>
      </w:r>
      <w:hyperlink w:anchor="_bookmark90" w:history="1">
        <w:r>
          <w:rPr>
            <w:spacing w:val="-5"/>
          </w:rPr>
          <w:t>77.</w:t>
        </w:r>
      </w:hyperlink>
    </w:p>
  </w:footnote>
  <w:footnote w:id="250">
    <w:p w14:paraId="5C7EB252" w14:textId="58FBEB15" w:rsidR="00DA59D7" w:rsidRDefault="00DA59D7" w:rsidP="00DA59D7">
      <w:pPr>
        <w:pStyle w:val="FootnoteText"/>
        <w:ind w:left="990" w:right="940"/>
      </w:pPr>
      <w:r>
        <w:rPr>
          <w:rStyle w:val="FootnoteReference"/>
        </w:rPr>
        <w:footnoteRef/>
      </w:r>
      <w:r>
        <w:t xml:space="preserve"> Massimo</w:t>
      </w:r>
      <w:r>
        <w:rPr>
          <w:spacing w:val="-3"/>
        </w:rPr>
        <w:t xml:space="preserve"> </w:t>
      </w:r>
      <w:proofErr w:type="spellStart"/>
      <w:r>
        <w:t>Ambroggi</w:t>
      </w:r>
      <w:proofErr w:type="spellEnd"/>
      <w:r>
        <w:rPr>
          <w:spacing w:val="-3"/>
        </w:rPr>
        <w:t xml:space="preserve"> </w:t>
      </w:r>
      <w:r>
        <w:t>et</w:t>
      </w:r>
      <w:r>
        <w:rPr>
          <w:spacing w:val="-2"/>
        </w:rPr>
        <w:t xml:space="preserve"> </w:t>
      </w:r>
      <w:r>
        <w:t>al.,</w:t>
      </w:r>
      <w:r>
        <w:rPr>
          <w:spacing w:val="-2"/>
        </w:rPr>
        <w:t xml:space="preserve"> </w:t>
      </w:r>
      <w:hyperlink r:id="rId306" w:history="1">
        <w:r w:rsidRPr="00DA59D7">
          <w:rPr>
            <w:rStyle w:val="Hyperlink"/>
            <w:i/>
            <w:color w:val="000000" w:themeColor="text1"/>
            <w:u w:val="none"/>
          </w:rPr>
          <w:t>Distance</w:t>
        </w:r>
        <w:r w:rsidRPr="00DA59D7">
          <w:rPr>
            <w:rStyle w:val="Hyperlink"/>
            <w:i/>
            <w:color w:val="000000" w:themeColor="text1"/>
            <w:spacing w:val="-1"/>
            <w:u w:val="none"/>
          </w:rPr>
          <w:t xml:space="preserve"> </w:t>
        </w:r>
        <w:r w:rsidRPr="00DA59D7">
          <w:rPr>
            <w:rStyle w:val="Hyperlink"/>
            <w:i/>
            <w:color w:val="000000" w:themeColor="text1"/>
            <w:u w:val="none"/>
          </w:rPr>
          <w:t>as</w:t>
        </w:r>
        <w:r w:rsidRPr="00DA59D7">
          <w:rPr>
            <w:rStyle w:val="Hyperlink"/>
            <w:i/>
            <w:color w:val="000000" w:themeColor="text1"/>
            <w:spacing w:val="-4"/>
            <w:u w:val="none"/>
          </w:rPr>
          <w:t xml:space="preserve"> </w:t>
        </w:r>
        <w:r w:rsidRPr="00DA59D7">
          <w:rPr>
            <w:rStyle w:val="Hyperlink"/>
            <w:i/>
            <w:color w:val="000000" w:themeColor="text1"/>
            <w:u w:val="none"/>
          </w:rPr>
          <w:t>a</w:t>
        </w:r>
        <w:r w:rsidRPr="00DA59D7">
          <w:rPr>
            <w:rStyle w:val="Hyperlink"/>
            <w:i/>
            <w:color w:val="000000" w:themeColor="text1"/>
            <w:spacing w:val="-4"/>
            <w:u w:val="none"/>
          </w:rPr>
          <w:t xml:space="preserve"> </w:t>
        </w:r>
        <w:r w:rsidRPr="00DA59D7">
          <w:rPr>
            <w:rStyle w:val="Hyperlink"/>
            <w:i/>
            <w:color w:val="000000" w:themeColor="text1"/>
            <w:u w:val="none"/>
          </w:rPr>
          <w:t>Barrier</w:t>
        </w:r>
        <w:r w:rsidRPr="00DA59D7">
          <w:rPr>
            <w:rStyle w:val="Hyperlink"/>
            <w:i/>
            <w:color w:val="000000" w:themeColor="text1"/>
            <w:spacing w:val="-3"/>
            <w:u w:val="none"/>
          </w:rPr>
          <w:t xml:space="preserve"> </w:t>
        </w:r>
        <w:r w:rsidRPr="00DA59D7">
          <w:rPr>
            <w:rStyle w:val="Hyperlink"/>
            <w:i/>
            <w:color w:val="000000" w:themeColor="text1"/>
            <w:u w:val="none"/>
          </w:rPr>
          <w:t>to</w:t>
        </w:r>
        <w:r w:rsidRPr="00DA59D7">
          <w:rPr>
            <w:rStyle w:val="Hyperlink"/>
            <w:i/>
            <w:color w:val="000000" w:themeColor="text1"/>
            <w:spacing w:val="-4"/>
            <w:u w:val="none"/>
          </w:rPr>
          <w:t xml:space="preserve"> </w:t>
        </w:r>
        <w:r w:rsidRPr="00DA59D7">
          <w:rPr>
            <w:rStyle w:val="Hyperlink"/>
            <w:i/>
            <w:color w:val="000000" w:themeColor="text1"/>
            <w:u w:val="none"/>
          </w:rPr>
          <w:t>Cancer</w:t>
        </w:r>
        <w:r w:rsidRPr="00DA59D7">
          <w:rPr>
            <w:rStyle w:val="Hyperlink"/>
            <w:i/>
            <w:color w:val="000000" w:themeColor="text1"/>
            <w:spacing w:val="-3"/>
            <w:u w:val="none"/>
          </w:rPr>
          <w:t xml:space="preserve"> </w:t>
        </w:r>
        <w:r w:rsidRPr="00DA59D7">
          <w:rPr>
            <w:rStyle w:val="Hyperlink"/>
            <w:i/>
            <w:color w:val="000000" w:themeColor="text1"/>
            <w:u w:val="none"/>
          </w:rPr>
          <w:t>Diagnosis</w:t>
        </w:r>
        <w:r w:rsidRPr="00DA59D7">
          <w:rPr>
            <w:rStyle w:val="Hyperlink"/>
            <w:i/>
            <w:color w:val="000000" w:themeColor="text1"/>
            <w:spacing w:val="-4"/>
            <w:u w:val="none"/>
          </w:rPr>
          <w:t xml:space="preserve"> </w:t>
        </w:r>
        <w:r w:rsidRPr="00DA59D7">
          <w:rPr>
            <w:rStyle w:val="Hyperlink"/>
            <w:i/>
            <w:color w:val="000000" w:themeColor="text1"/>
            <w:u w:val="none"/>
          </w:rPr>
          <w:t>and</w:t>
        </w:r>
        <w:r w:rsidRPr="00DA59D7">
          <w:rPr>
            <w:rStyle w:val="Hyperlink"/>
            <w:i/>
            <w:color w:val="000000" w:themeColor="text1"/>
            <w:spacing w:val="-2"/>
            <w:u w:val="none"/>
          </w:rPr>
          <w:t xml:space="preserve"> </w:t>
        </w:r>
        <w:r w:rsidRPr="00DA59D7">
          <w:rPr>
            <w:rStyle w:val="Hyperlink"/>
            <w:i/>
            <w:color w:val="000000" w:themeColor="text1"/>
            <w:u w:val="none"/>
          </w:rPr>
          <w:t>Treatment:</w:t>
        </w:r>
        <w:r w:rsidRPr="00DA59D7">
          <w:rPr>
            <w:rStyle w:val="Hyperlink"/>
            <w:i/>
            <w:color w:val="000000" w:themeColor="text1"/>
            <w:spacing w:val="-2"/>
            <w:u w:val="none"/>
          </w:rPr>
          <w:t xml:space="preserve"> </w:t>
        </w:r>
        <w:r w:rsidRPr="00DA59D7">
          <w:rPr>
            <w:rStyle w:val="Hyperlink"/>
            <w:i/>
            <w:color w:val="000000" w:themeColor="text1"/>
            <w:u w:val="none"/>
          </w:rPr>
          <w:t>Review</w:t>
        </w:r>
        <w:r w:rsidRPr="00DA59D7">
          <w:rPr>
            <w:rStyle w:val="Hyperlink"/>
            <w:i/>
            <w:color w:val="000000" w:themeColor="text1"/>
            <w:spacing w:val="-3"/>
            <w:u w:val="none"/>
          </w:rPr>
          <w:t xml:space="preserve"> </w:t>
        </w:r>
        <w:r w:rsidRPr="00DA59D7">
          <w:rPr>
            <w:rStyle w:val="Hyperlink"/>
            <w:i/>
            <w:color w:val="000000" w:themeColor="text1"/>
            <w:u w:val="none"/>
          </w:rPr>
          <w:t>of</w:t>
        </w:r>
        <w:r w:rsidRPr="00DA59D7">
          <w:rPr>
            <w:rStyle w:val="Hyperlink"/>
            <w:i/>
            <w:color w:val="000000" w:themeColor="text1"/>
            <w:spacing w:val="-3"/>
            <w:u w:val="none"/>
          </w:rPr>
          <w:t xml:space="preserve"> </w:t>
        </w:r>
        <w:r w:rsidRPr="00DA59D7">
          <w:rPr>
            <w:rStyle w:val="Hyperlink"/>
            <w:i/>
            <w:color w:val="000000" w:themeColor="text1"/>
            <w:u w:val="none"/>
          </w:rPr>
          <w:t>the Literature</w:t>
        </w:r>
        <w:r w:rsidRPr="00DA59D7">
          <w:rPr>
            <w:rStyle w:val="Hyperlink"/>
            <w:color w:val="000000" w:themeColor="text1"/>
            <w:u w:val="none"/>
          </w:rPr>
          <w:t>,</w:t>
        </w:r>
      </w:hyperlink>
      <w:r w:rsidRPr="00DA59D7">
        <w:rPr>
          <w:color w:val="000000" w:themeColor="text1"/>
        </w:rPr>
        <w:t xml:space="preserve"> 20 T</w:t>
      </w:r>
      <w:r w:rsidRPr="00DA59D7">
        <w:rPr>
          <w:color w:val="000000" w:themeColor="text1"/>
          <w:sz w:val="16"/>
        </w:rPr>
        <w:t xml:space="preserve">HE </w:t>
      </w:r>
      <w:r w:rsidRPr="00DA59D7">
        <w:rPr>
          <w:color w:val="000000" w:themeColor="text1"/>
        </w:rPr>
        <w:t>O</w:t>
      </w:r>
      <w:r w:rsidRPr="00DA59D7">
        <w:rPr>
          <w:color w:val="000000" w:themeColor="text1"/>
          <w:sz w:val="16"/>
        </w:rPr>
        <w:t xml:space="preserve">NCOLOGIST </w:t>
      </w:r>
      <w:r>
        <w:t xml:space="preserve">1378, (Oct. 2015), </w:t>
      </w:r>
      <w:r>
        <w:rPr>
          <w:i/>
        </w:rPr>
        <w:t xml:space="preserve">available at </w:t>
      </w:r>
      <w:hyperlink r:id="rId307">
        <w:r>
          <w:rPr>
            <w:color w:val="486794"/>
            <w:spacing w:val="-2"/>
            <w:u w:val="single" w:color="486794"/>
          </w:rPr>
          <w:t>https://pmc.ncbi.nlm.nih.gov/articles/PMC4679078/pdf/theoncologist_15110.pdf</w:t>
        </w:r>
        <w:r>
          <w:rPr>
            <w:spacing w:val="-2"/>
          </w:rPr>
          <w:t>.</w:t>
        </w:r>
      </w:hyperlink>
    </w:p>
  </w:footnote>
  <w:footnote w:id="251">
    <w:p w14:paraId="4BA610F6" w14:textId="31C2798F" w:rsidR="00DA59D7" w:rsidRDefault="00DA59D7" w:rsidP="00DA59D7">
      <w:pPr>
        <w:pStyle w:val="FootnoteText"/>
        <w:ind w:left="990" w:right="940"/>
      </w:pPr>
      <w:r>
        <w:rPr>
          <w:rStyle w:val="FootnoteReference"/>
        </w:rPr>
        <w:footnoteRef/>
      </w:r>
      <w:r>
        <w:t xml:space="preserve"> </w:t>
      </w:r>
      <w:r>
        <w:rPr>
          <w:i/>
        </w:rPr>
        <w:t>See</w:t>
      </w:r>
      <w:r>
        <w:rPr>
          <w:i/>
          <w:spacing w:val="-4"/>
        </w:rPr>
        <w:t xml:space="preserve"> </w:t>
      </w:r>
      <w:hyperlink r:id="rId308" w:history="1">
        <w:r w:rsidRPr="00DA59D7">
          <w:rPr>
            <w:rStyle w:val="Hyperlink"/>
            <w:i/>
            <w:color w:val="000000" w:themeColor="text1"/>
            <w:u w:val="none"/>
          </w:rPr>
          <w:t>Annual</w:t>
        </w:r>
        <w:r w:rsidRPr="00DA59D7">
          <w:rPr>
            <w:rStyle w:val="Hyperlink"/>
            <w:i/>
            <w:color w:val="000000" w:themeColor="text1"/>
            <w:spacing w:val="-3"/>
            <w:u w:val="none"/>
          </w:rPr>
          <w:t xml:space="preserve"> </w:t>
        </w:r>
        <w:r w:rsidRPr="00DA59D7">
          <w:rPr>
            <w:rStyle w:val="Hyperlink"/>
            <w:i/>
            <w:color w:val="000000" w:themeColor="text1"/>
            <w:u w:val="none"/>
          </w:rPr>
          <w:t>Report</w:t>
        </w:r>
        <w:r w:rsidRPr="00DA59D7">
          <w:rPr>
            <w:rStyle w:val="Hyperlink"/>
            <w:i/>
            <w:color w:val="000000" w:themeColor="text1"/>
            <w:spacing w:val="-4"/>
            <w:u w:val="none"/>
          </w:rPr>
          <w:t xml:space="preserve"> </w:t>
        </w:r>
        <w:r w:rsidRPr="00DA59D7">
          <w:rPr>
            <w:rStyle w:val="Hyperlink"/>
            <w:i/>
            <w:color w:val="000000" w:themeColor="text1"/>
            <w:u w:val="none"/>
          </w:rPr>
          <w:t>to</w:t>
        </w:r>
        <w:r w:rsidRPr="00DA59D7">
          <w:rPr>
            <w:rStyle w:val="Hyperlink"/>
            <w:i/>
            <w:color w:val="000000" w:themeColor="text1"/>
            <w:spacing w:val="-4"/>
            <w:u w:val="none"/>
          </w:rPr>
          <w:t xml:space="preserve"> </w:t>
        </w:r>
        <w:r w:rsidRPr="00DA59D7">
          <w:rPr>
            <w:rStyle w:val="Hyperlink"/>
            <w:i/>
            <w:color w:val="000000" w:themeColor="text1"/>
            <w:u w:val="none"/>
          </w:rPr>
          <w:t>the</w:t>
        </w:r>
        <w:r w:rsidRPr="00DA59D7">
          <w:rPr>
            <w:rStyle w:val="Hyperlink"/>
            <w:i/>
            <w:color w:val="000000" w:themeColor="text1"/>
            <w:spacing w:val="-3"/>
            <w:u w:val="none"/>
          </w:rPr>
          <w:t xml:space="preserve"> </w:t>
        </w:r>
        <w:r w:rsidRPr="00DA59D7">
          <w:rPr>
            <w:rStyle w:val="Hyperlink"/>
            <w:i/>
            <w:color w:val="000000" w:themeColor="text1"/>
            <w:u w:val="none"/>
          </w:rPr>
          <w:t>Nation</w:t>
        </w:r>
        <w:r w:rsidRPr="00DA59D7">
          <w:rPr>
            <w:rStyle w:val="Hyperlink"/>
            <w:i/>
            <w:color w:val="000000" w:themeColor="text1"/>
            <w:spacing w:val="-2"/>
            <w:u w:val="none"/>
          </w:rPr>
          <w:t xml:space="preserve"> </w:t>
        </w:r>
        <w:r w:rsidRPr="00DA59D7">
          <w:rPr>
            <w:rStyle w:val="Hyperlink"/>
            <w:i/>
            <w:color w:val="000000" w:themeColor="text1"/>
            <w:u w:val="none"/>
          </w:rPr>
          <w:t>Part</w:t>
        </w:r>
        <w:r w:rsidRPr="00DA59D7">
          <w:rPr>
            <w:rStyle w:val="Hyperlink"/>
            <w:i/>
            <w:color w:val="000000" w:themeColor="text1"/>
            <w:spacing w:val="-4"/>
            <w:u w:val="none"/>
          </w:rPr>
          <w:t xml:space="preserve"> </w:t>
        </w:r>
        <w:r w:rsidRPr="00DA59D7">
          <w:rPr>
            <w:rStyle w:val="Hyperlink"/>
            <w:i/>
            <w:color w:val="000000" w:themeColor="text1"/>
            <w:u w:val="none"/>
          </w:rPr>
          <w:t>2:</w:t>
        </w:r>
        <w:r w:rsidRPr="00DA59D7">
          <w:rPr>
            <w:rStyle w:val="Hyperlink"/>
            <w:i/>
            <w:color w:val="000000" w:themeColor="text1"/>
            <w:spacing w:val="-2"/>
            <w:u w:val="none"/>
          </w:rPr>
          <w:t xml:space="preserve"> </w:t>
        </w:r>
        <w:r w:rsidRPr="00DA59D7">
          <w:rPr>
            <w:rStyle w:val="Hyperlink"/>
            <w:i/>
            <w:color w:val="000000" w:themeColor="text1"/>
            <w:u w:val="none"/>
          </w:rPr>
          <w:t>Patient</w:t>
        </w:r>
        <w:r w:rsidRPr="00DA59D7">
          <w:rPr>
            <w:rStyle w:val="Hyperlink"/>
            <w:i/>
            <w:color w:val="000000" w:themeColor="text1"/>
            <w:spacing w:val="-4"/>
            <w:u w:val="none"/>
          </w:rPr>
          <w:t xml:space="preserve"> </w:t>
        </w:r>
        <w:r w:rsidRPr="00DA59D7">
          <w:rPr>
            <w:rStyle w:val="Hyperlink"/>
            <w:i/>
            <w:color w:val="000000" w:themeColor="text1"/>
            <w:u w:val="none"/>
          </w:rPr>
          <w:t>economic</w:t>
        </w:r>
        <w:r w:rsidRPr="00DA59D7">
          <w:rPr>
            <w:rStyle w:val="Hyperlink"/>
            <w:i/>
            <w:color w:val="000000" w:themeColor="text1"/>
            <w:spacing w:val="-4"/>
            <w:u w:val="none"/>
          </w:rPr>
          <w:t xml:space="preserve"> </w:t>
        </w:r>
        <w:r w:rsidRPr="00DA59D7">
          <w:rPr>
            <w:rStyle w:val="Hyperlink"/>
            <w:i/>
            <w:color w:val="000000" w:themeColor="text1"/>
            <w:u w:val="none"/>
          </w:rPr>
          <w:t>burden</w:t>
        </w:r>
        <w:r w:rsidRPr="00DA59D7">
          <w:rPr>
            <w:rStyle w:val="Hyperlink"/>
            <w:i/>
            <w:color w:val="000000" w:themeColor="text1"/>
            <w:spacing w:val="-2"/>
            <w:u w:val="none"/>
          </w:rPr>
          <w:t xml:space="preserve"> </w:t>
        </w:r>
        <w:r w:rsidRPr="00DA59D7">
          <w:rPr>
            <w:rStyle w:val="Hyperlink"/>
            <w:i/>
            <w:color w:val="000000" w:themeColor="text1"/>
            <w:u w:val="none"/>
          </w:rPr>
          <w:t>of</w:t>
        </w:r>
        <w:r w:rsidRPr="00DA59D7">
          <w:rPr>
            <w:rStyle w:val="Hyperlink"/>
            <w:i/>
            <w:color w:val="000000" w:themeColor="text1"/>
            <w:spacing w:val="-3"/>
            <w:u w:val="none"/>
          </w:rPr>
          <w:t xml:space="preserve"> </w:t>
        </w:r>
        <w:r w:rsidRPr="00DA59D7">
          <w:rPr>
            <w:rStyle w:val="Hyperlink"/>
            <w:i/>
            <w:color w:val="000000" w:themeColor="text1"/>
            <w:u w:val="none"/>
          </w:rPr>
          <w:t>cancer</w:t>
        </w:r>
        <w:r w:rsidRPr="00DA59D7">
          <w:rPr>
            <w:rStyle w:val="Hyperlink"/>
            <w:i/>
            <w:color w:val="000000" w:themeColor="text1"/>
            <w:spacing w:val="-1"/>
            <w:u w:val="none"/>
          </w:rPr>
          <w:t xml:space="preserve"> </w:t>
        </w:r>
        <w:r w:rsidRPr="00DA59D7">
          <w:rPr>
            <w:rStyle w:val="Hyperlink"/>
            <w:i/>
            <w:color w:val="000000" w:themeColor="text1"/>
            <w:u w:val="none"/>
          </w:rPr>
          <w:t>care</w:t>
        </w:r>
        <w:r w:rsidRPr="00DA59D7">
          <w:rPr>
            <w:rStyle w:val="Hyperlink"/>
            <w:i/>
            <w:color w:val="000000" w:themeColor="text1"/>
            <w:spacing w:val="-3"/>
            <w:u w:val="none"/>
          </w:rPr>
          <w:t xml:space="preserve"> </w:t>
        </w:r>
        <w:r w:rsidRPr="00DA59D7">
          <w:rPr>
            <w:rStyle w:val="Hyperlink"/>
            <w:i/>
            <w:color w:val="000000" w:themeColor="text1"/>
            <w:u w:val="none"/>
          </w:rPr>
          <w:t>more</w:t>
        </w:r>
        <w:r w:rsidRPr="00DA59D7">
          <w:rPr>
            <w:rStyle w:val="Hyperlink"/>
            <w:i/>
            <w:color w:val="000000" w:themeColor="text1"/>
            <w:spacing w:val="-3"/>
            <w:u w:val="none"/>
          </w:rPr>
          <w:t xml:space="preserve"> </w:t>
        </w:r>
        <w:r w:rsidRPr="00DA59D7">
          <w:rPr>
            <w:rStyle w:val="Hyperlink"/>
            <w:i/>
            <w:color w:val="000000" w:themeColor="text1"/>
            <w:u w:val="none"/>
          </w:rPr>
          <w:t>than</w:t>
        </w:r>
        <w:r w:rsidRPr="00DA59D7">
          <w:rPr>
            <w:rStyle w:val="Hyperlink"/>
            <w:i/>
            <w:color w:val="000000" w:themeColor="text1"/>
            <w:spacing w:val="-2"/>
            <w:u w:val="none"/>
          </w:rPr>
          <w:t xml:space="preserve"> </w:t>
        </w:r>
        <w:r w:rsidRPr="00DA59D7">
          <w:rPr>
            <w:rStyle w:val="Hyperlink"/>
            <w:i/>
            <w:color w:val="000000" w:themeColor="text1"/>
            <w:u w:val="none"/>
          </w:rPr>
          <w:t>$21</w:t>
        </w:r>
        <w:r w:rsidRPr="00DA59D7">
          <w:rPr>
            <w:rStyle w:val="Hyperlink"/>
            <w:i/>
            <w:color w:val="000000" w:themeColor="text1"/>
            <w:spacing w:val="-2"/>
            <w:u w:val="none"/>
          </w:rPr>
          <w:t xml:space="preserve"> </w:t>
        </w:r>
        <w:r w:rsidRPr="00DA59D7">
          <w:rPr>
            <w:rStyle w:val="Hyperlink"/>
            <w:i/>
            <w:color w:val="000000" w:themeColor="text1"/>
            <w:u w:val="none"/>
          </w:rPr>
          <w:t>billion in the United States in 2019</w:t>
        </w:r>
        <w:r w:rsidRPr="00DA59D7">
          <w:rPr>
            <w:rStyle w:val="Hyperlink"/>
            <w:color w:val="000000" w:themeColor="text1"/>
            <w:u w:val="none"/>
          </w:rPr>
          <w:t>,</w:t>
        </w:r>
      </w:hyperlink>
      <w:r w:rsidRPr="00DA59D7">
        <w:rPr>
          <w:color w:val="000000" w:themeColor="text1"/>
        </w:rPr>
        <w:t xml:space="preserve"> N</w:t>
      </w:r>
      <w:r w:rsidRPr="00DA59D7">
        <w:rPr>
          <w:color w:val="000000" w:themeColor="text1"/>
          <w:sz w:val="16"/>
        </w:rPr>
        <w:t xml:space="preserve">ATIONAL </w:t>
      </w:r>
      <w:r>
        <w:t>I</w:t>
      </w:r>
      <w:r>
        <w:rPr>
          <w:sz w:val="16"/>
        </w:rPr>
        <w:t xml:space="preserve">NSTITUTE OF </w:t>
      </w:r>
      <w:r>
        <w:t>H</w:t>
      </w:r>
      <w:r>
        <w:rPr>
          <w:sz w:val="16"/>
        </w:rPr>
        <w:t>EALTH</w:t>
      </w:r>
      <w:r>
        <w:t xml:space="preserve">, (Oct. 26, 2021), </w:t>
      </w:r>
      <w:r>
        <w:rPr>
          <w:i/>
        </w:rPr>
        <w:t xml:space="preserve">available at </w:t>
      </w:r>
      <w:hyperlink r:id="rId309">
        <w:r>
          <w:rPr>
            <w:color w:val="486794"/>
            <w:spacing w:val="-2"/>
            <w:u w:val="single" w:color="486794"/>
          </w:rPr>
          <w:t>https://www.nih.gov/news-events/news-releases/annual-report-nation-part-2-patient-economic-burden-</w:t>
        </w:r>
      </w:hyperlink>
      <w:r>
        <w:rPr>
          <w:color w:val="486794"/>
          <w:spacing w:val="-2"/>
        </w:rPr>
        <w:t xml:space="preserve"> </w:t>
      </w:r>
      <w:hyperlink r:id="rId310">
        <w:r>
          <w:rPr>
            <w:color w:val="486794"/>
            <w:spacing w:val="-2"/>
            <w:u w:val="single" w:color="486794"/>
          </w:rPr>
          <w:t>cancer-care-more-21-billion-united-states-2019</w:t>
        </w:r>
        <w:r>
          <w:rPr>
            <w:spacing w:val="-2"/>
          </w:rPr>
          <w:t>.</w:t>
        </w:r>
      </w:hyperlink>
    </w:p>
  </w:footnote>
  <w:footnote w:id="252">
    <w:p w14:paraId="5FB6322E" w14:textId="787300FE" w:rsidR="007C591B" w:rsidRPr="0060734F" w:rsidRDefault="007C591B" w:rsidP="00CF20E7">
      <w:pPr>
        <w:spacing w:before="92"/>
        <w:ind w:left="960" w:right="1328"/>
        <w:rPr>
          <w:sz w:val="20"/>
        </w:rPr>
      </w:pPr>
      <w:r>
        <w:rPr>
          <w:rStyle w:val="FootnoteReference"/>
        </w:rPr>
        <w:footnoteRef/>
      </w:r>
      <w:r>
        <w:t xml:space="preserve"> </w:t>
      </w:r>
      <w:r w:rsidR="00742F4B">
        <w:rPr>
          <w:i/>
          <w:sz w:val="20"/>
        </w:rPr>
        <w:t xml:space="preserve">See </w:t>
      </w:r>
      <w:hyperlink r:id="rId311" w:history="1">
        <w:r w:rsidR="00742F4B" w:rsidRPr="00AD1348">
          <w:rPr>
            <w:rStyle w:val="Hyperlink"/>
            <w:i/>
            <w:color w:val="000000" w:themeColor="text1"/>
            <w:sz w:val="20"/>
            <w:u w:val="none"/>
          </w:rPr>
          <w:t>Cancer Care Equity Program</w:t>
        </w:r>
        <w:r w:rsidR="00742F4B" w:rsidRPr="00AD1348">
          <w:rPr>
            <w:rStyle w:val="Hyperlink"/>
            <w:color w:val="000000" w:themeColor="text1"/>
            <w:sz w:val="20"/>
            <w:u w:val="none"/>
          </w:rPr>
          <w:t>, D</w:t>
        </w:r>
        <w:r w:rsidR="00742F4B" w:rsidRPr="00AD1348">
          <w:rPr>
            <w:rStyle w:val="Hyperlink"/>
            <w:color w:val="000000" w:themeColor="text1"/>
            <w:sz w:val="16"/>
            <w:u w:val="none"/>
          </w:rPr>
          <w:t>ANA</w:t>
        </w:r>
        <w:r w:rsidR="00742F4B" w:rsidRPr="00AD1348">
          <w:rPr>
            <w:rStyle w:val="Hyperlink"/>
            <w:color w:val="000000" w:themeColor="text1"/>
            <w:sz w:val="20"/>
            <w:u w:val="none"/>
          </w:rPr>
          <w:t>-F</w:t>
        </w:r>
        <w:r w:rsidR="00742F4B" w:rsidRPr="00AD1348">
          <w:rPr>
            <w:rStyle w:val="Hyperlink"/>
            <w:color w:val="000000" w:themeColor="text1"/>
            <w:sz w:val="16"/>
            <w:u w:val="none"/>
          </w:rPr>
          <w:t xml:space="preserve">ARBER </w:t>
        </w:r>
        <w:r w:rsidR="00742F4B" w:rsidRPr="00AD1348">
          <w:rPr>
            <w:rStyle w:val="Hyperlink"/>
            <w:color w:val="000000" w:themeColor="text1"/>
            <w:sz w:val="20"/>
            <w:u w:val="none"/>
          </w:rPr>
          <w:t>C</w:t>
        </w:r>
        <w:r w:rsidR="00742F4B" w:rsidRPr="00AD1348">
          <w:rPr>
            <w:rStyle w:val="Hyperlink"/>
            <w:color w:val="000000" w:themeColor="text1"/>
            <w:sz w:val="16"/>
            <w:u w:val="none"/>
          </w:rPr>
          <w:t xml:space="preserve">ANCER </w:t>
        </w:r>
        <w:r w:rsidR="00742F4B" w:rsidRPr="00AD1348">
          <w:rPr>
            <w:rStyle w:val="Hyperlink"/>
            <w:color w:val="000000" w:themeColor="text1"/>
            <w:sz w:val="20"/>
            <w:u w:val="none"/>
          </w:rPr>
          <w:t>I</w:t>
        </w:r>
        <w:r w:rsidR="00742F4B" w:rsidRPr="00AD1348">
          <w:rPr>
            <w:rStyle w:val="Hyperlink"/>
            <w:color w:val="000000" w:themeColor="text1"/>
            <w:sz w:val="16"/>
            <w:u w:val="none"/>
          </w:rPr>
          <w:t>NSTITUTE</w:t>
        </w:r>
      </w:hyperlink>
      <w:r w:rsidR="00742F4B" w:rsidRPr="00AD1348">
        <w:rPr>
          <w:color w:val="000000" w:themeColor="text1"/>
          <w:sz w:val="20"/>
        </w:rPr>
        <w:t xml:space="preserve">, </w:t>
      </w:r>
      <w:hyperlink r:id="rId312">
        <w:r w:rsidR="00742F4B">
          <w:rPr>
            <w:color w:val="486794"/>
            <w:sz w:val="20"/>
            <w:u w:val="single" w:color="486794"/>
          </w:rPr>
          <w:t>https://www.dana-</w:t>
        </w:r>
      </w:hyperlink>
      <w:r w:rsidR="00742F4B">
        <w:rPr>
          <w:color w:val="486794"/>
          <w:sz w:val="20"/>
        </w:rPr>
        <w:t xml:space="preserve"> </w:t>
      </w:r>
      <w:hyperlink r:id="rId313">
        <w:r w:rsidR="00742F4B">
          <w:rPr>
            <w:color w:val="486794"/>
            <w:sz w:val="20"/>
            <w:u w:val="single" w:color="486794"/>
          </w:rPr>
          <w:t>farber.org/research/departments-centers/cancer-care-equity</w:t>
        </w:r>
      </w:hyperlink>
      <w:r w:rsidR="00742F4B">
        <w:rPr>
          <w:color w:val="486794"/>
          <w:spacing w:val="-6"/>
          <w:sz w:val="20"/>
        </w:rPr>
        <w:t xml:space="preserve"> </w:t>
      </w:r>
      <w:r w:rsidR="00742F4B">
        <w:rPr>
          <w:sz w:val="20"/>
        </w:rPr>
        <w:t>(last</w:t>
      </w:r>
      <w:r w:rsidR="00742F4B">
        <w:rPr>
          <w:spacing w:val="-5"/>
          <w:sz w:val="20"/>
        </w:rPr>
        <w:t xml:space="preserve"> </w:t>
      </w:r>
      <w:r w:rsidR="00742F4B">
        <w:rPr>
          <w:sz w:val="20"/>
        </w:rPr>
        <w:t>visited</w:t>
      </w:r>
      <w:r w:rsidR="00742F4B">
        <w:rPr>
          <w:spacing w:val="-5"/>
          <w:sz w:val="20"/>
        </w:rPr>
        <w:t xml:space="preserve"> </w:t>
      </w:r>
      <w:r w:rsidR="00742F4B">
        <w:rPr>
          <w:sz w:val="20"/>
        </w:rPr>
        <w:t>February</w:t>
      </w:r>
      <w:r w:rsidR="00742F4B">
        <w:rPr>
          <w:spacing w:val="-6"/>
          <w:sz w:val="20"/>
        </w:rPr>
        <w:t xml:space="preserve"> </w:t>
      </w:r>
      <w:r w:rsidR="00742F4B">
        <w:rPr>
          <w:sz w:val="20"/>
        </w:rPr>
        <w:t>27,</w:t>
      </w:r>
      <w:r w:rsidR="00742F4B">
        <w:rPr>
          <w:spacing w:val="-5"/>
          <w:sz w:val="20"/>
        </w:rPr>
        <w:t xml:space="preserve"> </w:t>
      </w:r>
      <w:r w:rsidR="00742F4B">
        <w:rPr>
          <w:sz w:val="20"/>
        </w:rPr>
        <w:t>2025).</w:t>
      </w:r>
      <w:r w:rsidR="00742F4B">
        <w:rPr>
          <w:spacing w:val="32"/>
          <w:sz w:val="20"/>
        </w:rPr>
        <w:t xml:space="preserve"> </w:t>
      </w:r>
      <w:r w:rsidR="00742F4B">
        <w:rPr>
          <w:i/>
          <w:sz w:val="20"/>
        </w:rPr>
        <w:t>See</w:t>
      </w:r>
      <w:r w:rsidR="00742F4B">
        <w:rPr>
          <w:i/>
          <w:spacing w:val="-6"/>
          <w:sz w:val="20"/>
        </w:rPr>
        <w:t xml:space="preserve"> </w:t>
      </w:r>
      <w:r w:rsidR="00742F4B">
        <w:rPr>
          <w:i/>
          <w:sz w:val="20"/>
        </w:rPr>
        <w:t xml:space="preserve">also </w:t>
      </w:r>
      <w:r w:rsidR="00742F4B">
        <w:rPr>
          <w:sz w:val="20"/>
        </w:rPr>
        <w:t>DFCI</w:t>
      </w:r>
      <w:r w:rsidR="00742F4B">
        <w:rPr>
          <w:spacing w:val="-5"/>
          <w:sz w:val="20"/>
        </w:rPr>
        <w:t xml:space="preserve"> </w:t>
      </w:r>
      <w:r w:rsidR="00742F4B">
        <w:rPr>
          <w:sz w:val="20"/>
        </w:rPr>
        <w:t>S</w:t>
      </w:r>
      <w:r w:rsidR="00742F4B">
        <w:rPr>
          <w:sz w:val="16"/>
        </w:rPr>
        <w:t xml:space="preserve">TAFF </w:t>
      </w:r>
      <w:r w:rsidR="00742F4B">
        <w:rPr>
          <w:sz w:val="20"/>
        </w:rPr>
        <w:t>R</w:t>
      </w:r>
      <w:r w:rsidR="00742F4B">
        <w:rPr>
          <w:sz w:val="16"/>
        </w:rPr>
        <w:t>EPORT</w:t>
      </w:r>
      <w:r w:rsidR="00742F4B">
        <w:rPr>
          <w:sz w:val="20"/>
        </w:rPr>
        <w:t xml:space="preserve">, </w:t>
      </w:r>
      <w:r w:rsidR="00742F4B">
        <w:rPr>
          <w:i/>
          <w:sz w:val="20"/>
        </w:rPr>
        <w:t xml:space="preserve">supra </w:t>
      </w:r>
      <w:r w:rsidR="00742F4B">
        <w:rPr>
          <w:sz w:val="20"/>
        </w:rPr>
        <w:t xml:space="preserve">note </w:t>
      </w:r>
      <w:hyperlink w:anchor="_bookmark15" w:history="1">
        <w:r w:rsidR="00742F4B">
          <w:rPr>
            <w:sz w:val="20"/>
          </w:rPr>
          <w:t>15,</w:t>
        </w:r>
      </w:hyperlink>
      <w:r w:rsidR="00742F4B">
        <w:rPr>
          <w:sz w:val="20"/>
        </w:rPr>
        <w:t xml:space="preserve"> at 49 (stating that “the Cancer Care Equity Program is a community- based clinical</w:t>
      </w:r>
      <w:r w:rsidR="00CF20E7">
        <w:rPr>
          <w:sz w:val="20"/>
        </w:rPr>
        <w:t xml:space="preserve"> </w:t>
      </w:r>
      <w:r w:rsidR="00742F4B">
        <w:rPr>
          <w:sz w:val="20"/>
        </w:rPr>
        <w:t>intervention</w:t>
      </w:r>
      <w:r w:rsidR="00742F4B">
        <w:rPr>
          <w:spacing w:val="-4"/>
          <w:sz w:val="20"/>
        </w:rPr>
        <w:t xml:space="preserve"> </w:t>
      </w:r>
      <w:r w:rsidR="00742F4B">
        <w:rPr>
          <w:sz w:val="20"/>
        </w:rPr>
        <w:t>that</w:t>
      </w:r>
      <w:r w:rsidR="00742F4B">
        <w:rPr>
          <w:spacing w:val="-3"/>
          <w:sz w:val="20"/>
        </w:rPr>
        <w:t xml:space="preserve"> </w:t>
      </w:r>
      <w:r w:rsidR="00742F4B">
        <w:rPr>
          <w:sz w:val="20"/>
        </w:rPr>
        <w:t>uses</w:t>
      </w:r>
      <w:r w:rsidR="00742F4B">
        <w:rPr>
          <w:spacing w:val="-3"/>
          <w:sz w:val="20"/>
        </w:rPr>
        <w:t xml:space="preserve"> </w:t>
      </w:r>
      <w:r w:rsidR="00742F4B">
        <w:rPr>
          <w:sz w:val="20"/>
        </w:rPr>
        <w:t>a</w:t>
      </w:r>
      <w:r w:rsidR="00742F4B">
        <w:rPr>
          <w:spacing w:val="-4"/>
          <w:sz w:val="20"/>
        </w:rPr>
        <w:t xml:space="preserve"> </w:t>
      </w:r>
      <w:r w:rsidR="00742F4B">
        <w:rPr>
          <w:sz w:val="20"/>
        </w:rPr>
        <w:t>combination</w:t>
      </w:r>
      <w:r w:rsidR="00742F4B">
        <w:rPr>
          <w:spacing w:val="-4"/>
          <w:sz w:val="20"/>
        </w:rPr>
        <w:t xml:space="preserve"> </w:t>
      </w:r>
      <w:r w:rsidR="00742F4B">
        <w:rPr>
          <w:sz w:val="20"/>
        </w:rPr>
        <w:t>of</w:t>
      </w:r>
      <w:r w:rsidR="00742F4B">
        <w:rPr>
          <w:spacing w:val="-4"/>
          <w:sz w:val="20"/>
        </w:rPr>
        <w:t xml:space="preserve"> </w:t>
      </w:r>
      <w:r w:rsidR="00742F4B">
        <w:rPr>
          <w:sz w:val="20"/>
        </w:rPr>
        <w:t>co-location</w:t>
      </w:r>
      <w:r w:rsidR="00742F4B">
        <w:rPr>
          <w:spacing w:val="-4"/>
          <w:sz w:val="20"/>
        </w:rPr>
        <w:t xml:space="preserve"> </w:t>
      </w:r>
      <w:r w:rsidR="00742F4B">
        <w:rPr>
          <w:sz w:val="20"/>
        </w:rPr>
        <w:t>and</w:t>
      </w:r>
      <w:r w:rsidR="00742F4B">
        <w:rPr>
          <w:spacing w:val="-3"/>
          <w:sz w:val="20"/>
        </w:rPr>
        <w:t xml:space="preserve"> </w:t>
      </w:r>
      <w:r w:rsidR="00742F4B">
        <w:rPr>
          <w:sz w:val="20"/>
        </w:rPr>
        <w:t>patient</w:t>
      </w:r>
      <w:r w:rsidR="00742F4B">
        <w:rPr>
          <w:spacing w:val="-3"/>
          <w:sz w:val="20"/>
        </w:rPr>
        <w:t xml:space="preserve"> </w:t>
      </w:r>
      <w:r w:rsidR="00742F4B">
        <w:rPr>
          <w:sz w:val="20"/>
        </w:rPr>
        <w:t>navigation,</w:t>
      </w:r>
      <w:r w:rsidR="00742F4B">
        <w:rPr>
          <w:spacing w:val="-3"/>
          <w:sz w:val="20"/>
        </w:rPr>
        <w:t xml:space="preserve"> </w:t>
      </w:r>
      <w:r w:rsidR="00742F4B">
        <w:rPr>
          <w:sz w:val="20"/>
        </w:rPr>
        <w:t>to</w:t>
      </w:r>
      <w:r w:rsidR="00742F4B">
        <w:rPr>
          <w:spacing w:val="-4"/>
          <w:sz w:val="20"/>
        </w:rPr>
        <w:t xml:space="preserve"> </w:t>
      </w:r>
      <w:r w:rsidR="00742F4B">
        <w:rPr>
          <w:sz w:val="20"/>
        </w:rPr>
        <w:t>extend</w:t>
      </w:r>
      <w:r w:rsidR="00742F4B">
        <w:rPr>
          <w:spacing w:val="-3"/>
          <w:sz w:val="20"/>
        </w:rPr>
        <w:t xml:space="preserve"> </w:t>
      </w:r>
      <w:r w:rsidR="00742F4B">
        <w:rPr>
          <w:sz w:val="20"/>
        </w:rPr>
        <w:t>cancer</w:t>
      </w:r>
      <w:r w:rsidR="00742F4B">
        <w:rPr>
          <w:spacing w:val="-4"/>
          <w:sz w:val="20"/>
        </w:rPr>
        <w:t xml:space="preserve"> </w:t>
      </w:r>
      <w:r w:rsidR="00742F4B">
        <w:rPr>
          <w:sz w:val="20"/>
        </w:rPr>
        <w:t>care</w:t>
      </w:r>
      <w:r w:rsidR="00742F4B">
        <w:rPr>
          <w:spacing w:val="-4"/>
          <w:sz w:val="20"/>
        </w:rPr>
        <w:t xml:space="preserve"> </w:t>
      </w:r>
      <w:r w:rsidR="00742F4B">
        <w:rPr>
          <w:sz w:val="20"/>
        </w:rPr>
        <w:t>to marginalized populations”).</w:t>
      </w:r>
    </w:p>
  </w:footnote>
  <w:footnote w:id="253">
    <w:p w14:paraId="5CE32B2A" w14:textId="5A32689F" w:rsidR="0060734F" w:rsidRDefault="0060734F" w:rsidP="000A0B3D">
      <w:pPr>
        <w:pStyle w:val="FootnoteText"/>
        <w:ind w:left="960" w:right="1328"/>
      </w:pPr>
      <w:r>
        <w:rPr>
          <w:rStyle w:val="FootnoteReference"/>
        </w:rPr>
        <w:footnoteRef/>
      </w:r>
      <w:r>
        <w:t xml:space="preserve"> </w:t>
      </w:r>
      <w:hyperlink r:id="rId314" w:history="1">
        <w:r w:rsidRPr="00CF20E7">
          <w:rPr>
            <w:rStyle w:val="Hyperlink"/>
            <w:i/>
            <w:color w:val="000000" w:themeColor="text1"/>
            <w:u w:val="none"/>
          </w:rPr>
          <w:t>Cancer</w:t>
        </w:r>
        <w:r w:rsidRPr="00CF20E7">
          <w:rPr>
            <w:rStyle w:val="Hyperlink"/>
            <w:i/>
            <w:color w:val="000000" w:themeColor="text1"/>
            <w:spacing w:val="-3"/>
            <w:u w:val="none"/>
          </w:rPr>
          <w:t xml:space="preserve"> </w:t>
        </w:r>
        <w:r w:rsidRPr="00CF20E7">
          <w:rPr>
            <w:rStyle w:val="Hyperlink"/>
            <w:i/>
            <w:color w:val="000000" w:themeColor="text1"/>
            <w:u w:val="none"/>
          </w:rPr>
          <w:t>diagnostic</w:t>
        </w:r>
        <w:r w:rsidRPr="00CF20E7">
          <w:rPr>
            <w:rStyle w:val="Hyperlink"/>
            <w:i/>
            <w:color w:val="000000" w:themeColor="text1"/>
            <w:spacing w:val="-4"/>
            <w:u w:val="none"/>
          </w:rPr>
          <w:t xml:space="preserve"> </w:t>
        </w:r>
        <w:r w:rsidRPr="00CF20E7">
          <w:rPr>
            <w:rStyle w:val="Hyperlink"/>
            <w:i/>
            <w:color w:val="000000" w:themeColor="text1"/>
            <w:u w:val="none"/>
          </w:rPr>
          <w:t>services</w:t>
        </w:r>
        <w:r w:rsidRPr="00CF20E7">
          <w:rPr>
            <w:rStyle w:val="Hyperlink"/>
            <w:i/>
            <w:color w:val="000000" w:themeColor="text1"/>
            <w:spacing w:val="-4"/>
            <w:u w:val="none"/>
          </w:rPr>
          <w:t xml:space="preserve"> </w:t>
        </w:r>
        <w:r w:rsidRPr="00CF20E7">
          <w:rPr>
            <w:rStyle w:val="Hyperlink"/>
            <w:i/>
            <w:color w:val="000000" w:themeColor="text1"/>
            <w:u w:val="none"/>
          </w:rPr>
          <w:t>in</w:t>
        </w:r>
        <w:r w:rsidRPr="00CF20E7">
          <w:rPr>
            <w:rStyle w:val="Hyperlink"/>
            <w:i/>
            <w:color w:val="000000" w:themeColor="text1"/>
            <w:spacing w:val="-2"/>
            <w:u w:val="none"/>
          </w:rPr>
          <w:t xml:space="preserve"> </w:t>
        </w:r>
        <w:r w:rsidRPr="00CF20E7">
          <w:rPr>
            <w:rStyle w:val="Hyperlink"/>
            <w:i/>
            <w:color w:val="000000" w:themeColor="text1"/>
            <w:u w:val="none"/>
          </w:rPr>
          <w:t>a</w:t>
        </w:r>
        <w:r w:rsidRPr="00CF20E7">
          <w:rPr>
            <w:rStyle w:val="Hyperlink"/>
            <w:i/>
            <w:color w:val="000000" w:themeColor="text1"/>
            <w:spacing w:val="-4"/>
            <w:u w:val="none"/>
          </w:rPr>
          <w:t xml:space="preserve"> </w:t>
        </w:r>
        <w:r w:rsidRPr="00CF20E7">
          <w:rPr>
            <w:rStyle w:val="Hyperlink"/>
            <w:i/>
            <w:color w:val="000000" w:themeColor="text1"/>
            <w:u w:val="none"/>
          </w:rPr>
          <w:t>community</w:t>
        </w:r>
        <w:r w:rsidRPr="00CF20E7">
          <w:rPr>
            <w:rStyle w:val="Hyperlink"/>
            <w:i/>
            <w:color w:val="000000" w:themeColor="text1"/>
            <w:spacing w:val="-4"/>
            <w:u w:val="none"/>
          </w:rPr>
          <w:t xml:space="preserve"> </w:t>
        </w:r>
        <w:r w:rsidRPr="00CF20E7">
          <w:rPr>
            <w:rStyle w:val="Hyperlink"/>
            <w:i/>
            <w:color w:val="000000" w:themeColor="text1"/>
            <w:u w:val="none"/>
          </w:rPr>
          <w:t>health</w:t>
        </w:r>
        <w:r w:rsidRPr="00CF20E7">
          <w:rPr>
            <w:rStyle w:val="Hyperlink"/>
            <w:i/>
            <w:color w:val="000000" w:themeColor="text1"/>
            <w:spacing w:val="-4"/>
            <w:u w:val="none"/>
          </w:rPr>
          <w:t xml:space="preserve"> </w:t>
        </w:r>
        <w:r w:rsidRPr="00CF20E7">
          <w:rPr>
            <w:rStyle w:val="Hyperlink"/>
            <w:i/>
            <w:color w:val="000000" w:themeColor="text1"/>
            <w:u w:val="none"/>
          </w:rPr>
          <w:t>center</w:t>
        </w:r>
        <w:r w:rsidRPr="00CF20E7">
          <w:rPr>
            <w:rStyle w:val="Hyperlink"/>
            <w:i/>
            <w:color w:val="000000" w:themeColor="text1"/>
            <w:spacing w:val="-1"/>
            <w:u w:val="none"/>
          </w:rPr>
          <w:t xml:space="preserve"> </w:t>
        </w:r>
        <w:r w:rsidRPr="00CF20E7">
          <w:rPr>
            <w:rStyle w:val="Hyperlink"/>
            <w:i/>
            <w:color w:val="000000" w:themeColor="text1"/>
            <w:u w:val="none"/>
          </w:rPr>
          <w:t>speed</w:t>
        </w:r>
        <w:r w:rsidRPr="00CF20E7">
          <w:rPr>
            <w:rStyle w:val="Hyperlink"/>
            <w:i/>
            <w:color w:val="000000" w:themeColor="text1"/>
            <w:spacing w:val="-2"/>
            <w:u w:val="none"/>
          </w:rPr>
          <w:t xml:space="preserve"> </w:t>
        </w:r>
        <w:r w:rsidRPr="00CF20E7">
          <w:rPr>
            <w:rStyle w:val="Hyperlink"/>
            <w:i/>
            <w:color w:val="000000" w:themeColor="text1"/>
            <w:u w:val="none"/>
          </w:rPr>
          <w:t>diagnosis</w:t>
        </w:r>
        <w:r w:rsidRPr="00CF20E7">
          <w:rPr>
            <w:rStyle w:val="Hyperlink"/>
            <w:i/>
            <w:color w:val="000000" w:themeColor="text1"/>
            <w:spacing w:val="-4"/>
            <w:u w:val="none"/>
          </w:rPr>
          <w:t xml:space="preserve"> </w:t>
        </w:r>
        <w:r w:rsidRPr="00CF20E7">
          <w:rPr>
            <w:rStyle w:val="Hyperlink"/>
            <w:i/>
            <w:color w:val="000000" w:themeColor="text1"/>
            <w:u w:val="none"/>
          </w:rPr>
          <w:t>for</w:t>
        </w:r>
        <w:r w:rsidRPr="00CF20E7">
          <w:rPr>
            <w:rStyle w:val="Hyperlink"/>
            <w:i/>
            <w:color w:val="000000" w:themeColor="text1"/>
            <w:spacing w:val="-3"/>
            <w:u w:val="none"/>
          </w:rPr>
          <w:t xml:space="preserve"> </w:t>
        </w:r>
        <w:r w:rsidRPr="00CF20E7">
          <w:rPr>
            <w:rStyle w:val="Hyperlink"/>
            <w:i/>
            <w:color w:val="000000" w:themeColor="text1"/>
            <w:u w:val="none"/>
          </w:rPr>
          <w:t>underserved</w:t>
        </w:r>
        <w:r w:rsidRPr="00CF20E7">
          <w:rPr>
            <w:rStyle w:val="Hyperlink"/>
            <w:i/>
            <w:color w:val="000000" w:themeColor="text1"/>
            <w:spacing w:val="-2"/>
            <w:u w:val="none"/>
          </w:rPr>
          <w:t xml:space="preserve"> </w:t>
        </w:r>
        <w:r w:rsidRPr="00CF20E7">
          <w:rPr>
            <w:rStyle w:val="Hyperlink"/>
            <w:i/>
            <w:color w:val="000000" w:themeColor="text1"/>
            <w:u w:val="none"/>
          </w:rPr>
          <w:t>populations,</w:t>
        </w:r>
      </w:hyperlink>
      <w:r w:rsidRPr="00CF20E7">
        <w:rPr>
          <w:i/>
          <w:color w:val="000000" w:themeColor="text1"/>
        </w:rPr>
        <w:t xml:space="preserve"> </w:t>
      </w:r>
      <w:r w:rsidRPr="00CF20E7">
        <w:rPr>
          <w:color w:val="000000" w:themeColor="text1"/>
        </w:rPr>
        <w:t>D</w:t>
      </w:r>
      <w:r w:rsidRPr="00CF20E7">
        <w:rPr>
          <w:color w:val="000000" w:themeColor="text1"/>
          <w:sz w:val="16"/>
        </w:rPr>
        <w:t>ANA</w:t>
      </w:r>
      <w:r>
        <w:t>-F</w:t>
      </w:r>
      <w:r>
        <w:rPr>
          <w:sz w:val="16"/>
        </w:rPr>
        <w:t>ARBER</w:t>
      </w:r>
      <w:r>
        <w:rPr>
          <w:spacing w:val="-2"/>
          <w:sz w:val="16"/>
        </w:rPr>
        <w:t xml:space="preserve"> </w:t>
      </w:r>
      <w:r>
        <w:t>C</w:t>
      </w:r>
      <w:r>
        <w:rPr>
          <w:sz w:val="16"/>
        </w:rPr>
        <w:t xml:space="preserve">ANCER </w:t>
      </w:r>
      <w:r>
        <w:t>I</w:t>
      </w:r>
      <w:r>
        <w:rPr>
          <w:sz w:val="16"/>
        </w:rPr>
        <w:t>NSTITUTE</w:t>
      </w:r>
      <w:r>
        <w:t>,</w:t>
      </w:r>
      <w:r>
        <w:rPr>
          <w:spacing w:val="-11"/>
        </w:rPr>
        <w:t xml:space="preserve"> </w:t>
      </w:r>
      <w:r>
        <w:t xml:space="preserve">(Mar. 20, 2023), </w:t>
      </w:r>
      <w:r>
        <w:rPr>
          <w:i/>
        </w:rPr>
        <w:t>available at</w:t>
      </w:r>
      <w:r>
        <w:rPr>
          <w:i/>
          <w:spacing w:val="-1"/>
        </w:rPr>
        <w:t xml:space="preserve"> </w:t>
      </w:r>
      <w:hyperlink r:id="rId315">
        <w:r>
          <w:rPr>
            <w:color w:val="486794"/>
            <w:u w:val="single" w:color="486794"/>
          </w:rPr>
          <w:t>https://www.dana-farber.org/newsroom/news-</w:t>
        </w:r>
      </w:hyperlink>
      <w:r>
        <w:rPr>
          <w:color w:val="486794"/>
        </w:rPr>
        <w:t xml:space="preserve"> </w:t>
      </w:r>
      <w:hyperlink r:id="rId316">
        <w:r>
          <w:rPr>
            <w:color w:val="486794"/>
            <w:spacing w:val="-2"/>
            <w:u w:val="single" w:color="486794"/>
          </w:rPr>
          <w:t>releases/2023/cancer-diagnostic-services-in-a-community-health-center-speed-diagnosis-for-underserved-</w:t>
        </w:r>
      </w:hyperlink>
      <w:r>
        <w:rPr>
          <w:color w:val="486794"/>
          <w:spacing w:val="-2"/>
        </w:rPr>
        <w:t xml:space="preserve"> </w:t>
      </w:r>
      <w:hyperlink r:id="rId317">
        <w:r>
          <w:rPr>
            <w:color w:val="486794"/>
            <w:spacing w:val="-2"/>
            <w:u w:val="single" w:color="486794"/>
          </w:rPr>
          <w:t>populations</w:t>
        </w:r>
        <w:r>
          <w:rPr>
            <w:spacing w:val="-2"/>
          </w:rPr>
          <w:t>.</w:t>
        </w:r>
      </w:hyperlink>
    </w:p>
  </w:footnote>
  <w:footnote w:id="254">
    <w:p w14:paraId="5BC0A52F" w14:textId="62758DF5" w:rsidR="009F5253" w:rsidRDefault="009F5253" w:rsidP="000A0B3D">
      <w:pPr>
        <w:pStyle w:val="FootnoteText"/>
        <w:ind w:left="960" w:right="1328"/>
      </w:pPr>
      <w:r>
        <w:rPr>
          <w:rStyle w:val="FootnoteReference"/>
        </w:rPr>
        <w:footnoteRef/>
      </w:r>
      <w:r>
        <w:t xml:space="preserve"> </w:t>
      </w:r>
      <w:hyperlink r:id="rId318" w:history="1">
        <w:r w:rsidRPr="00CF20E7">
          <w:rPr>
            <w:rStyle w:val="Hyperlink"/>
            <w:i/>
            <w:color w:val="000000" w:themeColor="text1"/>
            <w:u w:val="none"/>
          </w:rPr>
          <w:t>Our</w:t>
        </w:r>
        <w:r w:rsidRPr="00CF20E7">
          <w:rPr>
            <w:rStyle w:val="Hyperlink"/>
            <w:i/>
            <w:color w:val="000000" w:themeColor="text1"/>
            <w:spacing w:val="-5"/>
            <w:u w:val="none"/>
          </w:rPr>
          <w:t xml:space="preserve"> </w:t>
        </w:r>
        <w:r w:rsidRPr="00CF20E7">
          <w:rPr>
            <w:rStyle w:val="Hyperlink"/>
            <w:i/>
            <w:color w:val="000000" w:themeColor="text1"/>
            <w:u w:val="none"/>
          </w:rPr>
          <w:t>Research:</w:t>
        </w:r>
        <w:r w:rsidRPr="00CF20E7">
          <w:rPr>
            <w:rStyle w:val="Hyperlink"/>
            <w:i/>
            <w:color w:val="000000" w:themeColor="text1"/>
            <w:spacing w:val="-4"/>
            <w:u w:val="none"/>
          </w:rPr>
          <w:t xml:space="preserve"> </w:t>
        </w:r>
        <w:r w:rsidRPr="00CF20E7">
          <w:rPr>
            <w:rStyle w:val="Hyperlink"/>
            <w:i/>
            <w:color w:val="000000" w:themeColor="text1"/>
            <w:u w:val="none"/>
          </w:rPr>
          <w:t>Equity</w:t>
        </w:r>
        <w:r w:rsidRPr="00CF20E7">
          <w:rPr>
            <w:rStyle w:val="Hyperlink"/>
            <w:i/>
            <w:color w:val="000000" w:themeColor="text1"/>
            <w:spacing w:val="-5"/>
            <w:u w:val="none"/>
          </w:rPr>
          <w:t xml:space="preserve"> </w:t>
        </w:r>
        <w:r w:rsidRPr="00CF20E7">
          <w:rPr>
            <w:rStyle w:val="Hyperlink"/>
            <w:i/>
            <w:color w:val="000000" w:themeColor="text1"/>
            <w:u w:val="none"/>
          </w:rPr>
          <w:t>in</w:t>
        </w:r>
        <w:r w:rsidRPr="00CF20E7">
          <w:rPr>
            <w:rStyle w:val="Hyperlink"/>
            <w:i/>
            <w:color w:val="000000" w:themeColor="text1"/>
            <w:spacing w:val="-4"/>
            <w:u w:val="none"/>
          </w:rPr>
          <w:t xml:space="preserve"> </w:t>
        </w:r>
        <w:r w:rsidRPr="00CF20E7">
          <w:rPr>
            <w:rStyle w:val="Hyperlink"/>
            <w:i/>
            <w:color w:val="000000" w:themeColor="text1"/>
            <w:u w:val="none"/>
          </w:rPr>
          <w:t>Discovery</w:t>
        </w:r>
        <w:r w:rsidRPr="00CF20E7">
          <w:rPr>
            <w:rStyle w:val="Hyperlink"/>
            <w:i/>
            <w:color w:val="000000" w:themeColor="text1"/>
            <w:spacing w:val="-3"/>
            <w:u w:val="none"/>
          </w:rPr>
          <w:t xml:space="preserve"> </w:t>
        </w:r>
        <w:r w:rsidRPr="00CF20E7">
          <w:rPr>
            <w:rStyle w:val="Hyperlink"/>
            <w:i/>
            <w:color w:val="000000" w:themeColor="text1"/>
            <w:u w:val="none"/>
          </w:rPr>
          <w:t>and</w:t>
        </w:r>
        <w:r w:rsidRPr="00CF20E7">
          <w:rPr>
            <w:rStyle w:val="Hyperlink"/>
            <w:i/>
            <w:color w:val="000000" w:themeColor="text1"/>
            <w:spacing w:val="-4"/>
            <w:u w:val="none"/>
          </w:rPr>
          <w:t xml:space="preserve"> </w:t>
        </w:r>
        <w:r w:rsidRPr="00CF20E7">
          <w:rPr>
            <w:rStyle w:val="Hyperlink"/>
            <w:i/>
            <w:color w:val="000000" w:themeColor="text1"/>
            <w:u w:val="none"/>
          </w:rPr>
          <w:t>Innovation</w:t>
        </w:r>
      </w:hyperlink>
      <w:r w:rsidRPr="00CF20E7">
        <w:rPr>
          <w:color w:val="000000" w:themeColor="text1"/>
        </w:rPr>
        <w:t>,</w:t>
      </w:r>
      <w:r w:rsidRPr="00CF20E7">
        <w:rPr>
          <w:color w:val="000000" w:themeColor="text1"/>
          <w:spacing w:val="-4"/>
        </w:rPr>
        <w:t xml:space="preserve"> </w:t>
      </w:r>
      <w:r w:rsidRPr="00CF20E7">
        <w:rPr>
          <w:color w:val="000000" w:themeColor="text1"/>
        </w:rPr>
        <w:t>D</w:t>
      </w:r>
      <w:r w:rsidRPr="00CF20E7">
        <w:rPr>
          <w:color w:val="000000" w:themeColor="text1"/>
          <w:sz w:val="16"/>
        </w:rPr>
        <w:t>ANA</w:t>
      </w:r>
      <w:r>
        <w:t>-F</w:t>
      </w:r>
      <w:r>
        <w:rPr>
          <w:sz w:val="16"/>
        </w:rPr>
        <w:t>ARBER</w:t>
      </w:r>
      <w:r>
        <w:rPr>
          <w:spacing w:val="-4"/>
          <w:sz w:val="16"/>
        </w:rPr>
        <w:t xml:space="preserve"> </w:t>
      </w:r>
      <w:r>
        <w:t>C</w:t>
      </w:r>
      <w:r>
        <w:rPr>
          <w:sz w:val="16"/>
        </w:rPr>
        <w:t>ANCER</w:t>
      </w:r>
      <w:r>
        <w:rPr>
          <w:spacing w:val="-6"/>
          <w:sz w:val="16"/>
        </w:rPr>
        <w:t xml:space="preserve"> </w:t>
      </w:r>
      <w:r>
        <w:t>I</w:t>
      </w:r>
      <w:r>
        <w:rPr>
          <w:sz w:val="16"/>
        </w:rPr>
        <w:t>NSTITUTE</w:t>
      </w:r>
      <w:r>
        <w:t>,</w:t>
      </w:r>
      <w:r>
        <w:rPr>
          <w:spacing w:val="-13"/>
        </w:rPr>
        <w:t xml:space="preserve"> </w:t>
      </w:r>
      <w:hyperlink r:id="rId319">
        <w:r>
          <w:rPr>
            <w:color w:val="486794"/>
            <w:u w:val="single" w:color="486794"/>
          </w:rPr>
          <w:t>https://www.dana-</w:t>
        </w:r>
      </w:hyperlink>
      <w:r>
        <w:rPr>
          <w:color w:val="486794"/>
        </w:rPr>
        <w:t xml:space="preserve"> </w:t>
      </w:r>
      <w:hyperlink r:id="rId320">
        <w:r>
          <w:rPr>
            <w:color w:val="486794"/>
            <w:u w:val="single" w:color="486794"/>
          </w:rPr>
          <w:t>farber.org/about/inclusion-diversity-equity/research</w:t>
        </w:r>
      </w:hyperlink>
      <w:r>
        <w:rPr>
          <w:color w:val="486794"/>
        </w:rPr>
        <w:t xml:space="preserve"> </w:t>
      </w:r>
      <w:r>
        <w:t>(last visited February 27, 2025).</w:t>
      </w:r>
    </w:p>
  </w:footnote>
  <w:footnote w:id="255">
    <w:p w14:paraId="44F9B975" w14:textId="144A380D" w:rsidR="009639C2" w:rsidRDefault="009639C2" w:rsidP="000A0B3D">
      <w:pPr>
        <w:pStyle w:val="FootnoteText"/>
        <w:ind w:left="960" w:right="1328"/>
      </w:pPr>
      <w:r>
        <w:rPr>
          <w:rStyle w:val="FootnoteReference"/>
        </w:rPr>
        <w:footnoteRef/>
      </w:r>
      <w:r>
        <w:t xml:space="preserve"> Materials</w:t>
      </w:r>
      <w:r>
        <w:rPr>
          <w:spacing w:val="-3"/>
        </w:rPr>
        <w:t xml:space="preserve"> </w:t>
      </w:r>
      <w:r>
        <w:t>provided</w:t>
      </w:r>
      <w:r>
        <w:rPr>
          <w:spacing w:val="-3"/>
        </w:rPr>
        <w:t xml:space="preserve"> </w:t>
      </w:r>
      <w:r>
        <w:t>confidentially</w:t>
      </w:r>
      <w:r>
        <w:rPr>
          <w:spacing w:val="-5"/>
        </w:rPr>
        <w:t xml:space="preserve"> </w:t>
      </w:r>
      <w:r>
        <w:t>to</w:t>
      </w:r>
      <w:r>
        <w:rPr>
          <w:spacing w:val="-4"/>
        </w:rPr>
        <w:t xml:space="preserve"> </w:t>
      </w:r>
      <w:r>
        <w:t>the</w:t>
      </w:r>
      <w:r>
        <w:rPr>
          <w:spacing w:val="-5"/>
        </w:rPr>
        <w:t xml:space="preserve"> </w:t>
      </w:r>
      <w:r>
        <w:t>HPC</w:t>
      </w:r>
      <w:r>
        <w:rPr>
          <w:spacing w:val="-4"/>
        </w:rPr>
        <w:t xml:space="preserve"> </w:t>
      </w:r>
      <w:r>
        <w:t>summarized</w:t>
      </w:r>
      <w:r>
        <w:rPr>
          <w:spacing w:val="-1"/>
        </w:rPr>
        <w:t xml:space="preserve"> </w:t>
      </w:r>
      <w:r>
        <w:t>BIDMC’s</w:t>
      </w:r>
      <w:r>
        <w:rPr>
          <w:spacing w:val="-3"/>
        </w:rPr>
        <w:t xml:space="preserve"> </w:t>
      </w:r>
      <w:r>
        <w:t>oncology-specific</w:t>
      </w:r>
      <w:r>
        <w:rPr>
          <w:spacing w:val="-3"/>
        </w:rPr>
        <w:t xml:space="preserve"> </w:t>
      </w:r>
      <w:r>
        <w:t>access</w:t>
      </w:r>
      <w:r>
        <w:rPr>
          <w:spacing w:val="-3"/>
        </w:rPr>
        <w:t xml:space="preserve"> </w:t>
      </w:r>
      <w:r>
        <w:t>and</w:t>
      </w:r>
      <w:r>
        <w:rPr>
          <w:spacing w:val="-3"/>
        </w:rPr>
        <w:t xml:space="preserve"> </w:t>
      </w:r>
      <w:r>
        <w:t xml:space="preserve">equity </w:t>
      </w:r>
      <w:r>
        <w:rPr>
          <w:spacing w:val="-2"/>
        </w:rPr>
        <w:t>efforts.</w:t>
      </w:r>
    </w:p>
  </w:footnote>
  <w:footnote w:id="256">
    <w:p w14:paraId="334BF44C" w14:textId="111762E8" w:rsidR="009639C2" w:rsidRDefault="009639C2" w:rsidP="000A0B3D">
      <w:pPr>
        <w:pStyle w:val="FootnoteText"/>
        <w:ind w:left="960" w:right="1328"/>
      </w:pPr>
      <w:r>
        <w:rPr>
          <w:rStyle w:val="FootnoteReference"/>
        </w:rPr>
        <w:footnoteRef/>
      </w:r>
      <w:r>
        <w:t xml:space="preserve"> </w:t>
      </w:r>
      <w:hyperlink r:id="rId321" w:history="1">
        <w:r w:rsidRPr="00CF20E7">
          <w:rPr>
            <w:rStyle w:val="Hyperlink"/>
            <w:i/>
            <w:color w:val="000000" w:themeColor="text1"/>
            <w:u w:val="none"/>
          </w:rPr>
          <w:t>Adult</w:t>
        </w:r>
        <w:r w:rsidRPr="00CF20E7">
          <w:rPr>
            <w:rStyle w:val="Hyperlink"/>
            <w:i/>
            <w:color w:val="000000" w:themeColor="text1"/>
            <w:spacing w:val="-6"/>
            <w:u w:val="none"/>
          </w:rPr>
          <w:t xml:space="preserve"> </w:t>
        </w:r>
        <w:r w:rsidRPr="00CF20E7">
          <w:rPr>
            <w:rStyle w:val="Hyperlink"/>
            <w:i/>
            <w:color w:val="000000" w:themeColor="text1"/>
            <w:u w:val="none"/>
          </w:rPr>
          <w:t>Social</w:t>
        </w:r>
        <w:r w:rsidRPr="00CF20E7">
          <w:rPr>
            <w:rStyle w:val="Hyperlink"/>
            <w:i/>
            <w:color w:val="000000" w:themeColor="text1"/>
            <w:spacing w:val="-5"/>
            <w:u w:val="none"/>
          </w:rPr>
          <w:t xml:space="preserve"> </w:t>
        </w:r>
        <w:r w:rsidRPr="00CF20E7">
          <w:rPr>
            <w:rStyle w:val="Hyperlink"/>
            <w:i/>
            <w:color w:val="000000" w:themeColor="text1"/>
            <w:u w:val="none"/>
          </w:rPr>
          <w:t>Work</w:t>
        </w:r>
        <w:r w:rsidRPr="00CF20E7">
          <w:rPr>
            <w:rStyle w:val="Hyperlink"/>
            <w:i/>
            <w:color w:val="000000" w:themeColor="text1"/>
            <w:spacing w:val="-4"/>
            <w:u w:val="none"/>
          </w:rPr>
          <w:t xml:space="preserve"> </w:t>
        </w:r>
        <w:r w:rsidRPr="00CF20E7">
          <w:rPr>
            <w:rStyle w:val="Hyperlink"/>
            <w:i/>
            <w:color w:val="000000" w:themeColor="text1"/>
            <w:u w:val="none"/>
          </w:rPr>
          <w:t>Program</w:t>
        </w:r>
        <w:r w:rsidRPr="00CF20E7">
          <w:rPr>
            <w:rStyle w:val="Hyperlink"/>
            <w:color w:val="000000" w:themeColor="text1"/>
            <w:u w:val="none"/>
          </w:rPr>
          <w:t>,</w:t>
        </w:r>
      </w:hyperlink>
      <w:r w:rsidRPr="00CF20E7">
        <w:rPr>
          <w:color w:val="000000" w:themeColor="text1"/>
          <w:spacing w:val="-3"/>
        </w:rPr>
        <w:t xml:space="preserve"> </w:t>
      </w:r>
      <w:r w:rsidRPr="00CF20E7">
        <w:rPr>
          <w:color w:val="000000" w:themeColor="text1"/>
        </w:rPr>
        <w:t>D</w:t>
      </w:r>
      <w:r w:rsidRPr="00CF20E7">
        <w:rPr>
          <w:color w:val="000000" w:themeColor="text1"/>
          <w:sz w:val="16"/>
        </w:rPr>
        <w:t>ANA</w:t>
      </w:r>
      <w:r>
        <w:t>-F</w:t>
      </w:r>
      <w:r>
        <w:rPr>
          <w:sz w:val="16"/>
        </w:rPr>
        <w:t>ARBER</w:t>
      </w:r>
      <w:r>
        <w:rPr>
          <w:spacing w:val="-6"/>
          <w:sz w:val="16"/>
        </w:rPr>
        <w:t xml:space="preserve"> </w:t>
      </w:r>
      <w:r>
        <w:t>C</w:t>
      </w:r>
      <w:r>
        <w:rPr>
          <w:sz w:val="16"/>
        </w:rPr>
        <w:t>ANCER</w:t>
      </w:r>
      <w:r>
        <w:rPr>
          <w:spacing w:val="-4"/>
          <w:sz w:val="16"/>
        </w:rPr>
        <w:t xml:space="preserve"> </w:t>
      </w:r>
      <w:r>
        <w:t>I</w:t>
      </w:r>
      <w:r>
        <w:rPr>
          <w:sz w:val="16"/>
        </w:rPr>
        <w:t>NSTITUTE</w:t>
      </w:r>
      <w:r>
        <w:t>,</w:t>
      </w:r>
      <w:r>
        <w:rPr>
          <w:spacing w:val="-7"/>
        </w:rPr>
        <w:t xml:space="preserve"> </w:t>
      </w:r>
      <w:hyperlink r:id="rId322">
        <w:r>
          <w:rPr>
            <w:color w:val="486794"/>
            <w:u w:val="single" w:color="486794"/>
          </w:rPr>
          <w:t>https://www.dana-farber.org/cancer-</w:t>
        </w:r>
      </w:hyperlink>
      <w:r>
        <w:rPr>
          <w:color w:val="486794"/>
        </w:rPr>
        <w:t xml:space="preserve"> </w:t>
      </w:r>
      <w:hyperlink r:id="rId323">
        <w:r>
          <w:rPr>
            <w:color w:val="486794"/>
            <w:u w:val="single" w:color="486794"/>
          </w:rPr>
          <w:t>care/treatment/adult-social-work</w:t>
        </w:r>
      </w:hyperlink>
      <w:r>
        <w:rPr>
          <w:color w:val="486794"/>
        </w:rPr>
        <w:t xml:space="preserve"> </w:t>
      </w:r>
      <w:r>
        <w:t>(last visited February 27, 2025).</w:t>
      </w:r>
    </w:p>
  </w:footnote>
  <w:footnote w:id="257">
    <w:p w14:paraId="060C02E6" w14:textId="3831B5D9" w:rsidR="009639C2" w:rsidRDefault="009639C2" w:rsidP="000A0B3D">
      <w:pPr>
        <w:pStyle w:val="FootnoteText"/>
        <w:ind w:left="960" w:right="1328"/>
      </w:pPr>
      <w:r>
        <w:rPr>
          <w:rStyle w:val="FootnoteReference"/>
        </w:rPr>
        <w:footnoteRef/>
      </w:r>
      <w:r>
        <w:t xml:space="preserve"> </w:t>
      </w:r>
      <w:r w:rsidR="00904F38">
        <w:t>DFCI</w:t>
      </w:r>
      <w:r w:rsidR="00904F38">
        <w:rPr>
          <w:spacing w:val="-12"/>
        </w:rPr>
        <w:t xml:space="preserve"> </w:t>
      </w:r>
      <w:r w:rsidR="00904F38">
        <w:t>D</w:t>
      </w:r>
      <w:r w:rsidR="00904F38">
        <w:rPr>
          <w:sz w:val="16"/>
        </w:rPr>
        <w:t>O</w:t>
      </w:r>
      <w:r w:rsidR="00904F38">
        <w:t>N</w:t>
      </w:r>
      <w:r w:rsidR="00904F38">
        <w:rPr>
          <w:spacing w:val="-13"/>
        </w:rPr>
        <w:t xml:space="preserve"> </w:t>
      </w:r>
      <w:r w:rsidR="00904F38">
        <w:t>N</w:t>
      </w:r>
      <w:r w:rsidR="00904F38">
        <w:rPr>
          <w:sz w:val="16"/>
        </w:rPr>
        <w:t>ARRATIVE</w:t>
      </w:r>
      <w:r w:rsidR="00904F38">
        <w:t>,</w:t>
      </w:r>
      <w:r w:rsidR="00904F38">
        <w:rPr>
          <w:spacing w:val="-4"/>
        </w:rPr>
        <w:t xml:space="preserve"> </w:t>
      </w:r>
      <w:r w:rsidR="00904F38">
        <w:rPr>
          <w:i/>
        </w:rPr>
        <w:t>supra</w:t>
      </w:r>
      <w:r w:rsidR="00904F38">
        <w:rPr>
          <w:i/>
          <w:spacing w:val="-6"/>
        </w:rPr>
        <w:t xml:space="preserve"> </w:t>
      </w:r>
      <w:r w:rsidR="00904F38">
        <w:t>note</w:t>
      </w:r>
      <w:r w:rsidR="00904F38">
        <w:rPr>
          <w:spacing w:val="-5"/>
        </w:rPr>
        <w:t xml:space="preserve"> </w:t>
      </w:r>
      <w:hyperlink w:anchor="_bookmark7" w:history="1">
        <w:r w:rsidR="00904F38">
          <w:t>8,</w:t>
        </w:r>
      </w:hyperlink>
      <w:r w:rsidR="00904F38">
        <w:rPr>
          <w:spacing w:val="-4"/>
        </w:rPr>
        <w:t xml:space="preserve"> </w:t>
      </w:r>
      <w:r w:rsidR="00904F38">
        <w:t>at</w:t>
      </w:r>
      <w:r w:rsidR="00904F38">
        <w:rPr>
          <w:spacing w:val="-4"/>
        </w:rPr>
        <w:t xml:space="preserve"> </w:t>
      </w:r>
      <w:r w:rsidR="00904F38">
        <w:t>33-</w:t>
      </w:r>
      <w:r w:rsidR="00904F38">
        <w:rPr>
          <w:spacing w:val="-5"/>
        </w:rPr>
        <w:t>34.</w:t>
      </w:r>
    </w:p>
  </w:footnote>
  <w:footnote w:id="258">
    <w:p w14:paraId="66E890EE" w14:textId="2A1052EB" w:rsidR="000A0B3D" w:rsidRDefault="000A0B3D" w:rsidP="000A0B3D">
      <w:pPr>
        <w:pStyle w:val="FootnoteText"/>
        <w:ind w:left="960" w:right="1328"/>
      </w:pPr>
      <w:r>
        <w:rPr>
          <w:rStyle w:val="FootnoteReference"/>
        </w:rPr>
        <w:footnoteRef/>
      </w:r>
      <w:r>
        <w:t xml:space="preserve"> Materials</w:t>
      </w:r>
      <w:r>
        <w:rPr>
          <w:spacing w:val="-2"/>
        </w:rPr>
        <w:t xml:space="preserve"> </w:t>
      </w:r>
      <w:r>
        <w:t>provided</w:t>
      </w:r>
      <w:r>
        <w:rPr>
          <w:spacing w:val="-2"/>
        </w:rPr>
        <w:t xml:space="preserve"> </w:t>
      </w:r>
      <w:r>
        <w:t>confidentially</w:t>
      </w:r>
      <w:r>
        <w:rPr>
          <w:spacing w:val="-4"/>
        </w:rPr>
        <w:t xml:space="preserve"> </w:t>
      </w:r>
      <w:r>
        <w:t>to</w:t>
      </w:r>
      <w:r>
        <w:rPr>
          <w:spacing w:val="-3"/>
        </w:rPr>
        <w:t xml:space="preserve"> </w:t>
      </w:r>
      <w:r>
        <w:t>the</w:t>
      </w:r>
      <w:r>
        <w:rPr>
          <w:spacing w:val="-4"/>
        </w:rPr>
        <w:t xml:space="preserve"> </w:t>
      </w:r>
      <w:r>
        <w:t>HPC</w:t>
      </w:r>
      <w:r>
        <w:rPr>
          <w:spacing w:val="-3"/>
        </w:rPr>
        <w:t xml:space="preserve"> </w:t>
      </w:r>
      <w:r>
        <w:t>show</w:t>
      </w:r>
      <w:r>
        <w:rPr>
          <w:spacing w:val="-3"/>
        </w:rPr>
        <w:t xml:space="preserve"> </w:t>
      </w:r>
      <w:r>
        <w:t>that</w:t>
      </w:r>
      <w:r>
        <w:rPr>
          <w:spacing w:val="-2"/>
        </w:rPr>
        <w:t xml:space="preserve"> </w:t>
      </w:r>
      <w:r>
        <w:t>DFCI’s</w:t>
      </w:r>
      <w:r>
        <w:rPr>
          <w:spacing w:val="-2"/>
        </w:rPr>
        <w:t xml:space="preserve"> </w:t>
      </w:r>
      <w:r>
        <w:t>Whittier</w:t>
      </w:r>
      <w:r>
        <w:rPr>
          <w:spacing w:val="-4"/>
        </w:rPr>
        <w:t xml:space="preserve"> </w:t>
      </w:r>
      <w:r>
        <w:t>Street</w:t>
      </w:r>
      <w:r>
        <w:rPr>
          <w:spacing w:val="-2"/>
        </w:rPr>
        <w:t xml:space="preserve"> </w:t>
      </w:r>
      <w:r>
        <w:t>Health</w:t>
      </w:r>
      <w:r>
        <w:rPr>
          <w:spacing w:val="-3"/>
        </w:rPr>
        <w:t xml:space="preserve"> </w:t>
      </w:r>
      <w:r>
        <w:t>Center</w:t>
      </w:r>
      <w:r>
        <w:rPr>
          <w:spacing w:val="-4"/>
        </w:rPr>
        <w:t xml:space="preserve"> </w:t>
      </w:r>
      <w:r>
        <w:t>and Mammography Van provide screenings mostly to Medicaid-insured individuals.</w:t>
      </w:r>
    </w:p>
  </w:footnote>
  <w:footnote w:id="259">
    <w:p w14:paraId="161AED97" w14:textId="07A68404" w:rsidR="000A0B3D" w:rsidRDefault="000A0B3D" w:rsidP="000A0B3D">
      <w:pPr>
        <w:pStyle w:val="FootnoteText"/>
        <w:ind w:left="960" w:right="1328"/>
      </w:pPr>
      <w:r>
        <w:rPr>
          <w:rStyle w:val="FootnoteReference"/>
        </w:rPr>
        <w:footnoteRef/>
      </w:r>
      <w:r>
        <w:t xml:space="preserve"> </w:t>
      </w:r>
      <w:hyperlink r:id="rId324" w:history="1">
        <w:r w:rsidRPr="00CF20E7">
          <w:rPr>
            <w:rStyle w:val="Hyperlink"/>
            <w:i/>
            <w:color w:val="000000" w:themeColor="text1"/>
            <w:u w:val="none"/>
          </w:rPr>
          <w:t>Insurance and Financial Information</w:t>
        </w:r>
        <w:r w:rsidRPr="00CF20E7">
          <w:rPr>
            <w:rStyle w:val="Hyperlink"/>
            <w:color w:val="000000" w:themeColor="text1"/>
            <w:u w:val="none"/>
          </w:rPr>
          <w:t>,</w:t>
        </w:r>
      </w:hyperlink>
      <w:r w:rsidRPr="00CF20E7">
        <w:rPr>
          <w:color w:val="000000" w:themeColor="text1"/>
        </w:rPr>
        <w:t xml:space="preserve"> D</w:t>
      </w:r>
      <w:r w:rsidRPr="00CF20E7">
        <w:rPr>
          <w:color w:val="000000" w:themeColor="text1"/>
          <w:sz w:val="16"/>
        </w:rPr>
        <w:t>ANA</w:t>
      </w:r>
      <w:r>
        <w:t>-F</w:t>
      </w:r>
      <w:r>
        <w:rPr>
          <w:sz w:val="16"/>
        </w:rPr>
        <w:t xml:space="preserve">ARBER </w:t>
      </w:r>
      <w:r>
        <w:t>C</w:t>
      </w:r>
      <w:r>
        <w:rPr>
          <w:sz w:val="16"/>
        </w:rPr>
        <w:t xml:space="preserve">ANCER </w:t>
      </w:r>
      <w:r>
        <w:t>I</w:t>
      </w:r>
      <w:r>
        <w:rPr>
          <w:sz w:val="16"/>
        </w:rPr>
        <w:t>NSTITUTE</w:t>
      </w:r>
      <w:r>
        <w:t xml:space="preserve">, </w:t>
      </w:r>
      <w:hyperlink r:id="rId325">
        <w:r>
          <w:rPr>
            <w:color w:val="486794"/>
            <w:u w:val="single" w:color="486794"/>
          </w:rPr>
          <w:t>https://www.danafarberbostonchildrens.org/patients-and-families/insurance-and-financial-information</w:t>
        </w:r>
      </w:hyperlink>
      <w:r>
        <w:rPr>
          <w:color w:val="486794"/>
          <w:spacing w:val="-13"/>
        </w:rPr>
        <w:t xml:space="preserve"> </w:t>
      </w:r>
      <w:r>
        <w:t>(last visited February 27, 2025).</w:t>
      </w:r>
    </w:p>
  </w:footnote>
  <w:footnote w:id="260">
    <w:p w14:paraId="4FA59102" w14:textId="5C85A613" w:rsidR="00F7203F" w:rsidRDefault="00873FE5" w:rsidP="00F7203F">
      <w:pPr>
        <w:spacing w:before="92" w:line="226" w:lineRule="exact"/>
        <w:ind w:left="960" w:right="940"/>
        <w:rPr>
          <w:sz w:val="20"/>
        </w:rPr>
      </w:pPr>
      <w:r>
        <w:rPr>
          <w:rStyle w:val="FootnoteReference"/>
        </w:rPr>
        <w:footnoteRef/>
      </w:r>
      <w:r>
        <w:t xml:space="preserve"> </w:t>
      </w:r>
      <w:hyperlink r:id="rId326" w:history="1">
        <w:r w:rsidR="00F7203F" w:rsidRPr="00946B0F">
          <w:rPr>
            <w:rStyle w:val="Hyperlink"/>
            <w:color w:val="000000" w:themeColor="text1"/>
            <w:sz w:val="20"/>
            <w:u w:val="none"/>
          </w:rPr>
          <w:t>D</w:t>
        </w:r>
        <w:r w:rsidR="00F7203F" w:rsidRPr="00946B0F">
          <w:rPr>
            <w:rStyle w:val="Hyperlink"/>
            <w:color w:val="000000" w:themeColor="text1"/>
            <w:sz w:val="16"/>
            <w:u w:val="none"/>
          </w:rPr>
          <w:t>ANA</w:t>
        </w:r>
        <w:r w:rsidR="00F7203F" w:rsidRPr="00946B0F">
          <w:rPr>
            <w:rStyle w:val="Hyperlink"/>
            <w:color w:val="000000" w:themeColor="text1"/>
            <w:sz w:val="20"/>
            <w:u w:val="none"/>
          </w:rPr>
          <w:t>-F</w:t>
        </w:r>
        <w:r w:rsidR="00F7203F" w:rsidRPr="00946B0F">
          <w:rPr>
            <w:rStyle w:val="Hyperlink"/>
            <w:color w:val="000000" w:themeColor="text1"/>
            <w:sz w:val="16"/>
            <w:u w:val="none"/>
          </w:rPr>
          <w:t>ARBER</w:t>
        </w:r>
        <w:r w:rsidR="00F7203F" w:rsidRPr="00946B0F">
          <w:rPr>
            <w:rStyle w:val="Hyperlink"/>
            <w:color w:val="000000" w:themeColor="text1"/>
            <w:spacing w:val="-7"/>
            <w:sz w:val="16"/>
            <w:u w:val="none"/>
          </w:rPr>
          <w:t xml:space="preserve"> </w:t>
        </w:r>
        <w:r w:rsidR="00F7203F" w:rsidRPr="00946B0F">
          <w:rPr>
            <w:rStyle w:val="Hyperlink"/>
            <w:color w:val="000000" w:themeColor="text1"/>
            <w:sz w:val="20"/>
            <w:u w:val="none"/>
          </w:rPr>
          <w:t>C</w:t>
        </w:r>
        <w:r w:rsidR="00F7203F" w:rsidRPr="00946B0F">
          <w:rPr>
            <w:rStyle w:val="Hyperlink"/>
            <w:color w:val="000000" w:themeColor="text1"/>
            <w:sz w:val="16"/>
            <w:u w:val="none"/>
          </w:rPr>
          <w:t>ANCER</w:t>
        </w:r>
        <w:r w:rsidR="00F7203F" w:rsidRPr="00946B0F">
          <w:rPr>
            <w:rStyle w:val="Hyperlink"/>
            <w:color w:val="000000" w:themeColor="text1"/>
            <w:spacing w:val="-9"/>
            <w:sz w:val="16"/>
            <w:u w:val="none"/>
          </w:rPr>
          <w:t xml:space="preserve"> </w:t>
        </w:r>
        <w:r w:rsidR="00F7203F" w:rsidRPr="00946B0F">
          <w:rPr>
            <w:rStyle w:val="Hyperlink"/>
            <w:color w:val="000000" w:themeColor="text1"/>
            <w:sz w:val="20"/>
            <w:u w:val="none"/>
          </w:rPr>
          <w:t>I</w:t>
        </w:r>
        <w:r w:rsidR="00F7203F" w:rsidRPr="00946B0F">
          <w:rPr>
            <w:rStyle w:val="Hyperlink"/>
            <w:color w:val="000000" w:themeColor="text1"/>
            <w:sz w:val="16"/>
            <w:u w:val="none"/>
          </w:rPr>
          <w:t>NSTITUTE</w:t>
        </w:r>
        <w:r w:rsidR="00F7203F" w:rsidRPr="00946B0F">
          <w:rPr>
            <w:rStyle w:val="Hyperlink"/>
            <w:color w:val="000000" w:themeColor="text1"/>
            <w:sz w:val="20"/>
            <w:u w:val="none"/>
          </w:rPr>
          <w:t>,</w:t>
        </w:r>
        <w:r w:rsidR="00F7203F" w:rsidRPr="00946B0F">
          <w:rPr>
            <w:rStyle w:val="Hyperlink"/>
            <w:color w:val="000000" w:themeColor="text1"/>
            <w:spacing w:val="-7"/>
            <w:sz w:val="20"/>
            <w:u w:val="none"/>
          </w:rPr>
          <w:t xml:space="preserve"> </w:t>
        </w:r>
        <w:r w:rsidR="00F7203F" w:rsidRPr="00946B0F">
          <w:rPr>
            <w:rStyle w:val="Hyperlink"/>
            <w:color w:val="000000" w:themeColor="text1"/>
            <w:sz w:val="20"/>
            <w:u w:val="none"/>
          </w:rPr>
          <w:t>D</w:t>
        </w:r>
        <w:r w:rsidR="00F7203F" w:rsidRPr="00946B0F">
          <w:rPr>
            <w:rStyle w:val="Hyperlink"/>
            <w:color w:val="000000" w:themeColor="text1"/>
            <w:sz w:val="16"/>
            <w:u w:val="none"/>
          </w:rPr>
          <w:t>ANA</w:t>
        </w:r>
        <w:r w:rsidR="00F7203F" w:rsidRPr="00946B0F">
          <w:rPr>
            <w:rStyle w:val="Hyperlink"/>
            <w:color w:val="000000" w:themeColor="text1"/>
            <w:sz w:val="20"/>
            <w:u w:val="none"/>
          </w:rPr>
          <w:t>-F</w:t>
        </w:r>
        <w:r w:rsidR="00F7203F" w:rsidRPr="00946B0F">
          <w:rPr>
            <w:rStyle w:val="Hyperlink"/>
            <w:color w:val="000000" w:themeColor="text1"/>
            <w:sz w:val="16"/>
            <w:u w:val="none"/>
          </w:rPr>
          <w:t>ARBER</w:t>
        </w:r>
        <w:r w:rsidR="00F7203F" w:rsidRPr="00946B0F">
          <w:rPr>
            <w:rStyle w:val="Hyperlink"/>
            <w:color w:val="000000" w:themeColor="text1"/>
            <w:spacing w:val="-7"/>
            <w:sz w:val="16"/>
            <w:u w:val="none"/>
          </w:rPr>
          <w:t xml:space="preserve"> </w:t>
        </w:r>
        <w:r w:rsidR="00F7203F" w:rsidRPr="00946B0F">
          <w:rPr>
            <w:rStyle w:val="Hyperlink"/>
            <w:color w:val="000000" w:themeColor="text1"/>
            <w:sz w:val="20"/>
            <w:u w:val="none"/>
          </w:rPr>
          <w:t>C</w:t>
        </w:r>
        <w:r w:rsidR="00F7203F" w:rsidRPr="00946B0F">
          <w:rPr>
            <w:rStyle w:val="Hyperlink"/>
            <w:color w:val="000000" w:themeColor="text1"/>
            <w:sz w:val="16"/>
            <w:u w:val="none"/>
          </w:rPr>
          <w:t>ANCER</w:t>
        </w:r>
        <w:r w:rsidR="00F7203F" w:rsidRPr="00946B0F">
          <w:rPr>
            <w:rStyle w:val="Hyperlink"/>
            <w:color w:val="000000" w:themeColor="text1"/>
            <w:spacing w:val="-9"/>
            <w:sz w:val="16"/>
            <w:u w:val="none"/>
          </w:rPr>
          <w:t xml:space="preserve"> </w:t>
        </w:r>
        <w:r w:rsidR="00F7203F" w:rsidRPr="00946B0F">
          <w:rPr>
            <w:rStyle w:val="Hyperlink"/>
            <w:color w:val="000000" w:themeColor="text1"/>
            <w:sz w:val="20"/>
            <w:u w:val="none"/>
          </w:rPr>
          <w:t>I</w:t>
        </w:r>
        <w:r w:rsidR="00F7203F" w:rsidRPr="00946B0F">
          <w:rPr>
            <w:rStyle w:val="Hyperlink"/>
            <w:color w:val="000000" w:themeColor="text1"/>
            <w:sz w:val="16"/>
            <w:u w:val="none"/>
          </w:rPr>
          <w:t>NSTITUTE</w:t>
        </w:r>
        <w:r w:rsidR="00F7203F" w:rsidRPr="00946B0F">
          <w:rPr>
            <w:rStyle w:val="Hyperlink"/>
            <w:color w:val="000000" w:themeColor="text1"/>
            <w:spacing w:val="-6"/>
            <w:sz w:val="16"/>
            <w:u w:val="none"/>
          </w:rPr>
          <w:t xml:space="preserve"> </w:t>
        </w:r>
        <w:r w:rsidR="00F7203F" w:rsidRPr="00946B0F">
          <w:rPr>
            <w:rStyle w:val="Hyperlink"/>
            <w:color w:val="000000" w:themeColor="text1"/>
            <w:sz w:val="20"/>
            <w:u w:val="none"/>
          </w:rPr>
          <w:t>C</w:t>
        </w:r>
        <w:r w:rsidR="00F7203F" w:rsidRPr="00946B0F">
          <w:rPr>
            <w:rStyle w:val="Hyperlink"/>
            <w:color w:val="000000" w:themeColor="text1"/>
            <w:sz w:val="16"/>
            <w:u w:val="none"/>
          </w:rPr>
          <w:t>OMMUNITY</w:t>
        </w:r>
        <w:r w:rsidR="00F7203F" w:rsidRPr="00946B0F">
          <w:rPr>
            <w:rStyle w:val="Hyperlink"/>
            <w:color w:val="000000" w:themeColor="text1"/>
            <w:spacing w:val="-10"/>
            <w:sz w:val="16"/>
            <w:u w:val="none"/>
          </w:rPr>
          <w:t xml:space="preserve"> </w:t>
        </w:r>
        <w:r w:rsidR="00F7203F" w:rsidRPr="00946B0F">
          <w:rPr>
            <w:rStyle w:val="Hyperlink"/>
            <w:color w:val="000000" w:themeColor="text1"/>
            <w:sz w:val="20"/>
            <w:u w:val="none"/>
          </w:rPr>
          <w:t>N</w:t>
        </w:r>
        <w:r w:rsidR="00F7203F" w:rsidRPr="00946B0F">
          <w:rPr>
            <w:rStyle w:val="Hyperlink"/>
            <w:color w:val="000000" w:themeColor="text1"/>
            <w:sz w:val="16"/>
            <w:u w:val="none"/>
          </w:rPr>
          <w:t>EEDS</w:t>
        </w:r>
        <w:r w:rsidR="00F7203F" w:rsidRPr="00946B0F">
          <w:rPr>
            <w:rStyle w:val="Hyperlink"/>
            <w:color w:val="000000" w:themeColor="text1"/>
            <w:spacing w:val="-7"/>
            <w:sz w:val="16"/>
            <w:u w:val="none"/>
          </w:rPr>
          <w:t xml:space="preserve"> </w:t>
        </w:r>
        <w:r w:rsidR="00F7203F" w:rsidRPr="00946B0F">
          <w:rPr>
            <w:rStyle w:val="Hyperlink"/>
            <w:color w:val="000000" w:themeColor="text1"/>
            <w:sz w:val="20"/>
            <w:u w:val="none"/>
          </w:rPr>
          <w:t>A</w:t>
        </w:r>
        <w:r w:rsidR="00F7203F" w:rsidRPr="00946B0F">
          <w:rPr>
            <w:rStyle w:val="Hyperlink"/>
            <w:color w:val="000000" w:themeColor="text1"/>
            <w:sz w:val="16"/>
            <w:u w:val="none"/>
          </w:rPr>
          <w:t>SSESSMENT</w:t>
        </w:r>
        <w:r w:rsidR="00F7203F" w:rsidRPr="00946B0F">
          <w:rPr>
            <w:rStyle w:val="Hyperlink"/>
            <w:color w:val="000000" w:themeColor="text1"/>
            <w:spacing w:val="-6"/>
            <w:sz w:val="16"/>
            <w:u w:val="none"/>
          </w:rPr>
          <w:t xml:space="preserve"> </w:t>
        </w:r>
        <w:r w:rsidR="00F7203F" w:rsidRPr="00946B0F">
          <w:rPr>
            <w:rStyle w:val="Hyperlink"/>
            <w:color w:val="000000" w:themeColor="text1"/>
            <w:sz w:val="20"/>
            <w:u w:val="none"/>
          </w:rPr>
          <w:t>(CHNA),</w:t>
        </w:r>
      </w:hyperlink>
      <w:r w:rsidR="00F7203F" w:rsidRPr="00946B0F">
        <w:rPr>
          <w:color w:val="000000" w:themeColor="text1"/>
          <w:spacing w:val="-12"/>
          <w:sz w:val="20"/>
        </w:rPr>
        <w:t xml:space="preserve"> </w:t>
      </w:r>
      <w:r w:rsidR="00F7203F" w:rsidRPr="00946B0F">
        <w:rPr>
          <w:color w:val="000000" w:themeColor="text1"/>
          <w:spacing w:val="-2"/>
          <w:sz w:val="20"/>
        </w:rPr>
        <w:t>2020</w:t>
      </w:r>
      <w:r w:rsidR="00F7203F">
        <w:rPr>
          <w:spacing w:val="-2"/>
          <w:sz w:val="20"/>
        </w:rPr>
        <w:t>-</w:t>
      </w:r>
    </w:p>
    <w:p w14:paraId="405E5A2C" w14:textId="284C03EB" w:rsidR="00873FE5" w:rsidRPr="00CF7D04" w:rsidRDefault="00F7203F" w:rsidP="00124190">
      <w:pPr>
        <w:ind w:left="960" w:right="940"/>
        <w:rPr>
          <w:sz w:val="20"/>
        </w:rPr>
      </w:pPr>
      <w:r>
        <w:rPr>
          <w:sz w:val="20"/>
        </w:rPr>
        <w:t>2023,</w:t>
      </w:r>
      <w:r>
        <w:rPr>
          <w:spacing w:val="-3"/>
          <w:sz w:val="20"/>
        </w:rPr>
        <w:t xml:space="preserve"> </w:t>
      </w:r>
      <w:r>
        <w:rPr>
          <w:sz w:val="20"/>
        </w:rPr>
        <w:t>at</w:t>
      </w:r>
      <w:r>
        <w:rPr>
          <w:spacing w:val="-3"/>
          <w:sz w:val="20"/>
        </w:rPr>
        <w:t xml:space="preserve"> </w:t>
      </w:r>
      <w:proofErr w:type="spellStart"/>
      <w:r>
        <w:rPr>
          <w:sz w:val="20"/>
        </w:rPr>
        <w:t>i</w:t>
      </w:r>
      <w:proofErr w:type="spellEnd"/>
      <w:r>
        <w:rPr>
          <w:spacing w:val="-3"/>
          <w:sz w:val="20"/>
        </w:rPr>
        <w:t xml:space="preserve"> </w:t>
      </w:r>
      <w:r>
        <w:rPr>
          <w:sz w:val="20"/>
        </w:rPr>
        <w:t>(Sept.</w:t>
      </w:r>
      <w:r>
        <w:rPr>
          <w:spacing w:val="-4"/>
          <w:sz w:val="20"/>
        </w:rPr>
        <w:t xml:space="preserve"> </w:t>
      </w:r>
      <w:r>
        <w:rPr>
          <w:sz w:val="20"/>
        </w:rPr>
        <w:t>2019)</w:t>
      </w:r>
      <w:r>
        <w:rPr>
          <w:spacing w:val="-4"/>
          <w:sz w:val="20"/>
        </w:rPr>
        <w:t xml:space="preserve"> </w:t>
      </w:r>
      <w:r>
        <w:rPr>
          <w:sz w:val="20"/>
        </w:rPr>
        <w:t>(stating</w:t>
      </w:r>
      <w:r>
        <w:rPr>
          <w:spacing w:val="-3"/>
          <w:sz w:val="20"/>
        </w:rPr>
        <w:t xml:space="preserve"> </w:t>
      </w:r>
      <w:r>
        <w:rPr>
          <w:sz w:val="20"/>
        </w:rPr>
        <w:t>that</w:t>
      </w:r>
      <w:r>
        <w:rPr>
          <w:spacing w:val="-3"/>
          <w:sz w:val="20"/>
        </w:rPr>
        <w:t xml:space="preserve"> </w:t>
      </w:r>
      <w:r>
        <w:rPr>
          <w:sz w:val="20"/>
        </w:rPr>
        <w:t>DFCI’s</w:t>
      </w:r>
      <w:r>
        <w:rPr>
          <w:spacing w:val="-3"/>
          <w:sz w:val="20"/>
        </w:rPr>
        <w:t xml:space="preserve"> </w:t>
      </w:r>
      <w:r>
        <w:rPr>
          <w:sz w:val="20"/>
        </w:rPr>
        <w:t>Community</w:t>
      </w:r>
      <w:r>
        <w:rPr>
          <w:spacing w:val="-4"/>
          <w:sz w:val="20"/>
        </w:rPr>
        <w:t xml:space="preserve"> </w:t>
      </w:r>
      <w:r>
        <w:rPr>
          <w:sz w:val="20"/>
        </w:rPr>
        <w:t>Benefits</w:t>
      </w:r>
      <w:r>
        <w:rPr>
          <w:spacing w:val="-3"/>
          <w:sz w:val="20"/>
        </w:rPr>
        <w:t xml:space="preserve"> </w:t>
      </w:r>
      <w:r>
        <w:rPr>
          <w:sz w:val="20"/>
        </w:rPr>
        <w:t>office</w:t>
      </w:r>
      <w:r>
        <w:rPr>
          <w:spacing w:val="-4"/>
          <w:sz w:val="20"/>
        </w:rPr>
        <w:t xml:space="preserve"> </w:t>
      </w:r>
      <w:r>
        <w:rPr>
          <w:sz w:val="20"/>
        </w:rPr>
        <w:t>“provides</w:t>
      </w:r>
      <w:r>
        <w:rPr>
          <w:spacing w:val="-3"/>
          <w:sz w:val="20"/>
        </w:rPr>
        <w:t xml:space="preserve"> </w:t>
      </w:r>
      <w:r>
        <w:rPr>
          <w:sz w:val="20"/>
        </w:rPr>
        <w:t>education</w:t>
      </w:r>
      <w:r>
        <w:rPr>
          <w:spacing w:val="-3"/>
          <w:sz w:val="20"/>
        </w:rPr>
        <w:t xml:space="preserve"> </w:t>
      </w:r>
      <w:r>
        <w:rPr>
          <w:sz w:val="20"/>
        </w:rPr>
        <w:t>and</w:t>
      </w:r>
      <w:r>
        <w:rPr>
          <w:spacing w:val="-3"/>
          <w:sz w:val="20"/>
        </w:rPr>
        <w:t xml:space="preserve"> </w:t>
      </w:r>
      <w:r>
        <w:rPr>
          <w:sz w:val="20"/>
        </w:rPr>
        <w:t xml:space="preserve">outreach across Boston and beyond, offers support services and resources, and conducts evidence-based interventions through its collaborative work in local neighborhoods as well as through its national and international public and professional education initiatives”), </w:t>
      </w:r>
      <w:r>
        <w:rPr>
          <w:i/>
          <w:sz w:val="20"/>
        </w:rPr>
        <w:t>available at</w:t>
      </w:r>
      <w:r>
        <w:rPr>
          <w:sz w:val="20"/>
        </w:rPr>
        <w:t xml:space="preserve">: </w:t>
      </w:r>
      <w:hyperlink r:id="rId327">
        <w:r>
          <w:rPr>
            <w:color w:val="486794"/>
            <w:spacing w:val="-2"/>
            <w:sz w:val="20"/>
            <w:u w:val="single" w:color="486794"/>
          </w:rPr>
          <w:t>https://dfci.widen.net/s/vnkspjpgqx/chna-report-approved-9.11.19.pdf</w:t>
        </w:r>
        <w:r>
          <w:rPr>
            <w:spacing w:val="-2"/>
            <w:sz w:val="20"/>
          </w:rPr>
          <w:t>.</w:t>
        </w:r>
      </w:hyperlink>
    </w:p>
  </w:footnote>
  <w:footnote w:id="261">
    <w:p w14:paraId="0A2F547E" w14:textId="465FCF84" w:rsidR="00CF7D04" w:rsidRDefault="00CF7D04" w:rsidP="00124190">
      <w:pPr>
        <w:pStyle w:val="FootnoteText"/>
        <w:ind w:left="960" w:right="940"/>
      </w:pPr>
      <w:r>
        <w:rPr>
          <w:rStyle w:val="FootnoteReference"/>
        </w:rPr>
        <w:footnoteRef/>
      </w:r>
      <w:r>
        <w:t xml:space="preserve"> In</w:t>
      </w:r>
      <w:r>
        <w:rPr>
          <w:spacing w:val="-3"/>
        </w:rPr>
        <w:t xml:space="preserve"> </w:t>
      </w:r>
      <w:r>
        <w:t>materials</w:t>
      </w:r>
      <w:r>
        <w:rPr>
          <w:spacing w:val="-2"/>
        </w:rPr>
        <w:t xml:space="preserve"> </w:t>
      </w:r>
      <w:r>
        <w:t>provided</w:t>
      </w:r>
      <w:r>
        <w:rPr>
          <w:spacing w:val="-2"/>
        </w:rPr>
        <w:t xml:space="preserve"> </w:t>
      </w:r>
      <w:r>
        <w:t>confidentially</w:t>
      </w:r>
      <w:r>
        <w:rPr>
          <w:spacing w:val="-4"/>
        </w:rPr>
        <w:t xml:space="preserve"> </w:t>
      </w:r>
      <w:r>
        <w:t>to</w:t>
      </w:r>
      <w:r>
        <w:rPr>
          <w:spacing w:val="-3"/>
        </w:rPr>
        <w:t xml:space="preserve"> </w:t>
      </w:r>
      <w:r>
        <w:t>the</w:t>
      </w:r>
      <w:r>
        <w:rPr>
          <w:spacing w:val="-4"/>
        </w:rPr>
        <w:t xml:space="preserve"> </w:t>
      </w:r>
      <w:r>
        <w:t>HPC,</w:t>
      </w:r>
      <w:r>
        <w:rPr>
          <w:spacing w:val="-2"/>
        </w:rPr>
        <w:t xml:space="preserve"> </w:t>
      </w:r>
      <w:r>
        <w:t>BIDMC</w:t>
      </w:r>
      <w:r>
        <w:rPr>
          <w:spacing w:val="-3"/>
        </w:rPr>
        <w:t xml:space="preserve"> </w:t>
      </w:r>
      <w:r>
        <w:t>described</w:t>
      </w:r>
      <w:r>
        <w:rPr>
          <w:spacing w:val="-2"/>
        </w:rPr>
        <w:t xml:space="preserve"> </w:t>
      </w:r>
      <w:r>
        <w:t>its</w:t>
      </w:r>
      <w:r>
        <w:rPr>
          <w:spacing w:val="-2"/>
        </w:rPr>
        <w:t xml:space="preserve"> </w:t>
      </w:r>
      <w:r>
        <w:t>efforts</w:t>
      </w:r>
      <w:r>
        <w:rPr>
          <w:spacing w:val="-2"/>
        </w:rPr>
        <w:t xml:space="preserve"> </w:t>
      </w:r>
      <w:r>
        <w:t>to</w:t>
      </w:r>
      <w:r>
        <w:rPr>
          <w:spacing w:val="-3"/>
        </w:rPr>
        <w:t xml:space="preserve"> </w:t>
      </w:r>
      <w:r>
        <w:t>expand</w:t>
      </w:r>
      <w:r>
        <w:rPr>
          <w:spacing w:val="-1"/>
        </w:rPr>
        <w:t xml:space="preserve"> </w:t>
      </w:r>
      <w:r>
        <w:t>access</w:t>
      </w:r>
      <w:r>
        <w:rPr>
          <w:spacing w:val="-2"/>
        </w:rPr>
        <w:t xml:space="preserve"> </w:t>
      </w:r>
      <w:r>
        <w:t>for MassHealth patients.</w:t>
      </w:r>
    </w:p>
  </w:footnote>
  <w:footnote w:id="262">
    <w:p w14:paraId="04827781" w14:textId="36D54DC9" w:rsidR="00CF7D04" w:rsidRDefault="00CF7D04" w:rsidP="00124190">
      <w:pPr>
        <w:pStyle w:val="FootnoteText"/>
        <w:ind w:left="960" w:right="940"/>
      </w:pPr>
      <w:r>
        <w:rPr>
          <w:rStyle w:val="FootnoteReference"/>
        </w:rPr>
        <w:footnoteRef/>
      </w:r>
      <w:r>
        <w:t xml:space="preserve"> </w:t>
      </w:r>
      <w:r w:rsidR="00D55048">
        <w:t>Materials</w:t>
      </w:r>
      <w:r w:rsidR="00D55048">
        <w:rPr>
          <w:spacing w:val="-1"/>
        </w:rPr>
        <w:t xml:space="preserve"> </w:t>
      </w:r>
      <w:r w:rsidR="00D55048">
        <w:t>provided</w:t>
      </w:r>
      <w:r w:rsidR="00D55048">
        <w:rPr>
          <w:spacing w:val="-2"/>
        </w:rPr>
        <w:t xml:space="preserve"> </w:t>
      </w:r>
      <w:r w:rsidR="00D55048">
        <w:t>confidentially</w:t>
      </w:r>
      <w:r w:rsidR="00D55048">
        <w:rPr>
          <w:spacing w:val="-3"/>
        </w:rPr>
        <w:t xml:space="preserve"> </w:t>
      </w:r>
      <w:r w:rsidR="00D55048">
        <w:t>to</w:t>
      </w:r>
      <w:r w:rsidR="00D55048">
        <w:rPr>
          <w:spacing w:val="-2"/>
        </w:rPr>
        <w:t xml:space="preserve"> </w:t>
      </w:r>
      <w:r w:rsidR="00D55048">
        <w:t>the</w:t>
      </w:r>
      <w:r w:rsidR="00D55048">
        <w:rPr>
          <w:spacing w:val="-3"/>
        </w:rPr>
        <w:t xml:space="preserve"> </w:t>
      </w:r>
      <w:r w:rsidR="00D55048">
        <w:t>HPC</w:t>
      </w:r>
      <w:r w:rsidR="00D55048">
        <w:rPr>
          <w:spacing w:val="-2"/>
        </w:rPr>
        <w:t xml:space="preserve"> </w:t>
      </w:r>
      <w:r w:rsidR="00D55048">
        <w:t>noted</w:t>
      </w:r>
      <w:r w:rsidR="00D55048">
        <w:rPr>
          <w:spacing w:val="-1"/>
        </w:rPr>
        <w:t xml:space="preserve"> </w:t>
      </w:r>
      <w:r w:rsidR="00D55048">
        <w:t>the</w:t>
      </w:r>
      <w:r w:rsidR="00D55048">
        <w:rPr>
          <w:spacing w:val="-3"/>
        </w:rPr>
        <w:t xml:space="preserve"> </w:t>
      </w:r>
      <w:r w:rsidR="00D55048">
        <w:t>parties’</w:t>
      </w:r>
      <w:r w:rsidR="00D55048">
        <w:rPr>
          <w:spacing w:val="-1"/>
        </w:rPr>
        <w:t xml:space="preserve"> </w:t>
      </w:r>
      <w:r w:rsidR="00D55048">
        <w:t>shared</w:t>
      </w:r>
      <w:r w:rsidR="00D55048">
        <w:rPr>
          <w:spacing w:val="-2"/>
        </w:rPr>
        <w:t xml:space="preserve"> </w:t>
      </w:r>
      <w:r w:rsidR="00D55048">
        <w:t>commitment</w:t>
      </w:r>
      <w:r w:rsidR="00D55048">
        <w:rPr>
          <w:spacing w:val="-1"/>
        </w:rPr>
        <w:t xml:space="preserve"> </w:t>
      </w:r>
      <w:r w:rsidR="00D55048">
        <w:t>to</w:t>
      </w:r>
      <w:r w:rsidR="00D55048">
        <w:rPr>
          <w:spacing w:val="-5"/>
        </w:rPr>
        <w:t xml:space="preserve"> </w:t>
      </w:r>
      <w:r w:rsidR="00D55048">
        <w:t>sustain</w:t>
      </w:r>
      <w:r w:rsidR="00D55048">
        <w:rPr>
          <w:spacing w:val="-2"/>
        </w:rPr>
        <w:t xml:space="preserve"> </w:t>
      </w:r>
      <w:r w:rsidR="00D55048">
        <w:t>access</w:t>
      </w:r>
      <w:r w:rsidR="00D55048">
        <w:rPr>
          <w:spacing w:val="-3"/>
        </w:rPr>
        <w:t xml:space="preserve"> </w:t>
      </w:r>
      <w:r w:rsidR="00D55048">
        <w:t>to and affordability of oncology services for their respective patients. Further, the parties state that they are “committed to expanding access to and affordability of cancer care for all patients, but particularly MassHealth enrollees, by improving access to cancer screening and navigation services and exploring financial</w:t>
      </w:r>
      <w:r w:rsidR="00D55048">
        <w:rPr>
          <w:spacing w:val="-4"/>
        </w:rPr>
        <w:t xml:space="preserve"> </w:t>
      </w:r>
      <w:r w:rsidR="00D55048">
        <w:t>assistance</w:t>
      </w:r>
      <w:r w:rsidR="00D55048">
        <w:rPr>
          <w:spacing w:val="-5"/>
        </w:rPr>
        <w:t xml:space="preserve"> </w:t>
      </w:r>
      <w:r w:rsidR="00D55048">
        <w:t>policy</w:t>
      </w:r>
      <w:r w:rsidR="00D55048">
        <w:rPr>
          <w:spacing w:val="-5"/>
        </w:rPr>
        <w:t xml:space="preserve"> </w:t>
      </w:r>
      <w:r w:rsidR="00D55048">
        <w:t>alignment</w:t>
      </w:r>
      <w:r w:rsidR="00D55048">
        <w:rPr>
          <w:spacing w:val="-3"/>
        </w:rPr>
        <w:t xml:space="preserve"> </w:t>
      </w:r>
      <w:r w:rsidR="00D55048">
        <w:t>and</w:t>
      </w:r>
      <w:r w:rsidR="00D55048">
        <w:rPr>
          <w:spacing w:val="-3"/>
        </w:rPr>
        <w:t xml:space="preserve"> </w:t>
      </w:r>
      <w:r w:rsidR="00D55048">
        <w:t>other</w:t>
      </w:r>
      <w:r w:rsidR="00D55048">
        <w:rPr>
          <w:spacing w:val="-5"/>
        </w:rPr>
        <w:t xml:space="preserve"> </w:t>
      </w:r>
      <w:r w:rsidR="00D55048">
        <w:t>opportunities</w:t>
      </w:r>
      <w:r w:rsidR="00D55048">
        <w:rPr>
          <w:spacing w:val="-3"/>
        </w:rPr>
        <w:t xml:space="preserve"> </w:t>
      </w:r>
      <w:r w:rsidR="00D55048">
        <w:t>to</w:t>
      </w:r>
      <w:r w:rsidR="00D55048">
        <w:rPr>
          <w:spacing w:val="-4"/>
        </w:rPr>
        <w:t xml:space="preserve"> </w:t>
      </w:r>
      <w:r w:rsidR="00D55048">
        <w:t>reduce</w:t>
      </w:r>
      <w:r w:rsidR="00D55048">
        <w:rPr>
          <w:spacing w:val="-5"/>
        </w:rPr>
        <w:t xml:space="preserve"> </w:t>
      </w:r>
      <w:r w:rsidR="00D55048">
        <w:t>patients’</w:t>
      </w:r>
      <w:r w:rsidR="00D55048">
        <w:rPr>
          <w:spacing w:val="-3"/>
        </w:rPr>
        <w:t xml:space="preserve"> </w:t>
      </w:r>
      <w:r w:rsidR="00D55048">
        <w:t>financial</w:t>
      </w:r>
      <w:r w:rsidR="00D55048">
        <w:rPr>
          <w:spacing w:val="-4"/>
        </w:rPr>
        <w:t xml:space="preserve"> </w:t>
      </w:r>
      <w:r w:rsidR="00D55048">
        <w:t>barriers</w:t>
      </w:r>
      <w:r w:rsidR="00D55048">
        <w:rPr>
          <w:spacing w:val="-3"/>
        </w:rPr>
        <w:t xml:space="preserve"> </w:t>
      </w:r>
      <w:r w:rsidR="00D55048">
        <w:t>to</w:t>
      </w:r>
      <w:r w:rsidR="00D55048">
        <w:rPr>
          <w:spacing w:val="-4"/>
        </w:rPr>
        <w:t xml:space="preserve"> </w:t>
      </w:r>
      <w:r w:rsidR="00D55048">
        <w:t>care.”</w:t>
      </w:r>
    </w:p>
  </w:footnote>
  <w:footnote w:id="263">
    <w:p w14:paraId="56860D7C" w14:textId="1EFF4191" w:rsidR="00D55048" w:rsidRDefault="00D55048" w:rsidP="00124190">
      <w:pPr>
        <w:pStyle w:val="FootnoteText"/>
        <w:ind w:left="960" w:right="940"/>
      </w:pPr>
      <w:r>
        <w:rPr>
          <w:rStyle w:val="FootnoteReference"/>
        </w:rPr>
        <w:footnoteRef/>
      </w:r>
      <w:r>
        <w:t xml:space="preserve"> Materials provided confidentially to the HPC include information on three access and equity priorities guiding the parties’ planning.</w:t>
      </w:r>
    </w:p>
  </w:footnote>
  <w:footnote w:id="264">
    <w:p w14:paraId="513FDCFE" w14:textId="0917F3AE" w:rsidR="00D55048" w:rsidRDefault="00D55048" w:rsidP="00124190">
      <w:pPr>
        <w:pStyle w:val="FootnoteText"/>
        <w:ind w:left="960" w:right="940"/>
      </w:pPr>
      <w:r>
        <w:rPr>
          <w:rStyle w:val="FootnoteReference"/>
        </w:rPr>
        <w:footnoteRef/>
      </w:r>
      <w:r>
        <w:t xml:space="preserve"> Materials</w:t>
      </w:r>
      <w:r>
        <w:rPr>
          <w:spacing w:val="-2"/>
        </w:rPr>
        <w:t xml:space="preserve"> </w:t>
      </w:r>
      <w:r>
        <w:t>provided</w:t>
      </w:r>
      <w:r>
        <w:rPr>
          <w:spacing w:val="-2"/>
        </w:rPr>
        <w:t xml:space="preserve"> </w:t>
      </w:r>
      <w:r>
        <w:t>confidentially</w:t>
      </w:r>
      <w:r>
        <w:rPr>
          <w:spacing w:val="-4"/>
        </w:rPr>
        <w:t xml:space="preserve"> </w:t>
      </w:r>
      <w:r>
        <w:t>to</w:t>
      </w:r>
      <w:r>
        <w:rPr>
          <w:spacing w:val="-3"/>
        </w:rPr>
        <w:t xml:space="preserve"> </w:t>
      </w:r>
      <w:r>
        <w:t>the</w:t>
      </w:r>
      <w:r>
        <w:rPr>
          <w:spacing w:val="-4"/>
        </w:rPr>
        <w:t xml:space="preserve"> </w:t>
      </w:r>
      <w:r>
        <w:t>HPC</w:t>
      </w:r>
      <w:r>
        <w:rPr>
          <w:spacing w:val="-3"/>
        </w:rPr>
        <w:t xml:space="preserve"> </w:t>
      </w:r>
      <w:r>
        <w:t>included</w:t>
      </w:r>
      <w:r>
        <w:rPr>
          <w:spacing w:val="-2"/>
        </w:rPr>
        <w:t xml:space="preserve"> </w:t>
      </w:r>
      <w:r>
        <w:t>information</w:t>
      </w:r>
      <w:r>
        <w:rPr>
          <w:spacing w:val="-3"/>
        </w:rPr>
        <w:t xml:space="preserve"> </w:t>
      </w:r>
      <w:r>
        <w:t>on</w:t>
      </w:r>
      <w:r>
        <w:rPr>
          <w:spacing w:val="-3"/>
        </w:rPr>
        <w:t xml:space="preserve"> </w:t>
      </w:r>
      <w:r>
        <w:t>the</w:t>
      </w:r>
      <w:r>
        <w:rPr>
          <w:spacing w:val="-4"/>
        </w:rPr>
        <w:t xml:space="preserve"> </w:t>
      </w:r>
      <w:r>
        <w:t>parties’</w:t>
      </w:r>
      <w:r>
        <w:rPr>
          <w:spacing w:val="-2"/>
        </w:rPr>
        <w:t xml:space="preserve"> </w:t>
      </w:r>
      <w:r>
        <w:t>joint</w:t>
      </w:r>
      <w:r>
        <w:rPr>
          <w:spacing w:val="-1"/>
        </w:rPr>
        <w:t xml:space="preserve"> </w:t>
      </w:r>
      <w:r>
        <w:t>transaction planning, containing their shorter- and longer-term clinical access and equity focus areas.</w:t>
      </w:r>
    </w:p>
  </w:footnote>
  <w:footnote w:id="265">
    <w:p w14:paraId="740A755D" w14:textId="72B13C0A" w:rsidR="00124190" w:rsidRDefault="00124190" w:rsidP="00124190">
      <w:pPr>
        <w:pStyle w:val="FootnoteText"/>
        <w:ind w:left="960" w:right="940"/>
      </w:pPr>
      <w:r>
        <w:rPr>
          <w:rStyle w:val="FootnoteReference"/>
        </w:rPr>
        <w:footnoteRef/>
      </w:r>
      <w:r>
        <w:t xml:space="preserve"> Materials</w:t>
      </w:r>
      <w:r>
        <w:rPr>
          <w:spacing w:val="-2"/>
        </w:rPr>
        <w:t xml:space="preserve"> </w:t>
      </w:r>
      <w:r>
        <w:t>provided</w:t>
      </w:r>
      <w:r>
        <w:rPr>
          <w:spacing w:val="-2"/>
        </w:rPr>
        <w:t xml:space="preserve"> </w:t>
      </w:r>
      <w:r>
        <w:t>confidentially</w:t>
      </w:r>
      <w:r>
        <w:rPr>
          <w:spacing w:val="-4"/>
        </w:rPr>
        <w:t xml:space="preserve"> </w:t>
      </w:r>
      <w:r>
        <w:t>to</w:t>
      </w:r>
      <w:r>
        <w:rPr>
          <w:spacing w:val="-3"/>
        </w:rPr>
        <w:t xml:space="preserve"> </w:t>
      </w:r>
      <w:r>
        <w:t>the</w:t>
      </w:r>
      <w:r>
        <w:rPr>
          <w:spacing w:val="-4"/>
        </w:rPr>
        <w:t xml:space="preserve"> </w:t>
      </w:r>
      <w:r>
        <w:t>HPC</w:t>
      </w:r>
      <w:r>
        <w:rPr>
          <w:spacing w:val="-3"/>
        </w:rPr>
        <w:t xml:space="preserve"> </w:t>
      </w:r>
      <w:r>
        <w:t>detailed</w:t>
      </w:r>
      <w:r>
        <w:rPr>
          <w:spacing w:val="-2"/>
        </w:rPr>
        <w:t xml:space="preserve"> </w:t>
      </w:r>
      <w:r>
        <w:t>the</w:t>
      </w:r>
      <w:r>
        <w:rPr>
          <w:spacing w:val="-1"/>
        </w:rPr>
        <w:t xml:space="preserve"> </w:t>
      </w:r>
      <w:r>
        <w:t>parties’</w:t>
      </w:r>
      <w:r>
        <w:rPr>
          <w:spacing w:val="-2"/>
        </w:rPr>
        <w:t xml:space="preserve"> </w:t>
      </w:r>
      <w:r>
        <w:t>progress</w:t>
      </w:r>
      <w:r>
        <w:rPr>
          <w:spacing w:val="-2"/>
        </w:rPr>
        <w:t xml:space="preserve"> </w:t>
      </w:r>
      <w:r>
        <w:t>on</w:t>
      </w:r>
      <w:r>
        <w:rPr>
          <w:spacing w:val="-3"/>
        </w:rPr>
        <w:t xml:space="preserve"> </w:t>
      </w:r>
      <w:r>
        <w:t>their</w:t>
      </w:r>
      <w:r>
        <w:rPr>
          <w:spacing w:val="-4"/>
        </w:rPr>
        <w:t xml:space="preserve"> </w:t>
      </w:r>
      <w:r>
        <w:t>efforts</w:t>
      </w:r>
      <w:r>
        <w:rPr>
          <w:spacing w:val="-2"/>
        </w:rPr>
        <w:t xml:space="preserve"> </w:t>
      </w:r>
      <w:r>
        <w:t>regarding</w:t>
      </w:r>
      <w:r>
        <w:rPr>
          <w:spacing w:val="-3"/>
        </w:rPr>
        <w:t xml:space="preserve"> </w:t>
      </w:r>
      <w:r>
        <w:t>the joint access and equity initiatives.</w:t>
      </w:r>
    </w:p>
  </w:footnote>
  <w:footnote w:id="266">
    <w:p w14:paraId="71D1AA9E" w14:textId="60751501" w:rsidR="00A264CB" w:rsidRDefault="00A264CB" w:rsidP="009C2995">
      <w:pPr>
        <w:pStyle w:val="FootnoteText"/>
        <w:ind w:left="900" w:right="940"/>
      </w:pPr>
      <w:r>
        <w:rPr>
          <w:rStyle w:val="FootnoteReference"/>
        </w:rPr>
        <w:footnoteRef/>
      </w:r>
      <w:r>
        <w:t xml:space="preserve"> DFCI</w:t>
      </w:r>
      <w:r>
        <w:rPr>
          <w:spacing w:val="-13"/>
        </w:rPr>
        <w:t xml:space="preserve"> </w:t>
      </w:r>
      <w:r>
        <w:t>S</w:t>
      </w:r>
      <w:r>
        <w:rPr>
          <w:sz w:val="16"/>
        </w:rPr>
        <w:t>TAFF</w:t>
      </w:r>
      <w:r>
        <w:rPr>
          <w:spacing w:val="-4"/>
          <w:sz w:val="16"/>
        </w:rPr>
        <w:t xml:space="preserve"> </w:t>
      </w:r>
      <w:r>
        <w:t>R</w:t>
      </w:r>
      <w:r>
        <w:rPr>
          <w:sz w:val="16"/>
        </w:rPr>
        <w:t>EPORT</w:t>
      </w:r>
      <w:r>
        <w:t>,</w:t>
      </w:r>
      <w:r>
        <w:rPr>
          <w:spacing w:val="-4"/>
        </w:rPr>
        <w:t xml:space="preserve"> </w:t>
      </w:r>
      <w:r>
        <w:rPr>
          <w:i/>
        </w:rPr>
        <w:t>supra</w:t>
      </w:r>
      <w:r>
        <w:rPr>
          <w:i/>
          <w:spacing w:val="-6"/>
        </w:rPr>
        <w:t xml:space="preserve"> </w:t>
      </w:r>
      <w:r>
        <w:t>note</w:t>
      </w:r>
      <w:r>
        <w:rPr>
          <w:spacing w:val="-5"/>
        </w:rPr>
        <w:t xml:space="preserve"> </w:t>
      </w:r>
      <w:hyperlink w:anchor="_bookmark15" w:history="1">
        <w:r>
          <w:t>15,</w:t>
        </w:r>
      </w:hyperlink>
      <w:r>
        <w:rPr>
          <w:spacing w:val="-4"/>
        </w:rPr>
        <w:t xml:space="preserve"> </w:t>
      </w:r>
      <w:r>
        <w:t>at</w:t>
      </w:r>
      <w:r>
        <w:rPr>
          <w:spacing w:val="-4"/>
        </w:rPr>
        <w:t xml:space="preserve"> </w:t>
      </w:r>
      <w:r>
        <w:t>84</w:t>
      </w:r>
      <w:r>
        <w:rPr>
          <w:spacing w:val="-4"/>
        </w:rPr>
        <w:t xml:space="preserve"> </w:t>
      </w:r>
      <w:r>
        <w:t>and</w:t>
      </w:r>
      <w:r>
        <w:rPr>
          <w:spacing w:val="-4"/>
        </w:rPr>
        <w:t xml:space="preserve"> </w:t>
      </w:r>
      <w:r>
        <w:t>Appendix</w:t>
      </w:r>
      <w:r>
        <w:rPr>
          <w:spacing w:val="-6"/>
        </w:rPr>
        <w:t xml:space="preserve"> </w:t>
      </w:r>
      <w:r>
        <w:rPr>
          <w:spacing w:val="-5"/>
        </w:rPr>
        <w:t>I.</w:t>
      </w:r>
    </w:p>
  </w:footnote>
  <w:footnote w:id="267">
    <w:p w14:paraId="75BD7E09" w14:textId="475CC1FB" w:rsidR="009C2995" w:rsidRDefault="009C2995" w:rsidP="009C2995">
      <w:pPr>
        <w:spacing w:before="2" w:line="226" w:lineRule="exact"/>
        <w:ind w:left="900" w:right="940"/>
        <w:rPr>
          <w:sz w:val="20"/>
        </w:rPr>
      </w:pPr>
      <w:r>
        <w:rPr>
          <w:rStyle w:val="FootnoteReference"/>
        </w:rPr>
        <w:footnoteRef/>
      </w:r>
      <w:r>
        <w:t xml:space="preserve"> </w:t>
      </w:r>
      <w:hyperlink r:id="rId328" w:history="1">
        <w:r w:rsidRPr="006924A9">
          <w:rPr>
            <w:rStyle w:val="Hyperlink"/>
            <w:color w:val="000000" w:themeColor="text1"/>
            <w:sz w:val="20"/>
            <w:u w:val="none"/>
          </w:rPr>
          <w:t>T</w:t>
        </w:r>
        <w:r w:rsidRPr="006924A9">
          <w:rPr>
            <w:rStyle w:val="Hyperlink"/>
            <w:color w:val="000000" w:themeColor="text1"/>
            <w:sz w:val="16"/>
            <w:u w:val="none"/>
          </w:rPr>
          <w:t>HE</w:t>
        </w:r>
        <w:r w:rsidRPr="006924A9">
          <w:rPr>
            <w:rStyle w:val="Hyperlink"/>
            <w:color w:val="000000" w:themeColor="text1"/>
            <w:spacing w:val="-4"/>
            <w:sz w:val="16"/>
            <w:u w:val="none"/>
          </w:rPr>
          <w:t xml:space="preserve"> </w:t>
        </w:r>
        <w:r w:rsidRPr="006924A9">
          <w:rPr>
            <w:rStyle w:val="Hyperlink"/>
            <w:color w:val="000000" w:themeColor="text1"/>
            <w:sz w:val="20"/>
            <w:u w:val="none"/>
          </w:rPr>
          <w:t>C</w:t>
        </w:r>
        <w:r w:rsidRPr="006924A9">
          <w:rPr>
            <w:rStyle w:val="Hyperlink"/>
            <w:color w:val="000000" w:themeColor="text1"/>
            <w:sz w:val="16"/>
            <w:u w:val="none"/>
          </w:rPr>
          <w:t>OMMONWEALTH</w:t>
        </w:r>
        <w:r w:rsidRPr="006924A9">
          <w:rPr>
            <w:rStyle w:val="Hyperlink"/>
            <w:color w:val="000000" w:themeColor="text1"/>
            <w:spacing w:val="-5"/>
            <w:sz w:val="16"/>
            <w:u w:val="none"/>
          </w:rPr>
          <w:t xml:space="preserve"> </w:t>
        </w:r>
        <w:r w:rsidRPr="006924A9">
          <w:rPr>
            <w:rStyle w:val="Hyperlink"/>
            <w:color w:val="000000" w:themeColor="text1"/>
            <w:sz w:val="20"/>
            <w:u w:val="none"/>
          </w:rPr>
          <w:t>F</w:t>
        </w:r>
        <w:r w:rsidRPr="006924A9">
          <w:rPr>
            <w:rStyle w:val="Hyperlink"/>
            <w:color w:val="000000" w:themeColor="text1"/>
            <w:sz w:val="16"/>
            <w:u w:val="none"/>
          </w:rPr>
          <w:t>UND</w:t>
        </w:r>
        <w:r w:rsidRPr="006924A9">
          <w:rPr>
            <w:rStyle w:val="Hyperlink"/>
            <w:color w:val="000000" w:themeColor="text1"/>
            <w:sz w:val="20"/>
            <w:u w:val="none"/>
          </w:rPr>
          <w:t>,</w:t>
        </w:r>
        <w:r w:rsidRPr="006924A9">
          <w:rPr>
            <w:rStyle w:val="Hyperlink"/>
            <w:color w:val="000000" w:themeColor="text1"/>
            <w:spacing w:val="-5"/>
            <w:sz w:val="20"/>
            <w:u w:val="none"/>
          </w:rPr>
          <w:t xml:space="preserve"> </w:t>
        </w:r>
        <w:r w:rsidRPr="006924A9">
          <w:rPr>
            <w:rStyle w:val="Hyperlink"/>
            <w:color w:val="000000" w:themeColor="text1"/>
            <w:sz w:val="20"/>
            <w:u w:val="none"/>
          </w:rPr>
          <w:t>S</w:t>
        </w:r>
        <w:r w:rsidRPr="006924A9">
          <w:rPr>
            <w:rStyle w:val="Hyperlink"/>
            <w:color w:val="000000" w:themeColor="text1"/>
            <w:sz w:val="16"/>
            <w:u w:val="none"/>
          </w:rPr>
          <w:t>TATE</w:t>
        </w:r>
        <w:r w:rsidRPr="006924A9">
          <w:rPr>
            <w:rStyle w:val="Hyperlink"/>
            <w:color w:val="000000" w:themeColor="text1"/>
            <w:spacing w:val="-4"/>
            <w:sz w:val="16"/>
            <w:u w:val="none"/>
          </w:rPr>
          <w:t xml:space="preserve"> </w:t>
        </w:r>
        <w:r w:rsidRPr="006924A9">
          <w:rPr>
            <w:rStyle w:val="Hyperlink"/>
            <w:color w:val="000000" w:themeColor="text1"/>
            <w:sz w:val="20"/>
            <w:u w:val="none"/>
          </w:rPr>
          <w:t>P</w:t>
        </w:r>
        <w:r w:rsidRPr="006924A9">
          <w:rPr>
            <w:rStyle w:val="Hyperlink"/>
            <w:color w:val="000000" w:themeColor="text1"/>
            <w:sz w:val="16"/>
            <w:u w:val="none"/>
          </w:rPr>
          <w:t>ROTECTIONS</w:t>
        </w:r>
        <w:r w:rsidRPr="006924A9">
          <w:rPr>
            <w:rStyle w:val="Hyperlink"/>
            <w:color w:val="000000" w:themeColor="text1"/>
            <w:spacing w:val="-5"/>
            <w:sz w:val="16"/>
            <w:u w:val="none"/>
          </w:rPr>
          <w:t xml:space="preserve"> </w:t>
        </w:r>
        <w:r w:rsidRPr="006924A9">
          <w:rPr>
            <w:rStyle w:val="Hyperlink"/>
            <w:color w:val="000000" w:themeColor="text1"/>
            <w:sz w:val="20"/>
            <w:u w:val="none"/>
          </w:rPr>
          <w:t>A</w:t>
        </w:r>
        <w:r w:rsidRPr="006924A9">
          <w:rPr>
            <w:rStyle w:val="Hyperlink"/>
            <w:color w:val="000000" w:themeColor="text1"/>
            <w:sz w:val="16"/>
            <w:u w:val="none"/>
          </w:rPr>
          <w:t>GAINST</w:t>
        </w:r>
        <w:r w:rsidRPr="006924A9">
          <w:rPr>
            <w:rStyle w:val="Hyperlink"/>
            <w:color w:val="000000" w:themeColor="text1"/>
            <w:spacing w:val="-3"/>
            <w:sz w:val="16"/>
            <w:u w:val="none"/>
          </w:rPr>
          <w:t xml:space="preserve"> </w:t>
        </w:r>
        <w:r w:rsidRPr="006924A9">
          <w:rPr>
            <w:rStyle w:val="Hyperlink"/>
            <w:color w:val="000000" w:themeColor="text1"/>
            <w:sz w:val="20"/>
            <w:u w:val="none"/>
          </w:rPr>
          <w:t>M</w:t>
        </w:r>
        <w:r w:rsidRPr="006924A9">
          <w:rPr>
            <w:rStyle w:val="Hyperlink"/>
            <w:color w:val="000000" w:themeColor="text1"/>
            <w:sz w:val="16"/>
            <w:u w:val="none"/>
          </w:rPr>
          <w:t>EDICAL</w:t>
        </w:r>
        <w:r w:rsidRPr="006924A9">
          <w:rPr>
            <w:rStyle w:val="Hyperlink"/>
            <w:color w:val="000000" w:themeColor="text1"/>
            <w:spacing w:val="-4"/>
            <w:sz w:val="16"/>
            <w:u w:val="none"/>
          </w:rPr>
          <w:t xml:space="preserve"> </w:t>
        </w:r>
        <w:r w:rsidRPr="006924A9">
          <w:rPr>
            <w:rStyle w:val="Hyperlink"/>
            <w:color w:val="000000" w:themeColor="text1"/>
            <w:sz w:val="20"/>
            <w:u w:val="none"/>
          </w:rPr>
          <w:t>D</w:t>
        </w:r>
        <w:r w:rsidRPr="006924A9">
          <w:rPr>
            <w:rStyle w:val="Hyperlink"/>
            <w:color w:val="000000" w:themeColor="text1"/>
            <w:sz w:val="16"/>
            <w:u w:val="none"/>
          </w:rPr>
          <w:t>EBT</w:t>
        </w:r>
        <w:r w:rsidRPr="006924A9">
          <w:rPr>
            <w:rStyle w:val="Hyperlink"/>
            <w:color w:val="000000" w:themeColor="text1"/>
            <w:sz w:val="20"/>
            <w:u w:val="none"/>
          </w:rPr>
          <w:t>:</w:t>
        </w:r>
        <w:r w:rsidRPr="006924A9">
          <w:rPr>
            <w:rStyle w:val="Hyperlink"/>
            <w:color w:val="000000" w:themeColor="text1"/>
            <w:spacing w:val="-13"/>
            <w:sz w:val="20"/>
            <w:u w:val="none"/>
          </w:rPr>
          <w:t xml:space="preserve"> </w:t>
        </w:r>
        <w:r w:rsidRPr="006924A9">
          <w:rPr>
            <w:rStyle w:val="Hyperlink"/>
            <w:color w:val="000000" w:themeColor="text1"/>
            <w:sz w:val="20"/>
            <w:u w:val="none"/>
          </w:rPr>
          <w:t>A</w:t>
        </w:r>
        <w:r w:rsidRPr="006924A9">
          <w:rPr>
            <w:rStyle w:val="Hyperlink"/>
            <w:color w:val="000000" w:themeColor="text1"/>
            <w:spacing w:val="-12"/>
            <w:sz w:val="20"/>
            <w:u w:val="none"/>
          </w:rPr>
          <w:t xml:space="preserve"> </w:t>
        </w:r>
        <w:r w:rsidRPr="006924A9">
          <w:rPr>
            <w:rStyle w:val="Hyperlink"/>
            <w:color w:val="000000" w:themeColor="text1"/>
            <w:sz w:val="20"/>
            <w:u w:val="none"/>
          </w:rPr>
          <w:t>L</w:t>
        </w:r>
        <w:r w:rsidRPr="006924A9">
          <w:rPr>
            <w:rStyle w:val="Hyperlink"/>
            <w:color w:val="000000" w:themeColor="text1"/>
            <w:sz w:val="16"/>
            <w:u w:val="none"/>
          </w:rPr>
          <w:t>OOK</w:t>
        </w:r>
        <w:r w:rsidRPr="006924A9">
          <w:rPr>
            <w:rStyle w:val="Hyperlink"/>
            <w:color w:val="000000" w:themeColor="text1"/>
            <w:spacing w:val="-7"/>
            <w:sz w:val="16"/>
            <w:u w:val="none"/>
          </w:rPr>
          <w:t xml:space="preserve"> </w:t>
        </w:r>
        <w:r w:rsidRPr="006924A9">
          <w:rPr>
            <w:rStyle w:val="Hyperlink"/>
            <w:color w:val="000000" w:themeColor="text1"/>
            <w:sz w:val="16"/>
            <w:u w:val="none"/>
          </w:rPr>
          <w:t>AT</w:t>
        </w:r>
        <w:r w:rsidRPr="006924A9">
          <w:rPr>
            <w:rStyle w:val="Hyperlink"/>
            <w:color w:val="000000" w:themeColor="text1"/>
            <w:spacing w:val="-6"/>
            <w:sz w:val="16"/>
            <w:u w:val="none"/>
          </w:rPr>
          <w:t xml:space="preserve"> </w:t>
        </w:r>
        <w:r w:rsidRPr="006924A9">
          <w:rPr>
            <w:rStyle w:val="Hyperlink"/>
            <w:color w:val="000000" w:themeColor="text1"/>
            <w:sz w:val="20"/>
            <w:u w:val="none"/>
          </w:rPr>
          <w:t>P</w:t>
        </w:r>
        <w:r w:rsidRPr="006924A9">
          <w:rPr>
            <w:rStyle w:val="Hyperlink"/>
            <w:color w:val="000000" w:themeColor="text1"/>
            <w:sz w:val="16"/>
            <w:u w:val="none"/>
          </w:rPr>
          <w:t>OLICIES</w:t>
        </w:r>
        <w:r w:rsidRPr="006924A9">
          <w:rPr>
            <w:rStyle w:val="Hyperlink"/>
            <w:color w:val="000000" w:themeColor="text1"/>
            <w:spacing w:val="-4"/>
            <w:sz w:val="16"/>
            <w:u w:val="none"/>
          </w:rPr>
          <w:t xml:space="preserve"> </w:t>
        </w:r>
        <w:r w:rsidRPr="006924A9">
          <w:rPr>
            <w:rStyle w:val="Hyperlink"/>
            <w:color w:val="000000" w:themeColor="text1"/>
            <w:sz w:val="20"/>
            <w:u w:val="none"/>
          </w:rPr>
          <w:t>A</w:t>
        </w:r>
        <w:r w:rsidRPr="006924A9">
          <w:rPr>
            <w:rStyle w:val="Hyperlink"/>
            <w:color w:val="000000" w:themeColor="text1"/>
            <w:sz w:val="16"/>
            <w:u w:val="none"/>
          </w:rPr>
          <w:t>CROSS</w:t>
        </w:r>
        <w:r w:rsidRPr="006924A9">
          <w:rPr>
            <w:rStyle w:val="Hyperlink"/>
            <w:color w:val="000000" w:themeColor="text1"/>
            <w:spacing w:val="-5"/>
            <w:sz w:val="16"/>
            <w:u w:val="none"/>
          </w:rPr>
          <w:t xml:space="preserve"> </w:t>
        </w:r>
        <w:r w:rsidRPr="006924A9">
          <w:rPr>
            <w:rStyle w:val="Hyperlink"/>
            <w:color w:val="000000" w:themeColor="text1"/>
            <w:sz w:val="16"/>
            <w:u w:val="none"/>
          </w:rPr>
          <w:t>THE</w:t>
        </w:r>
        <w:r w:rsidRPr="006924A9">
          <w:rPr>
            <w:rStyle w:val="Hyperlink"/>
            <w:color w:val="000000" w:themeColor="text1"/>
            <w:spacing w:val="-4"/>
            <w:sz w:val="16"/>
            <w:u w:val="none"/>
          </w:rPr>
          <w:t xml:space="preserve"> </w:t>
        </w:r>
        <w:proofErr w:type="gramStart"/>
        <w:r w:rsidRPr="006924A9">
          <w:rPr>
            <w:rStyle w:val="Hyperlink"/>
            <w:color w:val="000000" w:themeColor="text1"/>
            <w:sz w:val="20"/>
            <w:u w:val="none"/>
          </w:rPr>
          <w:t>U.S</w:t>
        </w:r>
        <w:proofErr w:type="gramEnd"/>
      </w:hyperlink>
      <w:r w:rsidRPr="006924A9">
        <w:rPr>
          <w:color w:val="000000" w:themeColor="text1"/>
          <w:spacing w:val="-7"/>
          <w:sz w:val="20"/>
        </w:rPr>
        <w:t xml:space="preserve"> </w:t>
      </w:r>
      <w:r w:rsidRPr="006924A9">
        <w:rPr>
          <w:color w:val="000000" w:themeColor="text1"/>
          <w:spacing w:val="-2"/>
          <w:sz w:val="20"/>
        </w:rPr>
        <w:t>(Sept</w:t>
      </w:r>
      <w:r>
        <w:rPr>
          <w:spacing w:val="-2"/>
          <w:sz w:val="20"/>
        </w:rPr>
        <w:t>.</w:t>
      </w:r>
    </w:p>
    <w:p w14:paraId="46A802AB" w14:textId="1B57E5BF" w:rsidR="009C2995" w:rsidRPr="009C2995" w:rsidRDefault="009C2995" w:rsidP="009C2995">
      <w:pPr>
        <w:ind w:left="900" w:right="940"/>
        <w:rPr>
          <w:sz w:val="20"/>
        </w:rPr>
      </w:pPr>
      <w:r>
        <w:rPr>
          <w:sz w:val="20"/>
        </w:rPr>
        <w:t>2023),</w:t>
      </w:r>
      <w:r>
        <w:rPr>
          <w:spacing w:val="-13"/>
          <w:sz w:val="20"/>
        </w:rPr>
        <w:t xml:space="preserve"> </w:t>
      </w:r>
      <w:r>
        <w:rPr>
          <w:i/>
          <w:sz w:val="20"/>
        </w:rPr>
        <w:t>available</w:t>
      </w:r>
      <w:r>
        <w:rPr>
          <w:i/>
          <w:spacing w:val="-12"/>
          <w:sz w:val="20"/>
        </w:rPr>
        <w:t xml:space="preserve"> </w:t>
      </w:r>
      <w:r>
        <w:rPr>
          <w:i/>
          <w:sz w:val="20"/>
        </w:rPr>
        <w:t>at</w:t>
      </w:r>
      <w:r>
        <w:rPr>
          <w:i/>
          <w:spacing w:val="-13"/>
          <w:sz w:val="20"/>
        </w:rPr>
        <w:t xml:space="preserve"> </w:t>
      </w:r>
      <w:hyperlink r:id="rId329">
        <w:r>
          <w:rPr>
            <w:color w:val="486794"/>
            <w:sz w:val="20"/>
            <w:u w:val="single" w:color="486794"/>
          </w:rPr>
          <w:t>https://www.commonwealthfund.org/publications/fund-reports/2023/sep/state-</w:t>
        </w:r>
      </w:hyperlink>
      <w:r>
        <w:rPr>
          <w:color w:val="486794"/>
          <w:sz w:val="20"/>
        </w:rPr>
        <w:t xml:space="preserve"> </w:t>
      </w:r>
      <w:hyperlink r:id="rId330">
        <w:r>
          <w:rPr>
            <w:color w:val="486794"/>
            <w:spacing w:val="-2"/>
            <w:sz w:val="20"/>
            <w:u w:val="single" w:color="486794"/>
          </w:rPr>
          <w:t>protections-medical-debt-policies-across-us</w:t>
        </w:r>
        <w:r>
          <w:rPr>
            <w:spacing w:val="-2"/>
            <w:sz w:val="20"/>
          </w:rPr>
          <w:t>.</w:t>
        </w:r>
      </w:hyperlink>
    </w:p>
  </w:footnote>
  <w:footnote w:id="268">
    <w:p w14:paraId="26FFA32C" w14:textId="2F6409AD" w:rsidR="009C2995" w:rsidRDefault="009C2995" w:rsidP="009C2995">
      <w:pPr>
        <w:pStyle w:val="FootnoteText"/>
        <w:ind w:left="900" w:right="940"/>
      </w:pPr>
      <w:r>
        <w:rPr>
          <w:rStyle w:val="FootnoteReference"/>
        </w:rPr>
        <w:footnoteRef/>
      </w:r>
      <w:r>
        <w:t xml:space="preserve"> DFCI</w:t>
      </w:r>
      <w:r>
        <w:rPr>
          <w:spacing w:val="-4"/>
        </w:rPr>
        <w:t xml:space="preserve"> </w:t>
      </w:r>
      <w:r>
        <w:t>Response</w:t>
      </w:r>
      <w:r>
        <w:rPr>
          <w:spacing w:val="-6"/>
        </w:rPr>
        <w:t xml:space="preserve"> </w:t>
      </w:r>
      <w:r>
        <w:t>to</w:t>
      </w:r>
      <w:r>
        <w:rPr>
          <w:spacing w:val="-5"/>
        </w:rPr>
        <w:t xml:space="preserve"> </w:t>
      </w:r>
      <w:r>
        <w:t>Applicant</w:t>
      </w:r>
      <w:r>
        <w:rPr>
          <w:spacing w:val="-4"/>
        </w:rPr>
        <w:t xml:space="preserve"> </w:t>
      </w:r>
      <w:r>
        <w:t>Questions</w:t>
      </w:r>
      <w:r>
        <w:rPr>
          <w:spacing w:val="-3"/>
        </w:rPr>
        <w:t xml:space="preserve"> </w:t>
      </w:r>
      <w:r>
        <w:t>#4</w:t>
      </w:r>
      <w:r>
        <w:rPr>
          <w:spacing w:val="-4"/>
        </w:rPr>
        <w:t xml:space="preserve"> </w:t>
      </w:r>
      <w:r>
        <w:rPr>
          <w:i/>
        </w:rPr>
        <w:t>supra</w:t>
      </w:r>
      <w:r>
        <w:rPr>
          <w:i/>
          <w:spacing w:val="-6"/>
        </w:rPr>
        <w:t xml:space="preserve"> </w:t>
      </w:r>
      <w:r>
        <w:t>note</w:t>
      </w:r>
      <w:r>
        <w:rPr>
          <w:spacing w:val="-5"/>
        </w:rPr>
        <w:t xml:space="preserve"> </w:t>
      </w:r>
      <w:hyperlink w:anchor="_bookmark90" w:history="1">
        <w:r>
          <w:t>77,</w:t>
        </w:r>
      </w:hyperlink>
      <w:r>
        <w:rPr>
          <w:spacing w:val="-4"/>
        </w:rPr>
        <w:t xml:space="preserve"> </w:t>
      </w:r>
      <w:r>
        <w:t>at</w:t>
      </w:r>
      <w:r>
        <w:rPr>
          <w:spacing w:val="-3"/>
        </w:rPr>
        <w:t xml:space="preserve"> </w:t>
      </w:r>
      <w:r>
        <w:rPr>
          <w:spacing w:val="-5"/>
        </w:rPr>
        <w:t>6.</w:t>
      </w:r>
    </w:p>
  </w:footnote>
  <w:footnote w:id="269">
    <w:p w14:paraId="3961C549" w14:textId="106DD7D2" w:rsidR="009C2995" w:rsidRDefault="009C2995" w:rsidP="009C2995">
      <w:pPr>
        <w:pStyle w:val="FootnoteText"/>
        <w:ind w:left="900" w:right="940"/>
      </w:pPr>
      <w:r>
        <w:rPr>
          <w:rStyle w:val="FootnoteReference"/>
        </w:rPr>
        <w:footnoteRef/>
      </w:r>
      <w:r>
        <w:t xml:space="preserve"> Under</w:t>
      </w:r>
      <w:r>
        <w:rPr>
          <w:spacing w:val="-4"/>
        </w:rPr>
        <w:t xml:space="preserve"> </w:t>
      </w:r>
      <w:r>
        <w:t>DFCI’s</w:t>
      </w:r>
      <w:r>
        <w:rPr>
          <w:spacing w:val="-2"/>
        </w:rPr>
        <w:t xml:space="preserve"> </w:t>
      </w:r>
      <w:r>
        <w:t>current</w:t>
      </w:r>
      <w:r>
        <w:rPr>
          <w:spacing w:val="-2"/>
        </w:rPr>
        <w:t xml:space="preserve"> </w:t>
      </w:r>
      <w:r>
        <w:t>Patient</w:t>
      </w:r>
      <w:r>
        <w:rPr>
          <w:spacing w:val="-2"/>
        </w:rPr>
        <w:t xml:space="preserve"> </w:t>
      </w:r>
      <w:r>
        <w:t>Financial</w:t>
      </w:r>
      <w:r>
        <w:rPr>
          <w:spacing w:val="-3"/>
        </w:rPr>
        <w:t xml:space="preserve"> </w:t>
      </w:r>
      <w:r>
        <w:t>Assistance</w:t>
      </w:r>
      <w:r>
        <w:rPr>
          <w:spacing w:val="-4"/>
        </w:rPr>
        <w:t xml:space="preserve"> </w:t>
      </w:r>
      <w:r>
        <w:t>Program,</w:t>
      </w:r>
      <w:r>
        <w:rPr>
          <w:spacing w:val="-2"/>
        </w:rPr>
        <w:t xml:space="preserve"> </w:t>
      </w:r>
      <w:r>
        <w:t>patients</w:t>
      </w:r>
      <w:r>
        <w:rPr>
          <w:spacing w:val="-2"/>
        </w:rPr>
        <w:t xml:space="preserve"> </w:t>
      </w:r>
      <w:r>
        <w:t>with</w:t>
      </w:r>
      <w:r>
        <w:rPr>
          <w:spacing w:val="-3"/>
        </w:rPr>
        <w:t xml:space="preserve"> </w:t>
      </w:r>
      <w:r>
        <w:t>income</w:t>
      </w:r>
      <w:r>
        <w:rPr>
          <w:spacing w:val="-4"/>
        </w:rPr>
        <w:t xml:space="preserve"> </w:t>
      </w:r>
      <w:r>
        <w:t>less</w:t>
      </w:r>
      <w:r>
        <w:rPr>
          <w:spacing w:val="-2"/>
        </w:rPr>
        <w:t xml:space="preserve"> </w:t>
      </w:r>
      <w:r>
        <w:t>than</w:t>
      </w:r>
      <w:r>
        <w:rPr>
          <w:spacing w:val="-3"/>
        </w:rPr>
        <w:t xml:space="preserve"> </w:t>
      </w:r>
      <w:r>
        <w:t>150%</w:t>
      </w:r>
      <w:r>
        <w:rPr>
          <w:spacing w:val="-3"/>
        </w:rPr>
        <w:t xml:space="preserve"> </w:t>
      </w:r>
      <w:r>
        <w:t>of</w:t>
      </w:r>
      <w:r>
        <w:rPr>
          <w:spacing w:val="-3"/>
        </w:rPr>
        <w:t xml:space="preserve"> </w:t>
      </w:r>
      <w:r>
        <w:t xml:space="preserve">FPL are eligible to have 100% of their financial obligations for </w:t>
      </w:r>
      <w:r w:rsidRPr="006924A9">
        <w:rPr>
          <w:color w:val="000000" w:themeColor="text1"/>
        </w:rPr>
        <w:t xml:space="preserve">medically necessary services waved. </w:t>
      </w:r>
      <w:hyperlink r:id="rId331" w:history="1">
        <w:r w:rsidRPr="006924A9">
          <w:rPr>
            <w:rStyle w:val="Hyperlink"/>
            <w:i/>
            <w:color w:val="000000" w:themeColor="text1"/>
            <w:u w:val="none"/>
          </w:rPr>
          <w:t>Notice to Dana-Farber Cancer Institute Patients: Availability of Financial Counseling, Payment Plans, and Financial Assistance</w:t>
        </w:r>
        <w:r w:rsidRPr="006924A9">
          <w:rPr>
            <w:rStyle w:val="Hyperlink"/>
            <w:color w:val="000000" w:themeColor="text1"/>
            <w:u w:val="none"/>
          </w:rPr>
          <w:t>,</w:t>
        </w:r>
      </w:hyperlink>
      <w:r w:rsidRPr="006924A9">
        <w:rPr>
          <w:color w:val="000000" w:themeColor="text1"/>
        </w:rPr>
        <w:t xml:space="preserve"> D</w:t>
      </w:r>
      <w:r w:rsidRPr="006924A9">
        <w:rPr>
          <w:color w:val="000000" w:themeColor="text1"/>
          <w:sz w:val="16"/>
        </w:rPr>
        <w:t>ANA</w:t>
      </w:r>
      <w:r w:rsidRPr="006924A9">
        <w:rPr>
          <w:color w:val="000000" w:themeColor="text1"/>
        </w:rPr>
        <w:t>-F</w:t>
      </w:r>
      <w:r w:rsidRPr="006924A9">
        <w:rPr>
          <w:color w:val="000000" w:themeColor="text1"/>
          <w:sz w:val="16"/>
        </w:rPr>
        <w:t xml:space="preserve">ARBER </w:t>
      </w:r>
      <w:r>
        <w:t>C</w:t>
      </w:r>
      <w:r>
        <w:rPr>
          <w:sz w:val="16"/>
        </w:rPr>
        <w:t xml:space="preserve">ANCER </w:t>
      </w:r>
      <w:r>
        <w:t>I</w:t>
      </w:r>
      <w:r>
        <w:rPr>
          <w:sz w:val="16"/>
        </w:rPr>
        <w:t>NSTITUTE</w:t>
      </w:r>
      <w:r>
        <w:t xml:space="preserve">, </w:t>
      </w:r>
      <w:hyperlink r:id="rId332">
        <w:r>
          <w:rPr>
            <w:color w:val="486794"/>
            <w:u w:val="single" w:color="486794"/>
          </w:rPr>
          <w:t>https://dfci.widen.net/s/h5lsvvfbw9/financial-assistance-</w:t>
        </w:r>
      </w:hyperlink>
      <w:r>
        <w:rPr>
          <w:color w:val="486794"/>
        </w:rPr>
        <w:t xml:space="preserve"> </w:t>
      </w:r>
      <w:hyperlink r:id="rId333">
        <w:r>
          <w:rPr>
            <w:color w:val="486794"/>
            <w:u w:val="single" w:color="486794"/>
          </w:rPr>
          <w:t>summary.pdf</w:t>
        </w:r>
      </w:hyperlink>
      <w:r>
        <w:rPr>
          <w:color w:val="486794"/>
        </w:rPr>
        <w:t xml:space="preserve"> </w:t>
      </w:r>
      <w:r>
        <w:t>(last visited February 27, 2025). Under BIDMC’s current Financial Assistance Policy, patients at or below 400% of the FPL are eligible to have 100% of their “patient responsible balance” waved for medically neces</w:t>
      </w:r>
      <w:r w:rsidRPr="006924A9">
        <w:rPr>
          <w:color w:val="000000" w:themeColor="text1"/>
        </w:rPr>
        <w:t xml:space="preserve">sary services. </w:t>
      </w:r>
      <w:hyperlink r:id="rId334" w:history="1">
        <w:r w:rsidRPr="006924A9">
          <w:rPr>
            <w:rStyle w:val="Hyperlink"/>
            <w:i/>
            <w:color w:val="000000" w:themeColor="text1"/>
            <w:u w:val="none"/>
          </w:rPr>
          <w:t>Financial Assistance Policy Plain Language Summary</w:t>
        </w:r>
        <w:r w:rsidRPr="006924A9">
          <w:rPr>
            <w:rStyle w:val="Hyperlink"/>
            <w:color w:val="000000" w:themeColor="text1"/>
            <w:u w:val="none"/>
          </w:rPr>
          <w:t>, B</w:t>
        </w:r>
        <w:r w:rsidRPr="006924A9">
          <w:rPr>
            <w:rStyle w:val="Hyperlink"/>
            <w:color w:val="000000" w:themeColor="text1"/>
            <w:sz w:val="16"/>
            <w:u w:val="none"/>
          </w:rPr>
          <w:t>ETH</w:t>
        </w:r>
        <w:r w:rsidRPr="006924A9">
          <w:rPr>
            <w:rStyle w:val="Hyperlink"/>
            <w:color w:val="000000" w:themeColor="text1"/>
            <w:spacing w:val="-1"/>
            <w:sz w:val="16"/>
            <w:u w:val="none"/>
          </w:rPr>
          <w:t xml:space="preserve"> </w:t>
        </w:r>
        <w:r w:rsidRPr="006924A9">
          <w:rPr>
            <w:rStyle w:val="Hyperlink"/>
            <w:color w:val="000000" w:themeColor="text1"/>
            <w:u w:val="none"/>
          </w:rPr>
          <w:t>I</w:t>
        </w:r>
        <w:r w:rsidRPr="006924A9">
          <w:rPr>
            <w:rStyle w:val="Hyperlink"/>
            <w:color w:val="000000" w:themeColor="text1"/>
            <w:sz w:val="16"/>
            <w:u w:val="none"/>
          </w:rPr>
          <w:t xml:space="preserve">SREAL </w:t>
        </w:r>
        <w:r w:rsidRPr="006924A9">
          <w:rPr>
            <w:rStyle w:val="Hyperlink"/>
            <w:color w:val="000000" w:themeColor="text1"/>
            <w:u w:val="none"/>
          </w:rPr>
          <w:t>D</w:t>
        </w:r>
        <w:r w:rsidRPr="006924A9">
          <w:rPr>
            <w:rStyle w:val="Hyperlink"/>
            <w:color w:val="000000" w:themeColor="text1"/>
            <w:sz w:val="16"/>
            <w:u w:val="none"/>
          </w:rPr>
          <w:t>EACONESS</w:t>
        </w:r>
        <w:r w:rsidRPr="006924A9">
          <w:rPr>
            <w:rStyle w:val="Hyperlink"/>
            <w:color w:val="000000" w:themeColor="text1"/>
            <w:spacing w:val="40"/>
            <w:sz w:val="16"/>
            <w:u w:val="none"/>
          </w:rPr>
          <w:t xml:space="preserve"> </w:t>
        </w:r>
        <w:r w:rsidRPr="006924A9">
          <w:rPr>
            <w:rStyle w:val="Hyperlink"/>
            <w:color w:val="000000" w:themeColor="text1"/>
            <w:u w:val="none"/>
          </w:rPr>
          <w:t>M</w:t>
        </w:r>
        <w:r w:rsidRPr="006924A9">
          <w:rPr>
            <w:rStyle w:val="Hyperlink"/>
            <w:color w:val="000000" w:themeColor="text1"/>
            <w:sz w:val="16"/>
            <w:u w:val="none"/>
          </w:rPr>
          <w:t xml:space="preserve">EDICAL </w:t>
        </w:r>
        <w:r w:rsidRPr="006924A9">
          <w:rPr>
            <w:rStyle w:val="Hyperlink"/>
            <w:color w:val="000000" w:themeColor="text1"/>
            <w:u w:val="none"/>
          </w:rPr>
          <w:t>C</w:t>
        </w:r>
        <w:r w:rsidRPr="006924A9">
          <w:rPr>
            <w:rStyle w:val="Hyperlink"/>
            <w:color w:val="000000" w:themeColor="text1"/>
            <w:sz w:val="16"/>
            <w:u w:val="none"/>
          </w:rPr>
          <w:t>ENTER</w:t>
        </w:r>
      </w:hyperlink>
      <w:r w:rsidRPr="006924A9">
        <w:rPr>
          <w:color w:val="000000" w:themeColor="text1"/>
        </w:rPr>
        <w:t xml:space="preserve">, </w:t>
      </w:r>
      <w:hyperlink r:id="rId335">
        <w:r>
          <w:rPr>
            <w:color w:val="486794"/>
            <w:u w:val="single" w:color="486794"/>
          </w:rPr>
          <w:t>https://www.bidmc.org/-/media/files/beth-israel-org/patient-and-visitor-</w:t>
        </w:r>
      </w:hyperlink>
      <w:r>
        <w:rPr>
          <w:color w:val="486794"/>
        </w:rPr>
        <w:t xml:space="preserve"> </w:t>
      </w:r>
      <w:hyperlink r:id="rId336">
        <w:r>
          <w:rPr>
            <w:color w:val="486794"/>
            <w:u w:val="single" w:color="486794"/>
          </w:rPr>
          <w:t>information/patient-information/bidmc-financial-assistance-pl-summary-english-100120.pdf</w:t>
        </w:r>
      </w:hyperlink>
      <w:r>
        <w:rPr>
          <w:color w:val="486794"/>
        </w:rPr>
        <w:t xml:space="preserve"> </w:t>
      </w:r>
      <w:r>
        <w:t>(last visited February 27, 2025). Both BIDMC and DFCI offer additional assistance, including medical hardship discounts and financial counseling services.</w:t>
      </w:r>
    </w:p>
  </w:footnote>
  <w:footnote w:id="270">
    <w:p w14:paraId="364E4319" w14:textId="73705E69" w:rsidR="00BE6DF1" w:rsidRDefault="00BE6DF1" w:rsidP="004E0360">
      <w:pPr>
        <w:pStyle w:val="FootnoteText"/>
        <w:ind w:left="900" w:right="940"/>
      </w:pPr>
      <w:r>
        <w:rPr>
          <w:rStyle w:val="FootnoteReference"/>
        </w:rPr>
        <w:footnoteRef/>
      </w:r>
      <w:r>
        <w:t xml:space="preserve"> </w:t>
      </w:r>
      <w:r w:rsidR="00C86306">
        <w:t>Although</w:t>
      </w:r>
      <w:r w:rsidR="00C86306">
        <w:rPr>
          <w:spacing w:val="-3"/>
        </w:rPr>
        <w:t xml:space="preserve"> </w:t>
      </w:r>
      <w:r w:rsidR="00C86306">
        <w:t>HPHC</w:t>
      </w:r>
      <w:r w:rsidR="00C86306">
        <w:rPr>
          <w:spacing w:val="-3"/>
        </w:rPr>
        <w:t xml:space="preserve"> </w:t>
      </w:r>
      <w:r w:rsidR="00C86306">
        <w:t>and</w:t>
      </w:r>
      <w:r w:rsidR="00C86306">
        <w:rPr>
          <w:spacing w:val="-2"/>
        </w:rPr>
        <w:t xml:space="preserve"> </w:t>
      </w:r>
      <w:r w:rsidR="00C86306">
        <w:t>THP</w:t>
      </w:r>
      <w:r w:rsidR="00C86306">
        <w:rPr>
          <w:spacing w:val="-4"/>
        </w:rPr>
        <w:t xml:space="preserve"> </w:t>
      </w:r>
      <w:r w:rsidR="00C86306">
        <w:t>have</w:t>
      </w:r>
      <w:r w:rsidR="00C86306">
        <w:rPr>
          <w:spacing w:val="-4"/>
        </w:rPr>
        <w:t xml:space="preserve"> </w:t>
      </w:r>
      <w:r w:rsidR="00C86306">
        <w:t>since</w:t>
      </w:r>
      <w:r w:rsidR="00C86306">
        <w:rPr>
          <w:spacing w:val="-4"/>
        </w:rPr>
        <w:t xml:space="preserve"> </w:t>
      </w:r>
      <w:r w:rsidR="00C86306">
        <w:t>merged</w:t>
      </w:r>
      <w:r w:rsidR="00C86306">
        <w:rPr>
          <w:spacing w:val="-2"/>
        </w:rPr>
        <w:t xml:space="preserve"> </w:t>
      </w:r>
      <w:r w:rsidR="00C86306">
        <w:t>to</w:t>
      </w:r>
      <w:r w:rsidR="00C86306">
        <w:rPr>
          <w:spacing w:val="-3"/>
        </w:rPr>
        <w:t xml:space="preserve"> </w:t>
      </w:r>
      <w:r w:rsidR="00C86306">
        <w:t>form Point32Health,</w:t>
      </w:r>
      <w:r w:rsidR="00C86306">
        <w:rPr>
          <w:spacing w:val="-2"/>
        </w:rPr>
        <w:t xml:space="preserve"> </w:t>
      </w:r>
      <w:r w:rsidR="00C86306">
        <w:t>all</w:t>
      </w:r>
      <w:r w:rsidR="00C86306">
        <w:rPr>
          <w:spacing w:val="-3"/>
        </w:rPr>
        <w:t xml:space="preserve"> </w:t>
      </w:r>
      <w:r w:rsidR="00C86306">
        <w:t>analyses</w:t>
      </w:r>
      <w:r w:rsidR="00C86306">
        <w:rPr>
          <w:spacing w:val="-2"/>
        </w:rPr>
        <w:t xml:space="preserve"> </w:t>
      </w:r>
      <w:r w:rsidR="00C86306">
        <w:t>in</w:t>
      </w:r>
      <w:r w:rsidR="00C86306">
        <w:rPr>
          <w:spacing w:val="-3"/>
        </w:rPr>
        <w:t xml:space="preserve"> </w:t>
      </w:r>
      <w:r w:rsidR="00C86306">
        <w:t>this</w:t>
      </w:r>
      <w:r w:rsidR="00C86306">
        <w:rPr>
          <w:spacing w:val="-2"/>
        </w:rPr>
        <w:t xml:space="preserve"> </w:t>
      </w:r>
      <w:r w:rsidR="00C86306">
        <w:t>report</w:t>
      </w:r>
      <w:r w:rsidR="00C86306">
        <w:rPr>
          <w:spacing w:val="-2"/>
        </w:rPr>
        <w:t xml:space="preserve"> </w:t>
      </w:r>
      <w:r w:rsidR="00C86306">
        <w:t>are</w:t>
      </w:r>
      <w:r w:rsidR="00C86306">
        <w:rPr>
          <w:spacing w:val="-4"/>
        </w:rPr>
        <w:t xml:space="preserve"> </w:t>
      </w:r>
      <w:r w:rsidR="00C86306">
        <w:t>based on pre-merger data, and the plans are referred to separately throughout.</w:t>
      </w:r>
    </w:p>
  </w:footnote>
  <w:footnote w:id="271">
    <w:p w14:paraId="23C5DC50" w14:textId="636A15AC" w:rsidR="004E0360" w:rsidRDefault="004E0360" w:rsidP="004E0360">
      <w:pPr>
        <w:pStyle w:val="FootnoteText"/>
        <w:ind w:left="900" w:right="940"/>
      </w:pPr>
      <w:r>
        <w:rPr>
          <w:rStyle w:val="FootnoteReference"/>
        </w:rPr>
        <w:footnoteRef/>
      </w:r>
      <w:r>
        <w:t xml:space="preserve"> The methodology described in this section applies to all service lines other than oncologic drugs and evaluation</w:t>
      </w:r>
      <w:r>
        <w:rPr>
          <w:spacing w:val="-3"/>
        </w:rPr>
        <w:t xml:space="preserve"> </w:t>
      </w:r>
      <w:r>
        <w:t>and</w:t>
      </w:r>
      <w:r>
        <w:rPr>
          <w:spacing w:val="-3"/>
        </w:rPr>
        <w:t xml:space="preserve"> </w:t>
      </w:r>
      <w:r>
        <w:t>management</w:t>
      </w:r>
      <w:r>
        <w:rPr>
          <w:spacing w:val="-1"/>
        </w:rPr>
        <w:t xml:space="preserve"> </w:t>
      </w:r>
      <w:r>
        <w:t>services.</w:t>
      </w:r>
      <w:r>
        <w:rPr>
          <w:spacing w:val="-3"/>
        </w:rPr>
        <w:t xml:space="preserve"> </w:t>
      </w:r>
      <w:r>
        <w:t>Methodologies</w:t>
      </w:r>
      <w:r>
        <w:rPr>
          <w:spacing w:val="-3"/>
        </w:rPr>
        <w:t xml:space="preserve"> </w:t>
      </w:r>
      <w:r>
        <w:t>for</w:t>
      </w:r>
      <w:r>
        <w:rPr>
          <w:spacing w:val="-3"/>
        </w:rPr>
        <w:t xml:space="preserve"> </w:t>
      </w:r>
      <w:r>
        <w:t>those</w:t>
      </w:r>
      <w:r>
        <w:rPr>
          <w:spacing w:val="-4"/>
        </w:rPr>
        <w:t xml:space="preserve"> </w:t>
      </w:r>
      <w:r>
        <w:t>service</w:t>
      </w:r>
      <w:r>
        <w:rPr>
          <w:spacing w:val="-4"/>
        </w:rPr>
        <w:t xml:space="preserve"> </w:t>
      </w:r>
      <w:r>
        <w:t>lines</w:t>
      </w:r>
      <w:r>
        <w:rPr>
          <w:spacing w:val="-3"/>
        </w:rPr>
        <w:t xml:space="preserve"> </w:t>
      </w:r>
      <w:r>
        <w:t>are</w:t>
      </w:r>
      <w:r>
        <w:rPr>
          <w:spacing w:val="-4"/>
        </w:rPr>
        <w:t xml:space="preserve"> </w:t>
      </w:r>
      <w:r>
        <w:t>described</w:t>
      </w:r>
      <w:r>
        <w:rPr>
          <w:spacing w:val="-3"/>
        </w:rPr>
        <w:t xml:space="preserve"> </w:t>
      </w:r>
      <w:r>
        <w:t>in</w:t>
      </w:r>
      <w:r>
        <w:rPr>
          <w:spacing w:val="-3"/>
        </w:rPr>
        <w:t xml:space="preserve"> </w:t>
      </w:r>
      <w:r>
        <w:t>the</w:t>
      </w:r>
      <w:r>
        <w:rPr>
          <w:spacing w:val="-3"/>
        </w:rPr>
        <w:t xml:space="preserve"> </w:t>
      </w:r>
      <w:r>
        <w:t>Cost</w:t>
      </w:r>
      <w:r>
        <w:rPr>
          <w:spacing w:val="-3"/>
        </w:rPr>
        <w:t xml:space="preserve"> </w:t>
      </w:r>
      <w:r>
        <w:t>and Market Functioning section of the report.</w:t>
      </w:r>
    </w:p>
  </w:footnote>
  <w:footnote w:id="272">
    <w:p w14:paraId="1D2DC14E" w14:textId="2AA74131" w:rsidR="00222BB9" w:rsidRDefault="00222BB9" w:rsidP="00222BB9">
      <w:pPr>
        <w:pStyle w:val="FootnoteText"/>
        <w:ind w:left="900" w:right="940"/>
      </w:pPr>
      <w:r>
        <w:rPr>
          <w:rStyle w:val="FootnoteReference"/>
        </w:rPr>
        <w:footnoteRef/>
      </w:r>
      <w:r>
        <w:t xml:space="preserve"> The</w:t>
      </w:r>
      <w:r>
        <w:rPr>
          <w:spacing w:val="-4"/>
        </w:rPr>
        <w:t xml:space="preserve"> </w:t>
      </w:r>
      <w:r>
        <w:t>HPC</w:t>
      </w:r>
      <w:r>
        <w:rPr>
          <w:spacing w:val="-3"/>
        </w:rPr>
        <w:t xml:space="preserve"> </w:t>
      </w:r>
      <w:r>
        <w:t>used</w:t>
      </w:r>
      <w:r>
        <w:rPr>
          <w:spacing w:val="-2"/>
        </w:rPr>
        <w:t xml:space="preserve"> </w:t>
      </w:r>
      <w:r>
        <w:t>production</w:t>
      </w:r>
      <w:r>
        <w:rPr>
          <w:spacing w:val="-3"/>
        </w:rPr>
        <w:t xml:space="preserve"> </w:t>
      </w:r>
      <w:r>
        <w:t>provided</w:t>
      </w:r>
      <w:r>
        <w:rPr>
          <w:spacing w:val="-2"/>
        </w:rPr>
        <w:t xml:space="preserve"> </w:t>
      </w:r>
      <w:r>
        <w:t>by</w:t>
      </w:r>
      <w:r>
        <w:rPr>
          <w:spacing w:val="-4"/>
        </w:rPr>
        <w:t xml:space="preserve"> </w:t>
      </w:r>
      <w:r>
        <w:t>BIDMC</w:t>
      </w:r>
      <w:r>
        <w:rPr>
          <w:spacing w:val="-3"/>
        </w:rPr>
        <w:t xml:space="preserve"> </w:t>
      </w:r>
      <w:r>
        <w:t>to</w:t>
      </w:r>
      <w:r>
        <w:rPr>
          <w:spacing w:val="-3"/>
        </w:rPr>
        <w:t xml:space="preserve"> </w:t>
      </w:r>
      <w:r>
        <w:t>estimate</w:t>
      </w:r>
      <w:r>
        <w:rPr>
          <w:spacing w:val="-4"/>
        </w:rPr>
        <w:t xml:space="preserve"> </w:t>
      </w:r>
      <w:r>
        <w:t>annual</w:t>
      </w:r>
      <w:r>
        <w:rPr>
          <w:spacing w:val="-3"/>
        </w:rPr>
        <w:t xml:space="preserve"> </w:t>
      </w:r>
      <w:r>
        <w:t>revenue</w:t>
      </w:r>
      <w:r>
        <w:rPr>
          <w:spacing w:val="-4"/>
        </w:rPr>
        <w:t xml:space="preserve"> </w:t>
      </w:r>
      <w:r>
        <w:t>for</w:t>
      </w:r>
      <w:r>
        <w:rPr>
          <w:spacing w:val="-4"/>
        </w:rPr>
        <w:t xml:space="preserve"> </w:t>
      </w:r>
      <w:r>
        <w:t>the</w:t>
      </w:r>
      <w:r>
        <w:rPr>
          <w:spacing w:val="-4"/>
        </w:rPr>
        <w:t xml:space="preserve"> </w:t>
      </w:r>
      <w:r>
        <w:t>infusion</w:t>
      </w:r>
      <w:r>
        <w:rPr>
          <w:spacing w:val="-3"/>
        </w:rPr>
        <w:t xml:space="preserve"> </w:t>
      </w:r>
      <w:r>
        <w:t>administration and radiation oncology service lines. For diagnostic radiology, labs and pathology, and surgery, we estimated total annual revenue based on claims for each service line observed in the APCD. For diagnostic radiology, labs, and pathology, HPC conservatively included only encounters that included a cancer diagnosis code, which may undercount situations in which a patient has not yet been diagnosed with cancer. The HPC estimates that claims for 42% of statewide commercial members are captured in our APCD analyses. We therefore impute total revenue based on an assumption that observed revenue represents 42% of total commercial revenue.</w:t>
      </w:r>
    </w:p>
  </w:footnote>
  <w:footnote w:id="273">
    <w:p w14:paraId="26015B69" w14:textId="6525072A" w:rsidR="00BD67AF" w:rsidRDefault="00BD67AF" w:rsidP="002D77CD">
      <w:pPr>
        <w:pStyle w:val="FootnoteText"/>
        <w:ind w:left="900" w:right="940"/>
      </w:pPr>
      <w:r>
        <w:rPr>
          <w:rStyle w:val="FootnoteReference"/>
        </w:rPr>
        <w:footnoteRef/>
      </w:r>
      <w:r>
        <w:t xml:space="preserve"> </w:t>
      </w:r>
      <w:r w:rsidR="005F197E">
        <w:t xml:space="preserve">Winchester Hospital performed statistically worse relative to statewide averages on the </w:t>
      </w:r>
      <w:r w:rsidR="005F197E">
        <w:rPr>
          <w:i/>
        </w:rPr>
        <w:t xml:space="preserve">Thirty Day Readmission for Heart Failure Patients </w:t>
      </w:r>
      <w:r w:rsidR="005F197E">
        <w:t xml:space="preserve">metric. Beth Israel Deaconess Hospital Plymouth performed statistically better on the </w:t>
      </w:r>
      <w:r w:rsidR="005F197E">
        <w:rPr>
          <w:i/>
        </w:rPr>
        <w:t xml:space="preserve">Thirty Day Readmission Hospital Wide </w:t>
      </w:r>
      <w:r w:rsidR="005F197E">
        <w:t xml:space="preserve">metric. New England Baptist Hospital performed statistically better on the </w:t>
      </w:r>
      <w:r w:rsidR="005F197E">
        <w:rPr>
          <w:i/>
        </w:rPr>
        <w:t xml:space="preserve">Thiry Day Readmission After Hip/Knee Surgery </w:t>
      </w:r>
      <w:r w:rsidR="005F197E">
        <w:t xml:space="preserve">and </w:t>
      </w:r>
      <w:r w:rsidR="005F197E">
        <w:rPr>
          <w:i/>
        </w:rPr>
        <w:t>Thirty Day Readmission</w:t>
      </w:r>
      <w:r w:rsidR="005F197E">
        <w:rPr>
          <w:i/>
          <w:spacing w:val="-3"/>
        </w:rPr>
        <w:t xml:space="preserve"> </w:t>
      </w:r>
      <w:r w:rsidR="005F197E">
        <w:rPr>
          <w:i/>
        </w:rPr>
        <w:t>Hospital</w:t>
      </w:r>
      <w:r w:rsidR="005F197E">
        <w:rPr>
          <w:i/>
          <w:spacing w:val="-2"/>
        </w:rPr>
        <w:t xml:space="preserve"> </w:t>
      </w:r>
      <w:r w:rsidR="005F197E">
        <w:rPr>
          <w:i/>
        </w:rPr>
        <w:t>Wide</w:t>
      </w:r>
      <w:r w:rsidR="005F197E">
        <w:rPr>
          <w:i/>
          <w:spacing w:val="-2"/>
        </w:rPr>
        <w:t xml:space="preserve"> </w:t>
      </w:r>
      <w:r w:rsidR="005F197E">
        <w:t>metrics.</w:t>
      </w:r>
      <w:r w:rsidR="005F197E">
        <w:rPr>
          <w:spacing w:val="-3"/>
        </w:rPr>
        <w:t xml:space="preserve"> </w:t>
      </w:r>
      <w:r w:rsidR="005F197E">
        <w:t>MGH</w:t>
      </w:r>
      <w:r w:rsidR="005F197E">
        <w:rPr>
          <w:spacing w:val="-5"/>
        </w:rPr>
        <w:t xml:space="preserve"> </w:t>
      </w:r>
      <w:r w:rsidR="005F197E">
        <w:t>performed</w:t>
      </w:r>
      <w:r w:rsidR="005F197E">
        <w:rPr>
          <w:spacing w:val="-3"/>
        </w:rPr>
        <w:t xml:space="preserve"> </w:t>
      </w:r>
      <w:r w:rsidR="005F197E">
        <w:t>statistically</w:t>
      </w:r>
      <w:r w:rsidR="005F197E">
        <w:rPr>
          <w:spacing w:val="-5"/>
        </w:rPr>
        <w:t xml:space="preserve"> </w:t>
      </w:r>
      <w:r w:rsidR="005F197E">
        <w:t>better</w:t>
      </w:r>
      <w:r w:rsidR="005F197E">
        <w:rPr>
          <w:spacing w:val="-5"/>
        </w:rPr>
        <w:t xml:space="preserve"> </w:t>
      </w:r>
      <w:r w:rsidR="005F197E">
        <w:t>on</w:t>
      </w:r>
      <w:r w:rsidR="005F197E">
        <w:rPr>
          <w:spacing w:val="-4"/>
        </w:rPr>
        <w:t xml:space="preserve"> </w:t>
      </w:r>
      <w:r w:rsidR="005F197E">
        <w:t>the</w:t>
      </w:r>
      <w:r w:rsidR="005F197E">
        <w:rPr>
          <w:spacing w:val="-5"/>
        </w:rPr>
        <w:t xml:space="preserve"> </w:t>
      </w:r>
      <w:r w:rsidR="005F197E">
        <w:rPr>
          <w:i/>
        </w:rPr>
        <w:t>Rate</w:t>
      </w:r>
      <w:r w:rsidR="005F197E">
        <w:rPr>
          <w:i/>
          <w:spacing w:val="-4"/>
        </w:rPr>
        <w:t xml:space="preserve"> </w:t>
      </w:r>
      <w:r w:rsidR="005F197E">
        <w:rPr>
          <w:i/>
        </w:rPr>
        <w:t>of</w:t>
      </w:r>
      <w:r w:rsidR="005F197E">
        <w:rPr>
          <w:i/>
          <w:spacing w:val="-1"/>
        </w:rPr>
        <w:t xml:space="preserve"> </w:t>
      </w:r>
      <w:r w:rsidR="005F197E">
        <w:rPr>
          <w:i/>
        </w:rPr>
        <w:t>Unplanned</w:t>
      </w:r>
      <w:r w:rsidR="005F197E">
        <w:rPr>
          <w:i/>
          <w:spacing w:val="-3"/>
        </w:rPr>
        <w:t xml:space="preserve"> </w:t>
      </w:r>
      <w:r w:rsidR="005F197E">
        <w:rPr>
          <w:i/>
        </w:rPr>
        <w:t xml:space="preserve">Hospital Visits After an Outpatient Colonoscopy </w:t>
      </w:r>
      <w:r w:rsidR="005F197E">
        <w:t xml:space="preserve">and </w:t>
      </w:r>
      <w:r w:rsidR="005F197E">
        <w:rPr>
          <w:i/>
        </w:rPr>
        <w:t xml:space="preserve">Thirty Day Readmission Hospital Wide </w:t>
      </w:r>
      <w:r w:rsidR="005F197E">
        <w:t xml:space="preserve">metrics. </w:t>
      </w:r>
      <w:r w:rsidR="005F197E">
        <w:rPr>
          <w:i/>
        </w:rPr>
        <w:t xml:space="preserve">See Hospital Compare Datasets, supra </w:t>
      </w:r>
      <w:r w:rsidR="005F197E">
        <w:t xml:space="preserve">note </w:t>
      </w:r>
      <w:hyperlink w:anchor="_bookmark184" w:history="1">
        <w:r w:rsidR="005F197E">
          <w:t>161.</w:t>
        </w:r>
      </w:hyperlink>
    </w:p>
  </w:footnote>
  <w:footnote w:id="274">
    <w:p w14:paraId="3CE4E399" w14:textId="18CBF65A" w:rsidR="002D77CD" w:rsidRDefault="002D77CD" w:rsidP="00163603">
      <w:pPr>
        <w:pStyle w:val="FootnoteText"/>
        <w:ind w:left="907" w:right="936"/>
      </w:pPr>
      <w:r>
        <w:rPr>
          <w:rStyle w:val="FootnoteReference"/>
        </w:rPr>
        <w:footnoteRef/>
      </w:r>
      <w:r>
        <w:t xml:space="preserve"> Anna</w:t>
      </w:r>
      <w:r>
        <w:rPr>
          <w:spacing w:val="-3"/>
        </w:rPr>
        <w:t xml:space="preserve"> </w:t>
      </w:r>
      <w:r>
        <w:t>Jaques</w:t>
      </w:r>
      <w:r>
        <w:rPr>
          <w:spacing w:val="-2"/>
        </w:rPr>
        <w:t xml:space="preserve"> </w:t>
      </w:r>
      <w:r>
        <w:t>performed</w:t>
      </w:r>
      <w:r>
        <w:rPr>
          <w:spacing w:val="-2"/>
        </w:rPr>
        <w:t xml:space="preserve"> </w:t>
      </w:r>
      <w:r>
        <w:t>statistically</w:t>
      </w:r>
      <w:r>
        <w:rPr>
          <w:spacing w:val="-4"/>
        </w:rPr>
        <w:t xml:space="preserve"> </w:t>
      </w:r>
      <w:r>
        <w:t>better</w:t>
      </w:r>
      <w:r>
        <w:rPr>
          <w:spacing w:val="-4"/>
        </w:rPr>
        <w:t xml:space="preserve"> </w:t>
      </w:r>
      <w:r>
        <w:t>on</w:t>
      </w:r>
      <w:r>
        <w:rPr>
          <w:spacing w:val="-3"/>
        </w:rPr>
        <w:t xml:space="preserve"> </w:t>
      </w:r>
      <w:r>
        <w:t>the</w:t>
      </w:r>
      <w:r>
        <w:rPr>
          <w:spacing w:val="-4"/>
        </w:rPr>
        <w:t xml:space="preserve"> </w:t>
      </w:r>
      <w:r>
        <w:rPr>
          <w:i/>
        </w:rPr>
        <w:t>Appropriate</w:t>
      </w:r>
      <w:r>
        <w:rPr>
          <w:i/>
          <w:spacing w:val="-3"/>
        </w:rPr>
        <w:t xml:space="preserve"> </w:t>
      </w:r>
      <w:r>
        <w:rPr>
          <w:i/>
        </w:rPr>
        <w:t>Follow-up</w:t>
      </w:r>
      <w:r>
        <w:rPr>
          <w:i/>
          <w:spacing w:val="-4"/>
        </w:rPr>
        <w:t xml:space="preserve"> </w:t>
      </w:r>
      <w:r>
        <w:rPr>
          <w:i/>
        </w:rPr>
        <w:t>Interval</w:t>
      </w:r>
      <w:r>
        <w:rPr>
          <w:i/>
          <w:spacing w:val="-3"/>
        </w:rPr>
        <w:t xml:space="preserve"> </w:t>
      </w:r>
      <w:r>
        <w:rPr>
          <w:i/>
        </w:rPr>
        <w:t>for</w:t>
      </w:r>
      <w:r>
        <w:rPr>
          <w:i/>
          <w:spacing w:val="-1"/>
        </w:rPr>
        <w:t xml:space="preserve"> </w:t>
      </w:r>
      <w:r>
        <w:rPr>
          <w:i/>
        </w:rPr>
        <w:t>Normal</w:t>
      </w:r>
      <w:r>
        <w:rPr>
          <w:i/>
          <w:spacing w:val="-3"/>
        </w:rPr>
        <w:t xml:space="preserve"> </w:t>
      </w:r>
      <w:r>
        <w:rPr>
          <w:i/>
        </w:rPr>
        <w:t xml:space="preserve">Colonoscopy in Average Risk Patients </w:t>
      </w:r>
      <w:r>
        <w:t xml:space="preserve">and statistically worse on the </w:t>
      </w:r>
      <w:r>
        <w:rPr>
          <w:i/>
        </w:rPr>
        <w:t xml:space="preserve">Safe Use of Opioids </w:t>
      </w:r>
      <w:r>
        <w:t xml:space="preserve">metrics. Beth Israel Deaconess Hospital Milton performed statistically better on the </w:t>
      </w:r>
      <w:r>
        <w:rPr>
          <w:i/>
        </w:rPr>
        <w:t xml:space="preserve">Appropriate Follow-up Interval for Normal Colonoscopy in Average Risk Patients </w:t>
      </w:r>
      <w:r>
        <w:t xml:space="preserve">and statistically metric. Beth Israel Deaconess Hospital Needham performed statistically better on the </w:t>
      </w:r>
      <w:r>
        <w:rPr>
          <w:i/>
        </w:rPr>
        <w:t xml:space="preserve">Appropriate Follow-up Interval for Normal Colonoscopy in Average Risk Patients </w:t>
      </w:r>
      <w:r>
        <w:t>metric.</w:t>
      </w:r>
      <w:r>
        <w:rPr>
          <w:spacing w:val="-3"/>
        </w:rPr>
        <w:t xml:space="preserve"> </w:t>
      </w:r>
      <w:r>
        <w:t>Beth</w:t>
      </w:r>
      <w:r>
        <w:rPr>
          <w:spacing w:val="-4"/>
        </w:rPr>
        <w:t xml:space="preserve"> </w:t>
      </w:r>
      <w:r>
        <w:t>Israel</w:t>
      </w:r>
      <w:r>
        <w:rPr>
          <w:spacing w:val="-4"/>
        </w:rPr>
        <w:t xml:space="preserve"> </w:t>
      </w:r>
      <w:r>
        <w:t>Deaconess</w:t>
      </w:r>
      <w:r>
        <w:rPr>
          <w:spacing w:val="-3"/>
        </w:rPr>
        <w:t xml:space="preserve"> </w:t>
      </w:r>
      <w:r>
        <w:t>Hospital</w:t>
      </w:r>
      <w:r>
        <w:rPr>
          <w:spacing w:val="-4"/>
        </w:rPr>
        <w:t xml:space="preserve"> </w:t>
      </w:r>
      <w:r>
        <w:t>Plymouth</w:t>
      </w:r>
      <w:r>
        <w:rPr>
          <w:spacing w:val="-4"/>
        </w:rPr>
        <w:t xml:space="preserve"> </w:t>
      </w:r>
      <w:r>
        <w:t>performed</w:t>
      </w:r>
      <w:r>
        <w:rPr>
          <w:spacing w:val="-3"/>
        </w:rPr>
        <w:t xml:space="preserve"> </w:t>
      </w:r>
      <w:r>
        <w:t>statistically</w:t>
      </w:r>
      <w:r>
        <w:rPr>
          <w:spacing w:val="-5"/>
        </w:rPr>
        <w:t xml:space="preserve"> </w:t>
      </w:r>
      <w:r>
        <w:t>better</w:t>
      </w:r>
      <w:r>
        <w:rPr>
          <w:spacing w:val="-5"/>
        </w:rPr>
        <w:t xml:space="preserve"> </w:t>
      </w:r>
      <w:r>
        <w:t>on</w:t>
      </w:r>
      <w:r>
        <w:rPr>
          <w:spacing w:val="-4"/>
        </w:rPr>
        <w:t xml:space="preserve"> </w:t>
      </w:r>
      <w:r>
        <w:t>the</w:t>
      </w:r>
      <w:r>
        <w:rPr>
          <w:spacing w:val="-2"/>
        </w:rPr>
        <w:t xml:space="preserve"> </w:t>
      </w:r>
      <w:r>
        <w:rPr>
          <w:i/>
        </w:rPr>
        <w:t>Appropriate</w:t>
      </w:r>
      <w:r>
        <w:rPr>
          <w:i/>
          <w:spacing w:val="-2"/>
        </w:rPr>
        <w:t xml:space="preserve"> </w:t>
      </w:r>
      <w:r>
        <w:rPr>
          <w:i/>
        </w:rPr>
        <w:t xml:space="preserve">Follow-up Interval for Normal Colonoscopy in Average Risk Patients </w:t>
      </w:r>
      <w:r>
        <w:t xml:space="preserve">metric and statistically worse on the </w:t>
      </w:r>
      <w:r>
        <w:rPr>
          <w:i/>
        </w:rPr>
        <w:t xml:space="preserve">Safe Use of Opioids </w:t>
      </w:r>
      <w:r>
        <w:t xml:space="preserve">metrics. BIDMC performed statistically better on the </w:t>
      </w:r>
      <w:r>
        <w:rPr>
          <w:i/>
        </w:rPr>
        <w:t xml:space="preserve">Appropriate Follow-up Interval for Normal Colonoscopy in Average Risk Patients </w:t>
      </w:r>
      <w:r>
        <w:t xml:space="preserve">metric. BWH performed statistically better on the </w:t>
      </w:r>
      <w:r>
        <w:rPr>
          <w:i/>
        </w:rPr>
        <w:t xml:space="preserve">Appropriate Follow- up Interval for Normal Colonoscopy in Average Risk Patients </w:t>
      </w:r>
      <w:r>
        <w:t xml:space="preserve">and statistically worse on the </w:t>
      </w:r>
      <w:r>
        <w:rPr>
          <w:i/>
        </w:rPr>
        <w:t xml:space="preserve">Safe Use of Opioids </w:t>
      </w:r>
      <w:r>
        <w:t xml:space="preserve">metrics. Lahey performed statistically better on the </w:t>
      </w:r>
      <w:r>
        <w:rPr>
          <w:i/>
        </w:rPr>
        <w:t xml:space="preserve">Appropriate Follow-up Interval for Normal Colonoscopy in Average Risk Patients </w:t>
      </w:r>
      <w:r>
        <w:t xml:space="preserve">and </w:t>
      </w:r>
      <w:r>
        <w:rPr>
          <w:i/>
        </w:rPr>
        <w:t xml:space="preserve">Intensive Care Unit Venous Thromboembolism Prophylaxis </w:t>
      </w:r>
      <w:r>
        <w:t xml:space="preserve">metric. MGH performed statistically better on the </w:t>
      </w:r>
      <w:r>
        <w:rPr>
          <w:i/>
        </w:rPr>
        <w:t>Appropriate Follow-up Interval for Normal Colonoscopy in Average</w:t>
      </w:r>
      <w:r>
        <w:rPr>
          <w:i/>
          <w:spacing w:val="-2"/>
        </w:rPr>
        <w:t xml:space="preserve"> </w:t>
      </w:r>
      <w:r>
        <w:rPr>
          <w:i/>
        </w:rPr>
        <w:t>Risk</w:t>
      </w:r>
      <w:r>
        <w:rPr>
          <w:i/>
          <w:spacing w:val="-1"/>
        </w:rPr>
        <w:t xml:space="preserve"> </w:t>
      </w:r>
      <w:r>
        <w:rPr>
          <w:i/>
        </w:rPr>
        <w:t>Patients</w:t>
      </w:r>
      <w:r>
        <w:rPr>
          <w:i/>
          <w:spacing w:val="-3"/>
        </w:rPr>
        <w:t xml:space="preserve"> </w:t>
      </w:r>
      <w:r>
        <w:t>and</w:t>
      </w:r>
      <w:r>
        <w:rPr>
          <w:spacing w:val="-2"/>
        </w:rPr>
        <w:t xml:space="preserve"> </w:t>
      </w:r>
      <w:r>
        <w:rPr>
          <w:i/>
        </w:rPr>
        <w:t>Venous</w:t>
      </w:r>
      <w:r>
        <w:rPr>
          <w:i/>
          <w:spacing w:val="-3"/>
        </w:rPr>
        <w:t xml:space="preserve"> </w:t>
      </w:r>
      <w:r>
        <w:rPr>
          <w:i/>
        </w:rPr>
        <w:t>Thromboembolism</w:t>
      </w:r>
      <w:r>
        <w:rPr>
          <w:i/>
          <w:spacing w:val="-2"/>
        </w:rPr>
        <w:t xml:space="preserve"> </w:t>
      </w:r>
      <w:r>
        <w:rPr>
          <w:i/>
        </w:rPr>
        <w:t>Prophylaxis</w:t>
      </w:r>
      <w:r>
        <w:rPr>
          <w:i/>
          <w:spacing w:val="-3"/>
        </w:rPr>
        <w:t xml:space="preserve"> </w:t>
      </w:r>
      <w:r>
        <w:t>and</w:t>
      </w:r>
      <w:r>
        <w:rPr>
          <w:spacing w:val="-1"/>
        </w:rPr>
        <w:t xml:space="preserve"> </w:t>
      </w:r>
      <w:r>
        <w:t>statistically</w:t>
      </w:r>
      <w:r>
        <w:rPr>
          <w:spacing w:val="-3"/>
        </w:rPr>
        <w:t xml:space="preserve"> </w:t>
      </w:r>
      <w:r>
        <w:t>worse</w:t>
      </w:r>
      <w:r>
        <w:rPr>
          <w:spacing w:val="-3"/>
        </w:rPr>
        <w:t xml:space="preserve"> </w:t>
      </w:r>
      <w:r>
        <w:t>on</w:t>
      </w:r>
      <w:r>
        <w:rPr>
          <w:spacing w:val="-2"/>
        </w:rPr>
        <w:t xml:space="preserve"> </w:t>
      </w:r>
      <w:r>
        <w:t>the</w:t>
      </w:r>
      <w:r>
        <w:rPr>
          <w:spacing w:val="-3"/>
        </w:rPr>
        <w:t xml:space="preserve"> </w:t>
      </w:r>
      <w:r>
        <w:rPr>
          <w:i/>
        </w:rPr>
        <w:t>Safe</w:t>
      </w:r>
      <w:r>
        <w:rPr>
          <w:i/>
          <w:spacing w:val="-2"/>
        </w:rPr>
        <w:t xml:space="preserve"> </w:t>
      </w:r>
      <w:r>
        <w:rPr>
          <w:i/>
        </w:rPr>
        <w:t>Use</w:t>
      </w:r>
      <w:r>
        <w:rPr>
          <w:i/>
          <w:spacing w:val="-2"/>
        </w:rPr>
        <w:t xml:space="preserve"> </w:t>
      </w:r>
      <w:r>
        <w:rPr>
          <w:i/>
        </w:rPr>
        <w:t xml:space="preserve">of Opioids </w:t>
      </w:r>
      <w:r>
        <w:t xml:space="preserve">metrics. Mount Auburn Hospital performed statistically better on the </w:t>
      </w:r>
      <w:r>
        <w:rPr>
          <w:i/>
        </w:rPr>
        <w:t xml:space="preserve">Safe Use of Opioids </w:t>
      </w:r>
      <w:r>
        <w:t xml:space="preserve">and statistically worse on the </w:t>
      </w:r>
      <w:r>
        <w:rPr>
          <w:i/>
        </w:rPr>
        <w:t>Appropriate Follow-up Interval for Normal Colonoscopy in Average Risk Patients</w:t>
      </w:r>
      <w:r>
        <w:t xml:space="preserve">, </w:t>
      </w:r>
      <w:r>
        <w:rPr>
          <w:i/>
        </w:rPr>
        <w:t>Venous Thromboembolism Prophylaxis</w:t>
      </w:r>
      <w:r>
        <w:t xml:space="preserve">, and </w:t>
      </w:r>
      <w:r>
        <w:rPr>
          <w:i/>
        </w:rPr>
        <w:t xml:space="preserve">Intensive Care Unit Venous Thromboembolism Prophylaxis </w:t>
      </w:r>
      <w:r>
        <w:t xml:space="preserve">metrics. New England Baptist Hospital performed statistically better on the </w:t>
      </w:r>
      <w:r>
        <w:rPr>
          <w:i/>
        </w:rPr>
        <w:t xml:space="preserve">Venous Thromboembolism Prophylaxis </w:t>
      </w:r>
      <w:r>
        <w:t xml:space="preserve">and </w:t>
      </w:r>
      <w:r>
        <w:rPr>
          <w:i/>
        </w:rPr>
        <w:t xml:space="preserve">Intensive Care Unit Venous Thromboembolism Prophylaxis </w:t>
      </w:r>
      <w:r>
        <w:t>metrics. Northeast Hospital performed statistically</w:t>
      </w:r>
      <w:r>
        <w:rPr>
          <w:spacing w:val="-1"/>
        </w:rPr>
        <w:t xml:space="preserve"> </w:t>
      </w:r>
      <w:r>
        <w:t>better on the</w:t>
      </w:r>
      <w:r>
        <w:rPr>
          <w:spacing w:val="-1"/>
        </w:rPr>
        <w:t xml:space="preserve"> </w:t>
      </w:r>
      <w:r>
        <w:rPr>
          <w:i/>
        </w:rPr>
        <w:t>Appropriate Follow-up</w:t>
      </w:r>
      <w:r>
        <w:rPr>
          <w:i/>
          <w:spacing w:val="-1"/>
        </w:rPr>
        <w:t xml:space="preserve"> </w:t>
      </w:r>
      <w:r>
        <w:rPr>
          <w:i/>
        </w:rPr>
        <w:t>Interval for Normal Colonoscopy</w:t>
      </w:r>
      <w:r>
        <w:rPr>
          <w:i/>
          <w:spacing w:val="-1"/>
        </w:rPr>
        <w:t xml:space="preserve"> </w:t>
      </w:r>
      <w:r>
        <w:rPr>
          <w:i/>
        </w:rPr>
        <w:t xml:space="preserve">in Average Risk Patients </w:t>
      </w:r>
      <w:r>
        <w:t xml:space="preserve">and </w:t>
      </w:r>
      <w:r>
        <w:rPr>
          <w:i/>
        </w:rPr>
        <w:t xml:space="preserve">Intensive Care Unit Venous Thromboembolism Prophylaxis </w:t>
      </w:r>
      <w:r>
        <w:t xml:space="preserve">and statistically worse on the </w:t>
      </w:r>
      <w:r>
        <w:rPr>
          <w:i/>
        </w:rPr>
        <w:t xml:space="preserve">Safe Use of Opioids </w:t>
      </w:r>
      <w:r>
        <w:t xml:space="preserve">metrics. Winchester Hospital performed statistically better on the </w:t>
      </w:r>
      <w:r>
        <w:rPr>
          <w:i/>
        </w:rPr>
        <w:t>Left Before Being See at the Emergency Department</w:t>
      </w:r>
      <w:r>
        <w:t xml:space="preserve">, </w:t>
      </w:r>
      <w:r>
        <w:rPr>
          <w:i/>
        </w:rPr>
        <w:t>Safe Use of Opioids</w:t>
      </w:r>
      <w:r>
        <w:t xml:space="preserve">, and </w:t>
      </w:r>
      <w:r>
        <w:rPr>
          <w:i/>
        </w:rPr>
        <w:t xml:space="preserve">Intensive Care Unit Venous Thromboembolism Prophylaxis </w:t>
      </w:r>
      <w:r>
        <w:t xml:space="preserve">metrics. </w:t>
      </w:r>
      <w:r>
        <w:rPr>
          <w:i/>
        </w:rPr>
        <w:t xml:space="preserve">See Hospital Compare Datasets, supra </w:t>
      </w:r>
      <w:r>
        <w:t xml:space="preserve">note </w:t>
      </w:r>
      <w:hyperlink w:anchor="_bookmark184" w:history="1">
        <w:r>
          <w:t>161.</w:t>
        </w:r>
      </w:hyperlink>
    </w:p>
  </w:footnote>
  <w:footnote w:id="275">
    <w:p w14:paraId="3077BA20" w14:textId="64092117" w:rsidR="002D77CD" w:rsidRPr="00060D7D" w:rsidRDefault="002D77CD" w:rsidP="00D82493">
      <w:pPr>
        <w:ind w:left="907" w:right="936"/>
        <w:rPr>
          <w:sz w:val="20"/>
        </w:rPr>
      </w:pPr>
      <w:r>
        <w:rPr>
          <w:rStyle w:val="FootnoteReference"/>
        </w:rPr>
        <w:footnoteRef/>
      </w:r>
      <w:r>
        <w:t xml:space="preserve"> </w:t>
      </w:r>
      <w:r>
        <w:rPr>
          <w:sz w:val="20"/>
        </w:rPr>
        <w:t>Anna</w:t>
      </w:r>
      <w:r>
        <w:rPr>
          <w:spacing w:val="-3"/>
          <w:sz w:val="20"/>
        </w:rPr>
        <w:t xml:space="preserve"> </w:t>
      </w:r>
      <w:r>
        <w:rPr>
          <w:sz w:val="20"/>
        </w:rPr>
        <w:t>Jaques</w:t>
      </w:r>
      <w:r>
        <w:rPr>
          <w:spacing w:val="-2"/>
          <w:sz w:val="20"/>
        </w:rPr>
        <w:t xml:space="preserve"> </w:t>
      </w:r>
      <w:r>
        <w:rPr>
          <w:sz w:val="20"/>
        </w:rPr>
        <w:t>Hospital</w:t>
      </w:r>
      <w:r>
        <w:rPr>
          <w:spacing w:val="-3"/>
          <w:sz w:val="20"/>
        </w:rPr>
        <w:t xml:space="preserve"> </w:t>
      </w:r>
      <w:r>
        <w:rPr>
          <w:sz w:val="20"/>
        </w:rPr>
        <w:t>performed</w:t>
      </w:r>
      <w:r>
        <w:rPr>
          <w:spacing w:val="-2"/>
          <w:sz w:val="20"/>
        </w:rPr>
        <w:t xml:space="preserve"> </w:t>
      </w:r>
      <w:r>
        <w:rPr>
          <w:sz w:val="20"/>
        </w:rPr>
        <w:t>statistically</w:t>
      </w:r>
      <w:r>
        <w:rPr>
          <w:spacing w:val="-4"/>
          <w:sz w:val="20"/>
        </w:rPr>
        <w:t xml:space="preserve"> </w:t>
      </w:r>
      <w:r>
        <w:rPr>
          <w:sz w:val="20"/>
        </w:rPr>
        <w:t>better</w:t>
      </w:r>
      <w:r>
        <w:rPr>
          <w:spacing w:val="-4"/>
          <w:sz w:val="20"/>
        </w:rPr>
        <w:t xml:space="preserve"> </w:t>
      </w:r>
      <w:r>
        <w:rPr>
          <w:sz w:val="20"/>
        </w:rPr>
        <w:t>than</w:t>
      </w:r>
      <w:r>
        <w:rPr>
          <w:spacing w:val="-3"/>
          <w:sz w:val="20"/>
        </w:rPr>
        <w:t xml:space="preserve"> </w:t>
      </w:r>
      <w:r>
        <w:rPr>
          <w:sz w:val="20"/>
        </w:rPr>
        <w:t>statewide</w:t>
      </w:r>
      <w:r>
        <w:rPr>
          <w:spacing w:val="-4"/>
          <w:sz w:val="20"/>
        </w:rPr>
        <w:t xml:space="preserve"> </w:t>
      </w:r>
      <w:r>
        <w:rPr>
          <w:sz w:val="20"/>
        </w:rPr>
        <w:t>averages</w:t>
      </w:r>
      <w:r>
        <w:rPr>
          <w:spacing w:val="-2"/>
          <w:sz w:val="20"/>
        </w:rPr>
        <w:t xml:space="preserve"> </w:t>
      </w:r>
      <w:r>
        <w:rPr>
          <w:sz w:val="20"/>
        </w:rPr>
        <w:t>on</w:t>
      </w:r>
      <w:r>
        <w:rPr>
          <w:spacing w:val="-3"/>
          <w:sz w:val="20"/>
        </w:rPr>
        <w:t xml:space="preserve"> </w:t>
      </w:r>
      <w:r>
        <w:rPr>
          <w:sz w:val="20"/>
        </w:rPr>
        <w:t>the</w:t>
      </w:r>
      <w:r>
        <w:rPr>
          <w:spacing w:val="-4"/>
          <w:sz w:val="20"/>
        </w:rPr>
        <w:t xml:space="preserve"> </w:t>
      </w:r>
      <w:r>
        <w:rPr>
          <w:i/>
          <w:sz w:val="20"/>
        </w:rPr>
        <w:t>Healthcare</w:t>
      </w:r>
      <w:r>
        <w:rPr>
          <w:i/>
          <w:spacing w:val="-3"/>
          <w:sz w:val="20"/>
        </w:rPr>
        <w:t xml:space="preserve"> </w:t>
      </w:r>
      <w:r>
        <w:rPr>
          <w:i/>
          <w:sz w:val="20"/>
        </w:rPr>
        <w:t>Workers Given</w:t>
      </w:r>
      <w:r>
        <w:rPr>
          <w:i/>
          <w:spacing w:val="-1"/>
          <w:sz w:val="20"/>
        </w:rPr>
        <w:t xml:space="preserve"> </w:t>
      </w:r>
      <w:r>
        <w:rPr>
          <w:i/>
          <w:sz w:val="20"/>
        </w:rPr>
        <w:t>Influenza</w:t>
      </w:r>
      <w:r>
        <w:rPr>
          <w:i/>
          <w:spacing w:val="-3"/>
          <w:sz w:val="20"/>
        </w:rPr>
        <w:t xml:space="preserve"> </w:t>
      </w:r>
      <w:r>
        <w:rPr>
          <w:i/>
          <w:sz w:val="20"/>
        </w:rPr>
        <w:t xml:space="preserve">Vaccination </w:t>
      </w:r>
      <w:r>
        <w:rPr>
          <w:sz w:val="20"/>
        </w:rPr>
        <w:t>metric.</w:t>
      </w:r>
      <w:r>
        <w:rPr>
          <w:spacing w:val="-1"/>
          <w:sz w:val="20"/>
        </w:rPr>
        <w:t xml:space="preserve"> </w:t>
      </w:r>
      <w:r>
        <w:rPr>
          <w:sz w:val="20"/>
        </w:rPr>
        <w:t>Beth</w:t>
      </w:r>
      <w:r>
        <w:rPr>
          <w:spacing w:val="-2"/>
          <w:sz w:val="20"/>
        </w:rPr>
        <w:t xml:space="preserve"> </w:t>
      </w:r>
      <w:r>
        <w:rPr>
          <w:sz w:val="20"/>
        </w:rPr>
        <w:t>Israel</w:t>
      </w:r>
      <w:r>
        <w:rPr>
          <w:spacing w:val="-2"/>
          <w:sz w:val="20"/>
        </w:rPr>
        <w:t xml:space="preserve"> </w:t>
      </w:r>
      <w:r>
        <w:rPr>
          <w:sz w:val="20"/>
        </w:rPr>
        <w:t>Deaconess</w:t>
      </w:r>
      <w:r>
        <w:rPr>
          <w:spacing w:val="-1"/>
          <w:sz w:val="20"/>
        </w:rPr>
        <w:t xml:space="preserve"> </w:t>
      </w:r>
      <w:r>
        <w:rPr>
          <w:sz w:val="20"/>
        </w:rPr>
        <w:t>Hospital</w:t>
      </w:r>
      <w:r>
        <w:rPr>
          <w:spacing w:val="-2"/>
          <w:sz w:val="20"/>
        </w:rPr>
        <w:t xml:space="preserve"> </w:t>
      </w:r>
      <w:r>
        <w:rPr>
          <w:sz w:val="20"/>
        </w:rPr>
        <w:t>Milton performed statistically</w:t>
      </w:r>
      <w:r>
        <w:rPr>
          <w:spacing w:val="-3"/>
          <w:sz w:val="20"/>
        </w:rPr>
        <w:t xml:space="preserve"> </w:t>
      </w:r>
      <w:r>
        <w:rPr>
          <w:sz w:val="20"/>
        </w:rPr>
        <w:t>better</w:t>
      </w:r>
      <w:r>
        <w:rPr>
          <w:spacing w:val="-3"/>
          <w:sz w:val="20"/>
        </w:rPr>
        <w:t xml:space="preserve"> </w:t>
      </w:r>
      <w:r>
        <w:rPr>
          <w:sz w:val="20"/>
        </w:rPr>
        <w:t xml:space="preserve">on the </w:t>
      </w:r>
      <w:r>
        <w:rPr>
          <w:i/>
          <w:sz w:val="20"/>
        </w:rPr>
        <w:t xml:space="preserve">Healthcare Workers Given Influenza Vaccination </w:t>
      </w:r>
      <w:r>
        <w:rPr>
          <w:sz w:val="20"/>
        </w:rPr>
        <w:t xml:space="preserve">and statistically worse on the </w:t>
      </w:r>
      <w:r>
        <w:rPr>
          <w:i/>
          <w:sz w:val="20"/>
        </w:rPr>
        <w:t xml:space="preserve">Percentage of Healthcare Personnel Who Are Up to Date With COVID-19 Vaccinations </w:t>
      </w:r>
      <w:r>
        <w:rPr>
          <w:sz w:val="20"/>
        </w:rPr>
        <w:t xml:space="preserve">metrics. Beth Israel Deaconess Hospital Needham performed statistically better on the </w:t>
      </w:r>
      <w:r>
        <w:rPr>
          <w:i/>
          <w:sz w:val="20"/>
        </w:rPr>
        <w:t xml:space="preserve">Healthcare Workers Given Influenza Vaccination </w:t>
      </w:r>
      <w:r>
        <w:rPr>
          <w:sz w:val="20"/>
        </w:rPr>
        <w:t xml:space="preserve">and statistically worse on the </w:t>
      </w:r>
      <w:r>
        <w:rPr>
          <w:i/>
          <w:sz w:val="20"/>
        </w:rPr>
        <w:t>Percentage of Healthcare Personnel Who Are Up to Date With COVID-19</w:t>
      </w:r>
      <w:r w:rsidR="00163603" w:rsidRPr="00163603">
        <w:rPr>
          <w:i/>
          <w:sz w:val="20"/>
        </w:rPr>
        <w:t xml:space="preserve"> </w:t>
      </w:r>
      <w:r w:rsidR="00163603">
        <w:rPr>
          <w:i/>
          <w:sz w:val="20"/>
        </w:rPr>
        <w:t xml:space="preserve">Vaccinations </w:t>
      </w:r>
      <w:r w:rsidR="00163603">
        <w:rPr>
          <w:sz w:val="20"/>
        </w:rPr>
        <w:t xml:space="preserve">metrics. Beth Israel Deaconess Hospital Plymouth performed statistically better on the </w:t>
      </w:r>
      <w:r w:rsidR="00163603">
        <w:rPr>
          <w:i/>
          <w:sz w:val="20"/>
        </w:rPr>
        <w:t xml:space="preserve">Healthcare Workers Given Influenza Vaccination </w:t>
      </w:r>
      <w:r w:rsidR="00163603">
        <w:rPr>
          <w:sz w:val="20"/>
        </w:rPr>
        <w:t xml:space="preserve">and </w:t>
      </w:r>
      <w:r w:rsidR="00163603">
        <w:rPr>
          <w:i/>
          <w:sz w:val="20"/>
        </w:rPr>
        <w:t>Percentage of Healthcare Personnel Who Are Up to Date</w:t>
      </w:r>
      <w:r w:rsidR="00163603">
        <w:rPr>
          <w:i/>
          <w:spacing w:val="-3"/>
          <w:sz w:val="20"/>
        </w:rPr>
        <w:t xml:space="preserve"> </w:t>
      </w:r>
      <w:r w:rsidR="00163603">
        <w:rPr>
          <w:i/>
          <w:sz w:val="20"/>
        </w:rPr>
        <w:t>With</w:t>
      </w:r>
      <w:r w:rsidR="00163603">
        <w:rPr>
          <w:i/>
          <w:spacing w:val="-4"/>
          <w:sz w:val="20"/>
        </w:rPr>
        <w:t xml:space="preserve"> </w:t>
      </w:r>
      <w:r w:rsidR="00163603">
        <w:rPr>
          <w:i/>
          <w:sz w:val="20"/>
        </w:rPr>
        <w:t>COVID-19</w:t>
      </w:r>
      <w:r w:rsidR="00163603">
        <w:rPr>
          <w:i/>
          <w:spacing w:val="-2"/>
          <w:sz w:val="20"/>
        </w:rPr>
        <w:t xml:space="preserve"> </w:t>
      </w:r>
      <w:r w:rsidR="00163603">
        <w:rPr>
          <w:i/>
          <w:sz w:val="20"/>
        </w:rPr>
        <w:t>Vaccinations</w:t>
      </w:r>
      <w:r w:rsidR="00163603">
        <w:rPr>
          <w:i/>
          <w:spacing w:val="-4"/>
          <w:sz w:val="20"/>
        </w:rPr>
        <w:t xml:space="preserve"> </w:t>
      </w:r>
      <w:r w:rsidR="00163603">
        <w:rPr>
          <w:sz w:val="20"/>
        </w:rPr>
        <w:t>metrics.</w:t>
      </w:r>
      <w:r w:rsidR="00163603">
        <w:rPr>
          <w:spacing w:val="-2"/>
          <w:sz w:val="20"/>
        </w:rPr>
        <w:t xml:space="preserve"> </w:t>
      </w:r>
      <w:r w:rsidR="00163603">
        <w:rPr>
          <w:sz w:val="20"/>
        </w:rPr>
        <w:t>BIDMC</w:t>
      </w:r>
      <w:r w:rsidR="00163603">
        <w:rPr>
          <w:spacing w:val="-3"/>
          <w:sz w:val="20"/>
        </w:rPr>
        <w:t xml:space="preserve"> </w:t>
      </w:r>
      <w:r w:rsidR="00163603">
        <w:rPr>
          <w:sz w:val="20"/>
        </w:rPr>
        <w:t>performed</w:t>
      </w:r>
      <w:r w:rsidR="00163603">
        <w:rPr>
          <w:spacing w:val="-2"/>
          <w:sz w:val="20"/>
        </w:rPr>
        <w:t xml:space="preserve"> </w:t>
      </w:r>
      <w:r w:rsidR="00163603">
        <w:rPr>
          <w:sz w:val="20"/>
        </w:rPr>
        <w:t>statistically</w:t>
      </w:r>
      <w:r w:rsidR="00163603">
        <w:rPr>
          <w:spacing w:val="-4"/>
          <w:sz w:val="20"/>
        </w:rPr>
        <w:t xml:space="preserve"> </w:t>
      </w:r>
      <w:r w:rsidR="00163603">
        <w:rPr>
          <w:sz w:val="20"/>
        </w:rPr>
        <w:t>better</w:t>
      </w:r>
      <w:r w:rsidR="00163603">
        <w:rPr>
          <w:spacing w:val="-4"/>
          <w:sz w:val="20"/>
        </w:rPr>
        <w:t xml:space="preserve"> </w:t>
      </w:r>
      <w:r w:rsidR="00163603">
        <w:rPr>
          <w:sz w:val="20"/>
        </w:rPr>
        <w:t>on</w:t>
      </w:r>
      <w:r w:rsidR="00163603">
        <w:rPr>
          <w:spacing w:val="-3"/>
          <w:sz w:val="20"/>
        </w:rPr>
        <w:t xml:space="preserve"> </w:t>
      </w:r>
      <w:r w:rsidR="00163603">
        <w:rPr>
          <w:sz w:val="20"/>
        </w:rPr>
        <w:t>the</w:t>
      </w:r>
      <w:r w:rsidR="00163603">
        <w:rPr>
          <w:spacing w:val="-4"/>
          <w:sz w:val="20"/>
        </w:rPr>
        <w:t xml:space="preserve"> </w:t>
      </w:r>
      <w:r w:rsidR="00163603">
        <w:rPr>
          <w:i/>
          <w:sz w:val="20"/>
        </w:rPr>
        <w:t>Healthcare</w:t>
      </w:r>
      <w:r w:rsidR="00163603">
        <w:rPr>
          <w:i/>
          <w:spacing w:val="-3"/>
          <w:sz w:val="20"/>
        </w:rPr>
        <w:t xml:space="preserve"> </w:t>
      </w:r>
      <w:r w:rsidR="00163603">
        <w:rPr>
          <w:i/>
          <w:sz w:val="20"/>
        </w:rPr>
        <w:t xml:space="preserve">Workers Given Influenza Vaccination </w:t>
      </w:r>
      <w:r w:rsidR="00163603">
        <w:rPr>
          <w:sz w:val="20"/>
        </w:rPr>
        <w:t xml:space="preserve">and </w:t>
      </w:r>
      <w:r w:rsidR="00163603">
        <w:rPr>
          <w:i/>
          <w:sz w:val="20"/>
        </w:rPr>
        <w:t xml:space="preserve">Percentage of Healthcare Personnel Who Are Up to Date With COVID-19 Vaccinations </w:t>
      </w:r>
      <w:r w:rsidR="00163603">
        <w:rPr>
          <w:sz w:val="20"/>
        </w:rPr>
        <w:t xml:space="preserve">metrics. BWH performed statistically better on the </w:t>
      </w:r>
      <w:proofErr w:type="spellStart"/>
      <w:r w:rsidR="00163603">
        <w:rPr>
          <w:i/>
          <w:sz w:val="20"/>
        </w:rPr>
        <w:t>ealthcare</w:t>
      </w:r>
      <w:proofErr w:type="spellEnd"/>
      <w:r w:rsidR="00163603">
        <w:rPr>
          <w:i/>
          <w:sz w:val="20"/>
        </w:rPr>
        <w:t xml:space="preserve"> Workers Given Influenza Vaccination </w:t>
      </w:r>
      <w:r w:rsidR="00163603">
        <w:rPr>
          <w:sz w:val="20"/>
        </w:rPr>
        <w:t xml:space="preserve">and </w:t>
      </w:r>
      <w:r w:rsidR="00163603">
        <w:rPr>
          <w:i/>
          <w:sz w:val="20"/>
        </w:rPr>
        <w:t xml:space="preserve">Percentage of Healthcare Personnel Who Are Up to Date With COVID-19 Vaccinations </w:t>
      </w:r>
      <w:r w:rsidR="00163603">
        <w:rPr>
          <w:sz w:val="20"/>
        </w:rPr>
        <w:t xml:space="preserve">metrics. Lahey performed statistically better on the </w:t>
      </w:r>
      <w:r w:rsidR="00163603">
        <w:rPr>
          <w:i/>
          <w:sz w:val="20"/>
        </w:rPr>
        <w:t xml:space="preserve">Healthcare Workers Given Influenza Vaccination </w:t>
      </w:r>
      <w:r w:rsidR="00163603">
        <w:rPr>
          <w:sz w:val="20"/>
        </w:rPr>
        <w:t xml:space="preserve">and statistically worse on the </w:t>
      </w:r>
      <w:r w:rsidR="00163603">
        <w:rPr>
          <w:i/>
          <w:sz w:val="20"/>
        </w:rPr>
        <w:t xml:space="preserve">Percentage of Healthcare Personnel Who Are Up to Date With COVID-19 Vaccinations </w:t>
      </w:r>
      <w:r w:rsidR="00163603">
        <w:rPr>
          <w:sz w:val="20"/>
        </w:rPr>
        <w:t xml:space="preserve">metrics. MGH performed statistically better on the </w:t>
      </w:r>
      <w:r w:rsidR="00163603">
        <w:rPr>
          <w:i/>
          <w:sz w:val="20"/>
        </w:rPr>
        <w:t xml:space="preserve">Healthcare Workers Given Influenza Vaccination </w:t>
      </w:r>
      <w:r w:rsidR="00163603">
        <w:rPr>
          <w:sz w:val="20"/>
        </w:rPr>
        <w:t xml:space="preserve">and </w:t>
      </w:r>
      <w:r w:rsidR="00163603">
        <w:rPr>
          <w:i/>
          <w:sz w:val="20"/>
        </w:rPr>
        <w:t xml:space="preserve">Percentage of Healthcare Personnel Who Are Up to Date With COVID-19 Vaccinations </w:t>
      </w:r>
      <w:r w:rsidR="00163603">
        <w:rPr>
          <w:sz w:val="20"/>
        </w:rPr>
        <w:t xml:space="preserve">metrics. Mount Auburn Hospital performed statistically worse on the </w:t>
      </w:r>
      <w:r w:rsidR="00163603">
        <w:rPr>
          <w:i/>
          <w:sz w:val="20"/>
        </w:rPr>
        <w:t xml:space="preserve">Healthcare Workers Given Influenza Vaccination </w:t>
      </w:r>
      <w:r w:rsidR="00163603">
        <w:rPr>
          <w:sz w:val="20"/>
        </w:rPr>
        <w:t xml:space="preserve">and </w:t>
      </w:r>
      <w:r w:rsidR="00163603">
        <w:rPr>
          <w:i/>
          <w:sz w:val="20"/>
        </w:rPr>
        <w:t xml:space="preserve">Percentage of Healthcare Personnel Who Are Up to Date With COVID-19 Vaccinations </w:t>
      </w:r>
      <w:r w:rsidR="00163603">
        <w:rPr>
          <w:sz w:val="20"/>
        </w:rPr>
        <w:t>metrics.</w:t>
      </w:r>
      <w:r w:rsidR="00163603">
        <w:rPr>
          <w:spacing w:val="40"/>
          <w:sz w:val="20"/>
        </w:rPr>
        <w:t xml:space="preserve"> </w:t>
      </w:r>
      <w:r w:rsidR="00163603">
        <w:rPr>
          <w:sz w:val="20"/>
        </w:rPr>
        <w:t xml:space="preserve">Northeast Hospital performed statistically better on the </w:t>
      </w:r>
      <w:r w:rsidR="00163603">
        <w:rPr>
          <w:i/>
          <w:sz w:val="20"/>
        </w:rPr>
        <w:t xml:space="preserve">Healthcare Workers Given Influenza Vaccination </w:t>
      </w:r>
      <w:r w:rsidR="00163603">
        <w:rPr>
          <w:sz w:val="20"/>
        </w:rPr>
        <w:t xml:space="preserve">and statistically worse on the </w:t>
      </w:r>
      <w:r w:rsidR="00163603">
        <w:rPr>
          <w:i/>
          <w:sz w:val="20"/>
        </w:rPr>
        <w:t xml:space="preserve">Percentage of Healthcare Personnel Who Are Up to Date With COVID-19 Vaccinations </w:t>
      </w:r>
      <w:r w:rsidR="00163603">
        <w:rPr>
          <w:sz w:val="20"/>
        </w:rPr>
        <w:t xml:space="preserve">metrics. Winchester Hospital performed statistically better on the </w:t>
      </w:r>
      <w:r w:rsidR="00163603">
        <w:rPr>
          <w:i/>
          <w:sz w:val="20"/>
        </w:rPr>
        <w:t xml:space="preserve">Healthcare Workers Given Influenza Vaccination </w:t>
      </w:r>
      <w:r w:rsidR="00163603">
        <w:rPr>
          <w:sz w:val="20"/>
        </w:rPr>
        <w:t xml:space="preserve">and </w:t>
      </w:r>
      <w:r w:rsidR="00163603">
        <w:rPr>
          <w:i/>
          <w:sz w:val="20"/>
        </w:rPr>
        <w:t xml:space="preserve">Percentage of Healthcare Personnel Who Are Up to Date With COVID-19 Vaccinations </w:t>
      </w:r>
      <w:r w:rsidR="00163603">
        <w:rPr>
          <w:sz w:val="20"/>
        </w:rPr>
        <w:t xml:space="preserve">metrics. </w:t>
      </w:r>
      <w:r w:rsidR="00163603">
        <w:rPr>
          <w:i/>
          <w:sz w:val="20"/>
        </w:rPr>
        <w:t xml:space="preserve">See Hospital Compare Datasets, supra </w:t>
      </w:r>
      <w:r w:rsidR="00163603">
        <w:rPr>
          <w:sz w:val="20"/>
        </w:rPr>
        <w:t xml:space="preserve">note </w:t>
      </w:r>
      <w:hyperlink w:anchor="_bookmark184" w:history="1">
        <w:r w:rsidR="00163603">
          <w:rPr>
            <w:sz w:val="20"/>
          </w:rPr>
          <w:t>161.</w:t>
        </w:r>
      </w:hyperlink>
    </w:p>
  </w:footnote>
  <w:footnote w:id="276">
    <w:p w14:paraId="69A239C0" w14:textId="25F70EEC" w:rsidR="00163603" w:rsidRDefault="00163603" w:rsidP="00D82493">
      <w:pPr>
        <w:pStyle w:val="FootnoteText"/>
        <w:ind w:left="907" w:right="936"/>
      </w:pPr>
      <w:r>
        <w:rPr>
          <w:rStyle w:val="FootnoteReference"/>
        </w:rPr>
        <w:footnoteRef/>
      </w:r>
      <w:r>
        <w:t xml:space="preserve"> </w:t>
      </w:r>
      <w:r w:rsidR="00060D7D">
        <w:t xml:space="preserve">Northeast Hospital performed statistically worse on the </w:t>
      </w:r>
      <w:r w:rsidR="00060D7D">
        <w:rPr>
          <w:i/>
        </w:rPr>
        <w:t xml:space="preserve">Overall Hospital Rating </w:t>
      </w:r>
      <w:r w:rsidR="00060D7D">
        <w:t>metric. BIDMC, BWH, Lahey,</w:t>
      </w:r>
      <w:r w:rsidR="00060D7D">
        <w:rPr>
          <w:spacing w:val="-4"/>
        </w:rPr>
        <w:t xml:space="preserve"> </w:t>
      </w:r>
      <w:r w:rsidR="00060D7D">
        <w:t>MGH,</w:t>
      </w:r>
      <w:r w:rsidR="00060D7D">
        <w:rPr>
          <w:spacing w:val="-3"/>
        </w:rPr>
        <w:t xml:space="preserve"> </w:t>
      </w:r>
      <w:r w:rsidR="00060D7D">
        <w:t>Mount</w:t>
      </w:r>
      <w:r w:rsidR="00060D7D">
        <w:rPr>
          <w:spacing w:val="-3"/>
        </w:rPr>
        <w:t xml:space="preserve"> </w:t>
      </w:r>
      <w:r w:rsidR="00060D7D">
        <w:t>Auburn</w:t>
      </w:r>
      <w:r w:rsidR="00060D7D">
        <w:rPr>
          <w:spacing w:val="-2"/>
        </w:rPr>
        <w:t xml:space="preserve"> </w:t>
      </w:r>
      <w:r w:rsidR="00060D7D">
        <w:t>Hospital,</w:t>
      </w:r>
      <w:r w:rsidR="00060D7D">
        <w:rPr>
          <w:spacing w:val="-3"/>
        </w:rPr>
        <w:t xml:space="preserve"> </w:t>
      </w:r>
      <w:r w:rsidR="00060D7D">
        <w:t>and</w:t>
      </w:r>
      <w:r w:rsidR="00060D7D">
        <w:rPr>
          <w:spacing w:val="-3"/>
        </w:rPr>
        <w:t xml:space="preserve"> </w:t>
      </w:r>
      <w:r w:rsidR="00060D7D">
        <w:t>New</w:t>
      </w:r>
      <w:r w:rsidR="00060D7D">
        <w:rPr>
          <w:spacing w:val="-4"/>
        </w:rPr>
        <w:t xml:space="preserve"> </w:t>
      </w:r>
      <w:r w:rsidR="00060D7D">
        <w:t>England</w:t>
      </w:r>
      <w:r w:rsidR="00060D7D">
        <w:rPr>
          <w:spacing w:val="-3"/>
        </w:rPr>
        <w:t xml:space="preserve"> </w:t>
      </w:r>
      <w:r w:rsidR="00060D7D">
        <w:t>Baptist</w:t>
      </w:r>
      <w:r w:rsidR="00060D7D">
        <w:rPr>
          <w:spacing w:val="-3"/>
        </w:rPr>
        <w:t xml:space="preserve"> </w:t>
      </w:r>
      <w:r w:rsidR="00060D7D">
        <w:t>Hospital</w:t>
      </w:r>
      <w:r w:rsidR="00060D7D">
        <w:rPr>
          <w:spacing w:val="-4"/>
        </w:rPr>
        <w:t xml:space="preserve"> </w:t>
      </w:r>
      <w:r w:rsidR="00060D7D">
        <w:t>performed</w:t>
      </w:r>
      <w:r w:rsidR="00060D7D">
        <w:rPr>
          <w:spacing w:val="-3"/>
        </w:rPr>
        <w:t xml:space="preserve"> </w:t>
      </w:r>
      <w:r w:rsidR="00060D7D">
        <w:t>statistically</w:t>
      </w:r>
      <w:r w:rsidR="00060D7D">
        <w:rPr>
          <w:spacing w:val="-4"/>
        </w:rPr>
        <w:t xml:space="preserve"> </w:t>
      </w:r>
      <w:r w:rsidR="00060D7D">
        <w:t>better</w:t>
      </w:r>
      <w:r w:rsidR="00060D7D">
        <w:rPr>
          <w:spacing w:val="-4"/>
        </w:rPr>
        <w:t xml:space="preserve"> </w:t>
      </w:r>
      <w:r w:rsidR="00060D7D">
        <w:t>on</w:t>
      </w:r>
      <w:r w:rsidR="00060D7D">
        <w:rPr>
          <w:spacing w:val="-4"/>
        </w:rPr>
        <w:t xml:space="preserve"> </w:t>
      </w:r>
      <w:r w:rsidR="00060D7D">
        <w:t xml:space="preserve">the </w:t>
      </w:r>
      <w:r w:rsidR="00060D7D">
        <w:rPr>
          <w:i/>
        </w:rPr>
        <w:t xml:space="preserve">Overall Hospital Rating </w:t>
      </w:r>
      <w:r w:rsidR="00060D7D">
        <w:t xml:space="preserve">and </w:t>
      </w:r>
      <w:r w:rsidR="00060D7D">
        <w:rPr>
          <w:i/>
        </w:rPr>
        <w:t xml:space="preserve">Willingness to Recommend Hospital </w:t>
      </w:r>
      <w:r w:rsidR="00060D7D">
        <w:t>metrics.</w:t>
      </w:r>
    </w:p>
  </w:footnote>
  <w:footnote w:id="277">
    <w:p w14:paraId="72B3F719" w14:textId="77777777" w:rsidR="00D82493" w:rsidRDefault="007931F3" w:rsidP="00D82493">
      <w:pPr>
        <w:spacing w:before="1"/>
        <w:ind w:left="907" w:right="936"/>
        <w:rPr>
          <w:sz w:val="20"/>
        </w:rPr>
      </w:pPr>
      <w:r>
        <w:rPr>
          <w:rStyle w:val="FootnoteReference"/>
        </w:rPr>
        <w:footnoteRef/>
      </w:r>
      <w:r>
        <w:t xml:space="preserve"> </w:t>
      </w:r>
      <w:r w:rsidR="00D82493">
        <w:rPr>
          <w:sz w:val="20"/>
        </w:rPr>
        <w:t xml:space="preserve">Anna Jaques performed statistically worse on the </w:t>
      </w:r>
      <w:r w:rsidR="00D82493">
        <w:rPr>
          <w:i/>
          <w:sz w:val="20"/>
        </w:rPr>
        <w:t>Heart Failure (CHF) Mortality Rate</w:t>
      </w:r>
      <w:r w:rsidR="00D82493">
        <w:rPr>
          <w:sz w:val="20"/>
        </w:rPr>
        <w:t xml:space="preserve">, </w:t>
      </w:r>
      <w:r w:rsidR="00D82493">
        <w:rPr>
          <w:i/>
          <w:sz w:val="20"/>
        </w:rPr>
        <w:t>Death Rate in Low- Mortality</w:t>
      </w:r>
      <w:r w:rsidR="00D82493">
        <w:rPr>
          <w:i/>
          <w:spacing w:val="-5"/>
          <w:sz w:val="20"/>
        </w:rPr>
        <w:t xml:space="preserve"> </w:t>
      </w:r>
      <w:r w:rsidR="00D82493">
        <w:rPr>
          <w:i/>
          <w:sz w:val="20"/>
        </w:rPr>
        <w:t>Diagnosis</w:t>
      </w:r>
      <w:r w:rsidR="00D82493">
        <w:rPr>
          <w:i/>
          <w:spacing w:val="-5"/>
          <w:sz w:val="20"/>
        </w:rPr>
        <w:t xml:space="preserve"> </w:t>
      </w:r>
      <w:r w:rsidR="00D82493">
        <w:rPr>
          <w:i/>
          <w:sz w:val="20"/>
        </w:rPr>
        <w:t>Related</w:t>
      </w:r>
      <w:r w:rsidR="00D82493">
        <w:rPr>
          <w:i/>
          <w:spacing w:val="-1"/>
          <w:sz w:val="20"/>
        </w:rPr>
        <w:t xml:space="preserve"> </w:t>
      </w:r>
      <w:r w:rsidR="00D82493">
        <w:rPr>
          <w:i/>
          <w:sz w:val="20"/>
        </w:rPr>
        <w:t>Groups</w:t>
      </w:r>
      <w:r w:rsidR="00D82493">
        <w:rPr>
          <w:sz w:val="20"/>
        </w:rPr>
        <w:t>,</w:t>
      </w:r>
      <w:r w:rsidR="00D82493">
        <w:rPr>
          <w:spacing w:val="-3"/>
          <w:sz w:val="20"/>
        </w:rPr>
        <w:t xml:space="preserve"> </w:t>
      </w:r>
      <w:r w:rsidR="00D82493">
        <w:rPr>
          <w:i/>
          <w:sz w:val="20"/>
        </w:rPr>
        <w:t>Perioperative</w:t>
      </w:r>
      <w:r w:rsidR="00D82493">
        <w:rPr>
          <w:i/>
          <w:spacing w:val="-4"/>
          <w:sz w:val="20"/>
        </w:rPr>
        <w:t xml:space="preserve"> </w:t>
      </w:r>
      <w:r w:rsidR="00D82493">
        <w:rPr>
          <w:i/>
          <w:sz w:val="20"/>
        </w:rPr>
        <w:t>Pulmonary</w:t>
      </w:r>
      <w:r w:rsidR="00D82493">
        <w:rPr>
          <w:i/>
          <w:spacing w:val="-5"/>
          <w:sz w:val="20"/>
        </w:rPr>
        <w:t xml:space="preserve"> </w:t>
      </w:r>
      <w:r w:rsidR="00D82493">
        <w:rPr>
          <w:i/>
          <w:sz w:val="20"/>
        </w:rPr>
        <w:t>Embolism</w:t>
      </w:r>
      <w:r w:rsidR="00D82493">
        <w:rPr>
          <w:i/>
          <w:spacing w:val="-1"/>
          <w:sz w:val="20"/>
        </w:rPr>
        <w:t xml:space="preserve"> </w:t>
      </w:r>
      <w:r w:rsidR="00D82493">
        <w:rPr>
          <w:i/>
          <w:sz w:val="20"/>
        </w:rPr>
        <w:t>or</w:t>
      </w:r>
      <w:r w:rsidR="00D82493">
        <w:rPr>
          <w:i/>
          <w:spacing w:val="-4"/>
          <w:sz w:val="20"/>
        </w:rPr>
        <w:t xml:space="preserve"> </w:t>
      </w:r>
      <w:r w:rsidR="00D82493">
        <w:rPr>
          <w:i/>
          <w:sz w:val="20"/>
        </w:rPr>
        <w:t>Deep</w:t>
      </w:r>
      <w:r w:rsidR="00D82493">
        <w:rPr>
          <w:i/>
          <w:spacing w:val="-5"/>
          <w:sz w:val="20"/>
        </w:rPr>
        <w:t xml:space="preserve"> </w:t>
      </w:r>
      <w:r w:rsidR="00D82493">
        <w:rPr>
          <w:i/>
          <w:sz w:val="20"/>
        </w:rPr>
        <w:t>Vein Thrombosis</w:t>
      </w:r>
      <w:r w:rsidR="00D82493">
        <w:rPr>
          <w:i/>
          <w:spacing w:val="-5"/>
          <w:sz w:val="20"/>
        </w:rPr>
        <w:t xml:space="preserve"> </w:t>
      </w:r>
      <w:r w:rsidR="00D82493">
        <w:rPr>
          <w:i/>
          <w:sz w:val="20"/>
        </w:rPr>
        <w:t>Rate,</w:t>
      </w:r>
      <w:r w:rsidR="00D82493">
        <w:rPr>
          <w:i/>
          <w:spacing w:val="-4"/>
          <w:sz w:val="20"/>
        </w:rPr>
        <w:t xml:space="preserve"> </w:t>
      </w:r>
      <w:r w:rsidR="00D82493">
        <w:rPr>
          <w:sz w:val="20"/>
        </w:rPr>
        <w:t xml:space="preserve">and </w:t>
      </w:r>
      <w:r w:rsidR="00D82493">
        <w:rPr>
          <w:i/>
          <w:sz w:val="20"/>
        </w:rPr>
        <w:t xml:space="preserve">Abdominopelvic Accidental Puncture or Laceration Rate </w:t>
      </w:r>
      <w:r w:rsidR="00D82493">
        <w:rPr>
          <w:sz w:val="20"/>
        </w:rPr>
        <w:t xml:space="preserve">metrics. Beth Israel Deaconess Hospital Milton performed statistically better on the </w:t>
      </w:r>
      <w:r w:rsidR="00D82493">
        <w:rPr>
          <w:i/>
          <w:sz w:val="20"/>
        </w:rPr>
        <w:t xml:space="preserve">Death Rate in Low-Mortality Diagnosis Related Groups </w:t>
      </w:r>
      <w:r w:rsidR="00D82493">
        <w:rPr>
          <w:sz w:val="20"/>
        </w:rPr>
        <w:t xml:space="preserve">metrics. Beth Israel Deaconess Hospital Needham performed statistically better on the </w:t>
      </w:r>
      <w:r w:rsidR="00D82493">
        <w:rPr>
          <w:i/>
          <w:sz w:val="20"/>
        </w:rPr>
        <w:t xml:space="preserve">Acute Stroke Mortality Rate </w:t>
      </w:r>
      <w:r w:rsidR="00D82493">
        <w:rPr>
          <w:sz w:val="20"/>
        </w:rPr>
        <w:t xml:space="preserve">and </w:t>
      </w:r>
      <w:r w:rsidR="00D82493">
        <w:rPr>
          <w:i/>
          <w:sz w:val="20"/>
        </w:rPr>
        <w:t xml:space="preserve">Death Rate in Low-Mortality Diagnosis Related Groups </w:t>
      </w:r>
      <w:r w:rsidR="00D82493">
        <w:rPr>
          <w:sz w:val="20"/>
        </w:rPr>
        <w:t xml:space="preserve">and statistically worse on the </w:t>
      </w:r>
      <w:r w:rsidR="00D82493">
        <w:rPr>
          <w:i/>
          <w:sz w:val="20"/>
        </w:rPr>
        <w:t xml:space="preserve">Iatrogenic Pneumothorax </w:t>
      </w:r>
      <w:r w:rsidR="00D82493">
        <w:rPr>
          <w:sz w:val="20"/>
        </w:rPr>
        <w:t>metrics. Beth Israel Deaconess Hospital Plymouth performed statistically worse on the</w:t>
      </w:r>
      <w:r w:rsidR="00D82493">
        <w:rPr>
          <w:spacing w:val="40"/>
          <w:sz w:val="20"/>
        </w:rPr>
        <w:t xml:space="preserve"> </w:t>
      </w:r>
      <w:r w:rsidR="00D82493">
        <w:rPr>
          <w:i/>
          <w:sz w:val="20"/>
        </w:rPr>
        <w:t xml:space="preserve">Death Rate in Low-Mortality Diagnosis Related Groups </w:t>
      </w:r>
      <w:r w:rsidR="00D82493">
        <w:rPr>
          <w:sz w:val="20"/>
        </w:rPr>
        <w:t xml:space="preserve">and </w:t>
      </w:r>
      <w:r w:rsidR="00D82493">
        <w:rPr>
          <w:i/>
          <w:sz w:val="20"/>
        </w:rPr>
        <w:t xml:space="preserve">Perioperative Hemorrhage or Hematoma Rate </w:t>
      </w:r>
      <w:r w:rsidR="00D82493">
        <w:rPr>
          <w:sz w:val="20"/>
        </w:rPr>
        <w:t>metrics. BIDMC performed statistically</w:t>
      </w:r>
      <w:r w:rsidR="00D82493">
        <w:rPr>
          <w:spacing w:val="-1"/>
          <w:sz w:val="20"/>
        </w:rPr>
        <w:t xml:space="preserve"> </w:t>
      </w:r>
      <w:r w:rsidR="00D82493">
        <w:rPr>
          <w:sz w:val="20"/>
        </w:rPr>
        <w:t>worse</w:t>
      </w:r>
      <w:r w:rsidR="00D82493">
        <w:rPr>
          <w:spacing w:val="-1"/>
          <w:sz w:val="20"/>
        </w:rPr>
        <w:t xml:space="preserve"> </w:t>
      </w:r>
      <w:r w:rsidR="00D82493">
        <w:rPr>
          <w:sz w:val="20"/>
        </w:rPr>
        <w:t>on the</w:t>
      </w:r>
      <w:r w:rsidR="00D82493">
        <w:rPr>
          <w:spacing w:val="-1"/>
          <w:sz w:val="20"/>
        </w:rPr>
        <w:t xml:space="preserve"> </w:t>
      </w:r>
      <w:r w:rsidR="00D82493">
        <w:rPr>
          <w:i/>
          <w:sz w:val="20"/>
        </w:rPr>
        <w:t>Acute Stroke Mortality</w:t>
      </w:r>
      <w:r w:rsidR="00D82493">
        <w:rPr>
          <w:i/>
          <w:spacing w:val="-1"/>
          <w:sz w:val="20"/>
        </w:rPr>
        <w:t xml:space="preserve"> </w:t>
      </w:r>
      <w:r w:rsidR="00D82493">
        <w:rPr>
          <w:i/>
          <w:sz w:val="20"/>
        </w:rPr>
        <w:t>Rate</w:t>
      </w:r>
      <w:r w:rsidR="00D82493">
        <w:rPr>
          <w:i/>
          <w:spacing w:val="-1"/>
          <w:sz w:val="20"/>
        </w:rPr>
        <w:t xml:space="preserve"> </w:t>
      </w:r>
      <w:r w:rsidR="00D82493">
        <w:rPr>
          <w:sz w:val="20"/>
        </w:rPr>
        <w:t xml:space="preserve">and </w:t>
      </w:r>
      <w:r w:rsidR="00D82493">
        <w:rPr>
          <w:i/>
          <w:sz w:val="20"/>
        </w:rPr>
        <w:t>Acute Stroke Mortality Rate:</w:t>
      </w:r>
      <w:r w:rsidR="00D82493">
        <w:rPr>
          <w:i/>
          <w:spacing w:val="-1"/>
          <w:sz w:val="20"/>
        </w:rPr>
        <w:t xml:space="preserve"> </w:t>
      </w:r>
      <w:r w:rsidR="00D82493">
        <w:rPr>
          <w:i/>
          <w:sz w:val="20"/>
        </w:rPr>
        <w:t>Ischemic</w:t>
      </w:r>
      <w:r w:rsidR="00D82493">
        <w:rPr>
          <w:i/>
          <w:spacing w:val="-1"/>
          <w:sz w:val="20"/>
        </w:rPr>
        <w:t xml:space="preserve"> </w:t>
      </w:r>
      <w:r w:rsidR="00D82493">
        <w:rPr>
          <w:i/>
          <w:sz w:val="20"/>
        </w:rPr>
        <w:t>Stroke</w:t>
      </w:r>
      <w:r w:rsidR="00D82493">
        <w:rPr>
          <w:i/>
          <w:spacing w:val="-3"/>
          <w:sz w:val="20"/>
        </w:rPr>
        <w:t xml:space="preserve"> </w:t>
      </w:r>
      <w:r w:rsidR="00D82493">
        <w:rPr>
          <w:sz w:val="20"/>
        </w:rPr>
        <w:t>metrics.</w:t>
      </w:r>
      <w:r w:rsidR="00D82493">
        <w:rPr>
          <w:spacing w:val="-1"/>
          <w:sz w:val="20"/>
        </w:rPr>
        <w:t xml:space="preserve"> </w:t>
      </w:r>
      <w:r w:rsidR="00D82493">
        <w:rPr>
          <w:sz w:val="20"/>
        </w:rPr>
        <w:t>BWH</w:t>
      </w:r>
      <w:r w:rsidR="00D82493">
        <w:rPr>
          <w:spacing w:val="-3"/>
          <w:sz w:val="20"/>
        </w:rPr>
        <w:t xml:space="preserve"> </w:t>
      </w:r>
      <w:r w:rsidR="00D82493">
        <w:rPr>
          <w:sz w:val="20"/>
        </w:rPr>
        <w:t>performed</w:t>
      </w:r>
      <w:r w:rsidR="00D82493">
        <w:rPr>
          <w:spacing w:val="-1"/>
          <w:sz w:val="20"/>
        </w:rPr>
        <w:t xml:space="preserve"> </w:t>
      </w:r>
      <w:r w:rsidR="00D82493">
        <w:rPr>
          <w:sz w:val="20"/>
        </w:rPr>
        <w:t>statistically</w:t>
      </w:r>
      <w:r w:rsidR="00D82493">
        <w:rPr>
          <w:spacing w:val="-3"/>
          <w:sz w:val="20"/>
        </w:rPr>
        <w:t xml:space="preserve"> </w:t>
      </w:r>
      <w:r w:rsidR="00D82493">
        <w:rPr>
          <w:sz w:val="20"/>
        </w:rPr>
        <w:t>better</w:t>
      </w:r>
      <w:r w:rsidR="00D82493">
        <w:rPr>
          <w:spacing w:val="-3"/>
          <w:sz w:val="20"/>
        </w:rPr>
        <w:t xml:space="preserve"> </w:t>
      </w:r>
      <w:r w:rsidR="00D82493">
        <w:rPr>
          <w:sz w:val="20"/>
        </w:rPr>
        <w:t>on</w:t>
      </w:r>
      <w:r w:rsidR="00D82493">
        <w:rPr>
          <w:spacing w:val="-2"/>
          <w:sz w:val="20"/>
        </w:rPr>
        <w:t xml:space="preserve"> </w:t>
      </w:r>
      <w:r w:rsidR="00D82493">
        <w:rPr>
          <w:sz w:val="20"/>
        </w:rPr>
        <w:t>the</w:t>
      </w:r>
      <w:r w:rsidR="00D82493">
        <w:rPr>
          <w:spacing w:val="-3"/>
          <w:sz w:val="20"/>
        </w:rPr>
        <w:t xml:space="preserve"> </w:t>
      </w:r>
      <w:r w:rsidR="00D82493">
        <w:rPr>
          <w:i/>
          <w:sz w:val="20"/>
        </w:rPr>
        <w:t>Acute Stroke Mortality</w:t>
      </w:r>
      <w:r w:rsidR="00D82493">
        <w:rPr>
          <w:i/>
          <w:spacing w:val="-3"/>
          <w:sz w:val="20"/>
        </w:rPr>
        <w:t xml:space="preserve"> </w:t>
      </w:r>
      <w:r w:rsidR="00D82493">
        <w:rPr>
          <w:i/>
          <w:sz w:val="20"/>
        </w:rPr>
        <w:t>Rate</w:t>
      </w:r>
      <w:r w:rsidR="00D82493">
        <w:rPr>
          <w:sz w:val="20"/>
        </w:rPr>
        <w:t>,</w:t>
      </w:r>
      <w:r w:rsidR="00D82493">
        <w:rPr>
          <w:spacing w:val="-1"/>
          <w:sz w:val="20"/>
        </w:rPr>
        <w:t xml:space="preserve"> </w:t>
      </w:r>
      <w:r w:rsidR="00D82493">
        <w:rPr>
          <w:i/>
          <w:sz w:val="20"/>
        </w:rPr>
        <w:t>Acute Stroke Mortality Rate: Intracerebral Hemorrhage</w:t>
      </w:r>
      <w:r w:rsidR="00D82493">
        <w:rPr>
          <w:sz w:val="20"/>
        </w:rPr>
        <w:t xml:space="preserve">, </w:t>
      </w:r>
      <w:r w:rsidR="00D82493">
        <w:rPr>
          <w:i/>
          <w:sz w:val="20"/>
        </w:rPr>
        <w:t>Acute Stroke Mortality Rate: Subarachnoid Hemorrhage</w:t>
      </w:r>
      <w:r w:rsidR="00D82493">
        <w:rPr>
          <w:sz w:val="20"/>
        </w:rPr>
        <w:t xml:space="preserve">, and </w:t>
      </w:r>
      <w:r w:rsidR="00D82493">
        <w:rPr>
          <w:i/>
          <w:sz w:val="20"/>
        </w:rPr>
        <w:t xml:space="preserve">Death Rate in Low-Mortality Diagnosis Related Groups </w:t>
      </w:r>
      <w:r w:rsidR="00D82493">
        <w:rPr>
          <w:sz w:val="20"/>
        </w:rPr>
        <w:t xml:space="preserve">and statistically worse on the </w:t>
      </w:r>
      <w:r w:rsidR="00D82493">
        <w:rPr>
          <w:i/>
          <w:sz w:val="20"/>
        </w:rPr>
        <w:t xml:space="preserve">Central Venous Catheter Related Bloodstream Infections </w:t>
      </w:r>
      <w:r w:rsidR="00D82493">
        <w:rPr>
          <w:sz w:val="20"/>
        </w:rPr>
        <w:t xml:space="preserve">metrics. Lahey performed statistically worse on the </w:t>
      </w:r>
      <w:r w:rsidR="00D82493">
        <w:rPr>
          <w:i/>
          <w:sz w:val="20"/>
        </w:rPr>
        <w:t xml:space="preserve">Pneumonia Mortality Rate </w:t>
      </w:r>
      <w:r w:rsidR="00D82493">
        <w:rPr>
          <w:sz w:val="20"/>
        </w:rPr>
        <w:t xml:space="preserve">and </w:t>
      </w:r>
      <w:r w:rsidR="00D82493">
        <w:rPr>
          <w:i/>
          <w:sz w:val="20"/>
        </w:rPr>
        <w:t xml:space="preserve">Death Rate in Low-Mortality Diagnosis Related Groups </w:t>
      </w:r>
      <w:r w:rsidR="00D82493">
        <w:rPr>
          <w:sz w:val="20"/>
        </w:rPr>
        <w:t xml:space="preserve">metrics. MGH performed statistically better on the </w:t>
      </w:r>
      <w:r w:rsidR="00D82493">
        <w:rPr>
          <w:i/>
          <w:sz w:val="20"/>
        </w:rPr>
        <w:t>Pancreatic Resection Mortality Rate: Absence of Pancreatic Cancer</w:t>
      </w:r>
      <w:r w:rsidR="00D82493">
        <w:rPr>
          <w:sz w:val="20"/>
        </w:rPr>
        <w:t xml:space="preserve">, </w:t>
      </w:r>
      <w:r w:rsidR="00D82493">
        <w:rPr>
          <w:i/>
          <w:sz w:val="20"/>
        </w:rPr>
        <w:t>Heart Failure (CHF)</w:t>
      </w:r>
      <w:r w:rsidR="00D82493">
        <w:rPr>
          <w:i/>
          <w:spacing w:val="-3"/>
          <w:sz w:val="20"/>
        </w:rPr>
        <w:t xml:space="preserve"> </w:t>
      </w:r>
      <w:r w:rsidR="00D82493">
        <w:rPr>
          <w:i/>
          <w:sz w:val="20"/>
        </w:rPr>
        <w:t>Mortality</w:t>
      </w:r>
      <w:r w:rsidR="00D82493">
        <w:rPr>
          <w:i/>
          <w:spacing w:val="-3"/>
          <w:sz w:val="20"/>
        </w:rPr>
        <w:t xml:space="preserve"> </w:t>
      </w:r>
      <w:r w:rsidR="00D82493">
        <w:rPr>
          <w:i/>
          <w:sz w:val="20"/>
        </w:rPr>
        <w:t>Rate</w:t>
      </w:r>
      <w:r w:rsidR="00D82493">
        <w:rPr>
          <w:sz w:val="20"/>
        </w:rPr>
        <w:t>,</w:t>
      </w:r>
      <w:r w:rsidR="00D82493">
        <w:rPr>
          <w:spacing w:val="-1"/>
          <w:sz w:val="20"/>
        </w:rPr>
        <w:t xml:space="preserve"> </w:t>
      </w:r>
      <w:r w:rsidR="00D82493">
        <w:rPr>
          <w:i/>
          <w:sz w:val="20"/>
        </w:rPr>
        <w:t>Acute</w:t>
      </w:r>
      <w:r w:rsidR="00D82493">
        <w:rPr>
          <w:i/>
          <w:spacing w:val="-2"/>
          <w:sz w:val="20"/>
        </w:rPr>
        <w:t xml:space="preserve"> </w:t>
      </w:r>
      <w:r w:rsidR="00D82493">
        <w:rPr>
          <w:i/>
          <w:sz w:val="20"/>
        </w:rPr>
        <w:t>Stroke</w:t>
      </w:r>
      <w:r w:rsidR="00D82493">
        <w:rPr>
          <w:i/>
          <w:spacing w:val="-2"/>
          <w:sz w:val="20"/>
        </w:rPr>
        <w:t xml:space="preserve"> </w:t>
      </w:r>
      <w:r w:rsidR="00D82493">
        <w:rPr>
          <w:i/>
          <w:sz w:val="20"/>
        </w:rPr>
        <w:t>Mortality</w:t>
      </w:r>
      <w:r w:rsidR="00D82493">
        <w:rPr>
          <w:i/>
          <w:spacing w:val="-3"/>
          <w:sz w:val="20"/>
        </w:rPr>
        <w:t xml:space="preserve"> </w:t>
      </w:r>
      <w:r w:rsidR="00D82493">
        <w:rPr>
          <w:i/>
          <w:sz w:val="20"/>
        </w:rPr>
        <w:t>Rate</w:t>
      </w:r>
      <w:r w:rsidR="00D82493">
        <w:rPr>
          <w:sz w:val="20"/>
        </w:rPr>
        <w:t>,</w:t>
      </w:r>
      <w:r w:rsidR="00D82493">
        <w:rPr>
          <w:spacing w:val="-1"/>
          <w:sz w:val="20"/>
        </w:rPr>
        <w:t xml:space="preserve"> </w:t>
      </w:r>
      <w:r w:rsidR="00D82493">
        <w:rPr>
          <w:i/>
          <w:sz w:val="20"/>
        </w:rPr>
        <w:t>Acute</w:t>
      </w:r>
      <w:r w:rsidR="00D82493">
        <w:rPr>
          <w:i/>
          <w:spacing w:val="-2"/>
          <w:sz w:val="20"/>
        </w:rPr>
        <w:t xml:space="preserve"> </w:t>
      </w:r>
      <w:r w:rsidR="00D82493">
        <w:rPr>
          <w:i/>
          <w:sz w:val="20"/>
        </w:rPr>
        <w:t>Stroke</w:t>
      </w:r>
      <w:r w:rsidR="00D82493">
        <w:rPr>
          <w:i/>
          <w:spacing w:val="-2"/>
          <w:sz w:val="20"/>
        </w:rPr>
        <w:t xml:space="preserve"> </w:t>
      </w:r>
      <w:r w:rsidR="00D82493">
        <w:rPr>
          <w:i/>
          <w:sz w:val="20"/>
        </w:rPr>
        <w:t>Mortality</w:t>
      </w:r>
      <w:r w:rsidR="00D82493">
        <w:rPr>
          <w:i/>
          <w:spacing w:val="-3"/>
          <w:sz w:val="20"/>
        </w:rPr>
        <w:t xml:space="preserve"> </w:t>
      </w:r>
      <w:r w:rsidR="00D82493">
        <w:rPr>
          <w:i/>
          <w:sz w:val="20"/>
        </w:rPr>
        <w:t>Rate:</w:t>
      </w:r>
      <w:r w:rsidR="00D82493">
        <w:rPr>
          <w:i/>
          <w:spacing w:val="-1"/>
          <w:sz w:val="20"/>
        </w:rPr>
        <w:t xml:space="preserve"> </w:t>
      </w:r>
      <w:r w:rsidR="00D82493">
        <w:rPr>
          <w:i/>
          <w:sz w:val="20"/>
        </w:rPr>
        <w:t>Ischemic</w:t>
      </w:r>
      <w:r w:rsidR="00D82493">
        <w:rPr>
          <w:i/>
          <w:spacing w:val="-3"/>
          <w:sz w:val="20"/>
        </w:rPr>
        <w:t xml:space="preserve"> </w:t>
      </w:r>
      <w:r w:rsidR="00D82493">
        <w:rPr>
          <w:i/>
          <w:sz w:val="20"/>
        </w:rPr>
        <w:t>Stroke</w:t>
      </w:r>
      <w:r w:rsidR="00D82493">
        <w:rPr>
          <w:sz w:val="20"/>
        </w:rPr>
        <w:t>,</w:t>
      </w:r>
      <w:r w:rsidR="00D82493">
        <w:rPr>
          <w:spacing w:val="-1"/>
          <w:sz w:val="20"/>
        </w:rPr>
        <w:t xml:space="preserve"> </w:t>
      </w:r>
      <w:r w:rsidR="00D82493">
        <w:rPr>
          <w:i/>
          <w:sz w:val="20"/>
        </w:rPr>
        <w:t>Pneumonia Mortality Rate</w:t>
      </w:r>
      <w:r w:rsidR="00D82493">
        <w:rPr>
          <w:sz w:val="20"/>
        </w:rPr>
        <w:t xml:space="preserve">, </w:t>
      </w:r>
      <w:r w:rsidR="00D82493">
        <w:rPr>
          <w:i/>
          <w:sz w:val="20"/>
        </w:rPr>
        <w:t>Death Rate in Low-Mortality Diagnosis Related Groups</w:t>
      </w:r>
      <w:r w:rsidR="00D82493">
        <w:rPr>
          <w:sz w:val="20"/>
        </w:rPr>
        <w:t xml:space="preserve">, and </w:t>
      </w:r>
      <w:r w:rsidR="00D82493">
        <w:rPr>
          <w:i/>
          <w:sz w:val="20"/>
        </w:rPr>
        <w:t xml:space="preserve">Iatrogenic Pneumothorax </w:t>
      </w:r>
      <w:r w:rsidR="00D82493">
        <w:rPr>
          <w:sz w:val="20"/>
        </w:rPr>
        <w:t xml:space="preserve">metrics. Mount Auburn Hospital performed statistically worse on the </w:t>
      </w:r>
      <w:r w:rsidR="00D82493">
        <w:rPr>
          <w:i/>
          <w:sz w:val="20"/>
        </w:rPr>
        <w:t xml:space="preserve">Death Rate in Low-Mortality Diagnosis Related Groups </w:t>
      </w:r>
      <w:r w:rsidR="00D82493">
        <w:rPr>
          <w:sz w:val="20"/>
        </w:rPr>
        <w:t xml:space="preserve">metric. New England Baptist Hospital performed statistically better on the </w:t>
      </w:r>
      <w:r w:rsidR="00D82493">
        <w:rPr>
          <w:i/>
          <w:sz w:val="20"/>
        </w:rPr>
        <w:t xml:space="preserve">Death Rate in Low-Mortality Diagnosis Related Groups </w:t>
      </w:r>
      <w:r w:rsidR="00D82493">
        <w:rPr>
          <w:sz w:val="20"/>
        </w:rPr>
        <w:t xml:space="preserve">metric. Northeast Hospital performed statistically better on the </w:t>
      </w:r>
      <w:r w:rsidR="00D82493">
        <w:rPr>
          <w:i/>
          <w:sz w:val="20"/>
        </w:rPr>
        <w:t xml:space="preserve">Death Rate in Low-Mortality Diagnosis Related Groups </w:t>
      </w:r>
      <w:r w:rsidR="00D82493">
        <w:rPr>
          <w:sz w:val="20"/>
        </w:rPr>
        <w:t xml:space="preserve">and </w:t>
      </w:r>
      <w:r w:rsidR="00D82493">
        <w:rPr>
          <w:i/>
          <w:sz w:val="20"/>
        </w:rPr>
        <w:t xml:space="preserve">Heart Failure (CHF) Mortality Rate </w:t>
      </w:r>
      <w:r w:rsidR="00D82493">
        <w:rPr>
          <w:sz w:val="20"/>
        </w:rPr>
        <w:t>metrics.</w:t>
      </w:r>
    </w:p>
    <w:p w14:paraId="7D1B764F" w14:textId="77777777" w:rsidR="00D82493" w:rsidRDefault="00D82493" w:rsidP="00D82493">
      <w:pPr>
        <w:spacing w:before="2"/>
        <w:ind w:left="907" w:right="936"/>
        <w:rPr>
          <w:sz w:val="20"/>
        </w:rPr>
      </w:pPr>
      <w:r>
        <w:rPr>
          <w:sz w:val="20"/>
        </w:rPr>
        <w:t xml:space="preserve">Winchester Hospital performed statistically better on the </w:t>
      </w:r>
      <w:r>
        <w:rPr>
          <w:i/>
          <w:sz w:val="20"/>
        </w:rPr>
        <w:t>Acute Stroke Mortality Rate: Ischemic Stroke</w:t>
      </w:r>
      <w:r>
        <w:rPr>
          <w:sz w:val="20"/>
        </w:rPr>
        <w:t xml:space="preserve">, </w:t>
      </w:r>
      <w:r>
        <w:rPr>
          <w:i/>
          <w:sz w:val="20"/>
        </w:rPr>
        <w:t>Pneumonia</w:t>
      </w:r>
      <w:r>
        <w:rPr>
          <w:i/>
          <w:spacing w:val="-4"/>
          <w:sz w:val="20"/>
        </w:rPr>
        <w:t xml:space="preserve"> </w:t>
      </w:r>
      <w:r>
        <w:rPr>
          <w:i/>
          <w:sz w:val="20"/>
        </w:rPr>
        <w:t>Mortality</w:t>
      </w:r>
      <w:r>
        <w:rPr>
          <w:i/>
          <w:spacing w:val="-4"/>
          <w:sz w:val="20"/>
        </w:rPr>
        <w:t xml:space="preserve"> </w:t>
      </w:r>
      <w:r>
        <w:rPr>
          <w:i/>
          <w:sz w:val="20"/>
        </w:rPr>
        <w:t>Rate</w:t>
      </w:r>
      <w:r>
        <w:rPr>
          <w:sz w:val="20"/>
        </w:rPr>
        <w:t>,</w:t>
      </w:r>
      <w:r>
        <w:rPr>
          <w:spacing w:val="-2"/>
          <w:sz w:val="20"/>
        </w:rPr>
        <w:t xml:space="preserve"> </w:t>
      </w:r>
      <w:r>
        <w:rPr>
          <w:i/>
          <w:sz w:val="20"/>
        </w:rPr>
        <w:t>Death</w:t>
      </w:r>
      <w:r>
        <w:rPr>
          <w:i/>
          <w:spacing w:val="-4"/>
          <w:sz w:val="20"/>
        </w:rPr>
        <w:t xml:space="preserve"> </w:t>
      </w:r>
      <w:r>
        <w:rPr>
          <w:i/>
          <w:sz w:val="20"/>
        </w:rPr>
        <w:t>Rate</w:t>
      </w:r>
      <w:r>
        <w:rPr>
          <w:i/>
          <w:spacing w:val="-3"/>
          <w:sz w:val="20"/>
        </w:rPr>
        <w:t xml:space="preserve"> </w:t>
      </w:r>
      <w:r>
        <w:rPr>
          <w:i/>
          <w:sz w:val="20"/>
        </w:rPr>
        <w:t>in</w:t>
      </w:r>
      <w:r>
        <w:rPr>
          <w:i/>
          <w:spacing w:val="-2"/>
          <w:sz w:val="20"/>
        </w:rPr>
        <w:t xml:space="preserve"> </w:t>
      </w:r>
      <w:r>
        <w:rPr>
          <w:i/>
          <w:sz w:val="20"/>
        </w:rPr>
        <w:t>Low-Mortality</w:t>
      </w:r>
      <w:r>
        <w:rPr>
          <w:i/>
          <w:spacing w:val="-4"/>
          <w:sz w:val="20"/>
        </w:rPr>
        <w:t xml:space="preserve"> </w:t>
      </w:r>
      <w:r>
        <w:rPr>
          <w:i/>
          <w:sz w:val="20"/>
        </w:rPr>
        <w:t>Diagnosis</w:t>
      </w:r>
      <w:r>
        <w:rPr>
          <w:i/>
          <w:spacing w:val="-4"/>
          <w:sz w:val="20"/>
        </w:rPr>
        <w:t xml:space="preserve"> </w:t>
      </w:r>
      <w:r>
        <w:rPr>
          <w:i/>
          <w:sz w:val="20"/>
        </w:rPr>
        <w:t>Related</w:t>
      </w:r>
      <w:r>
        <w:rPr>
          <w:i/>
          <w:spacing w:val="-2"/>
          <w:sz w:val="20"/>
        </w:rPr>
        <w:t xml:space="preserve"> </w:t>
      </w:r>
      <w:r>
        <w:rPr>
          <w:i/>
          <w:sz w:val="20"/>
        </w:rPr>
        <w:t>Groups</w:t>
      </w:r>
      <w:r>
        <w:rPr>
          <w:i/>
          <w:spacing w:val="-4"/>
          <w:sz w:val="20"/>
        </w:rPr>
        <w:t xml:space="preserve"> </w:t>
      </w:r>
      <w:r>
        <w:rPr>
          <w:sz w:val="20"/>
        </w:rPr>
        <w:t>and statistically</w:t>
      </w:r>
      <w:r>
        <w:rPr>
          <w:spacing w:val="-4"/>
          <w:sz w:val="20"/>
        </w:rPr>
        <w:t xml:space="preserve"> </w:t>
      </w:r>
      <w:r>
        <w:rPr>
          <w:sz w:val="20"/>
        </w:rPr>
        <w:t>worse</w:t>
      </w:r>
      <w:r>
        <w:rPr>
          <w:spacing w:val="-4"/>
          <w:sz w:val="20"/>
        </w:rPr>
        <w:t xml:space="preserve"> </w:t>
      </w:r>
      <w:r>
        <w:rPr>
          <w:sz w:val="20"/>
        </w:rPr>
        <w:t xml:space="preserve">on the </w:t>
      </w:r>
      <w:r>
        <w:rPr>
          <w:i/>
          <w:sz w:val="20"/>
        </w:rPr>
        <w:t xml:space="preserve">Postoperative Wound Dehiscence Rate: Non-Open Approach </w:t>
      </w:r>
      <w:r>
        <w:rPr>
          <w:sz w:val="20"/>
        </w:rPr>
        <w:t xml:space="preserve">metrics. </w:t>
      </w:r>
      <w:r>
        <w:rPr>
          <w:i/>
          <w:sz w:val="20"/>
        </w:rPr>
        <w:t xml:space="preserve">See Quality Indicators Software Instructions and Data Dictionary, SAS® QI v2023, supra </w:t>
      </w:r>
      <w:r>
        <w:rPr>
          <w:sz w:val="20"/>
        </w:rPr>
        <w:t xml:space="preserve">note </w:t>
      </w:r>
      <w:hyperlink w:anchor="_bookmark189" w:history="1">
        <w:r>
          <w:rPr>
            <w:sz w:val="20"/>
          </w:rPr>
          <w:t>165.</w:t>
        </w:r>
      </w:hyperlink>
    </w:p>
    <w:p w14:paraId="028353A4" w14:textId="2196BB33" w:rsidR="007931F3" w:rsidRDefault="007931F3">
      <w:pPr>
        <w:pStyle w:val="FootnoteText"/>
      </w:pPr>
    </w:p>
  </w:footnote>
  <w:footnote w:id="278">
    <w:p w14:paraId="6236FFDA" w14:textId="2EA7D1D0" w:rsidR="00F80272" w:rsidRDefault="00F80272" w:rsidP="003E5816">
      <w:pPr>
        <w:pStyle w:val="FootnoteText"/>
        <w:ind w:left="900" w:right="940"/>
      </w:pPr>
      <w:r>
        <w:rPr>
          <w:rStyle w:val="FootnoteReference"/>
        </w:rPr>
        <w:footnoteRef/>
      </w:r>
      <w:r>
        <w:t xml:space="preserve"> </w:t>
      </w:r>
      <w:r w:rsidR="00361BFB">
        <w:t>The HEDIS measures analyzed by the HPC are reported by CHIA</w:t>
      </w:r>
      <w:r w:rsidR="00361BFB" w:rsidRPr="003E5816">
        <w:rPr>
          <w:color w:val="000000" w:themeColor="text1"/>
        </w:rPr>
        <w:t xml:space="preserve">. See </w:t>
      </w:r>
      <w:hyperlink r:id="rId337" w:history="1">
        <w:r w:rsidR="00361BFB" w:rsidRPr="003E5816">
          <w:rPr>
            <w:rStyle w:val="Hyperlink"/>
            <w:i/>
            <w:color w:val="000000" w:themeColor="text1"/>
            <w:u w:val="none"/>
          </w:rPr>
          <w:t>Select Clinical Quality and Patient Experience Measures, 2020–2022</w:t>
        </w:r>
        <w:r w:rsidR="00361BFB" w:rsidRPr="003E5816">
          <w:rPr>
            <w:rStyle w:val="Hyperlink"/>
            <w:color w:val="000000" w:themeColor="text1"/>
            <w:u w:val="none"/>
          </w:rPr>
          <w:t>,</w:t>
        </w:r>
      </w:hyperlink>
      <w:r w:rsidR="00361BFB" w:rsidRPr="003E5816">
        <w:rPr>
          <w:color w:val="000000" w:themeColor="text1"/>
        </w:rPr>
        <w:t xml:space="preserve"> C</w:t>
      </w:r>
      <w:r w:rsidR="00361BFB" w:rsidRPr="003E5816">
        <w:rPr>
          <w:color w:val="000000" w:themeColor="text1"/>
          <w:sz w:val="16"/>
        </w:rPr>
        <w:t xml:space="preserve">ENTER FOR </w:t>
      </w:r>
      <w:r w:rsidR="00361BFB" w:rsidRPr="003E5816">
        <w:rPr>
          <w:color w:val="000000" w:themeColor="text1"/>
        </w:rPr>
        <w:t>H</w:t>
      </w:r>
      <w:r w:rsidR="00361BFB" w:rsidRPr="003E5816">
        <w:rPr>
          <w:color w:val="000000" w:themeColor="text1"/>
          <w:sz w:val="16"/>
        </w:rPr>
        <w:t xml:space="preserve">EALTH </w:t>
      </w:r>
      <w:r w:rsidR="00361BFB" w:rsidRPr="003E5816">
        <w:rPr>
          <w:color w:val="000000" w:themeColor="text1"/>
        </w:rPr>
        <w:t>I</w:t>
      </w:r>
      <w:r w:rsidR="00361BFB" w:rsidRPr="003E5816">
        <w:rPr>
          <w:color w:val="000000" w:themeColor="text1"/>
          <w:sz w:val="16"/>
        </w:rPr>
        <w:t xml:space="preserve">NFORMATION </w:t>
      </w:r>
      <w:r w:rsidR="00361BFB">
        <w:rPr>
          <w:sz w:val="16"/>
        </w:rPr>
        <w:t xml:space="preserve">AND </w:t>
      </w:r>
      <w:r w:rsidR="00361BFB">
        <w:t>A</w:t>
      </w:r>
      <w:r w:rsidR="00361BFB">
        <w:rPr>
          <w:sz w:val="16"/>
        </w:rPr>
        <w:t xml:space="preserve">NALYSIS </w:t>
      </w:r>
      <w:r w:rsidR="00361BFB">
        <w:t xml:space="preserve">(August 2024), </w:t>
      </w:r>
      <w:r w:rsidR="00361BFB">
        <w:rPr>
          <w:i/>
        </w:rPr>
        <w:t xml:space="preserve">available at </w:t>
      </w:r>
      <w:hyperlink r:id="rId338">
        <w:r w:rsidR="00361BFB">
          <w:rPr>
            <w:color w:val="486794"/>
            <w:u w:val="single" w:color="486794"/>
          </w:rPr>
          <w:t>https://www.chiamass.gov/a-focus-on-provider-quality-selected-clinical-measures</w:t>
        </w:r>
        <w:r w:rsidR="00361BFB">
          <w:t>.</w:t>
        </w:r>
      </w:hyperlink>
      <w:r w:rsidR="00361BFB">
        <w:t xml:space="preserve"> The measures publicly reported by CHIA are a subset of metrics from the 2022 Aligned Measure Set, a collection of measures endorsed for</w:t>
      </w:r>
      <w:r w:rsidR="00361BFB">
        <w:rPr>
          <w:spacing w:val="-1"/>
        </w:rPr>
        <w:t xml:space="preserve"> </w:t>
      </w:r>
      <w:r w:rsidR="00361BFB">
        <w:t>prioritization and accountability</w:t>
      </w:r>
      <w:r w:rsidR="00361BFB">
        <w:rPr>
          <w:spacing w:val="-1"/>
        </w:rPr>
        <w:t xml:space="preserve"> </w:t>
      </w:r>
      <w:r w:rsidR="00361BFB">
        <w:t>by</w:t>
      </w:r>
      <w:r w:rsidR="00361BFB">
        <w:rPr>
          <w:spacing w:val="-1"/>
        </w:rPr>
        <w:t xml:space="preserve"> </w:t>
      </w:r>
      <w:r w:rsidR="00361BFB">
        <w:t>the</w:t>
      </w:r>
      <w:r w:rsidR="00361BFB">
        <w:rPr>
          <w:spacing w:val="-1"/>
        </w:rPr>
        <w:t xml:space="preserve"> </w:t>
      </w:r>
      <w:r w:rsidR="00361BFB">
        <w:t>EOHHS</w:t>
      </w:r>
      <w:r w:rsidR="00361BFB">
        <w:rPr>
          <w:spacing w:val="-1"/>
        </w:rPr>
        <w:t xml:space="preserve"> </w:t>
      </w:r>
      <w:r w:rsidR="00361BFB">
        <w:t>Quality</w:t>
      </w:r>
      <w:r w:rsidR="00361BFB">
        <w:rPr>
          <w:spacing w:val="-1"/>
        </w:rPr>
        <w:t xml:space="preserve"> </w:t>
      </w:r>
      <w:r w:rsidR="00361BFB">
        <w:t>Measure</w:t>
      </w:r>
      <w:r w:rsidR="00361BFB">
        <w:rPr>
          <w:spacing w:val="-1"/>
        </w:rPr>
        <w:t xml:space="preserve"> </w:t>
      </w:r>
      <w:r w:rsidR="00361BFB">
        <w:t>Alignment Taskforce. The</w:t>
      </w:r>
      <w:r w:rsidR="00361BFB">
        <w:rPr>
          <w:spacing w:val="-1"/>
        </w:rPr>
        <w:t xml:space="preserve"> </w:t>
      </w:r>
      <w:r w:rsidR="00361BFB">
        <w:t xml:space="preserve">data for the metrics was provided by six Massachusetts health plans. All measures were attributed to the enrollee’s assigned primary care provider (PCP) as of December 31st of the measurement year. BIDCO performed statistically better than statewide averages on the </w:t>
      </w:r>
      <w:r w:rsidR="00361BFB">
        <w:rPr>
          <w:i/>
        </w:rPr>
        <w:t>Use of Imaging Studies for Low Back Pain</w:t>
      </w:r>
      <w:r w:rsidR="00361BFB">
        <w:t xml:space="preserve">, </w:t>
      </w:r>
      <w:r w:rsidR="00361BFB">
        <w:rPr>
          <w:i/>
        </w:rPr>
        <w:t>Prenatal and Postpartum Care – Postpartum Care</w:t>
      </w:r>
      <w:r w:rsidR="00361BFB">
        <w:t xml:space="preserve">, and Prenatal and </w:t>
      </w:r>
      <w:r w:rsidR="00361BFB">
        <w:rPr>
          <w:i/>
        </w:rPr>
        <w:t>Postpartum Care – Timeliness of Prenatal</w:t>
      </w:r>
      <w:r w:rsidR="00361BFB">
        <w:rPr>
          <w:i/>
          <w:spacing w:val="-3"/>
        </w:rPr>
        <w:t xml:space="preserve"> </w:t>
      </w:r>
      <w:r w:rsidR="00361BFB">
        <w:rPr>
          <w:i/>
        </w:rPr>
        <w:t>Care</w:t>
      </w:r>
      <w:r w:rsidR="00361BFB">
        <w:rPr>
          <w:i/>
          <w:spacing w:val="-4"/>
        </w:rPr>
        <w:t xml:space="preserve"> </w:t>
      </w:r>
      <w:r w:rsidR="00361BFB">
        <w:t>and</w:t>
      </w:r>
      <w:r w:rsidR="00361BFB">
        <w:rPr>
          <w:spacing w:val="-2"/>
        </w:rPr>
        <w:t xml:space="preserve"> </w:t>
      </w:r>
      <w:r w:rsidR="00361BFB">
        <w:t>statistically</w:t>
      </w:r>
      <w:r w:rsidR="00361BFB">
        <w:rPr>
          <w:spacing w:val="-4"/>
        </w:rPr>
        <w:t xml:space="preserve"> </w:t>
      </w:r>
      <w:r w:rsidR="00361BFB">
        <w:t>worse</w:t>
      </w:r>
      <w:r w:rsidR="00361BFB">
        <w:rPr>
          <w:spacing w:val="-4"/>
        </w:rPr>
        <w:t xml:space="preserve"> </w:t>
      </w:r>
      <w:r w:rsidR="00361BFB">
        <w:t>on</w:t>
      </w:r>
      <w:r w:rsidR="00361BFB">
        <w:rPr>
          <w:spacing w:val="-3"/>
        </w:rPr>
        <w:t xml:space="preserve"> </w:t>
      </w:r>
      <w:r w:rsidR="00361BFB">
        <w:t>the</w:t>
      </w:r>
      <w:r w:rsidR="00361BFB">
        <w:rPr>
          <w:spacing w:val="-4"/>
        </w:rPr>
        <w:t xml:space="preserve"> </w:t>
      </w:r>
      <w:r w:rsidR="00361BFB">
        <w:rPr>
          <w:i/>
        </w:rPr>
        <w:t>Breast</w:t>
      </w:r>
      <w:r w:rsidR="00361BFB">
        <w:rPr>
          <w:i/>
          <w:spacing w:val="-4"/>
        </w:rPr>
        <w:t xml:space="preserve"> </w:t>
      </w:r>
      <w:r w:rsidR="00361BFB">
        <w:rPr>
          <w:i/>
        </w:rPr>
        <w:t>Cancer</w:t>
      </w:r>
      <w:r w:rsidR="00361BFB">
        <w:rPr>
          <w:i/>
          <w:spacing w:val="-3"/>
        </w:rPr>
        <w:t xml:space="preserve"> </w:t>
      </w:r>
      <w:r w:rsidR="00361BFB">
        <w:rPr>
          <w:i/>
        </w:rPr>
        <w:t>Screening</w:t>
      </w:r>
      <w:r w:rsidR="00361BFB">
        <w:t>,</w:t>
      </w:r>
      <w:r w:rsidR="00361BFB">
        <w:rPr>
          <w:spacing w:val="-2"/>
        </w:rPr>
        <w:t xml:space="preserve"> </w:t>
      </w:r>
      <w:r w:rsidR="00361BFB">
        <w:rPr>
          <w:i/>
        </w:rPr>
        <w:t>Chlamydia</w:t>
      </w:r>
      <w:r w:rsidR="00361BFB">
        <w:rPr>
          <w:i/>
          <w:spacing w:val="-2"/>
        </w:rPr>
        <w:t xml:space="preserve"> </w:t>
      </w:r>
      <w:r w:rsidR="00361BFB">
        <w:rPr>
          <w:i/>
        </w:rPr>
        <w:t>Screening</w:t>
      </w:r>
      <w:r w:rsidR="00361BFB">
        <w:rPr>
          <w:i/>
          <w:spacing w:val="-3"/>
        </w:rPr>
        <w:t xml:space="preserve"> </w:t>
      </w:r>
      <w:r w:rsidR="00361BFB">
        <w:rPr>
          <w:i/>
        </w:rPr>
        <w:t>in</w:t>
      </w:r>
      <w:r w:rsidR="00361BFB">
        <w:rPr>
          <w:i/>
          <w:spacing w:val="-2"/>
        </w:rPr>
        <w:t xml:space="preserve"> </w:t>
      </w:r>
      <w:r w:rsidR="00361BFB">
        <w:rPr>
          <w:i/>
        </w:rPr>
        <w:t>Women</w:t>
      </w:r>
      <w:r w:rsidR="00361BFB">
        <w:rPr>
          <w:i/>
          <w:spacing w:val="-2"/>
        </w:rPr>
        <w:t xml:space="preserve"> </w:t>
      </w:r>
      <w:r w:rsidR="00361BFB">
        <w:rPr>
          <w:i/>
        </w:rPr>
        <w:t>Ages 16 to</w:t>
      </w:r>
      <w:r w:rsidR="00361BFB">
        <w:rPr>
          <w:i/>
          <w:spacing w:val="-1"/>
        </w:rPr>
        <w:t xml:space="preserve"> </w:t>
      </w:r>
      <w:r w:rsidR="00361BFB">
        <w:rPr>
          <w:i/>
        </w:rPr>
        <w:t>20</w:t>
      </w:r>
      <w:r w:rsidR="00361BFB">
        <w:t xml:space="preserve">, </w:t>
      </w:r>
      <w:r w:rsidR="00361BFB">
        <w:rPr>
          <w:i/>
        </w:rPr>
        <w:t>Eye Exam for Patients</w:t>
      </w:r>
      <w:r w:rsidR="00361BFB">
        <w:rPr>
          <w:i/>
          <w:spacing w:val="-1"/>
        </w:rPr>
        <w:t xml:space="preserve"> </w:t>
      </w:r>
      <w:r w:rsidR="00361BFB">
        <w:rPr>
          <w:i/>
        </w:rPr>
        <w:t>with</w:t>
      </w:r>
      <w:r w:rsidR="00361BFB">
        <w:rPr>
          <w:i/>
          <w:spacing w:val="-1"/>
        </w:rPr>
        <w:t xml:space="preserve"> </w:t>
      </w:r>
      <w:r w:rsidR="00361BFB">
        <w:rPr>
          <w:i/>
        </w:rPr>
        <w:t>Diabetes</w:t>
      </w:r>
      <w:r w:rsidR="00361BFB">
        <w:t xml:space="preserve">, and </w:t>
      </w:r>
      <w:r w:rsidR="00361BFB">
        <w:rPr>
          <w:i/>
        </w:rPr>
        <w:t>Follow-Up</w:t>
      </w:r>
      <w:r w:rsidR="00361BFB">
        <w:rPr>
          <w:i/>
          <w:spacing w:val="-1"/>
        </w:rPr>
        <w:t xml:space="preserve"> </w:t>
      </w:r>
      <w:r w:rsidR="00361BFB">
        <w:rPr>
          <w:i/>
        </w:rPr>
        <w:t>After Emergency</w:t>
      </w:r>
      <w:r w:rsidR="00361BFB">
        <w:rPr>
          <w:i/>
          <w:spacing w:val="-1"/>
        </w:rPr>
        <w:t xml:space="preserve"> </w:t>
      </w:r>
      <w:r w:rsidR="00361BFB">
        <w:rPr>
          <w:i/>
        </w:rPr>
        <w:t>Department</w:t>
      </w:r>
      <w:r w:rsidR="00361BFB">
        <w:rPr>
          <w:i/>
          <w:spacing w:val="-1"/>
        </w:rPr>
        <w:t xml:space="preserve"> </w:t>
      </w:r>
      <w:r w:rsidR="00361BFB">
        <w:rPr>
          <w:i/>
        </w:rPr>
        <w:t>Visit</w:t>
      </w:r>
      <w:r w:rsidR="00361BFB">
        <w:rPr>
          <w:i/>
          <w:spacing w:val="-1"/>
        </w:rPr>
        <w:t xml:space="preserve"> </w:t>
      </w:r>
      <w:r w:rsidR="00361BFB">
        <w:rPr>
          <w:i/>
        </w:rPr>
        <w:t xml:space="preserve">for Mental Illness (7-Day) </w:t>
      </w:r>
      <w:r w:rsidR="00361BFB">
        <w:t xml:space="preserve">metrics. Mass General Brigham performed statistically better on the </w:t>
      </w:r>
      <w:r w:rsidR="00361BFB">
        <w:rPr>
          <w:i/>
        </w:rPr>
        <w:t>Breast Cancer Screening</w:t>
      </w:r>
      <w:r w:rsidR="00361BFB">
        <w:t xml:space="preserve">, </w:t>
      </w:r>
      <w:r w:rsidR="00361BFB">
        <w:rPr>
          <w:i/>
        </w:rPr>
        <w:t>Cervical Cancer Screening</w:t>
      </w:r>
      <w:r w:rsidR="00361BFB">
        <w:t xml:space="preserve">, </w:t>
      </w:r>
      <w:r w:rsidR="00361BFB">
        <w:rPr>
          <w:i/>
        </w:rPr>
        <w:t>Colorectal Cancer Screening</w:t>
      </w:r>
      <w:r w:rsidR="00361BFB">
        <w:t xml:space="preserve">, </w:t>
      </w:r>
      <w:r w:rsidR="00361BFB">
        <w:rPr>
          <w:i/>
        </w:rPr>
        <w:t>Prenatal and Postpartum Care – Postpartum Care</w:t>
      </w:r>
      <w:r w:rsidR="00361BFB">
        <w:t xml:space="preserve">, and </w:t>
      </w:r>
      <w:r w:rsidR="00361BFB">
        <w:rPr>
          <w:i/>
        </w:rPr>
        <w:t xml:space="preserve">Prenatal and Postpartum Care – Timeliness of Prenatal Care </w:t>
      </w:r>
      <w:r w:rsidR="00361BFB">
        <w:t xml:space="preserve">and statistically worse on the </w:t>
      </w:r>
      <w:r w:rsidR="00361BFB">
        <w:rPr>
          <w:i/>
        </w:rPr>
        <w:t>Asthma Medication Ratio</w:t>
      </w:r>
      <w:r w:rsidR="00361BFB">
        <w:t xml:space="preserve">, </w:t>
      </w:r>
      <w:r w:rsidR="00361BFB">
        <w:rPr>
          <w:i/>
        </w:rPr>
        <w:t>Chlamydia Screening in Women Ages 16 to 20</w:t>
      </w:r>
      <w:r w:rsidR="00361BFB">
        <w:t xml:space="preserve">, </w:t>
      </w:r>
      <w:r w:rsidR="00361BFB">
        <w:rPr>
          <w:i/>
        </w:rPr>
        <w:t>Chlamydia Screening in Women Ages</w:t>
      </w:r>
      <w:r w:rsidR="00361BFB">
        <w:rPr>
          <w:i/>
          <w:spacing w:val="-2"/>
        </w:rPr>
        <w:t xml:space="preserve"> </w:t>
      </w:r>
      <w:r w:rsidR="00361BFB">
        <w:rPr>
          <w:i/>
        </w:rPr>
        <w:t>21 to</w:t>
      </w:r>
      <w:r w:rsidR="00361BFB">
        <w:rPr>
          <w:i/>
          <w:spacing w:val="-2"/>
        </w:rPr>
        <w:t xml:space="preserve"> </w:t>
      </w:r>
      <w:r w:rsidR="00361BFB">
        <w:rPr>
          <w:i/>
        </w:rPr>
        <w:t>24</w:t>
      </w:r>
      <w:r w:rsidR="00361BFB">
        <w:t xml:space="preserve">, </w:t>
      </w:r>
      <w:r w:rsidR="00361BFB">
        <w:rPr>
          <w:i/>
        </w:rPr>
        <w:t>Eye</w:t>
      </w:r>
      <w:r w:rsidR="00361BFB">
        <w:rPr>
          <w:i/>
          <w:spacing w:val="-1"/>
        </w:rPr>
        <w:t xml:space="preserve"> </w:t>
      </w:r>
      <w:r w:rsidR="00361BFB">
        <w:rPr>
          <w:i/>
        </w:rPr>
        <w:t>Exam</w:t>
      </w:r>
      <w:r w:rsidR="00361BFB">
        <w:rPr>
          <w:i/>
          <w:spacing w:val="-1"/>
        </w:rPr>
        <w:t xml:space="preserve"> </w:t>
      </w:r>
      <w:r w:rsidR="00361BFB">
        <w:rPr>
          <w:i/>
        </w:rPr>
        <w:t>for Patients</w:t>
      </w:r>
      <w:r w:rsidR="00361BFB">
        <w:rPr>
          <w:i/>
          <w:spacing w:val="-2"/>
        </w:rPr>
        <w:t xml:space="preserve"> </w:t>
      </w:r>
      <w:r w:rsidR="00361BFB">
        <w:rPr>
          <w:i/>
        </w:rPr>
        <w:t>with</w:t>
      </w:r>
      <w:r w:rsidR="00361BFB">
        <w:rPr>
          <w:i/>
          <w:spacing w:val="-2"/>
        </w:rPr>
        <w:t xml:space="preserve"> </w:t>
      </w:r>
      <w:r w:rsidR="00361BFB">
        <w:rPr>
          <w:i/>
        </w:rPr>
        <w:t>Diabetes</w:t>
      </w:r>
      <w:r w:rsidR="00361BFB">
        <w:t xml:space="preserve">, and </w:t>
      </w:r>
      <w:r w:rsidR="00361BFB">
        <w:rPr>
          <w:i/>
        </w:rPr>
        <w:t>Use of</w:t>
      </w:r>
      <w:r w:rsidR="00361BFB">
        <w:rPr>
          <w:i/>
          <w:spacing w:val="-1"/>
        </w:rPr>
        <w:t xml:space="preserve"> </w:t>
      </w:r>
      <w:r w:rsidR="00361BFB">
        <w:rPr>
          <w:i/>
        </w:rPr>
        <w:t>Imaging</w:t>
      </w:r>
      <w:r w:rsidR="00361BFB">
        <w:rPr>
          <w:i/>
          <w:spacing w:val="-1"/>
        </w:rPr>
        <w:t xml:space="preserve"> </w:t>
      </w:r>
      <w:r w:rsidR="00361BFB">
        <w:rPr>
          <w:i/>
        </w:rPr>
        <w:t>Studies</w:t>
      </w:r>
      <w:r w:rsidR="00361BFB">
        <w:rPr>
          <w:i/>
          <w:spacing w:val="-2"/>
        </w:rPr>
        <w:t xml:space="preserve"> </w:t>
      </w:r>
      <w:r w:rsidR="00361BFB">
        <w:rPr>
          <w:i/>
        </w:rPr>
        <w:t>for</w:t>
      </w:r>
      <w:r w:rsidR="00361BFB">
        <w:rPr>
          <w:i/>
          <w:spacing w:val="-1"/>
        </w:rPr>
        <w:t xml:space="preserve"> </w:t>
      </w:r>
      <w:r w:rsidR="00361BFB">
        <w:rPr>
          <w:i/>
        </w:rPr>
        <w:t>Low</w:t>
      </w:r>
      <w:r w:rsidR="00361BFB">
        <w:rPr>
          <w:i/>
          <w:spacing w:val="-1"/>
        </w:rPr>
        <w:t xml:space="preserve"> </w:t>
      </w:r>
      <w:r w:rsidR="00361BFB">
        <w:rPr>
          <w:i/>
        </w:rPr>
        <w:t xml:space="preserve">Back Pain </w:t>
      </w:r>
      <w:bookmarkStart w:id="250" w:name="_bookmark315"/>
      <w:bookmarkEnd w:id="250"/>
      <w:r w:rsidR="00361BFB">
        <w:rPr>
          <w:spacing w:val="-2"/>
        </w:rPr>
        <w:t>metrics.</w:t>
      </w:r>
    </w:p>
  </w:footnote>
  <w:footnote w:id="279">
    <w:p w14:paraId="5B92D3C0" w14:textId="31287427" w:rsidR="00361BFB" w:rsidRDefault="00361BFB" w:rsidP="003E5816">
      <w:pPr>
        <w:pStyle w:val="FootnoteText"/>
        <w:ind w:left="900" w:right="940"/>
      </w:pPr>
      <w:r>
        <w:rPr>
          <w:rStyle w:val="FootnoteReference"/>
        </w:rPr>
        <w:footnoteRef/>
      </w:r>
      <w:r>
        <w:t xml:space="preserve"> </w:t>
      </w:r>
      <w:r w:rsidR="003E5816">
        <w:t xml:space="preserve">The patient </w:t>
      </w:r>
      <w:proofErr w:type="gramStart"/>
      <w:r w:rsidR="003E5816">
        <w:t>experience</w:t>
      </w:r>
      <w:proofErr w:type="gramEnd"/>
      <w:r w:rsidR="003E5816">
        <w:t xml:space="preserve"> measures analyzed by the HPC are reported by CHIA. See </w:t>
      </w:r>
      <w:r w:rsidR="003E5816">
        <w:rPr>
          <w:i/>
        </w:rPr>
        <w:t xml:space="preserve">Select Clinical Quality and Patient Experience Measures, 2020–2022, supra </w:t>
      </w:r>
      <w:r w:rsidR="003E5816">
        <w:t xml:space="preserve">note </w:t>
      </w:r>
      <w:hyperlink w:anchor="_bookmark313" w:history="1">
        <w:r w:rsidR="003E5816">
          <w:t>278</w:t>
        </w:r>
        <w:r w:rsidR="003E5816">
          <w:rPr>
            <w:i/>
          </w:rPr>
          <w:t>.</w:t>
        </w:r>
      </w:hyperlink>
      <w:r w:rsidR="003E5816">
        <w:rPr>
          <w:i/>
        </w:rPr>
        <w:t xml:space="preserve"> </w:t>
      </w:r>
      <w:r w:rsidR="003E5816">
        <w:t>The measures reported by CHIA are derived from the Massachusetts Health Quality Partners (MHQP) Patient Experience Survey. Survey data is collected</w:t>
      </w:r>
      <w:r w:rsidR="003E5816">
        <w:rPr>
          <w:spacing w:val="-2"/>
        </w:rPr>
        <w:t xml:space="preserve"> </w:t>
      </w:r>
      <w:r w:rsidR="003E5816">
        <w:t>from</w:t>
      </w:r>
      <w:r w:rsidR="003E5816">
        <w:rPr>
          <w:spacing w:val="-2"/>
        </w:rPr>
        <w:t xml:space="preserve"> </w:t>
      </w:r>
      <w:r w:rsidR="003E5816">
        <w:t>three</w:t>
      </w:r>
      <w:r w:rsidR="003E5816">
        <w:rPr>
          <w:spacing w:val="-4"/>
        </w:rPr>
        <w:t xml:space="preserve"> </w:t>
      </w:r>
      <w:r w:rsidR="003E5816">
        <w:t>health</w:t>
      </w:r>
      <w:r w:rsidR="003E5816">
        <w:rPr>
          <w:spacing w:val="-3"/>
        </w:rPr>
        <w:t xml:space="preserve"> </w:t>
      </w:r>
      <w:r w:rsidR="003E5816">
        <w:t>plans</w:t>
      </w:r>
      <w:r w:rsidR="003E5816">
        <w:rPr>
          <w:spacing w:val="-2"/>
        </w:rPr>
        <w:t xml:space="preserve"> </w:t>
      </w:r>
      <w:r w:rsidR="003E5816">
        <w:t>in</w:t>
      </w:r>
      <w:r w:rsidR="003E5816">
        <w:rPr>
          <w:spacing w:val="-3"/>
        </w:rPr>
        <w:t xml:space="preserve"> </w:t>
      </w:r>
      <w:r w:rsidR="003E5816">
        <w:t>Massachusetts.</w:t>
      </w:r>
      <w:r w:rsidR="003E5816">
        <w:rPr>
          <w:spacing w:val="-2"/>
        </w:rPr>
        <w:t xml:space="preserve"> </w:t>
      </w:r>
      <w:r w:rsidR="003E5816">
        <w:t>BIDCO</w:t>
      </w:r>
      <w:r w:rsidR="003E5816">
        <w:rPr>
          <w:spacing w:val="-4"/>
        </w:rPr>
        <w:t xml:space="preserve"> </w:t>
      </w:r>
      <w:r w:rsidR="003E5816">
        <w:t>performed</w:t>
      </w:r>
      <w:r w:rsidR="003E5816">
        <w:rPr>
          <w:spacing w:val="-2"/>
        </w:rPr>
        <w:t xml:space="preserve"> </w:t>
      </w:r>
      <w:r w:rsidR="003E5816">
        <w:t>statistically</w:t>
      </w:r>
      <w:r w:rsidR="003E5816">
        <w:rPr>
          <w:spacing w:val="-4"/>
        </w:rPr>
        <w:t xml:space="preserve"> </w:t>
      </w:r>
      <w:r w:rsidR="003E5816">
        <w:t>better</w:t>
      </w:r>
      <w:r w:rsidR="003E5816">
        <w:rPr>
          <w:spacing w:val="-4"/>
        </w:rPr>
        <w:t xml:space="preserve"> </w:t>
      </w:r>
      <w:r w:rsidR="003E5816">
        <w:t>than</w:t>
      </w:r>
      <w:r w:rsidR="003E5816">
        <w:rPr>
          <w:spacing w:val="-3"/>
        </w:rPr>
        <w:t xml:space="preserve"> </w:t>
      </w:r>
      <w:r w:rsidR="003E5816">
        <w:t>the</w:t>
      </w:r>
      <w:r w:rsidR="003E5816">
        <w:rPr>
          <w:spacing w:val="-4"/>
        </w:rPr>
        <w:t xml:space="preserve"> </w:t>
      </w:r>
      <w:r w:rsidR="003E5816">
        <w:t>statewide average on the Adult Behavioral Health metric. MGB performed statistically better on the Adult Behavioral Health, Trust, and Willingness to Recommend metrics.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635"/>
    <w:multiLevelType w:val="hybridMultilevel"/>
    <w:tmpl w:val="BE5EA84A"/>
    <w:lvl w:ilvl="0" w:tplc="BE369F3A">
      <w:numFmt w:val="bullet"/>
      <w:lvlText w:val="•"/>
      <w:lvlJc w:val="left"/>
      <w:pPr>
        <w:ind w:left="496" w:hanging="200"/>
      </w:pPr>
      <w:rPr>
        <w:rFonts w:ascii="Franklin Gothic Book" w:eastAsia="Franklin Gothic Book" w:hAnsi="Franklin Gothic Book" w:cs="Franklin Gothic Book" w:hint="default"/>
        <w:b w:val="0"/>
        <w:bCs w:val="0"/>
        <w:i w:val="0"/>
        <w:iCs w:val="0"/>
        <w:color w:val="3F3E45"/>
        <w:spacing w:val="0"/>
        <w:w w:val="100"/>
        <w:sz w:val="20"/>
        <w:szCs w:val="20"/>
        <w:lang w:val="en-US" w:eastAsia="en-US" w:bidi="ar-SA"/>
      </w:rPr>
    </w:lvl>
    <w:lvl w:ilvl="1" w:tplc="E26CF0B0">
      <w:numFmt w:val="bullet"/>
      <w:lvlText w:val="•"/>
      <w:lvlJc w:val="left"/>
      <w:pPr>
        <w:ind w:left="1041" w:hanging="200"/>
      </w:pPr>
      <w:rPr>
        <w:rFonts w:hint="default"/>
        <w:lang w:val="en-US" w:eastAsia="en-US" w:bidi="ar-SA"/>
      </w:rPr>
    </w:lvl>
    <w:lvl w:ilvl="2" w:tplc="578AA588">
      <w:numFmt w:val="bullet"/>
      <w:lvlText w:val="•"/>
      <w:lvlJc w:val="left"/>
      <w:pPr>
        <w:ind w:left="1583" w:hanging="200"/>
      </w:pPr>
      <w:rPr>
        <w:rFonts w:hint="default"/>
        <w:lang w:val="en-US" w:eastAsia="en-US" w:bidi="ar-SA"/>
      </w:rPr>
    </w:lvl>
    <w:lvl w:ilvl="3" w:tplc="ED5ED976">
      <w:numFmt w:val="bullet"/>
      <w:lvlText w:val="•"/>
      <w:lvlJc w:val="left"/>
      <w:pPr>
        <w:ind w:left="2125" w:hanging="200"/>
      </w:pPr>
      <w:rPr>
        <w:rFonts w:hint="default"/>
        <w:lang w:val="en-US" w:eastAsia="en-US" w:bidi="ar-SA"/>
      </w:rPr>
    </w:lvl>
    <w:lvl w:ilvl="4" w:tplc="08889F60">
      <w:numFmt w:val="bullet"/>
      <w:lvlText w:val="•"/>
      <w:lvlJc w:val="left"/>
      <w:pPr>
        <w:ind w:left="2667" w:hanging="200"/>
      </w:pPr>
      <w:rPr>
        <w:rFonts w:hint="default"/>
        <w:lang w:val="en-US" w:eastAsia="en-US" w:bidi="ar-SA"/>
      </w:rPr>
    </w:lvl>
    <w:lvl w:ilvl="5" w:tplc="D1E850DE">
      <w:numFmt w:val="bullet"/>
      <w:lvlText w:val="•"/>
      <w:lvlJc w:val="left"/>
      <w:pPr>
        <w:ind w:left="3209" w:hanging="200"/>
      </w:pPr>
      <w:rPr>
        <w:rFonts w:hint="default"/>
        <w:lang w:val="en-US" w:eastAsia="en-US" w:bidi="ar-SA"/>
      </w:rPr>
    </w:lvl>
    <w:lvl w:ilvl="6" w:tplc="C1A458EC">
      <w:numFmt w:val="bullet"/>
      <w:lvlText w:val="•"/>
      <w:lvlJc w:val="left"/>
      <w:pPr>
        <w:ind w:left="3750" w:hanging="200"/>
      </w:pPr>
      <w:rPr>
        <w:rFonts w:hint="default"/>
        <w:lang w:val="en-US" w:eastAsia="en-US" w:bidi="ar-SA"/>
      </w:rPr>
    </w:lvl>
    <w:lvl w:ilvl="7" w:tplc="F176D950">
      <w:numFmt w:val="bullet"/>
      <w:lvlText w:val="•"/>
      <w:lvlJc w:val="left"/>
      <w:pPr>
        <w:ind w:left="4292" w:hanging="200"/>
      </w:pPr>
      <w:rPr>
        <w:rFonts w:hint="default"/>
        <w:lang w:val="en-US" w:eastAsia="en-US" w:bidi="ar-SA"/>
      </w:rPr>
    </w:lvl>
    <w:lvl w:ilvl="8" w:tplc="74CAD572">
      <w:numFmt w:val="bullet"/>
      <w:lvlText w:val="•"/>
      <w:lvlJc w:val="left"/>
      <w:pPr>
        <w:ind w:left="4834" w:hanging="200"/>
      </w:pPr>
      <w:rPr>
        <w:rFonts w:hint="default"/>
        <w:lang w:val="en-US" w:eastAsia="en-US" w:bidi="ar-SA"/>
      </w:rPr>
    </w:lvl>
  </w:abstractNum>
  <w:abstractNum w:abstractNumId="1" w15:restartNumberingAfterBreak="0">
    <w:nsid w:val="090E0850"/>
    <w:multiLevelType w:val="hybridMultilevel"/>
    <w:tmpl w:val="19D44D1C"/>
    <w:lvl w:ilvl="0" w:tplc="B038D680">
      <w:numFmt w:val="bullet"/>
      <w:lvlText w:val=""/>
      <w:lvlJc w:val="left"/>
      <w:pPr>
        <w:ind w:left="1679" w:hanging="361"/>
      </w:pPr>
      <w:rPr>
        <w:rFonts w:ascii="Symbol" w:eastAsia="Symbol" w:hAnsi="Symbol" w:cs="Symbol" w:hint="default"/>
        <w:b w:val="0"/>
        <w:bCs w:val="0"/>
        <w:i w:val="0"/>
        <w:iCs w:val="0"/>
        <w:spacing w:val="0"/>
        <w:w w:val="100"/>
        <w:sz w:val="22"/>
        <w:szCs w:val="22"/>
        <w:lang w:val="en-US" w:eastAsia="en-US" w:bidi="ar-SA"/>
      </w:rPr>
    </w:lvl>
    <w:lvl w:ilvl="1" w:tplc="89B8FF62">
      <w:numFmt w:val="bullet"/>
      <w:lvlText w:val="•"/>
      <w:lvlJc w:val="left"/>
      <w:pPr>
        <w:ind w:left="2614" w:hanging="361"/>
      </w:pPr>
      <w:rPr>
        <w:rFonts w:hint="default"/>
        <w:lang w:val="en-US" w:eastAsia="en-US" w:bidi="ar-SA"/>
      </w:rPr>
    </w:lvl>
    <w:lvl w:ilvl="2" w:tplc="D73EE034">
      <w:numFmt w:val="bullet"/>
      <w:lvlText w:val="•"/>
      <w:lvlJc w:val="left"/>
      <w:pPr>
        <w:ind w:left="3548" w:hanging="361"/>
      </w:pPr>
      <w:rPr>
        <w:rFonts w:hint="default"/>
        <w:lang w:val="en-US" w:eastAsia="en-US" w:bidi="ar-SA"/>
      </w:rPr>
    </w:lvl>
    <w:lvl w:ilvl="3" w:tplc="E85E1CDE">
      <w:numFmt w:val="bullet"/>
      <w:lvlText w:val="•"/>
      <w:lvlJc w:val="left"/>
      <w:pPr>
        <w:ind w:left="4482" w:hanging="361"/>
      </w:pPr>
      <w:rPr>
        <w:rFonts w:hint="default"/>
        <w:lang w:val="en-US" w:eastAsia="en-US" w:bidi="ar-SA"/>
      </w:rPr>
    </w:lvl>
    <w:lvl w:ilvl="4" w:tplc="F2ECEABA">
      <w:numFmt w:val="bullet"/>
      <w:lvlText w:val="•"/>
      <w:lvlJc w:val="left"/>
      <w:pPr>
        <w:ind w:left="5416" w:hanging="361"/>
      </w:pPr>
      <w:rPr>
        <w:rFonts w:hint="default"/>
        <w:lang w:val="en-US" w:eastAsia="en-US" w:bidi="ar-SA"/>
      </w:rPr>
    </w:lvl>
    <w:lvl w:ilvl="5" w:tplc="746A7490">
      <w:numFmt w:val="bullet"/>
      <w:lvlText w:val="•"/>
      <w:lvlJc w:val="left"/>
      <w:pPr>
        <w:ind w:left="6350" w:hanging="361"/>
      </w:pPr>
      <w:rPr>
        <w:rFonts w:hint="default"/>
        <w:lang w:val="en-US" w:eastAsia="en-US" w:bidi="ar-SA"/>
      </w:rPr>
    </w:lvl>
    <w:lvl w:ilvl="6" w:tplc="400A2B4C">
      <w:numFmt w:val="bullet"/>
      <w:lvlText w:val="•"/>
      <w:lvlJc w:val="left"/>
      <w:pPr>
        <w:ind w:left="7284" w:hanging="361"/>
      </w:pPr>
      <w:rPr>
        <w:rFonts w:hint="default"/>
        <w:lang w:val="en-US" w:eastAsia="en-US" w:bidi="ar-SA"/>
      </w:rPr>
    </w:lvl>
    <w:lvl w:ilvl="7" w:tplc="52528C14">
      <w:numFmt w:val="bullet"/>
      <w:lvlText w:val="•"/>
      <w:lvlJc w:val="left"/>
      <w:pPr>
        <w:ind w:left="8218" w:hanging="361"/>
      </w:pPr>
      <w:rPr>
        <w:rFonts w:hint="default"/>
        <w:lang w:val="en-US" w:eastAsia="en-US" w:bidi="ar-SA"/>
      </w:rPr>
    </w:lvl>
    <w:lvl w:ilvl="8" w:tplc="6C5ECFDA">
      <w:numFmt w:val="bullet"/>
      <w:lvlText w:val="•"/>
      <w:lvlJc w:val="left"/>
      <w:pPr>
        <w:ind w:left="9152" w:hanging="361"/>
      </w:pPr>
      <w:rPr>
        <w:rFonts w:hint="default"/>
        <w:lang w:val="en-US" w:eastAsia="en-US" w:bidi="ar-SA"/>
      </w:rPr>
    </w:lvl>
  </w:abstractNum>
  <w:abstractNum w:abstractNumId="2" w15:restartNumberingAfterBreak="0">
    <w:nsid w:val="11C14AC0"/>
    <w:multiLevelType w:val="hybridMultilevel"/>
    <w:tmpl w:val="B59EED96"/>
    <w:lvl w:ilvl="0" w:tplc="299A604A">
      <w:numFmt w:val="bullet"/>
      <w:lvlText w:val="•"/>
      <w:lvlJc w:val="left"/>
      <w:pPr>
        <w:ind w:left="398" w:hanging="200"/>
      </w:pPr>
      <w:rPr>
        <w:rFonts w:ascii="Franklin Gothic Book" w:eastAsia="Franklin Gothic Book" w:hAnsi="Franklin Gothic Book" w:cs="Franklin Gothic Book" w:hint="default"/>
        <w:b w:val="0"/>
        <w:bCs w:val="0"/>
        <w:i w:val="0"/>
        <w:iCs w:val="0"/>
        <w:color w:val="3F3E45"/>
        <w:spacing w:val="0"/>
        <w:w w:val="100"/>
        <w:sz w:val="20"/>
        <w:szCs w:val="20"/>
        <w:lang w:val="en-US" w:eastAsia="en-US" w:bidi="ar-SA"/>
      </w:rPr>
    </w:lvl>
    <w:lvl w:ilvl="1" w:tplc="66704FAC">
      <w:numFmt w:val="bullet"/>
      <w:lvlText w:val="•"/>
      <w:lvlJc w:val="left"/>
      <w:pPr>
        <w:ind w:left="846" w:hanging="200"/>
      </w:pPr>
      <w:rPr>
        <w:rFonts w:hint="default"/>
        <w:lang w:val="en-US" w:eastAsia="en-US" w:bidi="ar-SA"/>
      </w:rPr>
    </w:lvl>
    <w:lvl w:ilvl="2" w:tplc="108888F6">
      <w:numFmt w:val="bullet"/>
      <w:lvlText w:val="•"/>
      <w:lvlJc w:val="left"/>
      <w:pPr>
        <w:ind w:left="1293" w:hanging="200"/>
      </w:pPr>
      <w:rPr>
        <w:rFonts w:hint="default"/>
        <w:lang w:val="en-US" w:eastAsia="en-US" w:bidi="ar-SA"/>
      </w:rPr>
    </w:lvl>
    <w:lvl w:ilvl="3" w:tplc="BD644834">
      <w:numFmt w:val="bullet"/>
      <w:lvlText w:val="•"/>
      <w:lvlJc w:val="left"/>
      <w:pPr>
        <w:ind w:left="1740" w:hanging="200"/>
      </w:pPr>
      <w:rPr>
        <w:rFonts w:hint="default"/>
        <w:lang w:val="en-US" w:eastAsia="en-US" w:bidi="ar-SA"/>
      </w:rPr>
    </w:lvl>
    <w:lvl w:ilvl="4" w:tplc="699E4BB8">
      <w:numFmt w:val="bullet"/>
      <w:lvlText w:val="•"/>
      <w:lvlJc w:val="left"/>
      <w:pPr>
        <w:ind w:left="2186" w:hanging="200"/>
      </w:pPr>
      <w:rPr>
        <w:rFonts w:hint="default"/>
        <w:lang w:val="en-US" w:eastAsia="en-US" w:bidi="ar-SA"/>
      </w:rPr>
    </w:lvl>
    <w:lvl w:ilvl="5" w:tplc="57EA2354">
      <w:numFmt w:val="bullet"/>
      <w:lvlText w:val="•"/>
      <w:lvlJc w:val="left"/>
      <w:pPr>
        <w:ind w:left="2633" w:hanging="200"/>
      </w:pPr>
      <w:rPr>
        <w:rFonts w:hint="default"/>
        <w:lang w:val="en-US" w:eastAsia="en-US" w:bidi="ar-SA"/>
      </w:rPr>
    </w:lvl>
    <w:lvl w:ilvl="6" w:tplc="CEFE93EA">
      <w:numFmt w:val="bullet"/>
      <w:lvlText w:val="•"/>
      <w:lvlJc w:val="left"/>
      <w:pPr>
        <w:ind w:left="3080" w:hanging="200"/>
      </w:pPr>
      <w:rPr>
        <w:rFonts w:hint="default"/>
        <w:lang w:val="en-US" w:eastAsia="en-US" w:bidi="ar-SA"/>
      </w:rPr>
    </w:lvl>
    <w:lvl w:ilvl="7" w:tplc="193202C4">
      <w:numFmt w:val="bullet"/>
      <w:lvlText w:val="•"/>
      <w:lvlJc w:val="left"/>
      <w:pPr>
        <w:ind w:left="3526" w:hanging="200"/>
      </w:pPr>
      <w:rPr>
        <w:rFonts w:hint="default"/>
        <w:lang w:val="en-US" w:eastAsia="en-US" w:bidi="ar-SA"/>
      </w:rPr>
    </w:lvl>
    <w:lvl w:ilvl="8" w:tplc="870AFCD6">
      <w:numFmt w:val="bullet"/>
      <w:lvlText w:val="•"/>
      <w:lvlJc w:val="left"/>
      <w:pPr>
        <w:ind w:left="3973" w:hanging="200"/>
      </w:pPr>
      <w:rPr>
        <w:rFonts w:hint="default"/>
        <w:lang w:val="en-US" w:eastAsia="en-US" w:bidi="ar-SA"/>
      </w:rPr>
    </w:lvl>
  </w:abstractNum>
  <w:abstractNum w:abstractNumId="3" w15:restartNumberingAfterBreak="0">
    <w:nsid w:val="1A113291"/>
    <w:multiLevelType w:val="hybridMultilevel"/>
    <w:tmpl w:val="267002D0"/>
    <w:lvl w:ilvl="0" w:tplc="597C7D52">
      <w:numFmt w:val="bullet"/>
      <w:lvlText w:val="•"/>
      <w:lvlJc w:val="left"/>
      <w:pPr>
        <w:ind w:left="473" w:hanging="200"/>
      </w:pPr>
      <w:rPr>
        <w:rFonts w:ascii="Franklin Gothic Book" w:eastAsia="Franklin Gothic Book" w:hAnsi="Franklin Gothic Book" w:cs="Franklin Gothic Book" w:hint="default"/>
        <w:b w:val="0"/>
        <w:bCs w:val="0"/>
        <w:i w:val="0"/>
        <w:iCs w:val="0"/>
        <w:color w:val="3F3E45"/>
        <w:spacing w:val="0"/>
        <w:w w:val="100"/>
        <w:sz w:val="20"/>
        <w:szCs w:val="20"/>
        <w:lang w:val="en-US" w:eastAsia="en-US" w:bidi="ar-SA"/>
      </w:rPr>
    </w:lvl>
    <w:lvl w:ilvl="1" w:tplc="163A0538">
      <w:numFmt w:val="bullet"/>
      <w:lvlText w:val="•"/>
      <w:lvlJc w:val="left"/>
      <w:pPr>
        <w:ind w:left="1023" w:hanging="200"/>
      </w:pPr>
      <w:rPr>
        <w:rFonts w:hint="default"/>
        <w:lang w:val="en-US" w:eastAsia="en-US" w:bidi="ar-SA"/>
      </w:rPr>
    </w:lvl>
    <w:lvl w:ilvl="2" w:tplc="AED49F86">
      <w:numFmt w:val="bullet"/>
      <w:lvlText w:val="•"/>
      <w:lvlJc w:val="left"/>
      <w:pPr>
        <w:ind w:left="1567" w:hanging="200"/>
      </w:pPr>
      <w:rPr>
        <w:rFonts w:hint="default"/>
        <w:lang w:val="en-US" w:eastAsia="en-US" w:bidi="ar-SA"/>
      </w:rPr>
    </w:lvl>
    <w:lvl w:ilvl="3" w:tplc="5454750C">
      <w:numFmt w:val="bullet"/>
      <w:lvlText w:val="•"/>
      <w:lvlJc w:val="left"/>
      <w:pPr>
        <w:ind w:left="2111" w:hanging="200"/>
      </w:pPr>
      <w:rPr>
        <w:rFonts w:hint="default"/>
        <w:lang w:val="en-US" w:eastAsia="en-US" w:bidi="ar-SA"/>
      </w:rPr>
    </w:lvl>
    <w:lvl w:ilvl="4" w:tplc="CAD87848">
      <w:numFmt w:val="bullet"/>
      <w:lvlText w:val="•"/>
      <w:lvlJc w:val="left"/>
      <w:pPr>
        <w:ind w:left="2655" w:hanging="200"/>
      </w:pPr>
      <w:rPr>
        <w:rFonts w:hint="default"/>
        <w:lang w:val="en-US" w:eastAsia="en-US" w:bidi="ar-SA"/>
      </w:rPr>
    </w:lvl>
    <w:lvl w:ilvl="5" w:tplc="DD5A50D2">
      <w:numFmt w:val="bullet"/>
      <w:lvlText w:val="•"/>
      <w:lvlJc w:val="left"/>
      <w:pPr>
        <w:ind w:left="3199" w:hanging="200"/>
      </w:pPr>
      <w:rPr>
        <w:rFonts w:hint="default"/>
        <w:lang w:val="en-US" w:eastAsia="en-US" w:bidi="ar-SA"/>
      </w:rPr>
    </w:lvl>
    <w:lvl w:ilvl="6" w:tplc="DAF80272">
      <w:numFmt w:val="bullet"/>
      <w:lvlText w:val="•"/>
      <w:lvlJc w:val="left"/>
      <w:pPr>
        <w:ind w:left="3742" w:hanging="200"/>
      </w:pPr>
      <w:rPr>
        <w:rFonts w:hint="default"/>
        <w:lang w:val="en-US" w:eastAsia="en-US" w:bidi="ar-SA"/>
      </w:rPr>
    </w:lvl>
    <w:lvl w:ilvl="7" w:tplc="23F6ED34">
      <w:numFmt w:val="bullet"/>
      <w:lvlText w:val="•"/>
      <w:lvlJc w:val="left"/>
      <w:pPr>
        <w:ind w:left="4286" w:hanging="200"/>
      </w:pPr>
      <w:rPr>
        <w:rFonts w:hint="default"/>
        <w:lang w:val="en-US" w:eastAsia="en-US" w:bidi="ar-SA"/>
      </w:rPr>
    </w:lvl>
    <w:lvl w:ilvl="8" w:tplc="70806608">
      <w:numFmt w:val="bullet"/>
      <w:lvlText w:val="•"/>
      <w:lvlJc w:val="left"/>
      <w:pPr>
        <w:ind w:left="4830" w:hanging="200"/>
      </w:pPr>
      <w:rPr>
        <w:rFonts w:hint="default"/>
        <w:lang w:val="en-US" w:eastAsia="en-US" w:bidi="ar-SA"/>
      </w:rPr>
    </w:lvl>
  </w:abstractNum>
  <w:abstractNum w:abstractNumId="4" w15:restartNumberingAfterBreak="0">
    <w:nsid w:val="1C732C0E"/>
    <w:multiLevelType w:val="hybridMultilevel"/>
    <w:tmpl w:val="B07E738E"/>
    <w:lvl w:ilvl="0" w:tplc="94E6B7D8">
      <w:numFmt w:val="bullet"/>
      <w:lvlText w:val=""/>
      <w:lvlJc w:val="left"/>
      <w:pPr>
        <w:ind w:left="1680" w:hanging="361"/>
      </w:pPr>
      <w:rPr>
        <w:rFonts w:ascii="Symbol" w:eastAsia="Symbol" w:hAnsi="Symbol" w:cs="Symbol" w:hint="default"/>
        <w:b w:val="0"/>
        <w:bCs w:val="0"/>
        <w:i w:val="0"/>
        <w:iCs w:val="0"/>
        <w:spacing w:val="0"/>
        <w:w w:val="100"/>
        <w:sz w:val="22"/>
        <w:szCs w:val="22"/>
        <w:lang w:val="en-US" w:eastAsia="en-US" w:bidi="ar-SA"/>
      </w:rPr>
    </w:lvl>
    <w:lvl w:ilvl="1" w:tplc="7848F1A8">
      <w:numFmt w:val="bullet"/>
      <w:lvlText w:val="•"/>
      <w:lvlJc w:val="left"/>
      <w:pPr>
        <w:ind w:left="2614" w:hanging="361"/>
      </w:pPr>
      <w:rPr>
        <w:rFonts w:hint="default"/>
        <w:lang w:val="en-US" w:eastAsia="en-US" w:bidi="ar-SA"/>
      </w:rPr>
    </w:lvl>
    <w:lvl w:ilvl="2" w:tplc="39E68080">
      <w:numFmt w:val="bullet"/>
      <w:lvlText w:val="•"/>
      <w:lvlJc w:val="left"/>
      <w:pPr>
        <w:ind w:left="3548" w:hanging="361"/>
      </w:pPr>
      <w:rPr>
        <w:rFonts w:hint="default"/>
        <w:lang w:val="en-US" w:eastAsia="en-US" w:bidi="ar-SA"/>
      </w:rPr>
    </w:lvl>
    <w:lvl w:ilvl="3" w:tplc="1BC82970">
      <w:numFmt w:val="bullet"/>
      <w:lvlText w:val="•"/>
      <w:lvlJc w:val="left"/>
      <w:pPr>
        <w:ind w:left="4482" w:hanging="361"/>
      </w:pPr>
      <w:rPr>
        <w:rFonts w:hint="default"/>
        <w:lang w:val="en-US" w:eastAsia="en-US" w:bidi="ar-SA"/>
      </w:rPr>
    </w:lvl>
    <w:lvl w:ilvl="4" w:tplc="345C310C">
      <w:numFmt w:val="bullet"/>
      <w:lvlText w:val="•"/>
      <w:lvlJc w:val="left"/>
      <w:pPr>
        <w:ind w:left="5416" w:hanging="361"/>
      </w:pPr>
      <w:rPr>
        <w:rFonts w:hint="default"/>
        <w:lang w:val="en-US" w:eastAsia="en-US" w:bidi="ar-SA"/>
      </w:rPr>
    </w:lvl>
    <w:lvl w:ilvl="5" w:tplc="F9F85054">
      <w:numFmt w:val="bullet"/>
      <w:lvlText w:val="•"/>
      <w:lvlJc w:val="left"/>
      <w:pPr>
        <w:ind w:left="6350" w:hanging="361"/>
      </w:pPr>
      <w:rPr>
        <w:rFonts w:hint="default"/>
        <w:lang w:val="en-US" w:eastAsia="en-US" w:bidi="ar-SA"/>
      </w:rPr>
    </w:lvl>
    <w:lvl w:ilvl="6" w:tplc="F5BA8100">
      <w:numFmt w:val="bullet"/>
      <w:lvlText w:val="•"/>
      <w:lvlJc w:val="left"/>
      <w:pPr>
        <w:ind w:left="7284" w:hanging="361"/>
      </w:pPr>
      <w:rPr>
        <w:rFonts w:hint="default"/>
        <w:lang w:val="en-US" w:eastAsia="en-US" w:bidi="ar-SA"/>
      </w:rPr>
    </w:lvl>
    <w:lvl w:ilvl="7" w:tplc="692C2D08">
      <w:numFmt w:val="bullet"/>
      <w:lvlText w:val="•"/>
      <w:lvlJc w:val="left"/>
      <w:pPr>
        <w:ind w:left="8218" w:hanging="361"/>
      </w:pPr>
      <w:rPr>
        <w:rFonts w:hint="default"/>
        <w:lang w:val="en-US" w:eastAsia="en-US" w:bidi="ar-SA"/>
      </w:rPr>
    </w:lvl>
    <w:lvl w:ilvl="8" w:tplc="102CD952">
      <w:numFmt w:val="bullet"/>
      <w:lvlText w:val="•"/>
      <w:lvlJc w:val="left"/>
      <w:pPr>
        <w:ind w:left="9152" w:hanging="361"/>
      </w:pPr>
      <w:rPr>
        <w:rFonts w:hint="default"/>
        <w:lang w:val="en-US" w:eastAsia="en-US" w:bidi="ar-SA"/>
      </w:rPr>
    </w:lvl>
  </w:abstractNum>
  <w:abstractNum w:abstractNumId="5" w15:restartNumberingAfterBreak="0">
    <w:nsid w:val="21125603"/>
    <w:multiLevelType w:val="hybridMultilevel"/>
    <w:tmpl w:val="00C03B54"/>
    <w:lvl w:ilvl="0" w:tplc="6F7093C6">
      <w:start w:val="1"/>
      <w:numFmt w:val="upperRoman"/>
      <w:lvlText w:val="%1."/>
      <w:lvlJc w:val="left"/>
      <w:pPr>
        <w:ind w:left="1500" w:hanging="54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8EAA9F3A">
      <w:start w:val="1"/>
      <w:numFmt w:val="upperLetter"/>
      <w:lvlText w:val="%2."/>
      <w:lvlJc w:val="left"/>
      <w:pPr>
        <w:ind w:left="1680" w:hanging="500"/>
        <w:jc w:val="left"/>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tplc="E804728C">
      <w:numFmt w:val="bullet"/>
      <w:lvlText w:val="•"/>
      <w:lvlJc w:val="left"/>
      <w:pPr>
        <w:ind w:left="2717" w:hanging="500"/>
      </w:pPr>
      <w:rPr>
        <w:rFonts w:hint="default"/>
        <w:lang w:val="en-US" w:eastAsia="en-US" w:bidi="ar-SA"/>
      </w:rPr>
    </w:lvl>
    <w:lvl w:ilvl="3" w:tplc="0188F580">
      <w:numFmt w:val="bullet"/>
      <w:lvlText w:val="•"/>
      <w:lvlJc w:val="left"/>
      <w:pPr>
        <w:ind w:left="3755" w:hanging="500"/>
      </w:pPr>
      <w:rPr>
        <w:rFonts w:hint="default"/>
        <w:lang w:val="en-US" w:eastAsia="en-US" w:bidi="ar-SA"/>
      </w:rPr>
    </w:lvl>
    <w:lvl w:ilvl="4" w:tplc="D884BF08">
      <w:numFmt w:val="bullet"/>
      <w:lvlText w:val="•"/>
      <w:lvlJc w:val="left"/>
      <w:pPr>
        <w:ind w:left="4793" w:hanging="500"/>
      </w:pPr>
      <w:rPr>
        <w:rFonts w:hint="default"/>
        <w:lang w:val="en-US" w:eastAsia="en-US" w:bidi="ar-SA"/>
      </w:rPr>
    </w:lvl>
    <w:lvl w:ilvl="5" w:tplc="46DCDB7C">
      <w:numFmt w:val="bullet"/>
      <w:lvlText w:val="•"/>
      <w:lvlJc w:val="left"/>
      <w:pPr>
        <w:ind w:left="5831" w:hanging="500"/>
      </w:pPr>
      <w:rPr>
        <w:rFonts w:hint="default"/>
        <w:lang w:val="en-US" w:eastAsia="en-US" w:bidi="ar-SA"/>
      </w:rPr>
    </w:lvl>
    <w:lvl w:ilvl="6" w:tplc="9FDEA9E0">
      <w:numFmt w:val="bullet"/>
      <w:lvlText w:val="•"/>
      <w:lvlJc w:val="left"/>
      <w:pPr>
        <w:ind w:left="6868" w:hanging="500"/>
      </w:pPr>
      <w:rPr>
        <w:rFonts w:hint="default"/>
        <w:lang w:val="en-US" w:eastAsia="en-US" w:bidi="ar-SA"/>
      </w:rPr>
    </w:lvl>
    <w:lvl w:ilvl="7" w:tplc="8496F966">
      <w:numFmt w:val="bullet"/>
      <w:lvlText w:val="•"/>
      <w:lvlJc w:val="left"/>
      <w:pPr>
        <w:ind w:left="7906" w:hanging="500"/>
      </w:pPr>
      <w:rPr>
        <w:rFonts w:hint="default"/>
        <w:lang w:val="en-US" w:eastAsia="en-US" w:bidi="ar-SA"/>
      </w:rPr>
    </w:lvl>
    <w:lvl w:ilvl="8" w:tplc="7E9EE852">
      <w:numFmt w:val="bullet"/>
      <w:lvlText w:val="•"/>
      <w:lvlJc w:val="left"/>
      <w:pPr>
        <w:ind w:left="8944" w:hanging="500"/>
      </w:pPr>
      <w:rPr>
        <w:rFonts w:hint="default"/>
        <w:lang w:val="en-US" w:eastAsia="en-US" w:bidi="ar-SA"/>
      </w:rPr>
    </w:lvl>
  </w:abstractNum>
  <w:abstractNum w:abstractNumId="6" w15:restartNumberingAfterBreak="0">
    <w:nsid w:val="29805B3F"/>
    <w:multiLevelType w:val="hybridMultilevel"/>
    <w:tmpl w:val="A5F6516A"/>
    <w:lvl w:ilvl="0" w:tplc="A4747FF2">
      <w:numFmt w:val="bullet"/>
      <w:lvlText w:val=""/>
      <w:lvlJc w:val="left"/>
      <w:pPr>
        <w:ind w:left="1680" w:hanging="360"/>
      </w:pPr>
      <w:rPr>
        <w:rFonts w:ascii="Symbol" w:eastAsia="Symbol" w:hAnsi="Symbol" w:cs="Symbol" w:hint="default"/>
        <w:b w:val="0"/>
        <w:bCs w:val="0"/>
        <w:i w:val="0"/>
        <w:iCs w:val="0"/>
        <w:spacing w:val="0"/>
        <w:w w:val="100"/>
        <w:sz w:val="22"/>
        <w:szCs w:val="22"/>
        <w:lang w:val="en-US" w:eastAsia="en-US" w:bidi="ar-SA"/>
      </w:rPr>
    </w:lvl>
    <w:lvl w:ilvl="1" w:tplc="CCFC8668">
      <w:numFmt w:val="bullet"/>
      <w:lvlText w:val="•"/>
      <w:lvlJc w:val="left"/>
      <w:pPr>
        <w:ind w:left="2614" w:hanging="360"/>
      </w:pPr>
      <w:rPr>
        <w:rFonts w:hint="default"/>
        <w:lang w:val="en-US" w:eastAsia="en-US" w:bidi="ar-SA"/>
      </w:rPr>
    </w:lvl>
    <w:lvl w:ilvl="2" w:tplc="E0AEF6C8">
      <w:numFmt w:val="bullet"/>
      <w:lvlText w:val="•"/>
      <w:lvlJc w:val="left"/>
      <w:pPr>
        <w:ind w:left="3548" w:hanging="360"/>
      </w:pPr>
      <w:rPr>
        <w:rFonts w:hint="default"/>
        <w:lang w:val="en-US" w:eastAsia="en-US" w:bidi="ar-SA"/>
      </w:rPr>
    </w:lvl>
    <w:lvl w:ilvl="3" w:tplc="1A96322C">
      <w:numFmt w:val="bullet"/>
      <w:lvlText w:val="•"/>
      <w:lvlJc w:val="left"/>
      <w:pPr>
        <w:ind w:left="4482" w:hanging="360"/>
      </w:pPr>
      <w:rPr>
        <w:rFonts w:hint="default"/>
        <w:lang w:val="en-US" w:eastAsia="en-US" w:bidi="ar-SA"/>
      </w:rPr>
    </w:lvl>
    <w:lvl w:ilvl="4" w:tplc="34FAAC6A">
      <w:numFmt w:val="bullet"/>
      <w:lvlText w:val="•"/>
      <w:lvlJc w:val="left"/>
      <w:pPr>
        <w:ind w:left="5416" w:hanging="360"/>
      </w:pPr>
      <w:rPr>
        <w:rFonts w:hint="default"/>
        <w:lang w:val="en-US" w:eastAsia="en-US" w:bidi="ar-SA"/>
      </w:rPr>
    </w:lvl>
    <w:lvl w:ilvl="5" w:tplc="DE6458F8">
      <w:numFmt w:val="bullet"/>
      <w:lvlText w:val="•"/>
      <w:lvlJc w:val="left"/>
      <w:pPr>
        <w:ind w:left="6350" w:hanging="360"/>
      </w:pPr>
      <w:rPr>
        <w:rFonts w:hint="default"/>
        <w:lang w:val="en-US" w:eastAsia="en-US" w:bidi="ar-SA"/>
      </w:rPr>
    </w:lvl>
    <w:lvl w:ilvl="6" w:tplc="821E44DA">
      <w:numFmt w:val="bullet"/>
      <w:lvlText w:val="•"/>
      <w:lvlJc w:val="left"/>
      <w:pPr>
        <w:ind w:left="7284" w:hanging="360"/>
      </w:pPr>
      <w:rPr>
        <w:rFonts w:hint="default"/>
        <w:lang w:val="en-US" w:eastAsia="en-US" w:bidi="ar-SA"/>
      </w:rPr>
    </w:lvl>
    <w:lvl w:ilvl="7" w:tplc="CE1CC44E">
      <w:numFmt w:val="bullet"/>
      <w:lvlText w:val="•"/>
      <w:lvlJc w:val="left"/>
      <w:pPr>
        <w:ind w:left="8218" w:hanging="360"/>
      </w:pPr>
      <w:rPr>
        <w:rFonts w:hint="default"/>
        <w:lang w:val="en-US" w:eastAsia="en-US" w:bidi="ar-SA"/>
      </w:rPr>
    </w:lvl>
    <w:lvl w:ilvl="8" w:tplc="99C45FD8">
      <w:numFmt w:val="bullet"/>
      <w:lvlText w:val="•"/>
      <w:lvlJc w:val="left"/>
      <w:pPr>
        <w:ind w:left="9152" w:hanging="360"/>
      </w:pPr>
      <w:rPr>
        <w:rFonts w:hint="default"/>
        <w:lang w:val="en-US" w:eastAsia="en-US" w:bidi="ar-SA"/>
      </w:rPr>
    </w:lvl>
  </w:abstractNum>
  <w:abstractNum w:abstractNumId="7" w15:restartNumberingAfterBreak="0">
    <w:nsid w:val="29FD18ED"/>
    <w:multiLevelType w:val="hybridMultilevel"/>
    <w:tmpl w:val="C5249260"/>
    <w:lvl w:ilvl="0" w:tplc="1652C2CE">
      <w:start w:val="1"/>
      <w:numFmt w:val="upperRoman"/>
      <w:lvlText w:val="%1."/>
      <w:lvlJc w:val="left"/>
      <w:pPr>
        <w:ind w:left="960" w:hanging="536"/>
        <w:jc w:val="right"/>
      </w:pPr>
      <w:rPr>
        <w:rFonts w:ascii="Franklin Gothic Demi" w:eastAsia="Franklin Gothic Demi" w:hAnsi="Franklin Gothic Demi" w:cs="Franklin Gothic Demi" w:hint="default"/>
        <w:b/>
        <w:bCs/>
        <w:i w:val="0"/>
        <w:iCs w:val="0"/>
        <w:color w:val="084875"/>
        <w:spacing w:val="0"/>
        <w:w w:val="99"/>
        <w:sz w:val="32"/>
        <w:szCs w:val="32"/>
        <w:lang w:val="en-US" w:eastAsia="en-US" w:bidi="ar-SA"/>
      </w:rPr>
    </w:lvl>
    <w:lvl w:ilvl="1" w:tplc="EC58B270">
      <w:start w:val="1"/>
      <w:numFmt w:val="upperLetter"/>
      <w:lvlText w:val="%2."/>
      <w:lvlJc w:val="left"/>
      <w:pPr>
        <w:ind w:left="1679" w:hanging="360"/>
        <w:jc w:val="left"/>
      </w:pPr>
      <w:rPr>
        <w:rFonts w:hint="default"/>
        <w:spacing w:val="-1"/>
        <w:w w:val="100"/>
        <w:lang w:val="en-US" w:eastAsia="en-US" w:bidi="ar-SA"/>
      </w:rPr>
    </w:lvl>
    <w:lvl w:ilvl="2" w:tplc="EB280CB0">
      <w:start w:val="1"/>
      <w:numFmt w:val="decimal"/>
      <w:lvlText w:val="%3."/>
      <w:lvlJc w:val="left"/>
      <w:pPr>
        <w:ind w:left="1967"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3" w:tplc="1CF43D96">
      <w:start w:val="1"/>
      <w:numFmt w:val="lowerLetter"/>
      <w:lvlText w:val="%4."/>
      <w:lvlJc w:val="left"/>
      <w:pPr>
        <w:ind w:left="960" w:hanging="360"/>
        <w:jc w:val="left"/>
      </w:pPr>
      <w:rPr>
        <w:rFonts w:ascii="Franklin Gothic Book" w:eastAsia="Franklin Gothic Book" w:hAnsi="Franklin Gothic Book" w:cs="Franklin Gothic Book" w:hint="default"/>
        <w:b w:val="0"/>
        <w:bCs w:val="0"/>
        <w:i w:val="0"/>
        <w:iCs w:val="0"/>
        <w:color w:val="063656"/>
        <w:spacing w:val="0"/>
        <w:w w:val="100"/>
        <w:sz w:val="22"/>
        <w:szCs w:val="22"/>
        <w:lang w:val="en-US" w:eastAsia="en-US" w:bidi="ar-SA"/>
      </w:rPr>
    </w:lvl>
    <w:lvl w:ilvl="4" w:tplc="02C8244C">
      <w:start w:val="1"/>
      <w:numFmt w:val="lowerRoman"/>
      <w:lvlText w:val="%5."/>
      <w:lvlJc w:val="left"/>
      <w:pPr>
        <w:ind w:left="960" w:hanging="360"/>
        <w:jc w:val="right"/>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5" w:tplc="0044A5BE">
      <w:numFmt w:val="bullet"/>
      <w:lvlText w:val="•"/>
      <w:lvlJc w:val="left"/>
      <w:pPr>
        <w:ind w:left="5357" w:hanging="360"/>
      </w:pPr>
      <w:rPr>
        <w:rFonts w:hint="default"/>
        <w:lang w:val="en-US" w:eastAsia="en-US" w:bidi="ar-SA"/>
      </w:rPr>
    </w:lvl>
    <w:lvl w:ilvl="6" w:tplc="D1F0A540">
      <w:numFmt w:val="bullet"/>
      <w:lvlText w:val="•"/>
      <w:lvlJc w:val="left"/>
      <w:pPr>
        <w:ind w:left="6490" w:hanging="360"/>
      </w:pPr>
      <w:rPr>
        <w:rFonts w:hint="default"/>
        <w:lang w:val="en-US" w:eastAsia="en-US" w:bidi="ar-SA"/>
      </w:rPr>
    </w:lvl>
    <w:lvl w:ilvl="7" w:tplc="2A765900">
      <w:numFmt w:val="bullet"/>
      <w:lvlText w:val="•"/>
      <w:lvlJc w:val="left"/>
      <w:pPr>
        <w:ind w:left="7622" w:hanging="360"/>
      </w:pPr>
      <w:rPr>
        <w:rFonts w:hint="default"/>
        <w:lang w:val="en-US" w:eastAsia="en-US" w:bidi="ar-SA"/>
      </w:rPr>
    </w:lvl>
    <w:lvl w:ilvl="8" w:tplc="B4768EA8">
      <w:numFmt w:val="bullet"/>
      <w:lvlText w:val="•"/>
      <w:lvlJc w:val="left"/>
      <w:pPr>
        <w:ind w:left="8755" w:hanging="360"/>
      </w:pPr>
      <w:rPr>
        <w:rFonts w:hint="default"/>
        <w:lang w:val="en-US" w:eastAsia="en-US" w:bidi="ar-SA"/>
      </w:rPr>
    </w:lvl>
  </w:abstractNum>
  <w:abstractNum w:abstractNumId="8" w15:restartNumberingAfterBreak="0">
    <w:nsid w:val="34222F79"/>
    <w:multiLevelType w:val="hybridMultilevel"/>
    <w:tmpl w:val="BE265F32"/>
    <w:lvl w:ilvl="0" w:tplc="8F8431D8">
      <w:start w:val="1"/>
      <w:numFmt w:val="decimal"/>
      <w:lvlText w:val="%1."/>
      <w:lvlJc w:val="left"/>
      <w:pPr>
        <w:ind w:left="526" w:hanging="271"/>
        <w:jc w:val="left"/>
      </w:pPr>
      <w:rPr>
        <w:rFonts w:ascii="Franklin Gothic Book" w:eastAsia="Franklin Gothic Book" w:hAnsi="Franklin Gothic Book" w:cs="Franklin Gothic Book" w:hint="default"/>
        <w:b w:val="0"/>
        <w:bCs w:val="0"/>
        <w:i w:val="0"/>
        <w:iCs w:val="0"/>
        <w:spacing w:val="-2"/>
        <w:w w:val="103"/>
        <w:sz w:val="16"/>
        <w:szCs w:val="16"/>
        <w:lang w:val="en-US" w:eastAsia="en-US" w:bidi="ar-SA"/>
      </w:rPr>
    </w:lvl>
    <w:lvl w:ilvl="1" w:tplc="79868E04">
      <w:numFmt w:val="bullet"/>
      <w:lvlText w:val="•"/>
      <w:lvlJc w:val="left"/>
      <w:pPr>
        <w:ind w:left="996" w:hanging="271"/>
      </w:pPr>
      <w:rPr>
        <w:rFonts w:hint="default"/>
        <w:lang w:val="en-US" w:eastAsia="en-US" w:bidi="ar-SA"/>
      </w:rPr>
    </w:lvl>
    <w:lvl w:ilvl="2" w:tplc="9B5A3478">
      <w:numFmt w:val="bullet"/>
      <w:lvlText w:val="•"/>
      <w:lvlJc w:val="left"/>
      <w:pPr>
        <w:ind w:left="1473" w:hanging="271"/>
      </w:pPr>
      <w:rPr>
        <w:rFonts w:hint="default"/>
        <w:lang w:val="en-US" w:eastAsia="en-US" w:bidi="ar-SA"/>
      </w:rPr>
    </w:lvl>
    <w:lvl w:ilvl="3" w:tplc="50B46DE2">
      <w:numFmt w:val="bullet"/>
      <w:lvlText w:val="•"/>
      <w:lvlJc w:val="left"/>
      <w:pPr>
        <w:ind w:left="1950" w:hanging="271"/>
      </w:pPr>
      <w:rPr>
        <w:rFonts w:hint="default"/>
        <w:lang w:val="en-US" w:eastAsia="en-US" w:bidi="ar-SA"/>
      </w:rPr>
    </w:lvl>
    <w:lvl w:ilvl="4" w:tplc="16D06B50">
      <w:numFmt w:val="bullet"/>
      <w:lvlText w:val="•"/>
      <w:lvlJc w:val="left"/>
      <w:pPr>
        <w:ind w:left="2427" w:hanging="271"/>
      </w:pPr>
      <w:rPr>
        <w:rFonts w:hint="default"/>
        <w:lang w:val="en-US" w:eastAsia="en-US" w:bidi="ar-SA"/>
      </w:rPr>
    </w:lvl>
    <w:lvl w:ilvl="5" w:tplc="796CCA06">
      <w:numFmt w:val="bullet"/>
      <w:lvlText w:val="•"/>
      <w:lvlJc w:val="left"/>
      <w:pPr>
        <w:ind w:left="2904" w:hanging="271"/>
      </w:pPr>
      <w:rPr>
        <w:rFonts w:hint="default"/>
        <w:lang w:val="en-US" w:eastAsia="en-US" w:bidi="ar-SA"/>
      </w:rPr>
    </w:lvl>
    <w:lvl w:ilvl="6" w:tplc="E764A712">
      <w:numFmt w:val="bullet"/>
      <w:lvlText w:val="•"/>
      <w:lvlJc w:val="left"/>
      <w:pPr>
        <w:ind w:left="3381" w:hanging="271"/>
      </w:pPr>
      <w:rPr>
        <w:rFonts w:hint="default"/>
        <w:lang w:val="en-US" w:eastAsia="en-US" w:bidi="ar-SA"/>
      </w:rPr>
    </w:lvl>
    <w:lvl w:ilvl="7" w:tplc="04D6EA5E">
      <w:numFmt w:val="bullet"/>
      <w:lvlText w:val="•"/>
      <w:lvlJc w:val="left"/>
      <w:pPr>
        <w:ind w:left="3858" w:hanging="271"/>
      </w:pPr>
      <w:rPr>
        <w:rFonts w:hint="default"/>
        <w:lang w:val="en-US" w:eastAsia="en-US" w:bidi="ar-SA"/>
      </w:rPr>
    </w:lvl>
    <w:lvl w:ilvl="8" w:tplc="CA8850F6">
      <w:numFmt w:val="bullet"/>
      <w:lvlText w:val="•"/>
      <w:lvlJc w:val="left"/>
      <w:pPr>
        <w:ind w:left="4335" w:hanging="271"/>
      </w:pPr>
      <w:rPr>
        <w:rFonts w:hint="default"/>
        <w:lang w:val="en-US" w:eastAsia="en-US" w:bidi="ar-SA"/>
      </w:rPr>
    </w:lvl>
  </w:abstractNum>
  <w:abstractNum w:abstractNumId="9" w15:restartNumberingAfterBreak="0">
    <w:nsid w:val="3FE044EC"/>
    <w:multiLevelType w:val="hybridMultilevel"/>
    <w:tmpl w:val="8EACD894"/>
    <w:lvl w:ilvl="0" w:tplc="2E3282B8">
      <w:numFmt w:val="bullet"/>
      <w:lvlText w:val=""/>
      <w:lvlJc w:val="left"/>
      <w:pPr>
        <w:ind w:left="1680" w:hanging="361"/>
      </w:pPr>
      <w:rPr>
        <w:rFonts w:ascii="Symbol" w:eastAsia="Symbol" w:hAnsi="Symbol" w:cs="Symbol" w:hint="default"/>
        <w:b w:val="0"/>
        <w:bCs w:val="0"/>
        <w:i w:val="0"/>
        <w:iCs w:val="0"/>
        <w:spacing w:val="0"/>
        <w:w w:val="100"/>
        <w:sz w:val="22"/>
        <w:szCs w:val="22"/>
        <w:lang w:val="en-US" w:eastAsia="en-US" w:bidi="ar-SA"/>
      </w:rPr>
    </w:lvl>
    <w:lvl w:ilvl="1" w:tplc="47EA6DDC">
      <w:numFmt w:val="bullet"/>
      <w:lvlText w:val="•"/>
      <w:lvlJc w:val="left"/>
      <w:pPr>
        <w:ind w:left="2614" w:hanging="361"/>
      </w:pPr>
      <w:rPr>
        <w:rFonts w:hint="default"/>
        <w:lang w:val="en-US" w:eastAsia="en-US" w:bidi="ar-SA"/>
      </w:rPr>
    </w:lvl>
    <w:lvl w:ilvl="2" w:tplc="F410C6FA">
      <w:numFmt w:val="bullet"/>
      <w:lvlText w:val="•"/>
      <w:lvlJc w:val="left"/>
      <w:pPr>
        <w:ind w:left="3548" w:hanging="361"/>
      </w:pPr>
      <w:rPr>
        <w:rFonts w:hint="default"/>
        <w:lang w:val="en-US" w:eastAsia="en-US" w:bidi="ar-SA"/>
      </w:rPr>
    </w:lvl>
    <w:lvl w:ilvl="3" w:tplc="EE44619C">
      <w:numFmt w:val="bullet"/>
      <w:lvlText w:val="•"/>
      <w:lvlJc w:val="left"/>
      <w:pPr>
        <w:ind w:left="4482" w:hanging="361"/>
      </w:pPr>
      <w:rPr>
        <w:rFonts w:hint="default"/>
        <w:lang w:val="en-US" w:eastAsia="en-US" w:bidi="ar-SA"/>
      </w:rPr>
    </w:lvl>
    <w:lvl w:ilvl="4" w:tplc="3064C5C2">
      <w:numFmt w:val="bullet"/>
      <w:lvlText w:val="•"/>
      <w:lvlJc w:val="left"/>
      <w:pPr>
        <w:ind w:left="5416" w:hanging="361"/>
      </w:pPr>
      <w:rPr>
        <w:rFonts w:hint="default"/>
        <w:lang w:val="en-US" w:eastAsia="en-US" w:bidi="ar-SA"/>
      </w:rPr>
    </w:lvl>
    <w:lvl w:ilvl="5" w:tplc="31501834">
      <w:numFmt w:val="bullet"/>
      <w:lvlText w:val="•"/>
      <w:lvlJc w:val="left"/>
      <w:pPr>
        <w:ind w:left="6350" w:hanging="361"/>
      </w:pPr>
      <w:rPr>
        <w:rFonts w:hint="default"/>
        <w:lang w:val="en-US" w:eastAsia="en-US" w:bidi="ar-SA"/>
      </w:rPr>
    </w:lvl>
    <w:lvl w:ilvl="6" w:tplc="FD9E43E8">
      <w:numFmt w:val="bullet"/>
      <w:lvlText w:val="•"/>
      <w:lvlJc w:val="left"/>
      <w:pPr>
        <w:ind w:left="7284" w:hanging="361"/>
      </w:pPr>
      <w:rPr>
        <w:rFonts w:hint="default"/>
        <w:lang w:val="en-US" w:eastAsia="en-US" w:bidi="ar-SA"/>
      </w:rPr>
    </w:lvl>
    <w:lvl w:ilvl="7" w:tplc="6728F6CA">
      <w:numFmt w:val="bullet"/>
      <w:lvlText w:val="•"/>
      <w:lvlJc w:val="left"/>
      <w:pPr>
        <w:ind w:left="8218" w:hanging="361"/>
      </w:pPr>
      <w:rPr>
        <w:rFonts w:hint="default"/>
        <w:lang w:val="en-US" w:eastAsia="en-US" w:bidi="ar-SA"/>
      </w:rPr>
    </w:lvl>
    <w:lvl w:ilvl="8" w:tplc="3D764A32">
      <w:numFmt w:val="bullet"/>
      <w:lvlText w:val="•"/>
      <w:lvlJc w:val="left"/>
      <w:pPr>
        <w:ind w:left="9152" w:hanging="361"/>
      </w:pPr>
      <w:rPr>
        <w:rFonts w:hint="default"/>
        <w:lang w:val="en-US" w:eastAsia="en-US" w:bidi="ar-SA"/>
      </w:rPr>
    </w:lvl>
  </w:abstractNum>
  <w:abstractNum w:abstractNumId="10" w15:restartNumberingAfterBreak="0">
    <w:nsid w:val="44DB4B52"/>
    <w:multiLevelType w:val="hybridMultilevel"/>
    <w:tmpl w:val="9CC6CAB2"/>
    <w:lvl w:ilvl="0" w:tplc="8E306F44">
      <w:numFmt w:val="bullet"/>
      <w:lvlText w:val="•"/>
      <w:lvlJc w:val="left"/>
      <w:pPr>
        <w:ind w:left="398" w:hanging="200"/>
      </w:pPr>
      <w:rPr>
        <w:rFonts w:ascii="Franklin Gothic Book" w:eastAsia="Franklin Gothic Book" w:hAnsi="Franklin Gothic Book" w:cs="Franklin Gothic Book" w:hint="default"/>
        <w:b w:val="0"/>
        <w:bCs w:val="0"/>
        <w:i w:val="0"/>
        <w:iCs w:val="0"/>
        <w:color w:val="3F3E45"/>
        <w:spacing w:val="0"/>
        <w:w w:val="100"/>
        <w:sz w:val="20"/>
        <w:szCs w:val="20"/>
        <w:lang w:val="en-US" w:eastAsia="en-US" w:bidi="ar-SA"/>
      </w:rPr>
    </w:lvl>
    <w:lvl w:ilvl="1" w:tplc="12106DEA">
      <w:numFmt w:val="bullet"/>
      <w:lvlText w:val="•"/>
      <w:lvlJc w:val="left"/>
      <w:pPr>
        <w:ind w:left="846" w:hanging="200"/>
      </w:pPr>
      <w:rPr>
        <w:rFonts w:hint="default"/>
        <w:lang w:val="en-US" w:eastAsia="en-US" w:bidi="ar-SA"/>
      </w:rPr>
    </w:lvl>
    <w:lvl w:ilvl="2" w:tplc="3A2C3B4C">
      <w:numFmt w:val="bullet"/>
      <w:lvlText w:val="•"/>
      <w:lvlJc w:val="left"/>
      <w:pPr>
        <w:ind w:left="1293" w:hanging="200"/>
      </w:pPr>
      <w:rPr>
        <w:rFonts w:hint="default"/>
        <w:lang w:val="en-US" w:eastAsia="en-US" w:bidi="ar-SA"/>
      </w:rPr>
    </w:lvl>
    <w:lvl w:ilvl="3" w:tplc="4516B094">
      <w:numFmt w:val="bullet"/>
      <w:lvlText w:val="•"/>
      <w:lvlJc w:val="left"/>
      <w:pPr>
        <w:ind w:left="1740" w:hanging="200"/>
      </w:pPr>
      <w:rPr>
        <w:rFonts w:hint="default"/>
        <w:lang w:val="en-US" w:eastAsia="en-US" w:bidi="ar-SA"/>
      </w:rPr>
    </w:lvl>
    <w:lvl w:ilvl="4" w:tplc="8A28BEFA">
      <w:numFmt w:val="bullet"/>
      <w:lvlText w:val="•"/>
      <w:lvlJc w:val="left"/>
      <w:pPr>
        <w:ind w:left="2186" w:hanging="200"/>
      </w:pPr>
      <w:rPr>
        <w:rFonts w:hint="default"/>
        <w:lang w:val="en-US" w:eastAsia="en-US" w:bidi="ar-SA"/>
      </w:rPr>
    </w:lvl>
    <w:lvl w:ilvl="5" w:tplc="18804782">
      <w:numFmt w:val="bullet"/>
      <w:lvlText w:val="•"/>
      <w:lvlJc w:val="left"/>
      <w:pPr>
        <w:ind w:left="2633" w:hanging="200"/>
      </w:pPr>
      <w:rPr>
        <w:rFonts w:hint="default"/>
        <w:lang w:val="en-US" w:eastAsia="en-US" w:bidi="ar-SA"/>
      </w:rPr>
    </w:lvl>
    <w:lvl w:ilvl="6" w:tplc="C98A3C70">
      <w:numFmt w:val="bullet"/>
      <w:lvlText w:val="•"/>
      <w:lvlJc w:val="left"/>
      <w:pPr>
        <w:ind w:left="3080" w:hanging="200"/>
      </w:pPr>
      <w:rPr>
        <w:rFonts w:hint="default"/>
        <w:lang w:val="en-US" w:eastAsia="en-US" w:bidi="ar-SA"/>
      </w:rPr>
    </w:lvl>
    <w:lvl w:ilvl="7" w:tplc="291A3B52">
      <w:numFmt w:val="bullet"/>
      <w:lvlText w:val="•"/>
      <w:lvlJc w:val="left"/>
      <w:pPr>
        <w:ind w:left="3526" w:hanging="200"/>
      </w:pPr>
      <w:rPr>
        <w:rFonts w:hint="default"/>
        <w:lang w:val="en-US" w:eastAsia="en-US" w:bidi="ar-SA"/>
      </w:rPr>
    </w:lvl>
    <w:lvl w:ilvl="8" w:tplc="07D833CE">
      <w:numFmt w:val="bullet"/>
      <w:lvlText w:val="•"/>
      <w:lvlJc w:val="left"/>
      <w:pPr>
        <w:ind w:left="3973" w:hanging="200"/>
      </w:pPr>
      <w:rPr>
        <w:rFonts w:hint="default"/>
        <w:lang w:val="en-US" w:eastAsia="en-US" w:bidi="ar-SA"/>
      </w:rPr>
    </w:lvl>
  </w:abstractNum>
  <w:abstractNum w:abstractNumId="11" w15:restartNumberingAfterBreak="0">
    <w:nsid w:val="48454852"/>
    <w:multiLevelType w:val="hybridMultilevel"/>
    <w:tmpl w:val="7340C63C"/>
    <w:lvl w:ilvl="0" w:tplc="7E4A5A48">
      <w:numFmt w:val="bullet"/>
      <w:lvlText w:val=""/>
      <w:lvlJc w:val="left"/>
      <w:pPr>
        <w:ind w:left="1680" w:hanging="361"/>
      </w:pPr>
      <w:rPr>
        <w:rFonts w:ascii="Symbol" w:eastAsia="Symbol" w:hAnsi="Symbol" w:cs="Symbol" w:hint="default"/>
        <w:b w:val="0"/>
        <w:bCs w:val="0"/>
        <w:i w:val="0"/>
        <w:iCs w:val="0"/>
        <w:spacing w:val="0"/>
        <w:w w:val="100"/>
        <w:sz w:val="22"/>
        <w:szCs w:val="22"/>
        <w:lang w:val="en-US" w:eastAsia="en-US" w:bidi="ar-SA"/>
      </w:rPr>
    </w:lvl>
    <w:lvl w:ilvl="1" w:tplc="D00CE97C">
      <w:numFmt w:val="bullet"/>
      <w:lvlText w:val="•"/>
      <w:lvlJc w:val="left"/>
      <w:pPr>
        <w:ind w:left="2614" w:hanging="361"/>
      </w:pPr>
      <w:rPr>
        <w:rFonts w:hint="default"/>
        <w:lang w:val="en-US" w:eastAsia="en-US" w:bidi="ar-SA"/>
      </w:rPr>
    </w:lvl>
    <w:lvl w:ilvl="2" w:tplc="CB0E611E">
      <w:numFmt w:val="bullet"/>
      <w:lvlText w:val="•"/>
      <w:lvlJc w:val="left"/>
      <w:pPr>
        <w:ind w:left="3548" w:hanging="361"/>
      </w:pPr>
      <w:rPr>
        <w:rFonts w:hint="default"/>
        <w:lang w:val="en-US" w:eastAsia="en-US" w:bidi="ar-SA"/>
      </w:rPr>
    </w:lvl>
    <w:lvl w:ilvl="3" w:tplc="1D6E4A10">
      <w:numFmt w:val="bullet"/>
      <w:lvlText w:val="•"/>
      <w:lvlJc w:val="left"/>
      <w:pPr>
        <w:ind w:left="4482" w:hanging="361"/>
      </w:pPr>
      <w:rPr>
        <w:rFonts w:hint="default"/>
        <w:lang w:val="en-US" w:eastAsia="en-US" w:bidi="ar-SA"/>
      </w:rPr>
    </w:lvl>
    <w:lvl w:ilvl="4" w:tplc="D1B6E168">
      <w:numFmt w:val="bullet"/>
      <w:lvlText w:val="•"/>
      <w:lvlJc w:val="left"/>
      <w:pPr>
        <w:ind w:left="5416" w:hanging="361"/>
      </w:pPr>
      <w:rPr>
        <w:rFonts w:hint="default"/>
        <w:lang w:val="en-US" w:eastAsia="en-US" w:bidi="ar-SA"/>
      </w:rPr>
    </w:lvl>
    <w:lvl w:ilvl="5" w:tplc="E96A1BEC">
      <w:numFmt w:val="bullet"/>
      <w:lvlText w:val="•"/>
      <w:lvlJc w:val="left"/>
      <w:pPr>
        <w:ind w:left="6350" w:hanging="361"/>
      </w:pPr>
      <w:rPr>
        <w:rFonts w:hint="default"/>
        <w:lang w:val="en-US" w:eastAsia="en-US" w:bidi="ar-SA"/>
      </w:rPr>
    </w:lvl>
    <w:lvl w:ilvl="6" w:tplc="739CAC0A">
      <w:numFmt w:val="bullet"/>
      <w:lvlText w:val="•"/>
      <w:lvlJc w:val="left"/>
      <w:pPr>
        <w:ind w:left="7284" w:hanging="361"/>
      </w:pPr>
      <w:rPr>
        <w:rFonts w:hint="default"/>
        <w:lang w:val="en-US" w:eastAsia="en-US" w:bidi="ar-SA"/>
      </w:rPr>
    </w:lvl>
    <w:lvl w:ilvl="7" w:tplc="AF90A164">
      <w:numFmt w:val="bullet"/>
      <w:lvlText w:val="•"/>
      <w:lvlJc w:val="left"/>
      <w:pPr>
        <w:ind w:left="8218" w:hanging="361"/>
      </w:pPr>
      <w:rPr>
        <w:rFonts w:hint="default"/>
        <w:lang w:val="en-US" w:eastAsia="en-US" w:bidi="ar-SA"/>
      </w:rPr>
    </w:lvl>
    <w:lvl w:ilvl="8" w:tplc="1EE6E7A8">
      <w:numFmt w:val="bullet"/>
      <w:lvlText w:val="•"/>
      <w:lvlJc w:val="left"/>
      <w:pPr>
        <w:ind w:left="9152" w:hanging="361"/>
      </w:pPr>
      <w:rPr>
        <w:rFonts w:hint="default"/>
        <w:lang w:val="en-US" w:eastAsia="en-US" w:bidi="ar-SA"/>
      </w:rPr>
    </w:lvl>
  </w:abstractNum>
  <w:abstractNum w:abstractNumId="12" w15:restartNumberingAfterBreak="0">
    <w:nsid w:val="49C55786"/>
    <w:multiLevelType w:val="hybridMultilevel"/>
    <w:tmpl w:val="FF7017C0"/>
    <w:lvl w:ilvl="0" w:tplc="838E6F20">
      <w:start w:val="1"/>
      <w:numFmt w:val="upperLetter"/>
      <w:lvlText w:val="%1."/>
      <w:lvlJc w:val="left"/>
      <w:pPr>
        <w:ind w:left="960" w:hanging="360"/>
        <w:jc w:val="right"/>
      </w:pPr>
      <w:rPr>
        <w:rFonts w:ascii="Franklin Gothic Medium" w:eastAsia="Franklin Gothic Medium" w:hAnsi="Franklin Gothic Medium" w:cs="Franklin Gothic Medium" w:hint="default"/>
        <w:b w:val="0"/>
        <w:bCs w:val="0"/>
        <w:i w:val="0"/>
        <w:iCs w:val="0"/>
        <w:color w:val="063656"/>
        <w:spacing w:val="0"/>
        <w:w w:val="100"/>
        <w:sz w:val="28"/>
        <w:szCs w:val="28"/>
        <w:lang w:val="en-US" w:eastAsia="en-US" w:bidi="ar-SA"/>
      </w:rPr>
    </w:lvl>
    <w:lvl w:ilvl="1" w:tplc="9C502C50">
      <w:numFmt w:val="bullet"/>
      <w:lvlText w:val=""/>
      <w:lvlJc w:val="left"/>
      <w:pPr>
        <w:ind w:left="1680" w:hanging="361"/>
      </w:pPr>
      <w:rPr>
        <w:rFonts w:ascii="Symbol" w:eastAsia="Symbol" w:hAnsi="Symbol" w:cs="Symbol" w:hint="default"/>
        <w:b w:val="0"/>
        <w:bCs w:val="0"/>
        <w:i w:val="0"/>
        <w:iCs w:val="0"/>
        <w:spacing w:val="0"/>
        <w:w w:val="100"/>
        <w:sz w:val="22"/>
        <w:szCs w:val="22"/>
        <w:lang w:val="en-US" w:eastAsia="en-US" w:bidi="ar-SA"/>
      </w:rPr>
    </w:lvl>
    <w:lvl w:ilvl="2" w:tplc="6F0216E0">
      <w:numFmt w:val="bullet"/>
      <w:lvlText w:val="•"/>
      <w:lvlJc w:val="left"/>
      <w:pPr>
        <w:ind w:left="2717" w:hanging="361"/>
      </w:pPr>
      <w:rPr>
        <w:rFonts w:hint="default"/>
        <w:lang w:val="en-US" w:eastAsia="en-US" w:bidi="ar-SA"/>
      </w:rPr>
    </w:lvl>
    <w:lvl w:ilvl="3" w:tplc="DDB4C97C">
      <w:numFmt w:val="bullet"/>
      <w:lvlText w:val="•"/>
      <w:lvlJc w:val="left"/>
      <w:pPr>
        <w:ind w:left="3755" w:hanging="361"/>
      </w:pPr>
      <w:rPr>
        <w:rFonts w:hint="default"/>
        <w:lang w:val="en-US" w:eastAsia="en-US" w:bidi="ar-SA"/>
      </w:rPr>
    </w:lvl>
    <w:lvl w:ilvl="4" w:tplc="2E76BF3C">
      <w:numFmt w:val="bullet"/>
      <w:lvlText w:val="•"/>
      <w:lvlJc w:val="left"/>
      <w:pPr>
        <w:ind w:left="4793" w:hanging="361"/>
      </w:pPr>
      <w:rPr>
        <w:rFonts w:hint="default"/>
        <w:lang w:val="en-US" w:eastAsia="en-US" w:bidi="ar-SA"/>
      </w:rPr>
    </w:lvl>
    <w:lvl w:ilvl="5" w:tplc="E9DC5D36">
      <w:numFmt w:val="bullet"/>
      <w:lvlText w:val="•"/>
      <w:lvlJc w:val="left"/>
      <w:pPr>
        <w:ind w:left="5831" w:hanging="361"/>
      </w:pPr>
      <w:rPr>
        <w:rFonts w:hint="default"/>
        <w:lang w:val="en-US" w:eastAsia="en-US" w:bidi="ar-SA"/>
      </w:rPr>
    </w:lvl>
    <w:lvl w:ilvl="6" w:tplc="362C88DC">
      <w:numFmt w:val="bullet"/>
      <w:lvlText w:val="•"/>
      <w:lvlJc w:val="left"/>
      <w:pPr>
        <w:ind w:left="6868" w:hanging="361"/>
      </w:pPr>
      <w:rPr>
        <w:rFonts w:hint="default"/>
        <w:lang w:val="en-US" w:eastAsia="en-US" w:bidi="ar-SA"/>
      </w:rPr>
    </w:lvl>
    <w:lvl w:ilvl="7" w:tplc="EB0CD354">
      <w:numFmt w:val="bullet"/>
      <w:lvlText w:val="•"/>
      <w:lvlJc w:val="left"/>
      <w:pPr>
        <w:ind w:left="7906" w:hanging="361"/>
      </w:pPr>
      <w:rPr>
        <w:rFonts w:hint="default"/>
        <w:lang w:val="en-US" w:eastAsia="en-US" w:bidi="ar-SA"/>
      </w:rPr>
    </w:lvl>
    <w:lvl w:ilvl="8" w:tplc="FD4276E6">
      <w:numFmt w:val="bullet"/>
      <w:lvlText w:val="•"/>
      <w:lvlJc w:val="left"/>
      <w:pPr>
        <w:ind w:left="8944" w:hanging="361"/>
      </w:pPr>
      <w:rPr>
        <w:rFonts w:hint="default"/>
        <w:lang w:val="en-US" w:eastAsia="en-US" w:bidi="ar-SA"/>
      </w:rPr>
    </w:lvl>
  </w:abstractNum>
  <w:abstractNum w:abstractNumId="13" w15:restartNumberingAfterBreak="0">
    <w:nsid w:val="5C893114"/>
    <w:multiLevelType w:val="hybridMultilevel"/>
    <w:tmpl w:val="2FCACDA4"/>
    <w:lvl w:ilvl="0" w:tplc="9FD6403E">
      <w:numFmt w:val="bullet"/>
      <w:lvlText w:val="o"/>
      <w:lvlJc w:val="left"/>
      <w:pPr>
        <w:ind w:left="2400" w:hanging="361"/>
      </w:pPr>
      <w:rPr>
        <w:rFonts w:ascii="Courier New" w:eastAsia="Courier New" w:hAnsi="Courier New" w:cs="Courier New" w:hint="default"/>
        <w:b w:val="0"/>
        <w:bCs w:val="0"/>
        <w:i w:val="0"/>
        <w:iCs w:val="0"/>
        <w:spacing w:val="0"/>
        <w:w w:val="100"/>
        <w:sz w:val="22"/>
        <w:szCs w:val="22"/>
        <w:lang w:val="en-US" w:eastAsia="en-US" w:bidi="ar-SA"/>
      </w:rPr>
    </w:lvl>
    <w:lvl w:ilvl="1" w:tplc="052A8D46">
      <w:numFmt w:val="bullet"/>
      <w:lvlText w:val="•"/>
      <w:lvlJc w:val="left"/>
      <w:pPr>
        <w:ind w:left="3262" w:hanging="361"/>
      </w:pPr>
      <w:rPr>
        <w:rFonts w:hint="default"/>
        <w:lang w:val="en-US" w:eastAsia="en-US" w:bidi="ar-SA"/>
      </w:rPr>
    </w:lvl>
    <w:lvl w:ilvl="2" w:tplc="4344E874">
      <w:numFmt w:val="bullet"/>
      <w:lvlText w:val="•"/>
      <w:lvlJc w:val="left"/>
      <w:pPr>
        <w:ind w:left="4124" w:hanging="361"/>
      </w:pPr>
      <w:rPr>
        <w:rFonts w:hint="default"/>
        <w:lang w:val="en-US" w:eastAsia="en-US" w:bidi="ar-SA"/>
      </w:rPr>
    </w:lvl>
    <w:lvl w:ilvl="3" w:tplc="52CCD1AE">
      <w:numFmt w:val="bullet"/>
      <w:lvlText w:val="•"/>
      <w:lvlJc w:val="left"/>
      <w:pPr>
        <w:ind w:left="4986" w:hanging="361"/>
      </w:pPr>
      <w:rPr>
        <w:rFonts w:hint="default"/>
        <w:lang w:val="en-US" w:eastAsia="en-US" w:bidi="ar-SA"/>
      </w:rPr>
    </w:lvl>
    <w:lvl w:ilvl="4" w:tplc="AC8C1D82">
      <w:numFmt w:val="bullet"/>
      <w:lvlText w:val="•"/>
      <w:lvlJc w:val="left"/>
      <w:pPr>
        <w:ind w:left="5848" w:hanging="361"/>
      </w:pPr>
      <w:rPr>
        <w:rFonts w:hint="default"/>
        <w:lang w:val="en-US" w:eastAsia="en-US" w:bidi="ar-SA"/>
      </w:rPr>
    </w:lvl>
    <w:lvl w:ilvl="5" w:tplc="867E35F4">
      <w:numFmt w:val="bullet"/>
      <w:lvlText w:val="•"/>
      <w:lvlJc w:val="left"/>
      <w:pPr>
        <w:ind w:left="6710" w:hanging="361"/>
      </w:pPr>
      <w:rPr>
        <w:rFonts w:hint="default"/>
        <w:lang w:val="en-US" w:eastAsia="en-US" w:bidi="ar-SA"/>
      </w:rPr>
    </w:lvl>
    <w:lvl w:ilvl="6" w:tplc="1A0493DC">
      <w:numFmt w:val="bullet"/>
      <w:lvlText w:val="•"/>
      <w:lvlJc w:val="left"/>
      <w:pPr>
        <w:ind w:left="7572" w:hanging="361"/>
      </w:pPr>
      <w:rPr>
        <w:rFonts w:hint="default"/>
        <w:lang w:val="en-US" w:eastAsia="en-US" w:bidi="ar-SA"/>
      </w:rPr>
    </w:lvl>
    <w:lvl w:ilvl="7" w:tplc="F776291E">
      <w:numFmt w:val="bullet"/>
      <w:lvlText w:val="•"/>
      <w:lvlJc w:val="left"/>
      <w:pPr>
        <w:ind w:left="8434" w:hanging="361"/>
      </w:pPr>
      <w:rPr>
        <w:rFonts w:hint="default"/>
        <w:lang w:val="en-US" w:eastAsia="en-US" w:bidi="ar-SA"/>
      </w:rPr>
    </w:lvl>
    <w:lvl w:ilvl="8" w:tplc="B5BCA150">
      <w:numFmt w:val="bullet"/>
      <w:lvlText w:val="•"/>
      <w:lvlJc w:val="left"/>
      <w:pPr>
        <w:ind w:left="9296" w:hanging="361"/>
      </w:pPr>
      <w:rPr>
        <w:rFonts w:hint="default"/>
        <w:lang w:val="en-US" w:eastAsia="en-US" w:bidi="ar-SA"/>
      </w:rPr>
    </w:lvl>
  </w:abstractNum>
  <w:abstractNum w:abstractNumId="14" w15:restartNumberingAfterBreak="0">
    <w:nsid w:val="5EF05FED"/>
    <w:multiLevelType w:val="hybridMultilevel"/>
    <w:tmpl w:val="BFEA1AD8"/>
    <w:lvl w:ilvl="0" w:tplc="556CA46E">
      <w:start w:val="1"/>
      <w:numFmt w:val="upperLetter"/>
      <w:lvlText w:val="%1."/>
      <w:lvlJc w:val="left"/>
      <w:pPr>
        <w:ind w:left="1679" w:hanging="360"/>
        <w:jc w:val="left"/>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1" w:tplc="9E50E51C">
      <w:numFmt w:val="bullet"/>
      <w:lvlText w:val="•"/>
      <w:lvlJc w:val="left"/>
      <w:pPr>
        <w:ind w:left="2614" w:hanging="360"/>
      </w:pPr>
      <w:rPr>
        <w:rFonts w:hint="default"/>
        <w:lang w:val="en-US" w:eastAsia="en-US" w:bidi="ar-SA"/>
      </w:rPr>
    </w:lvl>
    <w:lvl w:ilvl="2" w:tplc="E1180650">
      <w:numFmt w:val="bullet"/>
      <w:lvlText w:val="•"/>
      <w:lvlJc w:val="left"/>
      <w:pPr>
        <w:ind w:left="3548" w:hanging="360"/>
      </w:pPr>
      <w:rPr>
        <w:rFonts w:hint="default"/>
        <w:lang w:val="en-US" w:eastAsia="en-US" w:bidi="ar-SA"/>
      </w:rPr>
    </w:lvl>
    <w:lvl w:ilvl="3" w:tplc="80768D82">
      <w:numFmt w:val="bullet"/>
      <w:lvlText w:val="•"/>
      <w:lvlJc w:val="left"/>
      <w:pPr>
        <w:ind w:left="4482" w:hanging="360"/>
      </w:pPr>
      <w:rPr>
        <w:rFonts w:hint="default"/>
        <w:lang w:val="en-US" w:eastAsia="en-US" w:bidi="ar-SA"/>
      </w:rPr>
    </w:lvl>
    <w:lvl w:ilvl="4" w:tplc="52F0337E">
      <w:numFmt w:val="bullet"/>
      <w:lvlText w:val="•"/>
      <w:lvlJc w:val="left"/>
      <w:pPr>
        <w:ind w:left="5416" w:hanging="360"/>
      </w:pPr>
      <w:rPr>
        <w:rFonts w:hint="default"/>
        <w:lang w:val="en-US" w:eastAsia="en-US" w:bidi="ar-SA"/>
      </w:rPr>
    </w:lvl>
    <w:lvl w:ilvl="5" w:tplc="C98A6684">
      <w:numFmt w:val="bullet"/>
      <w:lvlText w:val="•"/>
      <w:lvlJc w:val="left"/>
      <w:pPr>
        <w:ind w:left="6350" w:hanging="360"/>
      </w:pPr>
      <w:rPr>
        <w:rFonts w:hint="default"/>
        <w:lang w:val="en-US" w:eastAsia="en-US" w:bidi="ar-SA"/>
      </w:rPr>
    </w:lvl>
    <w:lvl w:ilvl="6" w:tplc="6CA682A8">
      <w:numFmt w:val="bullet"/>
      <w:lvlText w:val="•"/>
      <w:lvlJc w:val="left"/>
      <w:pPr>
        <w:ind w:left="7284" w:hanging="360"/>
      </w:pPr>
      <w:rPr>
        <w:rFonts w:hint="default"/>
        <w:lang w:val="en-US" w:eastAsia="en-US" w:bidi="ar-SA"/>
      </w:rPr>
    </w:lvl>
    <w:lvl w:ilvl="7" w:tplc="F8E64FDA">
      <w:numFmt w:val="bullet"/>
      <w:lvlText w:val="•"/>
      <w:lvlJc w:val="left"/>
      <w:pPr>
        <w:ind w:left="8218" w:hanging="360"/>
      </w:pPr>
      <w:rPr>
        <w:rFonts w:hint="default"/>
        <w:lang w:val="en-US" w:eastAsia="en-US" w:bidi="ar-SA"/>
      </w:rPr>
    </w:lvl>
    <w:lvl w:ilvl="8" w:tplc="C1684642">
      <w:numFmt w:val="bullet"/>
      <w:lvlText w:val="•"/>
      <w:lvlJc w:val="left"/>
      <w:pPr>
        <w:ind w:left="9152" w:hanging="360"/>
      </w:pPr>
      <w:rPr>
        <w:rFonts w:hint="default"/>
        <w:lang w:val="en-US" w:eastAsia="en-US" w:bidi="ar-SA"/>
      </w:rPr>
    </w:lvl>
  </w:abstractNum>
  <w:abstractNum w:abstractNumId="15" w15:restartNumberingAfterBreak="0">
    <w:nsid w:val="61E42398"/>
    <w:multiLevelType w:val="hybridMultilevel"/>
    <w:tmpl w:val="5C243E20"/>
    <w:lvl w:ilvl="0" w:tplc="A0CAF1B4">
      <w:start w:val="1"/>
      <w:numFmt w:val="lowerRoman"/>
      <w:lvlText w:val="%1."/>
      <w:lvlJc w:val="left"/>
      <w:pPr>
        <w:ind w:left="960" w:hanging="360"/>
        <w:jc w:val="left"/>
      </w:pPr>
      <w:rPr>
        <w:rFonts w:ascii="Franklin Gothic Book" w:eastAsia="Franklin Gothic Book" w:hAnsi="Franklin Gothic Book" w:cs="Franklin Gothic Book" w:hint="default"/>
        <w:b w:val="0"/>
        <w:bCs w:val="0"/>
        <w:i w:val="0"/>
        <w:iCs w:val="0"/>
        <w:color w:val="042339"/>
        <w:spacing w:val="-1"/>
        <w:w w:val="100"/>
        <w:sz w:val="22"/>
        <w:szCs w:val="22"/>
        <w:lang w:val="en-US" w:eastAsia="en-US" w:bidi="ar-SA"/>
      </w:rPr>
    </w:lvl>
    <w:lvl w:ilvl="1" w:tplc="20A01EF0">
      <w:numFmt w:val="bullet"/>
      <w:lvlText w:val="•"/>
      <w:lvlJc w:val="left"/>
      <w:pPr>
        <w:ind w:left="1966" w:hanging="360"/>
      </w:pPr>
      <w:rPr>
        <w:rFonts w:hint="default"/>
        <w:lang w:val="en-US" w:eastAsia="en-US" w:bidi="ar-SA"/>
      </w:rPr>
    </w:lvl>
    <w:lvl w:ilvl="2" w:tplc="1DAA5D6C">
      <w:numFmt w:val="bullet"/>
      <w:lvlText w:val="•"/>
      <w:lvlJc w:val="left"/>
      <w:pPr>
        <w:ind w:left="2972" w:hanging="360"/>
      </w:pPr>
      <w:rPr>
        <w:rFonts w:hint="default"/>
        <w:lang w:val="en-US" w:eastAsia="en-US" w:bidi="ar-SA"/>
      </w:rPr>
    </w:lvl>
    <w:lvl w:ilvl="3" w:tplc="6B366CCC">
      <w:numFmt w:val="bullet"/>
      <w:lvlText w:val="•"/>
      <w:lvlJc w:val="left"/>
      <w:pPr>
        <w:ind w:left="3978" w:hanging="360"/>
      </w:pPr>
      <w:rPr>
        <w:rFonts w:hint="default"/>
        <w:lang w:val="en-US" w:eastAsia="en-US" w:bidi="ar-SA"/>
      </w:rPr>
    </w:lvl>
    <w:lvl w:ilvl="4" w:tplc="57E4519A">
      <w:numFmt w:val="bullet"/>
      <w:lvlText w:val="•"/>
      <w:lvlJc w:val="left"/>
      <w:pPr>
        <w:ind w:left="4984" w:hanging="360"/>
      </w:pPr>
      <w:rPr>
        <w:rFonts w:hint="default"/>
        <w:lang w:val="en-US" w:eastAsia="en-US" w:bidi="ar-SA"/>
      </w:rPr>
    </w:lvl>
    <w:lvl w:ilvl="5" w:tplc="112C0084">
      <w:numFmt w:val="bullet"/>
      <w:lvlText w:val="•"/>
      <w:lvlJc w:val="left"/>
      <w:pPr>
        <w:ind w:left="5990" w:hanging="360"/>
      </w:pPr>
      <w:rPr>
        <w:rFonts w:hint="default"/>
        <w:lang w:val="en-US" w:eastAsia="en-US" w:bidi="ar-SA"/>
      </w:rPr>
    </w:lvl>
    <w:lvl w:ilvl="6" w:tplc="3A2C3BA8">
      <w:numFmt w:val="bullet"/>
      <w:lvlText w:val="•"/>
      <w:lvlJc w:val="left"/>
      <w:pPr>
        <w:ind w:left="6996" w:hanging="360"/>
      </w:pPr>
      <w:rPr>
        <w:rFonts w:hint="default"/>
        <w:lang w:val="en-US" w:eastAsia="en-US" w:bidi="ar-SA"/>
      </w:rPr>
    </w:lvl>
    <w:lvl w:ilvl="7" w:tplc="29E47068">
      <w:numFmt w:val="bullet"/>
      <w:lvlText w:val="•"/>
      <w:lvlJc w:val="left"/>
      <w:pPr>
        <w:ind w:left="8002" w:hanging="360"/>
      </w:pPr>
      <w:rPr>
        <w:rFonts w:hint="default"/>
        <w:lang w:val="en-US" w:eastAsia="en-US" w:bidi="ar-SA"/>
      </w:rPr>
    </w:lvl>
    <w:lvl w:ilvl="8" w:tplc="E958512E">
      <w:numFmt w:val="bullet"/>
      <w:lvlText w:val="•"/>
      <w:lvlJc w:val="left"/>
      <w:pPr>
        <w:ind w:left="9008" w:hanging="360"/>
      </w:pPr>
      <w:rPr>
        <w:rFonts w:hint="default"/>
        <w:lang w:val="en-US" w:eastAsia="en-US" w:bidi="ar-SA"/>
      </w:rPr>
    </w:lvl>
  </w:abstractNum>
  <w:abstractNum w:abstractNumId="16" w15:restartNumberingAfterBreak="0">
    <w:nsid w:val="755F0291"/>
    <w:multiLevelType w:val="hybridMultilevel"/>
    <w:tmpl w:val="65E69094"/>
    <w:lvl w:ilvl="0" w:tplc="FBFA4324">
      <w:start w:val="1"/>
      <w:numFmt w:val="lowerLetter"/>
      <w:lvlText w:val="%1."/>
      <w:lvlJc w:val="left"/>
      <w:pPr>
        <w:ind w:left="960" w:hanging="360"/>
        <w:jc w:val="left"/>
      </w:pPr>
      <w:rPr>
        <w:rFonts w:ascii="Franklin Gothic Book" w:eastAsia="Franklin Gothic Book" w:hAnsi="Franklin Gothic Book" w:cs="Franklin Gothic Book" w:hint="default"/>
        <w:b w:val="0"/>
        <w:bCs w:val="0"/>
        <w:i w:val="0"/>
        <w:iCs w:val="0"/>
        <w:color w:val="063656"/>
        <w:spacing w:val="0"/>
        <w:w w:val="100"/>
        <w:sz w:val="22"/>
        <w:szCs w:val="22"/>
        <w:lang w:val="en-US" w:eastAsia="en-US" w:bidi="ar-SA"/>
      </w:rPr>
    </w:lvl>
    <w:lvl w:ilvl="1" w:tplc="16F03992">
      <w:numFmt w:val="bullet"/>
      <w:lvlText w:val="•"/>
      <w:lvlJc w:val="left"/>
      <w:pPr>
        <w:ind w:left="1966" w:hanging="360"/>
      </w:pPr>
      <w:rPr>
        <w:rFonts w:hint="default"/>
        <w:lang w:val="en-US" w:eastAsia="en-US" w:bidi="ar-SA"/>
      </w:rPr>
    </w:lvl>
    <w:lvl w:ilvl="2" w:tplc="DE0E659A">
      <w:numFmt w:val="bullet"/>
      <w:lvlText w:val="•"/>
      <w:lvlJc w:val="left"/>
      <w:pPr>
        <w:ind w:left="2972" w:hanging="360"/>
      </w:pPr>
      <w:rPr>
        <w:rFonts w:hint="default"/>
        <w:lang w:val="en-US" w:eastAsia="en-US" w:bidi="ar-SA"/>
      </w:rPr>
    </w:lvl>
    <w:lvl w:ilvl="3" w:tplc="3E4EAFDA">
      <w:numFmt w:val="bullet"/>
      <w:lvlText w:val="•"/>
      <w:lvlJc w:val="left"/>
      <w:pPr>
        <w:ind w:left="3978" w:hanging="360"/>
      </w:pPr>
      <w:rPr>
        <w:rFonts w:hint="default"/>
        <w:lang w:val="en-US" w:eastAsia="en-US" w:bidi="ar-SA"/>
      </w:rPr>
    </w:lvl>
    <w:lvl w:ilvl="4" w:tplc="C136AF4C">
      <w:numFmt w:val="bullet"/>
      <w:lvlText w:val="•"/>
      <w:lvlJc w:val="left"/>
      <w:pPr>
        <w:ind w:left="4984" w:hanging="360"/>
      </w:pPr>
      <w:rPr>
        <w:rFonts w:hint="default"/>
        <w:lang w:val="en-US" w:eastAsia="en-US" w:bidi="ar-SA"/>
      </w:rPr>
    </w:lvl>
    <w:lvl w:ilvl="5" w:tplc="97D2C61A">
      <w:numFmt w:val="bullet"/>
      <w:lvlText w:val="•"/>
      <w:lvlJc w:val="left"/>
      <w:pPr>
        <w:ind w:left="5990" w:hanging="360"/>
      </w:pPr>
      <w:rPr>
        <w:rFonts w:hint="default"/>
        <w:lang w:val="en-US" w:eastAsia="en-US" w:bidi="ar-SA"/>
      </w:rPr>
    </w:lvl>
    <w:lvl w:ilvl="6" w:tplc="71369020">
      <w:numFmt w:val="bullet"/>
      <w:lvlText w:val="•"/>
      <w:lvlJc w:val="left"/>
      <w:pPr>
        <w:ind w:left="6996" w:hanging="360"/>
      </w:pPr>
      <w:rPr>
        <w:rFonts w:hint="default"/>
        <w:lang w:val="en-US" w:eastAsia="en-US" w:bidi="ar-SA"/>
      </w:rPr>
    </w:lvl>
    <w:lvl w:ilvl="7" w:tplc="BF64EB1A">
      <w:numFmt w:val="bullet"/>
      <w:lvlText w:val="•"/>
      <w:lvlJc w:val="left"/>
      <w:pPr>
        <w:ind w:left="8002" w:hanging="360"/>
      </w:pPr>
      <w:rPr>
        <w:rFonts w:hint="default"/>
        <w:lang w:val="en-US" w:eastAsia="en-US" w:bidi="ar-SA"/>
      </w:rPr>
    </w:lvl>
    <w:lvl w:ilvl="8" w:tplc="0B7C00D4">
      <w:numFmt w:val="bullet"/>
      <w:lvlText w:val="•"/>
      <w:lvlJc w:val="left"/>
      <w:pPr>
        <w:ind w:left="9008" w:hanging="360"/>
      </w:pPr>
      <w:rPr>
        <w:rFonts w:hint="default"/>
        <w:lang w:val="en-US" w:eastAsia="en-US" w:bidi="ar-SA"/>
      </w:rPr>
    </w:lvl>
  </w:abstractNum>
  <w:abstractNum w:abstractNumId="17" w15:restartNumberingAfterBreak="0">
    <w:nsid w:val="7D115603"/>
    <w:multiLevelType w:val="hybridMultilevel"/>
    <w:tmpl w:val="D766EE80"/>
    <w:lvl w:ilvl="0" w:tplc="6C4E51A4">
      <w:numFmt w:val="bullet"/>
      <w:lvlText w:val=""/>
      <w:lvlJc w:val="left"/>
      <w:pPr>
        <w:ind w:left="1968" w:hanging="360"/>
      </w:pPr>
      <w:rPr>
        <w:rFonts w:ascii="Symbol" w:eastAsia="Symbol" w:hAnsi="Symbol" w:cs="Symbol" w:hint="default"/>
        <w:b w:val="0"/>
        <w:bCs w:val="0"/>
        <w:i w:val="0"/>
        <w:iCs w:val="0"/>
        <w:spacing w:val="0"/>
        <w:w w:val="99"/>
        <w:sz w:val="20"/>
        <w:szCs w:val="20"/>
        <w:lang w:val="en-US" w:eastAsia="en-US" w:bidi="ar-SA"/>
      </w:rPr>
    </w:lvl>
    <w:lvl w:ilvl="1" w:tplc="6F56D5CA">
      <w:numFmt w:val="bullet"/>
      <w:lvlText w:val="•"/>
      <w:lvlJc w:val="left"/>
      <w:pPr>
        <w:ind w:left="2866" w:hanging="360"/>
      </w:pPr>
      <w:rPr>
        <w:rFonts w:hint="default"/>
        <w:lang w:val="en-US" w:eastAsia="en-US" w:bidi="ar-SA"/>
      </w:rPr>
    </w:lvl>
    <w:lvl w:ilvl="2" w:tplc="4B8C9E6C">
      <w:numFmt w:val="bullet"/>
      <w:lvlText w:val="•"/>
      <w:lvlJc w:val="left"/>
      <w:pPr>
        <w:ind w:left="3772" w:hanging="360"/>
      </w:pPr>
      <w:rPr>
        <w:rFonts w:hint="default"/>
        <w:lang w:val="en-US" w:eastAsia="en-US" w:bidi="ar-SA"/>
      </w:rPr>
    </w:lvl>
    <w:lvl w:ilvl="3" w:tplc="008444D0">
      <w:numFmt w:val="bullet"/>
      <w:lvlText w:val="•"/>
      <w:lvlJc w:val="left"/>
      <w:pPr>
        <w:ind w:left="4678" w:hanging="360"/>
      </w:pPr>
      <w:rPr>
        <w:rFonts w:hint="default"/>
        <w:lang w:val="en-US" w:eastAsia="en-US" w:bidi="ar-SA"/>
      </w:rPr>
    </w:lvl>
    <w:lvl w:ilvl="4" w:tplc="52BA1182">
      <w:numFmt w:val="bullet"/>
      <w:lvlText w:val="•"/>
      <w:lvlJc w:val="left"/>
      <w:pPr>
        <w:ind w:left="5584" w:hanging="360"/>
      </w:pPr>
      <w:rPr>
        <w:rFonts w:hint="default"/>
        <w:lang w:val="en-US" w:eastAsia="en-US" w:bidi="ar-SA"/>
      </w:rPr>
    </w:lvl>
    <w:lvl w:ilvl="5" w:tplc="080854E2">
      <w:numFmt w:val="bullet"/>
      <w:lvlText w:val="•"/>
      <w:lvlJc w:val="left"/>
      <w:pPr>
        <w:ind w:left="6490" w:hanging="360"/>
      </w:pPr>
      <w:rPr>
        <w:rFonts w:hint="default"/>
        <w:lang w:val="en-US" w:eastAsia="en-US" w:bidi="ar-SA"/>
      </w:rPr>
    </w:lvl>
    <w:lvl w:ilvl="6" w:tplc="FAFAF59C">
      <w:numFmt w:val="bullet"/>
      <w:lvlText w:val="•"/>
      <w:lvlJc w:val="left"/>
      <w:pPr>
        <w:ind w:left="7396" w:hanging="360"/>
      </w:pPr>
      <w:rPr>
        <w:rFonts w:hint="default"/>
        <w:lang w:val="en-US" w:eastAsia="en-US" w:bidi="ar-SA"/>
      </w:rPr>
    </w:lvl>
    <w:lvl w:ilvl="7" w:tplc="E904E4EA">
      <w:numFmt w:val="bullet"/>
      <w:lvlText w:val="•"/>
      <w:lvlJc w:val="left"/>
      <w:pPr>
        <w:ind w:left="8302" w:hanging="360"/>
      </w:pPr>
      <w:rPr>
        <w:rFonts w:hint="default"/>
        <w:lang w:val="en-US" w:eastAsia="en-US" w:bidi="ar-SA"/>
      </w:rPr>
    </w:lvl>
    <w:lvl w:ilvl="8" w:tplc="64C66B12">
      <w:numFmt w:val="bullet"/>
      <w:lvlText w:val="•"/>
      <w:lvlJc w:val="left"/>
      <w:pPr>
        <w:ind w:left="9208" w:hanging="360"/>
      </w:pPr>
      <w:rPr>
        <w:rFonts w:hint="default"/>
        <w:lang w:val="en-US" w:eastAsia="en-US" w:bidi="ar-SA"/>
      </w:rPr>
    </w:lvl>
  </w:abstractNum>
  <w:num w:numId="1" w16cid:durableId="578490459">
    <w:abstractNumId w:val="8"/>
  </w:num>
  <w:num w:numId="2" w16cid:durableId="2001305227">
    <w:abstractNumId w:val="0"/>
  </w:num>
  <w:num w:numId="3" w16cid:durableId="72244505">
    <w:abstractNumId w:val="3"/>
  </w:num>
  <w:num w:numId="4" w16cid:durableId="622343127">
    <w:abstractNumId w:val="10"/>
  </w:num>
  <w:num w:numId="5" w16cid:durableId="735519819">
    <w:abstractNumId w:val="2"/>
  </w:num>
  <w:num w:numId="6" w16cid:durableId="197014313">
    <w:abstractNumId w:val="15"/>
  </w:num>
  <w:num w:numId="7" w16cid:durableId="591354702">
    <w:abstractNumId w:val="12"/>
  </w:num>
  <w:num w:numId="8" w16cid:durableId="1533617805">
    <w:abstractNumId w:val="13"/>
  </w:num>
  <w:num w:numId="9" w16cid:durableId="171989344">
    <w:abstractNumId w:val="11"/>
  </w:num>
  <w:num w:numId="10" w16cid:durableId="1555195931">
    <w:abstractNumId w:val="9"/>
  </w:num>
  <w:num w:numId="11" w16cid:durableId="906383924">
    <w:abstractNumId w:val="4"/>
  </w:num>
  <w:num w:numId="12" w16cid:durableId="1471365888">
    <w:abstractNumId w:val="6"/>
  </w:num>
  <w:num w:numId="13" w16cid:durableId="171142088">
    <w:abstractNumId w:val="1"/>
  </w:num>
  <w:num w:numId="14" w16cid:durableId="1308822176">
    <w:abstractNumId w:val="16"/>
  </w:num>
  <w:num w:numId="15" w16cid:durableId="1958025472">
    <w:abstractNumId w:val="17"/>
  </w:num>
  <w:num w:numId="16" w16cid:durableId="431511079">
    <w:abstractNumId w:val="7"/>
  </w:num>
  <w:num w:numId="17" w16cid:durableId="1482237148">
    <w:abstractNumId w:val="14"/>
  </w:num>
  <w:num w:numId="18" w16cid:durableId="91168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C558F"/>
    <w:rsid w:val="0000040C"/>
    <w:rsid w:val="00001F8C"/>
    <w:rsid w:val="00017F05"/>
    <w:rsid w:val="00020D7C"/>
    <w:rsid w:val="000225AE"/>
    <w:rsid w:val="00025EB0"/>
    <w:rsid w:val="000475F0"/>
    <w:rsid w:val="00054E82"/>
    <w:rsid w:val="00060D7D"/>
    <w:rsid w:val="000624DC"/>
    <w:rsid w:val="000847F2"/>
    <w:rsid w:val="000920A4"/>
    <w:rsid w:val="0009642B"/>
    <w:rsid w:val="000A0B3D"/>
    <w:rsid w:val="000A6FB8"/>
    <w:rsid w:val="000B03A9"/>
    <w:rsid w:val="000D12C4"/>
    <w:rsid w:val="000D3307"/>
    <w:rsid w:val="000D507A"/>
    <w:rsid w:val="000F05ED"/>
    <w:rsid w:val="000F5FB5"/>
    <w:rsid w:val="00106A70"/>
    <w:rsid w:val="00116779"/>
    <w:rsid w:val="00124190"/>
    <w:rsid w:val="00124C27"/>
    <w:rsid w:val="001308F9"/>
    <w:rsid w:val="00131304"/>
    <w:rsid w:val="00132921"/>
    <w:rsid w:val="00135B4F"/>
    <w:rsid w:val="00140DBA"/>
    <w:rsid w:val="001460CC"/>
    <w:rsid w:val="0015756B"/>
    <w:rsid w:val="001604AD"/>
    <w:rsid w:val="00163603"/>
    <w:rsid w:val="00173BAD"/>
    <w:rsid w:val="00181A07"/>
    <w:rsid w:val="00184830"/>
    <w:rsid w:val="001956C5"/>
    <w:rsid w:val="001964DE"/>
    <w:rsid w:val="00197F90"/>
    <w:rsid w:val="001A0C21"/>
    <w:rsid w:val="001A72CF"/>
    <w:rsid w:val="001A7B5B"/>
    <w:rsid w:val="001C4A75"/>
    <w:rsid w:val="001D7C1B"/>
    <w:rsid w:val="001E30EA"/>
    <w:rsid w:val="00202453"/>
    <w:rsid w:val="002104D8"/>
    <w:rsid w:val="00220B9A"/>
    <w:rsid w:val="00222768"/>
    <w:rsid w:val="00222BB9"/>
    <w:rsid w:val="00225EDD"/>
    <w:rsid w:val="002266E0"/>
    <w:rsid w:val="0023011C"/>
    <w:rsid w:val="00230B40"/>
    <w:rsid w:val="0023289C"/>
    <w:rsid w:val="00235CD2"/>
    <w:rsid w:val="00236043"/>
    <w:rsid w:val="00244072"/>
    <w:rsid w:val="00247DBB"/>
    <w:rsid w:val="0025168C"/>
    <w:rsid w:val="0025444C"/>
    <w:rsid w:val="002562C3"/>
    <w:rsid w:val="00257828"/>
    <w:rsid w:val="00257EEE"/>
    <w:rsid w:val="00260786"/>
    <w:rsid w:val="00270975"/>
    <w:rsid w:val="00272BD1"/>
    <w:rsid w:val="0027322A"/>
    <w:rsid w:val="00274729"/>
    <w:rsid w:val="00292ADD"/>
    <w:rsid w:val="00292FFE"/>
    <w:rsid w:val="002A26CE"/>
    <w:rsid w:val="002A518E"/>
    <w:rsid w:val="002A6A45"/>
    <w:rsid w:val="002B3A96"/>
    <w:rsid w:val="002C08E5"/>
    <w:rsid w:val="002C4AD0"/>
    <w:rsid w:val="002D6FA2"/>
    <w:rsid w:val="002D77CD"/>
    <w:rsid w:val="002E1C32"/>
    <w:rsid w:val="002E58C8"/>
    <w:rsid w:val="002F2E9E"/>
    <w:rsid w:val="002F4486"/>
    <w:rsid w:val="002F5AFE"/>
    <w:rsid w:val="002F6244"/>
    <w:rsid w:val="00322EEF"/>
    <w:rsid w:val="0032662E"/>
    <w:rsid w:val="00327D7D"/>
    <w:rsid w:val="003307BD"/>
    <w:rsid w:val="00342C97"/>
    <w:rsid w:val="003447CA"/>
    <w:rsid w:val="00351A0C"/>
    <w:rsid w:val="003529EB"/>
    <w:rsid w:val="003605FB"/>
    <w:rsid w:val="00361BFB"/>
    <w:rsid w:val="00366284"/>
    <w:rsid w:val="00370814"/>
    <w:rsid w:val="003733D3"/>
    <w:rsid w:val="00374C97"/>
    <w:rsid w:val="0037671A"/>
    <w:rsid w:val="003827DB"/>
    <w:rsid w:val="003856E9"/>
    <w:rsid w:val="00391CBD"/>
    <w:rsid w:val="00395C6B"/>
    <w:rsid w:val="003A2669"/>
    <w:rsid w:val="003A7F19"/>
    <w:rsid w:val="003B1FDF"/>
    <w:rsid w:val="003D2A46"/>
    <w:rsid w:val="003D5413"/>
    <w:rsid w:val="003D55C0"/>
    <w:rsid w:val="003D6FCB"/>
    <w:rsid w:val="003D7E15"/>
    <w:rsid w:val="003E1DFC"/>
    <w:rsid w:val="003E5816"/>
    <w:rsid w:val="003F4323"/>
    <w:rsid w:val="003F4766"/>
    <w:rsid w:val="003F5452"/>
    <w:rsid w:val="003F7854"/>
    <w:rsid w:val="00412F1F"/>
    <w:rsid w:val="0041461F"/>
    <w:rsid w:val="00415710"/>
    <w:rsid w:val="0043081E"/>
    <w:rsid w:val="00432392"/>
    <w:rsid w:val="00434339"/>
    <w:rsid w:val="00434446"/>
    <w:rsid w:val="00451167"/>
    <w:rsid w:val="00455745"/>
    <w:rsid w:val="00457427"/>
    <w:rsid w:val="00461172"/>
    <w:rsid w:val="00461887"/>
    <w:rsid w:val="00466598"/>
    <w:rsid w:val="004739E7"/>
    <w:rsid w:val="004779D5"/>
    <w:rsid w:val="004806A4"/>
    <w:rsid w:val="00485B20"/>
    <w:rsid w:val="00492807"/>
    <w:rsid w:val="00494AAB"/>
    <w:rsid w:val="004A21DA"/>
    <w:rsid w:val="004A4709"/>
    <w:rsid w:val="004C49A3"/>
    <w:rsid w:val="004C558F"/>
    <w:rsid w:val="004D2BE8"/>
    <w:rsid w:val="004E0360"/>
    <w:rsid w:val="004F337F"/>
    <w:rsid w:val="004F6954"/>
    <w:rsid w:val="004F7C2B"/>
    <w:rsid w:val="0050434E"/>
    <w:rsid w:val="00510039"/>
    <w:rsid w:val="005150E2"/>
    <w:rsid w:val="00520C52"/>
    <w:rsid w:val="00521A76"/>
    <w:rsid w:val="0052343B"/>
    <w:rsid w:val="005372F8"/>
    <w:rsid w:val="00543342"/>
    <w:rsid w:val="005677C9"/>
    <w:rsid w:val="00577E3D"/>
    <w:rsid w:val="00586120"/>
    <w:rsid w:val="00587847"/>
    <w:rsid w:val="00592C50"/>
    <w:rsid w:val="00594602"/>
    <w:rsid w:val="00597EE4"/>
    <w:rsid w:val="005A5BB9"/>
    <w:rsid w:val="005C21C5"/>
    <w:rsid w:val="005D0685"/>
    <w:rsid w:val="005D4B53"/>
    <w:rsid w:val="005D4B90"/>
    <w:rsid w:val="005E0EB0"/>
    <w:rsid w:val="005E49F4"/>
    <w:rsid w:val="005F101B"/>
    <w:rsid w:val="005F197E"/>
    <w:rsid w:val="00601895"/>
    <w:rsid w:val="0060734F"/>
    <w:rsid w:val="006143D0"/>
    <w:rsid w:val="006220B0"/>
    <w:rsid w:val="006433DF"/>
    <w:rsid w:val="00647633"/>
    <w:rsid w:val="00667703"/>
    <w:rsid w:val="00667CC6"/>
    <w:rsid w:val="00670F0B"/>
    <w:rsid w:val="00672CC8"/>
    <w:rsid w:val="00681321"/>
    <w:rsid w:val="00684A9E"/>
    <w:rsid w:val="00685657"/>
    <w:rsid w:val="006924A9"/>
    <w:rsid w:val="006A5380"/>
    <w:rsid w:val="006B6370"/>
    <w:rsid w:val="006B7D6E"/>
    <w:rsid w:val="006C075B"/>
    <w:rsid w:val="006D4E93"/>
    <w:rsid w:val="006E5ECA"/>
    <w:rsid w:val="006F6CB6"/>
    <w:rsid w:val="00703E1E"/>
    <w:rsid w:val="00705C1C"/>
    <w:rsid w:val="00710CA0"/>
    <w:rsid w:val="00711D8D"/>
    <w:rsid w:val="00713F40"/>
    <w:rsid w:val="007173BD"/>
    <w:rsid w:val="00720136"/>
    <w:rsid w:val="007328A9"/>
    <w:rsid w:val="007400F3"/>
    <w:rsid w:val="00742F4B"/>
    <w:rsid w:val="0074339A"/>
    <w:rsid w:val="00747AA5"/>
    <w:rsid w:val="007512BE"/>
    <w:rsid w:val="007578F2"/>
    <w:rsid w:val="00774C5E"/>
    <w:rsid w:val="00774EF6"/>
    <w:rsid w:val="00777009"/>
    <w:rsid w:val="00780E06"/>
    <w:rsid w:val="00781916"/>
    <w:rsid w:val="00784DFE"/>
    <w:rsid w:val="007931F3"/>
    <w:rsid w:val="0079661E"/>
    <w:rsid w:val="00796D21"/>
    <w:rsid w:val="007A10E4"/>
    <w:rsid w:val="007A361E"/>
    <w:rsid w:val="007A7AE9"/>
    <w:rsid w:val="007B1EE1"/>
    <w:rsid w:val="007B7843"/>
    <w:rsid w:val="007C3E3F"/>
    <w:rsid w:val="007C591B"/>
    <w:rsid w:val="007E117D"/>
    <w:rsid w:val="007E3035"/>
    <w:rsid w:val="007E3BD9"/>
    <w:rsid w:val="007E7E63"/>
    <w:rsid w:val="007F05E5"/>
    <w:rsid w:val="008020BA"/>
    <w:rsid w:val="00802BE6"/>
    <w:rsid w:val="00807015"/>
    <w:rsid w:val="008073E3"/>
    <w:rsid w:val="008112C0"/>
    <w:rsid w:val="008137A6"/>
    <w:rsid w:val="00832543"/>
    <w:rsid w:val="00840DDE"/>
    <w:rsid w:val="008422AC"/>
    <w:rsid w:val="008459AD"/>
    <w:rsid w:val="008461FD"/>
    <w:rsid w:val="00851D93"/>
    <w:rsid w:val="008616D9"/>
    <w:rsid w:val="00870A4B"/>
    <w:rsid w:val="00871BBE"/>
    <w:rsid w:val="00871FFD"/>
    <w:rsid w:val="00873FE5"/>
    <w:rsid w:val="008828A7"/>
    <w:rsid w:val="00882F66"/>
    <w:rsid w:val="00887B3C"/>
    <w:rsid w:val="008900B7"/>
    <w:rsid w:val="008A1A8E"/>
    <w:rsid w:val="008A2B51"/>
    <w:rsid w:val="008B2BDB"/>
    <w:rsid w:val="008B679E"/>
    <w:rsid w:val="008B6DD0"/>
    <w:rsid w:val="008B7615"/>
    <w:rsid w:val="008C417D"/>
    <w:rsid w:val="008D5430"/>
    <w:rsid w:val="008E02E3"/>
    <w:rsid w:val="008E3E00"/>
    <w:rsid w:val="008F1CF0"/>
    <w:rsid w:val="008F2958"/>
    <w:rsid w:val="008F79B1"/>
    <w:rsid w:val="00904D30"/>
    <w:rsid w:val="00904F38"/>
    <w:rsid w:val="00906438"/>
    <w:rsid w:val="00927AB9"/>
    <w:rsid w:val="00933BB6"/>
    <w:rsid w:val="00935779"/>
    <w:rsid w:val="00946B0F"/>
    <w:rsid w:val="00950A4E"/>
    <w:rsid w:val="00952E24"/>
    <w:rsid w:val="009562E3"/>
    <w:rsid w:val="00961C23"/>
    <w:rsid w:val="009639C2"/>
    <w:rsid w:val="009639D7"/>
    <w:rsid w:val="00980E34"/>
    <w:rsid w:val="009A0F0D"/>
    <w:rsid w:val="009A4409"/>
    <w:rsid w:val="009A7080"/>
    <w:rsid w:val="009C2995"/>
    <w:rsid w:val="009D1200"/>
    <w:rsid w:val="009D2F1F"/>
    <w:rsid w:val="009E0213"/>
    <w:rsid w:val="009E3BB0"/>
    <w:rsid w:val="009E4567"/>
    <w:rsid w:val="009E5883"/>
    <w:rsid w:val="009F5253"/>
    <w:rsid w:val="009F588A"/>
    <w:rsid w:val="009F6894"/>
    <w:rsid w:val="009F7A4D"/>
    <w:rsid w:val="00A12419"/>
    <w:rsid w:val="00A17BFB"/>
    <w:rsid w:val="00A17D3A"/>
    <w:rsid w:val="00A21BE8"/>
    <w:rsid w:val="00A264CB"/>
    <w:rsid w:val="00A43B7C"/>
    <w:rsid w:val="00A547E6"/>
    <w:rsid w:val="00A567C4"/>
    <w:rsid w:val="00A56EAE"/>
    <w:rsid w:val="00A76E62"/>
    <w:rsid w:val="00A80420"/>
    <w:rsid w:val="00A92F42"/>
    <w:rsid w:val="00A93F0D"/>
    <w:rsid w:val="00A949B3"/>
    <w:rsid w:val="00AA0B3B"/>
    <w:rsid w:val="00AC62F9"/>
    <w:rsid w:val="00AD1348"/>
    <w:rsid w:val="00AF2856"/>
    <w:rsid w:val="00B03557"/>
    <w:rsid w:val="00B04BF3"/>
    <w:rsid w:val="00B04CEB"/>
    <w:rsid w:val="00B07781"/>
    <w:rsid w:val="00B12B69"/>
    <w:rsid w:val="00B2401B"/>
    <w:rsid w:val="00B268F2"/>
    <w:rsid w:val="00B3628A"/>
    <w:rsid w:val="00B37F4A"/>
    <w:rsid w:val="00B40D32"/>
    <w:rsid w:val="00B40E7C"/>
    <w:rsid w:val="00B4215D"/>
    <w:rsid w:val="00B50FAC"/>
    <w:rsid w:val="00B6558E"/>
    <w:rsid w:val="00B679A0"/>
    <w:rsid w:val="00B76B05"/>
    <w:rsid w:val="00B833E9"/>
    <w:rsid w:val="00B935C5"/>
    <w:rsid w:val="00B97377"/>
    <w:rsid w:val="00BA55EA"/>
    <w:rsid w:val="00BA68BA"/>
    <w:rsid w:val="00BB6909"/>
    <w:rsid w:val="00BC108A"/>
    <w:rsid w:val="00BC3EA2"/>
    <w:rsid w:val="00BC4943"/>
    <w:rsid w:val="00BC6B5A"/>
    <w:rsid w:val="00BD67AF"/>
    <w:rsid w:val="00BE04FE"/>
    <w:rsid w:val="00BE2A42"/>
    <w:rsid w:val="00BE6DF1"/>
    <w:rsid w:val="00BF24AE"/>
    <w:rsid w:val="00C0139B"/>
    <w:rsid w:val="00C029B5"/>
    <w:rsid w:val="00C24152"/>
    <w:rsid w:val="00C35D44"/>
    <w:rsid w:val="00C36F02"/>
    <w:rsid w:val="00C42D53"/>
    <w:rsid w:val="00C46996"/>
    <w:rsid w:val="00C46FC7"/>
    <w:rsid w:val="00C51B72"/>
    <w:rsid w:val="00C52C6C"/>
    <w:rsid w:val="00C65A1F"/>
    <w:rsid w:val="00C831FB"/>
    <w:rsid w:val="00C86306"/>
    <w:rsid w:val="00CB08BE"/>
    <w:rsid w:val="00CC0AA3"/>
    <w:rsid w:val="00CC1F3A"/>
    <w:rsid w:val="00CC75E2"/>
    <w:rsid w:val="00CD0BB1"/>
    <w:rsid w:val="00CD3DE8"/>
    <w:rsid w:val="00CE0633"/>
    <w:rsid w:val="00CE26F8"/>
    <w:rsid w:val="00CE489F"/>
    <w:rsid w:val="00CE4960"/>
    <w:rsid w:val="00CE692F"/>
    <w:rsid w:val="00CE7CFB"/>
    <w:rsid w:val="00CF17CB"/>
    <w:rsid w:val="00CF1EEE"/>
    <w:rsid w:val="00CF20E7"/>
    <w:rsid w:val="00CF22C4"/>
    <w:rsid w:val="00CF2E86"/>
    <w:rsid w:val="00CF5833"/>
    <w:rsid w:val="00CF6066"/>
    <w:rsid w:val="00CF73F6"/>
    <w:rsid w:val="00CF7D04"/>
    <w:rsid w:val="00D00C86"/>
    <w:rsid w:val="00D00F15"/>
    <w:rsid w:val="00D14D7B"/>
    <w:rsid w:val="00D1701F"/>
    <w:rsid w:val="00D21B08"/>
    <w:rsid w:val="00D301C4"/>
    <w:rsid w:val="00D335ED"/>
    <w:rsid w:val="00D35C55"/>
    <w:rsid w:val="00D42E55"/>
    <w:rsid w:val="00D474B5"/>
    <w:rsid w:val="00D55048"/>
    <w:rsid w:val="00D63F29"/>
    <w:rsid w:val="00D673BF"/>
    <w:rsid w:val="00D714D4"/>
    <w:rsid w:val="00D82493"/>
    <w:rsid w:val="00D975B8"/>
    <w:rsid w:val="00DA4F24"/>
    <w:rsid w:val="00DA59D7"/>
    <w:rsid w:val="00DB049D"/>
    <w:rsid w:val="00DB5379"/>
    <w:rsid w:val="00DB6230"/>
    <w:rsid w:val="00DC6636"/>
    <w:rsid w:val="00DC742D"/>
    <w:rsid w:val="00DC769C"/>
    <w:rsid w:val="00DF183C"/>
    <w:rsid w:val="00DF2E17"/>
    <w:rsid w:val="00DF421F"/>
    <w:rsid w:val="00DF6F90"/>
    <w:rsid w:val="00DF703B"/>
    <w:rsid w:val="00E437D1"/>
    <w:rsid w:val="00E451DF"/>
    <w:rsid w:val="00E474B3"/>
    <w:rsid w:val="00E47735"/>
    <w:rsid w:val="00E50531"/>
    <w:rsid w:val="00E530B0"/>
    <w:rsid w:val="00E53F57"/>
    <w:rsid w:val="00E5563A"/>
    <w:rsid w:val="00E56777"/>
    <w:rsid w:val="00E64CF3"/>
    <w:rsid w:val="00E752D2"/>
    <w:rsid w:val="00E83CC3"/>
    <w:rsid w:val="00E85735"/>
    <w:rsid w:val="00E878B6"/>
    <w:rsid w:val="00E92CD0"/>
    <w:rsid w:val="00E97B7C"/>
    <w:rsid w:val="00EB0727"/>
    <w:rsid w:val="00EB2839"/>
    <w:rsid w:val="00EB5B20"/>
    <w:rsid w:val="00EB6DFF"/>
    <w:rsid w:val="00EC3762"/>
    <w:rsid w:val="00EC4F46"/>
    <w:rsid w:val="00EC6A6C"/>
    <w:rsid w:val="00ED02AE"/>
    <w:rsid w:val="00ED0613"/>
    <w:rsid w:val="00EF363F"/>
    <w:rsid w:val="00F0743C"/>
    <w:rsid w:val="00F262A4"/>
    <w:rsid w:val="00F2635C"/>
    <w:rsid w:val="00F33717"/>
    <w:rsid w:val="00F45CA2"/>
    <w:rsid w:val="00F46EB7"/>
    <w:rsid w:val="00F53EBF"/>
    <w:rsid w:val="00F7203F"/>
    <w:rsid w:val="00F80272"/>
    <w:rsid w:val="00F80BDA"/>
    <w:rsid w:val="00F90728"/>
    <w:rsid w:val="00FB6AFF"/>
    <w:rsid w:val="00FC0C1F"/>
    <w:rsid w:val="00FC336A"/>
    <w:rsid w:val="00FD31D4"/>
    <w:rsid w:val="00FD694A"/>
    <w:rsid w:val="00FE050D"/>
    <w:rsid w:val="00FE4089"/>
    <w:rsid w:val="00FF0897"/>
    <w:rsid w:val="00FF1B34"/>
    <w:rsid w:val="00FF2871"/>
    <w:rsid w:val="00FF29A0"/>
    <w:rsid w:val="00FF4066"/>
    <w:rsid w:val="00FF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4E42F"/>
  <w15:docId w15:val="{684A7B26-BEAE-41A0-800B-7237C861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79"/>
      <w:ind w:left="960"/>
      <w:outlineLvl w:val="0"/>
    </w:pPr>
    <w:rPr>
      <w:rFonts w:ascii="Franklin Gothic Demi" w:eastAsia="Franklin Gothic Demi" w:hAnsi="Franklin Gothic Demi" w:cs="Franklin Gothic Demi"/>
      <w:b/>
      <w:bCs/>
      <w:sz w:val="32"/>
      <w:szCs w:val="32"/>
    </w:rPr>
  </w:style>
  <w:style w:type="paragraph" w:styleId="Heading2">
    <w:name w:val="heading 2"/>
    <w:basedOn w:val="Normal"/>
    <w:uiPriority w:val="9"/>
    <w:unhideWhenUsed/>
    <w:qFormat/>
    <w:pPr>
      <w:ind w:left="958" w:hanging="358"/>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9"/>
    <w:unhideWhenUsed/>
    <w:qFormat/>
    <w:pPr>
      <w:ind w:left="960" w:hanging="361"/>
      <w:outlineLvl w:val="2"/>
    </w:pPr>
    <w:rPr>
      <w:rFonts w:ascii="Franklin Gothic Medium" w:eastAsia="Franklin Gothic Medium" w:hAnsi="Franklin Gothic Medium" w:cs="Franklin Gothic Medium"/>
      <w:sz w:val="26"/>
      <w:szCs w:val="26"/>
    </w:rPr>
  </w:style>
  <w:style w:type="paragraph" w:styleId="Heading4">
    <w:name w:val="heading 4"/>
    <w:basedOn w:val="Normal"/>
    <w:uiPriority w:val="9"/>
    <w:unhideWhenUsed/>
    <w:qFormat/>
    <w:pPr>
      <w:spacing w:before="81"/>
      <w:ind w:left="5152" w:right="702" w:hanging="4001"/>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3"/>
      <w:ind w:left="960"/>
    </w:pPr>
  </w:style>
  <w:style w:type="paragraph" w:styleId="TOC2">
    <w:name w:val="toc 2"/>
    <w:basedOn w:val="Normal"/>
    <w:uiPriority w:val="1"/>
    <w:qFormat/>
    <w:pPr>
      <w:spacing w:before="226"/>
      <w:ind w:left="1679" w:hanging="499"/>
    </w:pPr>
  </w:style>
  <w:style w:type="paragraph" w:styleId="BodyText">
    <w:name w:val="Body Text"/>
    <w:basedOn w:val="Normal"/>
    <w:uiPriority w:val="1"/>
    <w:qFormat/>
  </w:style>
  <w:style w:type="paragraph" w:styleId="Title">
    <w:name w:val="Title"/>
    <w:basedOn w:val="Normal"/>
    <w:uiPriority w:val="10"/>
    <w:qFormat/>
    <w:pPr>
      <w:ind w:left="258"/>
      <w:jc w:val="center"/>
    </w:pPr>
    <w:rPr>
      <w:rFonts w:ascii="Franklin Gothic Demi" w:eastAsia="Franklin Gothic Demi" w:hAnsi="Franklin Gothic Demi" w:cs="Franklin Gothic Demi"/>
      <w:b/>
      <w:bCs/>
      <w:sz w:val="44"/>
      <w:szCs w:val="44"/>
    </w:rPr>
  </w:style>
  <w:style w:type="paragraph" w:styleId="ListParagraph">
    <w:name w:val="List Paragraph"/>
    <w:basedOn w:val="Normal"/>
    <w:uiPriority w:val="1"/>
    <w:qFormat/>
    <w:pPr>
      <w:ind w:left="1680" w:hanging="361"/>
    </w:pPr>
  </w:style>
  <w:style w:type="paragraph" w:customStyle="1" w:styleId="TableParagraph">
    <w:name w:val="Table Paragraph"/>
    <w:basedOn w:val="Normal"/>
    <w:uiPriority w:val="1"/>
    <w:qFormat/>
    <w:pPr>
      <w:spacing w:before="32"/>
      <w:jc w:val="right"/>
    </w:pPr>
  </w:style>
  <w:style w:type="paragraph" w:styleId="Header">
    <w:name w:val="header"/>
    <w:basedOn w:val="Normal"/>
    <w:link w:val="HeaderChar"/>
    <w:uiPriority w:val="99"/>
    <w:unhideWhenUsed/>
    <w:rsid w:val="00DF703B"/>
    <w:pPr>
      <w:tabs>
        <w:tab w:val="center" w:pos="4680"/>
        <w:tab w:val="right" w:pos="9360"/>
      </w:tabs>
    </w:pPr>
  </w:style>
  <w:style w:type="character" w:customStyle="1" w:styleId="HeaderChar">
    <w:name w:val="Header Char"/>
    <w:basedOn w:val="DefaultParagraphFont"/>
    <w:link w:val="Header"/>
    <w:uiPriority w:val="99"/>
    <w:rsid w:val="00DF703B"/>
    <w:rPr>
      <w:rFonts w:ascii="Franklin Gothic Book" w:eastAsia="Franklin Gothic Book" w:hAnsi="Franklin Gothic Book" w:cs="Franklin Gothic Book"/>
    </w:rPr>
  </w:style>
  <w:style w:type="paragraph" w:styleId="Footer">
    <w:name w:val="footer"/>
    <w:basedOn w:val="Normal"/>
    <w:link w:val="FooterChar"/>
    <w:uiPriority w:val="99"/>
    <w:unhideWhenUsed/>
    <w:rsid w:val="00DF703B"/>
    <w:pPr>
      <w:tabs>
        <w:tab w:val="center" w:pos="4680"/>
        <w:tab w:val="right" w:pos="9360"/>
      </w:tabs>
    </w:pPr>
  </w:style>
  <w:style w:type="character" w:customStyle="1" w:styleId="FooterChar">
    <w:name w:val="Footer Char"/>
    <w:basedOn w:val="DefaultParagraphFont"/>
    <w:link w:val="Footer"/>
    <w:uiPriority w:val="99"/>
    <w:rsid w:val="00DF703B"/>
    <w:rPr>
      <w:rFonts w:ascii="Franklin Gothic Book" w:eastAsia="Franklin Gothic Book" w:hAnsi="Franklin Gothic Book" w:cs="Franklin Gothic Book"/>
    </w:rPr>
  </w:style>
  <w:style w:type="paragraph" w:styleId="FootnoteText">
    <w:name w:val="footnote text"/>
    <w:basedOn w:val="Normal"/>
    <w:link w:val="FootnoteTextChar"/>
    <w:uiPriority w:val="99"/>
    <w:semiHidden/>
    <w:unhideWhenUsed/>
    <w:rsid w:val="00BB6909"/>
    <w:rPr>
      <w:sz w:val="20"/>
      <w:szCs w:val="20"/>
    </w:rPr>
  </w:style>
  <w:style w:type="character" w:customStyle="1" w:styleId="FootnoteTextChar">
    <w:name w:val="Footnote Text Char"/>
    <w:basedOn w:val="DefaultParagraphFont"/>
    <w:link w:val="FootnoteText"/>
    <w:uiPriority w:val="99"/>
    <w:semiHidden/>
    <w:rsid w:val="00BB6909"/>
    <w:rPr>
      <w:rFonts w:ascii="Franklin Gothic Book" w:eastAsia="Franklin Gothic Book" w:hAnsi="Franklin Gothic Book" w:cs="Franklin Gothic Book"/>
      <w:sz w:val="20"/>
      <w:szCs w:val="20"/>
    </w:rPr>
  </w:style>
  <w:style w:type="character" w:styleId="FootnoteReference">
    <w:name w:val="footnote reference"/>
    <w:basedOn w:val="DefaultParagraphFont"/>
    <w:uiPriority w:val="99"/>
    <w:semiHidden/>
    <w:unhideWhenUsed/>
    <w:rsid w:val="00BB6909"/>
    <w:rPr>
      <w:vertAlign w:val="superscript"/>
    </w:rPr>
  </w:style>
  <w:style w:type="character" w:styleId="Hyperlink">
    <w:name w:val="Hyperlink"/>
    <w:basedOn w:val="DefaultParagraphFont"/>
    <w:uiPriority w:val="99"/>
    <w:unhideWhenUsed/>
    <w:rsid w:val="00BB6909"/>
    <w:rPr>
      <w:color w:val="0000FF" w:themeColor="hyperlink"/>
      <w:u w:val="single"/>
    </w:rPr>
  </w:style>
  <w:style w:type="character" w:styleId="UnresolvedMention">
    <w:name w:val="Unresolved Mention"/>
    <w:basedOn w:val="DefaultParagraphFont"/>
    <w:uiPriority w:val="99"/>
    <w:semiHidden/>
    <w:unhideWhenUsed/>
    <w:rsid w:val="00BB69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yperlink" Target="https://pmc.ncbi.nlm.nih.gov/articles/PMC2711979/pdf/nihms-104105.%20pdf" TargetMode="Externa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3.jpe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4.png"/><Relationship Id="rId149" Type="http://schemas.openxmlformats.org/officeDocument/2006/relationships/hyperlink" Target="https://pmc.ncbi.nlm.nih.gov/articles/%20PMC5787045/pdf/nihms895528.pdf" TargetMode="External"/><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footer" Target="footer1.xm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yperlink" Target="https://jamanetwork.com/journals/jamanetworkopen/%20fullarticle/2794319" TargetMode="External"/><Relationship Id="rId139" Type="http://schemas.openxmlformats.org/officeDocument/2006/relationships/hyperlink" Target="https://acsjournals.onlinelibrary.wiley.com/doi/epdf/10.3322/caac.21812" TargetMode="External"/><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2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hyperlink" Target="https://www.boston.gov/sites/default/%20files/file/2023/05/HOB_Cancer_2023_FINAL_May11.pdf" TargetMode="External"/><Relationship Id="rId145"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19.jpe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6.png"/><Relationship Id="rId135" Type="http://schemas.openxmlformats.org/officeDocument/2006/relationships/hyperlink" Target="https://pmc.ncbi.nlm.nih.gov/articles/PMC4383189/pdf/12885_2015_Article_1228.pdf." TargetMode="External"/><Relationship Id="rId151"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hyperlink" Target="https://www.cms.gov/medicare/payment/prospective-payment-systems/acute-inpatient-pps/fy-2022-ipps-final-rule-home-page" TargetMode="Externa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1.png"/><Relationship Id="rId141" Type="http://schemas.openxmlformats.org/officeDocument/2006/relationships/hyperlink" Target="http://www.boston.gov/sites/default/" TargetMode="External"/><Relationship Id="rId146" Type="http://schemas.openxmlformats.org/officeDocument/2006/relationships/hyperlink" Target="https://link.springer.com/article/10.1007/s40615-020-00763-1."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7.png"/><Relationship Id="rId136" Type="http://schemas.openxmlformats.org/officeDocument/2006/relationships/hyperlink" Target="https://pmc.ncbi.nlm.nih.gov/articles/%20PMC11144993/pdf/oyae035.pdf"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hyperlink" Target="https://www.cms.gov/medicare/payment/prospective-payment-systems/acute-inpatient-pps/fy-2022-ipps-final-rule-home-page" TargetMode="External"/><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2.png"/><Relationship Id="rId147" Type="http://schemas.openxmlformats.org/officeDocument/2006/relationships/hyperlink" Target="http://www.kff.org/racial-equity-and-health-policy/issue-brief/racial-dis-%20parities-in-cancer-outcomes-screening-and-treatment/"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s://www.ahrq.gov/sdoh/data-analytics/sdoh-data.html" TargetMode="External"/><Relationship Id="rId142" Type="http://schemas.openxmlformats.org/officeDocument/2006/relationships/hyperlink" Target="https://minorityhealth.hhs.gov/%20cancer-and-hispanic-americans"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hyperlink" Target="https://jamanetwork.com/journals/%20jamanetworkopen/fullarticle/2705856" TargetMode="External"/><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8.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oter" Target="footer2.xml"/><Relationship Id="rId143" Type="http://schemas.openxmlformats.org/officeDocument/2006/relationships/hyperlink" Target="https://minorityhealth.hhs.gov/cancer-and-hispanic-americans" TargetMode="External"/><Relationship Id="rId148" Type="http://schemas.openxmlformats.org/officeDocument/2006/relationships/hyperlink" Target="http://www.kff.org/racial-equity-and-health-policy/issue-brief/racial-di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masshpc.gov/" TargetMode="Externa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19.png"/><Relationship Id="rId16" Type="http://schemas.openxmlformats.org/officeDocument/2006/relationships/image" Target="media/image9.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oter" Target="footer3.xml"/><Relationship Id="rId144" Type="http://schemas.openxmlformats.org/officeDocument/2006/relationships/hyperlink" Target="https://www.mass.gov/doc/cancer-incidence-and-mortality-in-massachusetts-2016-2020-statewide-report/download." TargetMode="External"/><Relationship Id="rId90" Type="http://schemas.openxmlformats.org/officeDocument/2006/relationships/image" Target="media/image79.png"/></Relationships>
</file>

<file path=word/_rels/footnotes.xml.rels><?xml version="1.0" encoding="UTF-8" standalone="yes"?>
<Relationships xmlns="http://schemas.openxmlformats.org/package/2006/relationships"><Relationship Id="rId117" Type="http://schemas.openxmlformats.org/officeDocument/2006/relationships/hyperlink" Target="https://www.fiercehealthcare.com/providers/dana-farber-beth-israel-deaconess-collaborating-stand-alone-cancer-center" TargetMode="External"/><Relationship Id="rId299" Type="http://schemas.openxmlformats.org/officeDocument/2006/relationships/hyperlink" Target="https://www.ahrq.gov/sdoh/resources.html" TargetMode="External"/><Relationship Id="rId21" Type="http://schemas.openxmlformats.org/officeDocument/2006/relationships/hyperlink" Target="https://www.mass.gov/info-details/dana-farber-cancer-institute-inc-hospitalclinic-substantial-capital-expenditure" TargetMode="External"/><Relationship Id="rId63" Type="http://schemas.openxmlformats.org/officeDocument/2006/relationships/hyperlink" Target="https://data.cms.gov/provider-data/topics/hospitals/pps-exempt-cancer-hospitals" TargetMode="External"/><Relationship Id="rId159" Type="http://schemas.openxmlformats.org/officeDocument/2006/relationships/hyperlink" Target="https://www.justice.gov/d9/2023-12/2023%20Merger%20Guidelines.pdf" TargetMode="External"/><Relationship Id="rId324" Type="http://schemas.openxmlformats.org/officeDocument/2006/relationships/hyperlink" Target="https://www.danafarberbostonchildrens.org/patients-and-families/insurance-and-financial-information" TargetMode="External"/><Relationship Id="rId170" Type="http://schemas.openxmlformats.org/officeDocument/2006/relationships/hyperlink" Target="https://www.nursingworld.org/organizational-programs/magnet/find-a-magnet-organization/" TargetMode="External"/><Relationship Id="rId226" Type="http://schemas.openxmlformats.org/officeDocument/2006/relationships/hyperlink" Target="https://www.milliman.com/en/insight/survival-of-medicare-fee-for-service-chemotherapy-patients-by-site-of-care" TargetMode="External"/><Relationship Id="rId268" Type="http://schemas.openxmlformats.org/officeDocument/2006/relationships/hyperlink" Target="https://jamanetwork.com/journals/jamanetworkopen/fullarticle/2794319" TargetMode="External"/><Relationship Id="rId32" Type="http://schemas.openxmlformats.org/officeDocument/2006/relationships/hyperlink" Target="https://www.mass.gov/files/documents/2017/10/11/105cmr100.pdf" TargetMode="External"/><Relationship Id="rId74" Type="http://schemas.openxmlformats.org/officeDocument/2006/relationships/hyperlink" Target="https://grants.nih.gov/grants/guide/notice-files/NOT-OD-25-068.html" TargetMode="External"/><Relationship Id="rId128" Type="http://schemas.openxmlformats.org/officeDocument/2006/relationships/hyperlink" Target="https://www.mass.gov/doc/responses-to-don-questions-4-pdf-dana-farber-cancer-institute-inc-hospitalclinic/download" TargetMode="External"/><Relationship Id="rId335" Type="http://schemas.openxmlformats.org/officeDocument/2006/relationships/hyperlink" Target="https://www.bidmc.org/-/media/files/beth-israel-org/patient-and-visitor-information/patient-information/bidmc-financial-assistance-pl-summary-english-100120.pdf" TargetMode="External"/><Relationship Id="rId5" Type="http://schemas.openxmlformats.org/officeDocument/2006/relationships/hyperlink" Target="https://nashp.org/state-tracker/state-action-on-health-market-oversight-chart/" TargetMode="External"/><Relationship Id="rId181" Type="http://schemas.openxmlformats.org/officeDocument/2006/relationships/hyperlink" Target="https://www.dana-farber.org/cancer-care/treatment/adult-survivorship-program" TargetMode="External"/><Relationship Id="rId237" Type="http://schemas.openxmlformats.org/officeDocument/2006/relationships/hyperlink" Target="https://blog.dana-farber.org/insight/2017/01/what-is-an-oncology-%20hospitalist/" TargetMode="External"/><Relationship Id="rId279" Type="http://schemas.openxmlformats.org/officeDocument/2006/relationships/hyperlink" Target="https://www.boston.gov/sites/default/files/file/2023/05/HOB_Cancer_2023_FINAL_May11.pdf" TargetMode="External"/><Relationship Id="rId43" Type="http://schemas.openxmlformats.org/officeDocument/2006/relationships/hyperlink" Target="http://www.chiamass.gov/ma-apcd/" TargetMode="External"/><Relationship Id="rId139" Type="http://schemas.openxmlformats.org/officeDocument/2006/relationships/hyperlink" Target="https://masshpc.gov/sites/default/files/2023-04/958cmr7.00-technicalbulletin.pdf" TargetMode="External"/><Relationship Id="rId290" Type="http://schemas.openxmlformats.org/officeDocument/2006/relationships/hyperlink" Target="https://www.kff.org/racial-equity-and-health-policy/issue-brief/racial-disparities-in-cancer-outcomes-%20screening-and-treatment/" TargetMode="External"/><Relationship Id="rId304" Type="http://schemas.openxmlformats.org/officeDocument/2006/relationships/hyperlink" Target="https://www.dana-farber.org/locations" TargetMode="External"/><Relationship Id="rId85" Type="http://schemas.openxmlformats.org/officeDocument/2006/relationships/hyperlink" Target="https://www.chiamass.gov/assets/docs/r/hospital-profiles/2023/dana-far.pdf" TargetMode="External"/><Relationship Id="rId150" Type="http://schemas.openxmlformats.org/officeDocument/2006/relationships/hyperlink" Target="https://masshpc.gov/sites/default/files/2024%20CTR%20Chartpack.pdf." TargetMode="External"/><Relationship Id="rId192" Type="http://schemas.openxmlformats.org/officeDocument/2006/relationships/hyperlink" Target="https://www.bidmc.org/centers-and-departments/social-work/patient-and-family-engagement-at-bidmc" TargetMode="External"/><Relationship Id="rId206" Type="http://schemas.openxmlformats.org/officeDocument/2006/relationships/hyperlink" Target="https://pmc.ncbi.nlm.nih.gov/articles/PMC6550055/" TargetMode="External"/><Relationship Id="rId248" Type="http://schemas.openxmlformats.org/officeDocument/2006/relationships/hyperlink" Target="https://www.cancer.org/cancer/managing-cancer/finding-care/where-to-find-cancer-care/choosing-a-cancer-doctor.html" TargetMode="External"/><Relationship Id="rId12" Type="http://schemas.openxmlformats.org/officeDocument/2006/relationships/hyperlink" Target="https://www.mass.gov/doc/project-description-narrative-pdf-dana-farber-%20cancer-institute-inc-expenditure/download." TargetMode="External"/><Relationship Id="rId108" Type="http://schemas.openxmlformats.org/officeDocument/2006/relationships/hyperlink" Target="https://bilh.org/care-options/specialty-care/cancer" TargetMode="External"/><Relationship Id="rId315" Type="http://schemas.openxmlformats.org/officeDocument/2006/relationships/hyperlink" Target="https://www.dana-farber.org/newsroom/news-releases/2023/cancer-diagnostic-services-in-a-community-health-center-speed-diagnosis-for-underserved-populations" TargetMode="External"/><Relationship Id="rId54" Type="http://schemas.openxmlformats.org/officeDocument/2006/relationships/hyperlink" Target="https://www.mass.gov/info-details/dana-farber-cancer-institute-inc-hospitalclinic-substantial-capital-expenditure" TargetMode="External"/><Relationship Id="rId96" Type="http://schemas.openxmlformats.org/officeDocument/2006/relationships/hyperlink" Target="https://www.mass.gov/doc/final-cmir-report-beth-israel-lahey-health/download." TargetMode="External"/><Relationship Id="rId161" Type="http://schemas.openxmlformats.org/officeDocument/2006/relationships/hyperlink" Target="https://www.mass.gov/doc/2015-cost-trends-report-provider-price-variation/download" TargetMode="External"/><Relationship Id="rId217" Type="http://schemas.openxmlformats.org/officeDocument/2006/relationships/hyperlink" Target="https://ratings.leapfroggroup.org/" TargetMode="External"/><Relationship Id="rId259" Type="http://schemas.openxmlformats.org/officeDocument/2006/relationships/hyperlink" Target="https://www.mass.gov/doc/responses-to-don-questions-5-pdf-dana-farber-cancer-institute-inc-hospitalclinic/download" TargetMode="External"/><Relationship Id="rId23" Type="http://schemas.openxmlformats.org/officeDocument/2006/relationships/hyperlink" Target="https://www.mass.gov/doc/commonwealth-%20of-massachusetts-health-policy-commission-pdf-0/download;" TargetMode="External"/><Relationship Id="rId119" Type="http://schemas.openxmlformats.org/officeDocument/2006/relationships/hyperlink" Target="https://www.joslin.org/about/news-media/important-news-joslin-diabetes-center" TargetMode="External"/><Relationship Id="rId270" Type="http://schemas.openxmlformats.org/officeDocument/2006/relationships/hyperlink" Target="https://pmc.ncbi.nlm.nih.gov/articles/PMC4383189/pdf/12885_2015_Article_1228.pdf" TargetMode="External"/><Relationship Id="rId326" Type="http://schemas.openxmlformats.org/officeDocument/2006/relationships/hyperlink" Target="https://dfci.widen.net/s/vnkspjpgqx/chna-report-approved-9.11.19.pdf" TargetMode="External"/><Relationship Id="rId65" Type="http://schemas.openxmlformats.org/officeDocument/2006/relationships/hyperlink" Target="https://www.cms.gov/medicare/payment/prospective-payment-systems/acute-inpatient-pps/pps-exempt-%20cancer-hospitals-pchs" TargetMode="External"/><Relationship Id="rId130" Type="http://schemas.openxmlformats.org/officeDocument/2006/relationships/hyperlink" Target="https://www.mass.gov/doc/dana-farber-cancer-institute-responses-to-don-questions-6-pdf/download" TargetMode="External"/><Relationship Id="rId172" Type="http://schemas.openxmlformats.org/officeDocument/2006/relationships/hyperlink" Target="https://accredited.factglobal.org/state/massachusetts/" TargetMode="External"/><Relationship Id="rId228" Type="http://schemas.openxmlformats.org/officeDocument/2006/relationships/hyperlink" Target="https://pmc.ncbi.nlm.nih.gov/articles/PMC4892698/" TargetMode="External"/><Relationship Id="rId281" Type="http://schemas.openxmlformats.org/officeDocument/2006/relationships/hyperlink" Target="https://minorityhealth.hhs.gov/cancer-and-hispanic-americans" TargetMode="External"/><Relationship Id="rId337" Type="http://schemas.openxmlformats.org/officeDocument/2006/relationships/hyperlink" Target="https://www.chiamass.gov/a-focus-on-provider-quality-selected-clinical-measures." TargetMode="External"/><Relationship Id="rId34" Type="http://schemas.openxmlformats.org/officeDocument/2006/relationships/hyperlink" Target="https://masshpc.gov/moat/rpo" TargetMode="External"/><Relationship Id="rId76" Type="http://schemas.openxmlformats.org/officeDocument/2006/relationships/hyperlink" Target="https://www.bostonglobe.com/2025/02/12/business/nih-funding-new-england-harvard-mgh-brigham-womens/?p1=BGSearch_Overlay_Results" TargetMode="External"/><Relationship Id="rId141" Type="http://schemas.openxmlformats.org/officeDocument/2006/relationships/hyperlink" Target="http://www.gpo.gov/fdsys/pkg/FR-2011-10-28/pdf/2011-27944.pdf" TargetMode="External"/><Relationship Id="rId7" Type="http://schemas.openxmlformats.org/officeDocument/2006/relationships/hyperlink" Target="https://masshpc.gov/sites/default/files/20231024%20DFCI-BIDMC-HMFP%20MCN.pdf" TargetMode="External"/><Relationship Id="rId183" Type="http://schemas.openxmlformats.org/officeDocument/2006/relationships/hyperlink" Target="https://www.dana-farber.org/patient-family/safety-advocacy/patient-family-advisory-councils/adult-patients" TargetMode="External"/><Relationship Id="rId239" Type="http://schemas.openxmlformats.org/officeDocument/2006/relationships/hyperlink" Target="https://blog.dana-farber.org/insight/2017/01/what-is-an-oncology-hospitalist/" TargetMode="External"/><Relationship Id="rId250" Type="http://schemas.openxmlformats.org/officeDocument/2006/relationships/hyperlink" Target="https://www.mass.gov/doc/final-cmir-report-beth-israel-lahey-health/download" TargetMode="External"/><Relationship Id="rId292" Type="http://schemas.openxmlformats.org/officeDocument/2006/relationships/hyperlink" Target="https://www.kff.org/racial-equity-and-health-policy/issue-brief/racial-disparities-in-cancer-outcomes-screening-and-treatment/" TargetMode="External"/><Relationship Id="rId306" Type="http://schemas.openxmlformats.org/officeDocument/2006/relationships/hyperlink" Target="https://pmc.ncbi.nlm.nih.gov/articles/PMC4679078/pdf/theoncologist_15110.pdf." TargetMode="External"/><Relationship Id="rId45" Type="http://schemas.openxmlformats.org/officeDocument/2006/relationships/hyperlink" Target="https://www.mass.gov/doc/2010-examination-of-health-care-cost-trends-and-cost-drivers-with-appendix/download" TargetMode="External"/><Relationship Id="rId87" Type="http://schemas.openxmlformats.org/officeDocument/2006/relationships/hyperlink" Target="https://masshpc.gov/sites/default/files/2023-02/20140303_danafarber-commonwealth_mcn.pdf;" TargetMode="External"/><Relationship Id="rId110" Type="http://schemas.openxmlformats.org/officeDocument/2006/relationships/hyperlink" Target="https://www.bostonglobe.com/2023/10/16/opinion/cancer-dana-farber-beth-israel-mass-general-%20brigham/;" TargetMode="External"/><Relationship Id="rId152" Type="http://schemas.openxmlformats.org/officeDocument/2006/relationships/hyperlink" Target="https://dev-hpc-training.pantheonsite.io/sites/default/files/2023-04/2018%20Cost%20Trends%20Report.pdf" TargetMode="External"/><Relationship Id="rId173" Type="http://schemas.openxmlformats.org/officeDocument/2006/relationships/hyperlink" Target="https://www.jointcommission.org/who-we-are/who-we-%20work-with/find-accredited-organizations/" TargetMode="External"/><Relationship Id="rId194" Type="http://schemas.openxmlformats.org/officeDocument/2006/relationships/hyperlink" Target="https://www.bidmc.org/centers-and-departments/cancer-center/cancer-support-services/patient-navigator-services" TargetMode="External"/><Relationship Id="rId208" Type="http://schemas.openxmlformats.org/officeDocument/2006/relationships/hyperlink" Target="https://www.nmdp.org/what-we-%20do/partnerships/global-transplant-network/transplant-center-directory" TargetMode="External"/><Relationship Id="rId229" Type="http://schemas.openxmlformats.org/officeDocument/2006/relationships/hyperlink" Target="https://pmc.ncbi.nlm.nih.gov/articles/PMC4892698/" TargetMode="External"/><Relationship Id="rId240" Type="http://schemas.openxmlformats.org/officeDocument/2006/relationships/hyperlink" Target="https://blog.dana-farber.org/insight/2017/01/what-is-an-oncology-hospitalist/" TargetMode="External"/><Relationship Id="rId261" Type="http://schemas.openxmlformats.org/officeDocument/2006/relationships/hyperlink" Target="https://www.pennmedicine.org/news/publications-and-special-projects/penn-medicine-magazine/spring-2023/why-new-cancer-treatment-discoveries-are-proliferating" TargetMode="External"/><Relationship Id="rId14" Type="http://schemas.openxmlformats.org/officeDocument/2006/relationships/hyperlink" Target="https://www.mass.gov/doc/project-description-narrative-pdf-dana-farber-cancer-institute-inc-expenditure/download" TargetMode="External"/><Relationship Id="rId35" Type="http://schemas.openxmlformats.org/officeDocument/2006/relationships/hyperlink" Target="http://www.chiamass.gov/relative-price-and-provider-%20price-variation/" TargetMode="External"/><Relationship Id="rId56" Type="http://schemas.openxmlformats.org/officeDocument/2006/relationships/hyperlink" Target="https://masshpc.gov/moat/rpo/data." TargetMode="External"/><Relationship Id="rId77" Type="http://schemas.openxmlformats.org/officeDocument/2006/relationships/hyperlink" Target="https://www.bostonglobe.com/2025/02/12/business/nih-funding-new-england-harvard-mgh-brigham-womens/?p1=BGSearch_Overlay_Results" TargetMode="External"/><Relationship Id="rId100" Type="http://schemas.openxmlformats.org/officeDocument/2006/relationships/hyperlink" Target="https://masshpc.gov/sites/default/files/2023-02/20220728_bilh_exeter_mcn.pdf" TargetMode="External"/><Relationship Id="rId282" Type="http://schemas.openxmlformats.org/officeDocument/2006/relationships/hyperlink" Target="https://minorityhealth.hhs.gov/cancer-and-hispanic-americans" TargetMode="External"/><Relationship Id="rId317" Type="http://schemas.openxmlformats.org/officeDocument/2006/relationships/hyperlink" Target="https://www.dana-farber.org/newsroom/news-releases/2023/cancer-diagnostic-services-in-a-community-health-center-speed-diagnosis-for-underserved-populations" TargetMode="External"/><Relationship Id="rId338" Type="http://schemas.openxmlformats.org/officeDocument/2006/relationships/hyperlink" Target="https://www.chiamass.gov/a-focus-on-provider-quality-selected-clinical-measures" TargetMode="External"/><Relationship Id="rId8" Type="http://schemas.openxmlformats.org/officeDocument/2006/relationships/hyperlink" Target="https://masshpc.gov/sites/default/files/20231024%20BIDMC-HMFP-DFCI%20MCN.pdf;" TargetMode="External"/><Relationship Id="rId98" Type="http://schemas.openxmlformats.org/officeDocument/2006/relationships/hyperlink" Target="https://masshpc.gov/sites/default/files/2023-02/20210702_bilh_-_joslin_mcn.pdf" TargetMode="External"/><Relationship Id="rId121" Type="http://schemas.openxmlformats.org/officeDocument/2006/relationships/hyperlink" Target="http://www.bostonplans.org/projects/institutional-master-plans/hospitals/dana-farber-cancer-institute" TargetMode="External"/><Relationship Id="rId142" Type="http://schemas.openxmlformats.org/officeDocument/2006/relationships/hyperlink" Target="http://www.gpo.gov/fdsys/pkg/FR-2011-10-28/pdf/2011-27944.pdf" TargetMode="External"/><Relationship Id="rId163" Type="http://schemas.openxmlformats.org/officeDocument/2006/relationships/hyperlink" Target="https://health.usnews.com/best-%20hospitals/rankings/cancer" TargetMode="External"/><Relationship Id="rId184" Type="http://schemas.openxmlformats.org/officeDocument/2006/relationships/hyperlink" Target="https://www.dana-farber.org/patient-family/safety-advocacy/patient-family-advisory-councils/adult-patients" TargetMode="External"/><Relationship Id="rId219" Type="http://schemas.openxmlformats.org/officeDocument/2006/relationships/hyperlink" Target="https://qualityindicators.ahrq.gov/Downloads/Software/SAS/V2023/Software_Inst_SASQI_v2023_August_2023.pdf" TargetMode="External"/><Relationship Id="rId230" Type="http://schemas.openxmlformats.org/officeDocument/2006/relationships/hyperlink" Target="https://pubmed.ncbi.nlm.nih.gov/18600379" TargetMode="External"/><Relationship Id="rId251" Type="http://schemas.openxmlformats.org/officeDocument/2006/relationships/hyperlink" Target="https://www.mass.gov/doc/final-cmir-report-beth-israel-lahey-health/download" TargetMode="External"/><Relationship Id="rId25" Type="http://schemas.openxmlformats.org/officeDocument/2006/relationships/hyperlink" Target="https://www.mass.gov/doc/commonwealth-of-massachusetts-health-policy-commission-pdf-0/download" TargetMode="External"/><Relationship Id="rId46" Type="http://schemas.openxmlformats.org/officeDocument/2006/relationships/hyperlink" Target="https://www.mass.gov/doc/2010-examination-of-health-care-cost-trends-and-cost-drivers-with-appendix/download" TargetMode="External"/><Relationship Id="rId67" Type="http://schemas.openxmlformats.org/officeDocument/2006/relationships/hyperlink" Target="https://www.cms.gov/medicare/payment/prospective-payment-systems/acute-inpatient-pps/pps-exempt-cancer-hospitals-pchs" TargetMode="External"/><Relationship Id="rId272" Type="http://schemas.openxmlformats.org/officeDocument/2006/relationships/hyperlink" Target="https://pmc.ncbi.nlm.nih.gov/articles/PMC11144993/pdf/oyae035.pdf." TargetMode="External"/><Relationship Id="rId293" Type="http://schemas.openxmlformats.org/officeDocument/2006/relationships/hyperlink" Target="https://pmc.ncbi.nlm.nih.gov/articles/PMC5787045/pdf/nihms895528.pdf." TargetMode="External"/><Relationship Id="rId307" Type="http://schemas.openxmlformats.org/officeDocument/2006/relationships/hyperlink" Target="https://pmc.ncbi.nlm.nih.gov/articles/PMC4679078/pdf/theoncologist_15110.pdf" TargetMode="External"/><Relationship Id="rId328" Type="http://schemas.openxmlformats.org/officeDocument/2006/relationships/hyperlink" Target="https://www.commonwealthfund.org/publications/fund-reports/2023/sep/state-%20protections-medical-debt-policies-across-us." TargetMode="External"/><Relationship Id="rId88" Type="http://schemas.openxmlformats.org/officeDocument/2006/relationships/hyperlink" Target="https://masshpc.gov/sites/default/files/2023-02/20140303_danafarber-commonwealth_mcn.pdf" TargetMode="External"/><Relationship Id="rId111" Type="http://schemas.openxmlformats.org/officeDocument/2006/relationships/hyperlink" Target="https://www.bostonglobe.com/2023/10/16/opinion/cancer-dana-farber-beth-israel-mass-general-brigham/" TargetMode="External"/><Relationship Id="rId132" Type="http://schemas.openxmlformats.org/officeDocument/2006/relationships/hyperlink" Target="https://www.mass.gov/doc/comments-on-ica-mass-general-brigham-pdf-dana-farber-cancer-institute-inc-%20expenditure/download;" TargetMode="External"/><Relationship Id="rId153" Type="http://schemas.openxmlformats.org/officeDocument/2006/relationships/hyperlink" Target="https://www.hrsa.gov/opa" TargetMode="External"/><Relationship Id="rId174" Type="http://schemas.openxmlformats.org/officeDocument/2006/relationships/hyperlink" Target="https://www.jointcommission.org/who-we-are/who-we-work-with/find-accredited-organizations/" TargetMode="External"/><Relationship Id="rId195" Type="http://schemas.openxmlformats.org/officeDocument/2006/relationships/hyperlink" Target="https://www.bidmc.org/centers-and-departments/cancer-center/cancer-support-services/patient-navigator-services" TargetMode="External"/><Relationship Id="rId209" Type="http://schemas.openxmlformats.org/officeDocument/2006/relationships/hyperlink" Target="https://www.nmdp.org/what-we-do/partnerships/global-transplant-network/transplant-center-directory" TargetMode="External"/><Relationship Id="rId220" Type="http://schemas.openxmlformats.org/officeDocument/2006/relationships/hyperlink" Target="https://qualityindicators.ahrq.gov/Downloads/Software/SAS/V2023/Software_Inst_SASQI_v2023_August_2023.pdf" TargetMode="External"/><Relationship Id="rId241" Type="http://schemas.openxmlformats.org/officeDocument/2006/relationships/hyperlink" Target="https://blog.dana-farber.org/insight/2017/01/what-is-an-oncology-hospitalist/" TargetMode="External"/><Relationship Id="rId15" Type="http://schemas.openxmlformats.org/officeDocument/2006/relationships/hyperlink" Target="https://www.mass.gov/info-details/dana-farber-cancer-%20institute-inc-hospitalclinic-substantial-capital-expenditure" TargetMode="External"/><Relationship Id="rId36" Type="http://schemas.openxmlformats.org/officeDocument/2006/relationships/hyperlink" Target="http://www.chiamass.gov/relative-price-and-provider-price-variation/" TargetMode="External"/><Relationship Id="rId57" Type="http://schemas.openxmlformats.org/officeDocument/2006/relationships/hyperlink" Target="https://masshpc.gov/moat/rpo/data" TargetMode="External"/><Relationship Id="rId262" Type="http://schemas.openxmlformats.org/officeDocument/2006/relationships/hyperlink" Target="https://www.pennmedicine.org/news/publications-and-special-projects/penn-medicine-magazine/spring-2023/why-new-cancer-treatment-discoveries-are-proliferating" TargetMode="External"/><Relationship Id="rId283" Type="http://schemas.openxmlformats.org/officeDocument/2006/relationships/hyperlink" Target="https://minorityhealth.hhs.gov/cancer-and-hispanic-americans" TargetMode="External"/><Relationship Id="rId318" Type="http://schemas.openxmlformats.org/officeDocument/2006/relationships/hyperlink" Target="https://www.dana-farber.org/about/inclusion-diversity-equity/research" TargetMode="External"/><Relationship Id="rId78" Type="http://schemas.openxmlformats.org/officeDocument/2006/relationships/hyperlink" Target="https://journals.lww.com/lww-%20medicalcare/abstract/2022/03000/trends_in_cancer_treatment_service_availability.2.aspx" TargetMode="External"/><Relationship Id="rId99" Type="http://schemas.openxmlformats.org/officeDocument/2006/relationships/hyperlink" Target="https://masshpc.gov/sites/default/files/2023-%2002/20220728_bilh_exeter_mcn.pdf." TargetMode="External"/><Relationship Id="rId101" Type="http://schemas.openxmlformats.org/officeDocument/2006/relationships/hyperlink" Target="https://masshpc.gov/sites/default/files/2023-02/20220728_bilh_exeter_mcn.pdf" TargetMode="External"/><Relationship Id="rId122" Type="http://schemas.openxmlformats.org/officeDocument/2006/relationships/hyperlink" Target="https://www.mass.gov/doc/change-in-service-pdf-dana-farber-cancer-institute-inc-expenditure/download" TargetMode="External"/><Relationship Id="rId143" Type="http://schemas.openxmlformats.org/officeDocument/2006/relationships/hyperlink" Target="https://www.massgeneral.org/cancer-center/about/community-locations" TargetMode="External"/><Relationship Id="rId164" Type="http://schemas.openxmlformats.org/officeDocument/2006/relationships/hyperlink" Target="https://health.usnews.com/best-hospitals/rankings/cancer" TargetMode="External"/><Relationship Id="rId185" Type="http://schemas.openxmlformats.org/officeDocument/2006/relationships/hyperlink" Target="https://www.dana-farber.org/patient-family/safety-advocacy/patient-family-advisory-councils/adult-patients" TargetMode="External"/><Relationship Id="rId9" Type="http://schemas.openxmlformats.org/officeDocument/2006/relationships/hyperlink" Target="https://masshpc.gov/sites/default/files/20231024%20BIDMC-HMFP-DFCI%20MCN.pdf" TargetMode="External"/><Relationship Id="rId210" Type="http://schemas.openxmlformats.org/officeDocument/2006/relationships/hyperlink" Target="https://www.nmdp.org/what-we-do/partnerships/global-transplant-network/transplant-center-directory" TargetMode="External"/><Relationship Id="rId26" Type="http://schemas.openxmlformats.org/officeDocument/2006/relationships/hyperlink" Target="https://www.mass.gov/doc/independent-cost-analysis-report-%20appendix-pdf-dana-farber-cancer-institute-inc-expenditure/download." TargetMode="External"/><Relationship Id="rId231" Type="http://schemas.openxmlformats.org/officeDocument/2006/relationships/hyperlink" Target="https://pubmed.ncbi.nlm.nih.gov/18600379/" TargetMode="External"/><Relationship Id="rId252" Type="http://schemas.openxmlformats.org/officeDocument/2006/relationships/hyperlink" Target="https://www.mass.gov/doc/hpc-public-comment-mgb-determination-of-need-applications/download;" TargetMode="External"/><Relationship Id="rId273" Type="http://schemas.openxmlformats.org/officeDocument/2006/relationships/hyperlink" Target="https://pmc.ncbi.nlm.nih.gov/articles/PMC11144993/pdf/oyae035.pdf" TargetMode="External"/><Relationship Id="rId294" Type="http://schemas.openxmlformats.org/officeDocument/2006/relationships/hyperlink" Target="https://pmc.ncbi.nlm.nih.gov/articles/PMC5787045/pdf/nihms895528.pdf" TargetMode="External"/><Relationship Id="rId308" Type="http://schemas.openxmlformats.org/officeDocument/2006/relationships/hyperlink" Target="https://www.nih.gov/news-events/news-releases/annual-report-nation-part-2-patient-economic-burden-%20cancer-care-more-21-billion-united-states-2019." TargetMode="External"/><Relationship Id="rId329" Type="http://schemas.openxmlformats.org/officeDocument/2006/relationships/hyperlink" Target="https://www.commonwealthfund.org/publications/fund-reports/2023/sep/state-protections-medical-debt-policies-across-us" TargetMode="External"/><Relationship Id="rId47" Type="http://schemas.openxmlformats.org/officeDocument/2006/relationships/hyperlink" Target="https://dev-hpc-training.pantheonsite.io/sites/default/files/2023-04/2015-ctr-ppv.pdf" TargetMode="External"/><Relationship Id="rId68" Type="http://schemas.openxmlformats.org/officeDocument/2006/relationships/hyperlink" Target="https://www.chiamass.gov/assets/Uploads/mass-hospital-financials/2023-annual-report/Acute-Hospital-Financial-Performance-2023-Databook.xlsx" TargetMode="External"/><Relationship Id="rId89" Type="http://schemas.openxmlformats.org/officeDocument/2006/relationships/hyperlink" Target="https://www.bostonglobe.com/metro/regionals/south/2016/09/23/dana-farber-closes-%20offices-quincy-milton-dorchester/EF5XFVuQ2Eklf7TOoUV2LL/story.html." TargetMode="External"/><Relationship Id="rId112" Type="http://schemas.openxmlformats.org/officeDocument/2006/relationships/hyperlink" Target="https://www.bostonglobe.com/2023/10/16/opinion/cancer-dana-farber-beth-israel-mass-general-brigham/" TargetMode="External"/><Relationship Id="rId133" Type="http://schemas.openxmlformats.org/officeDocument/2006/relationships/hyperlink" Target="https://www.mass.gov/doc/comments-on-ica-mass-general-brigham-pdf-dana-farber-cancer-institute-inc-expenditure/download" TargetMode="External"/><Relationship Id="rId154" Type="http://schemas.openxmlformats.org/officeDocument/2006/relationships/hyperlink" Target="https://www.hrsa.gov/opa" TargetMode="External"/><Relationship Id="rId175" Type="http://schemas.openxmlformats.org/officeDocument/2006/relationships/hyperlink" Target="https://www.jointcommission.org/who-we-are/who-we-work-with/find-accredited-organizations/" TargetMode="External"/><Relationship Id="rId196" Type="http://schemas.openxmlformats.org/officeDocument/2006/relationships/hyperlink" Target="https://www.cancer.gov/about-nci/budget/fact-book/extramural-programs/cancer-centers" TargetMode="External"/><Relationship Id="rId200" Type="http://schemas.openxmlformats.org/officeDocument/2006/relationships/hyperlink" Target="https://www.cms.gov/medicare/quality/initiatives/hospital-quality-initiative/pps-exempt-cancer-hospital-quality-reporting-pchqr-program" TargetMode="External"/><Relationship Id="rId16" Type="http://schemas.openxmlformats.org/officeDocument/2006/relationships/hyperlink" Target="https://www.mass.gov/info-details/dana-farber-cancer-institute-inc-hospitalclinic-substantial-capital-expenditure" TargetMode="External"/><Relationship Id="rId221" Type="http://schemas.openxmlformats.org/officeDocument/2006/relationships/hyperlink" Target="https://pmc.ncbi.nlm.nih.gov/articles/PMC5038982/" TargetMode="External"/><Relationship Id="rId242" Type="http://schemas.openxmlformats.org/officeDocument/2006/relationships/hyperlink" Target="https://pmc.ncbi.nlm.nih.gov/articles/PMC3482951/" TargetMode="External"/><Relationship Id="rId263" Type="http://schemas.openxmlformats.org/officeDocument/2006/relationships/hyperlink" Target="https://www.mdanderson.org/cmp/gene-therapy.html" TargetMode="External"/><Relationship Id="rId284" Type="http://schemas.openxmlformats.org/officeDocument/2006/relationships/hyperlink" Target="https://minorityhealth.hhs.gov/cancer-and-hispanic-americans" TargetMode="External"/><Relationship Id="rId319" Type="http://schemas.openxmlformats.org/officeDocument/2006/relationships/hyperlink" Target="https://www.dana-farber.org/about/inclusion-diversity-equity/research" TargetMode="External"/><Relationship Id="rId37" Type="http://schemas.openxmlformats.org/officeDocument/2006/relationships/hyperlink" Target="http://www.chiamass.gov/relative-price-and-provider-price-variation/" TargetMode="External"/><Relationship Id="rId58" Type="http://schemas.openxmlformats.org/officeDocument/2006/relationships/hyperlink" Target="https://www.dfhcc.harvard.edu/about-dfhcc" TargetMode="External"/><Relationship Id="rId79" Type="http://schemas.openxmlformats.org/officeDocument/2006/relationships/hyperlink" Target="https://journals.lww.com/lww-medicalcare/abstract/2022/03000/trends_in_cancer_treatment_service_availability.2.aspx" TargetMode="External"/><Relationship Id="rId102" Type="http://schemas.openxmlformats.org/officeDocument/2006/relationships/hyperlink" Target="https://www.chiamass.gov/assets/docs/r/hospital-profiles/2023/FY23-Massachusetts-Hospital-Profiles-Technical-Appendix.pdf" TargetMode="External"/><Relationship Id="rId123" Type="http://schemas.openxmlformats.org/officeDocument/2006/relationships/hyperlink" Target="https://www.mass.gov/doc/responses-to-don-questions-%202-pdf-dana-farber-cancer-institute-inc-hospitalclinic/download;" TargetMode="External"/><Relationship Id="rId144" Type="http://schemas.openxmlformats.org/officeDocument/2006/relationships/hyperlink" Target="https://www.cms.gov/medicaremedicare-fee-service-paymentlongtermcarehospitalppsltchpps-historical-%20impact-files/fy-2022-impact-file-final-rule" TargetMode="External"/><Relationship Id="rId330" Type="http://schemas.openxmlformats.org/officeDocument/2006/relationships/hyperlink" Target="https://www.commonwealthfund.org/publications/fund-reports/2023/sep/state-protections-medical-debt-policies-across-us" TargetMode="External"/><Relationship Id="rId90" Type="http://schemas.openxmlformats.org/officeDocument/2006/relationships/hyperlink" Target="https://www.bostonglobe.com/metro/regionals/south/2016/09/23/dana-farber-closes-offices-quincy-milton-dorchester/EF5XFVuQ2Eklf7TOoUV2LL/story.html" TargetMode="External"/><Relationship Id="rId165" Type="http://schemas.openxmlformats.org/officeDocument/2006/relationships/hyperlink" Target="https://health.usnews.com/best-hospitals/rankings/cancer" TargetMode="External"/><Relationship Id="rId186" Type="http://schemas.openxmlformats.org/officeDocument/2006/relationships/hyperlink" Target="https://www.dana-farber.org/patient-family/support-services/patient-navigator" TargetMode="External"/><Relationship Id="rId211" Type="http://schemas.openxmlformats.org/officeDocument/2006/relationships/hyperlink" Target="https://data.cms.gov/provider-data/" TargetMode="External"/><Relationship Id="rId232" Type="http://schemas.openxmlformats.org/officeDocument/2006/relationships/hyperlink" Target="https://pubmed.ncbi.nlm.nih.gov/36964844/" TargetMode="External"/><Relationship Id="rId253" Type="http://schemas.openxmlformats.org/officeDocument/2006/relationships/hyperlink" Target="https://www.mass.gov/doc/hpc-public-comment-mgb-determination-of-need-applications/download" TargetMode="External"/><Relationship Id="rId274" Type="http://schemas.openxmlformats.org/officeDocument/2006/relationships/hyperlink" Target="https://jamanetwork.com/journals/jamanetworkopen/fullarticle/2705856." TargetMode="External"/><Relationship Id="rId295" Type="http://schemas.openxmlformats.org/officeDocument/2006/relationships/hyperlink" Target="https://www.mass.gov/doc/june-2024-redetermination-key-takeaways/download" TargetMode="External"/><Relationship Id="rId309" Type="http://schemas.openxmlformats.org/officeDocument/2006/relationships/hyperlink" Target="https://www.nih.gov/news-events/news-releases/annual-report-nation-part-2-patient-economic-burden-cancer-care-more-21-billion-united-states-2019" TargetMode="External"/><Relationship Id="rId27" Type="http://schemas.openxmlformats.org/officeDocument/2006/relationships/hyperlink" Target="https://www.mass.gov/doc/independent-cost-analysis-report-appendix-pdf-dana-farber-cancer-institute-inc-expenditure/download" TargetMode="External"/><Relationship Id="rId48" Type="http://schemas.openxmlformats.org/officeDocument/2006/relationships/hyperlink" Target="https://dev-hpc-training.pantheonsite.io/sites/default/files/2023-04/2015-ctr-ppv.pdf" TargetMode="External"/><Relationship Id="rId69" Type="http://schemas.openxmlformats.org/officeDocument/2006/relationships/hyperlink" Target="https://www.chiamass.gov/assets/Uploads/mass-hospital-financials/2023-annual-report/Acute-Hospital-Financial-Performance-2023-Databook.xlsx" TargetMode="External"/><Relationship Id="rId113" Type="http://schemas.openxmlformats.org/officeDocument/2006/relationships/hyperlink" Target="https://www.bostonglobe.com/2023/09/14/metro/dana-farber-brigham-beth-israel-cancer/" TargetMode="External"/><Relationship Id="rId134" Type="http://schemas.openxmlformats.org/officeDocument/2006/relationships/hyperlink" Target="https://www.mass.gov/doc/comments-on-ica-mass-general-brigham-pdf-dana-farber-cancer-institute-inc-expenditure/download" TargetMode="External"/><Relationship Id="rId320" Type="http://schemas.openxmlformats.org/officeDocument/2006/relationships/hyperlink" Target="https://www.dana-farber.org/about/inclusion-diversity-equity/research" TargetMode="External"/><Relationship Id="rId80" Type="http://schemas.openxmlformats.org/officeDocument/2006/relationships/hyperlink" Target="https://journals.lww.com/lww-medicalcare/abstract/2022/03000/trends_in_cancer_treatment_service_availability.2.aspx" TargetMode="External"/><Relationship Id="rId155" Type="http://schemas.openxmlformats.org/officeDocument/2006/relationships/hyperlink" Target="https://www.cms.gov/files/zip/2025-nfrm-opps-cancer-adjustment-analysis-file.zip" TargetMode="External"/><Relationship Id="rId176" Type="http://schemas.openxmlformats.org/officeDocument/2006/relationships/hyperlink" Target="https://www.facs.org/quality-programs/cancer-programs/commission-on-cancer/" TargetMode="External"/><Relationship Id="rId197" Type="http://schemas.openxmlformats.org/officeDocument/2006/relationships/hyperlink" Target="https://www.cancer.gov/about-nci/budget/fact-book/extramural-programs/cancer-centers" TargetMode="External"/><Relationship Id="rId201" Type="http://schemas.openxmlformats.org/officeDocument/2006/relationships/hyperlink" Target="https://qualitynet.cms.gov/pch/measures/readmissions." TargetMode="External"/><Relationship Id="rId222" Type="http://schemas.openxmlformats.org/officeDocument/2006/relationships/hyperlink" Target="https://pmc.ncbi.nlm.nih.gov/articles/PMC5038982/" TargetMode="External"/><Relationship Id="rId243" Type="http://schemas.openxmlformats.org/officeDocument/2006/relationships/hyperlink" Target="https://pmc.ncbi.nlm.nih.gov/articles/PMC3482951/" TargetMode="External"/><Relationship Id="rId264" Type="http://schemas.openxmlformats.org/officeDocument/2006/relationships/hyperlink" Target="https://www.us.jll.com/en/newsroom/healthcare-industry-embraces-shift-to-outpatient-care-sites" TargetMode="External"/><Relationship Id="rId285" Type="http://schemas.openxmlformats.org/officeDocument/2006/relationships/hyperlink" Target="https://www.mass.gov/doc/cancer-incidence-and-mortality-in-massachusetts-2016-2020-%20statewide-report/download." TargetMode="External"/><Relationship Id="rId17" Type="http://schemas.openxmlformats.org/officeDocument/2006/relationships/hyperlink" Target="https://masshpc.gov/sites/default/files/2024-%2007/Minutes%20from%20the%20January%2025%202024%20Board%20Meeting.pdf" TargetMode="External"/><Relationship Id="rId38" Type="http://schemas.openxmlformats.org/officeDocument/2006/relationships/hyperlink" Target="https://www.chiamass.gov/thce-tme-apm" TargetMode="External"/><Relationship Id="rId59" Type="http://schemas.openxmlformats.org/officeDocument/2006/relationships/hyperlink" Target="https://www.dfhcc.harvard.edu/about-dfhcc" TargetMode="External"/><Relationship Id="rId103" Type="http://schemas.openxmlformats.org/officeDocument/2006/relationships/hyperlink" Target="https://www.chiamass.gov/assets/docs/r/hospital-profiles/2023/FY23-Massachusetts-Hospital-Profiles-Technical-Appendix.pdf" TargetMode="External"/><Relationship Id="rId124" Type="http://schemas.openxmlformats.org/officeDocument/2006/relationships/hyperlink" Target="https://www.mass.gov/doc/responses-to-don-questions-2-pdf-dana-farber-cancer-institute-inc-hospitalclinic/download" TargetMode="External"/><Relationship Id="rId310" Type="http://schemas.openxmlformats.org/officeDocument/2006/relationships/hyperlink" Target="https://www.nih.gov/news-events/news-releases/annual-report-nation-part-2-patient-economic-burden-cancer-care-more-21-billion-united-states-2019" TargetMode="External"/><Relationship Id="rId70" Type="http://schemas.openxmlformats.org/officeDocument/2006/relationships/hyperlink" Target="https://www.statnews.com/2025/02/07/nih-slashes-indirect-costs-on-all-grants-to-15-percent-trump/;" TargetMode="External"/><Relationship Id="rId91" Type="http://schemas.openxmlformats.org/officeDocument/2006/relationships/hyperlink" Target="https://www.bostonglobe.com/metro/regionals/south/2016/09/23/dana-farber-closes-offices-quincy-milton-dorchester/EF5XFVuQ2Eklf7TOoUV2LL/story.html" TargetMode="External"/><Relationship Id="rId145" Type="http://schemas.openxmlformats.org/officeDocument/2006/relationships/hyperlink" Target="https://www.cms.gov/medicaremedicare-fee-service-paymentlongtermcarehospitalppsltchpps-historical-impact-files/fy-2022-impact-file-final-rule" TargetMode="External"/><Relationship Id="rId166" Type="http://schemas.openxmlformats.org/officeDocument/2006/relationships/hyperlink" Target="https://www.dana-farber.org/research/departments-centers/medical-oncology/clinical-activities" TargetMode="External"/><Relationship Id="rId187" Type="http://schemas.openxmlformats.org/officeDocument/2006/relationships/hyperlink" Target="https://www.dana-farber.org/patient-family/support-services/patient-navigator" TargetMode="External"/><Relationship Id="rId331" Type="http://schemas.openxmlformats.org/officeDocument/2006/relationships/hyperlink" Target="https://dfci.widen.net/s/h5lsvvfbw9/financial-assistance-%20summary.pdf" TargetMode="External"/><Relationship Id="rId1" Type="http://schemas.openxmlformats.org/officeDocument/2006/relationships/hyperlink" Target="https://masshpc.gov/sites/default/files/2023-04/958cmr7.00-noticesofmcnandcmir.pdf" TargetMode="External"/><Relationship Id="rId212" Type="http://schemas.openxmlformats.org/officeDocument/2006/relationships/hyperlink" Target="https://data.cms.gov/provider-data/" TargetMode="External"/><Relationship Id="rId233" Type="http://schemas.openxmlformats.org/officeDocument/2006/relationships/hyperlink" Target="https://pubmed.ncbi.nlm.nih.gov/36964844/" TargetMode="External"/><Relationship Id="rId254" Type="http://schemas.openxmlformats.org/officeDocument/2006/relationships/hyperlink" Target="https://pmc.ncbi.nlm.nih.gov/articles/PMC11599709/pdf/qxae149.pdf" TargetMode="External"/><Relationship Id="rId28" Type="http://schemas.openxmlformats.org/officeDocument/2006/relationships/hyperlink" Target="https://www.mass.gov/doc/independent-cost-analysis-report-appendix-pdf-dana-farber-cancer-institute-inc-expenditure/download" TargetMode="External"/><Relationship Id="rId49" Type="http://schemas.openxmlformats.org/officeDocument/2006/relationships/hyperlink" Target="https://www.gao.gov/assets/gao-15-199.pdf" TargetMode="External"/><Relationship Id="rId114" Type="http://schemas.openxmlformats.org/officeDocument/2006/relationships/hyperlink" Target="https://www.bostonglobe.com/2023/09/14/metro/dana-farber-brigham-beth-israel-cancer/" TargetMode="External"/><Relationship Id="rId275" Type="http://schemas.openxmlformats.org/officeDocument/2006/relationships/hyperlink" Target="https://jamanetwork.com/journals/jamanetworkopen/fullarticle/2705856" TargetMode="External"/><Relationship Id="rId296" Type="http://schemas.openxmlformats.org/officeDocument/2006/relationships/hyperlink" Target="https://www.mass.gov/doc/june-2024-redetermination-key-takeaways/download" TargetMode="External"/><Relationship Id="rId300" Type="http://schemas.openxmlformats.org/officeDocument/2006/relationships/hyperlink" Target="https://www.mass.gov/doc/rural-definition-detail-0/download" TargetMode="External"/><Relationship Id="rId60" Type="http://schemas.openxmlformats.org/officeDocument/2006/relationships/hyperlink" Target="https://www.cancer.gov/research/infrastructure/cancer-centers" TargetMode="External"/><Relationship Id="rId81" Type="http://schemas.openxmlformats.org/officeDocument/2006/relationships/hyperlink" Target="https://www.cms.gov/medicare/payment/prospective-payment-systems/acute-inpatient-pps/pps-exempt-%20cancer-hospitals-pchs" TargetMode="External"/><Relationship Id="rId135" Type="http://schemas.openxmlformats.org/officeDocument/2006/relationships/hyperlink" Target="https://www.bostonglobe.com/2024/10/28/business/mass-general-brigham-cancer-dana-farber/" TargetMode="External"/><Relationship Id="rId156" Type="http://schemas.openxmlformats.org/officeDocument/2006/relationships/hyperlink" Target="https://www.cms.gov/files/zip/2025-nfrm-opps-cancer-adjustment-analysis-file.zip" TargetMode="External"/><Relationship Id="rId177" Type="http://schemas.openxmlformats.org/officeDocument/2006/relationships/hyperlink" Target="https://www.facs.org/quality-programs/cancer-programs/commission-on-cancer/" TargetMode="External"/><Relationship Id="rId198" Type="http://schemas.openxmlformats.org/officeDocument/2006/relationships/hyperlink" Target="https://www.cms.gov/medicare/quality/initiatives/hospital-quality-%20initiative/pps-exempt-cancer-hospital-quality-reporting-pchqr-program" TargetMode="External"/><Relationship Id="rId321" Type="http://schemas.openxmlformats.org/officeDocument/2006/relationships/hyperlink" Target="https://www.dana-farber.org/cancer-%20care/treatment/adult-social-work" TargetMode="External"/><Relationship Id="rId202" Type="http://schemas.openxmlformats.org/officeDocument/2006/relationships/hyperlink" Target="https://qualitynet.cms.gov/pch/measures/readmissions" TargetMode="External"/><Relationship Id="rId223" Type="http://schemas.openxmlformats.org/officeDocument/2006/relationships/hyperlink" Target="https://pmc.ncbi.nlm.nih.gov/articles/PMC6580440/" TargetMode="External"/><Relationship Id="rId244" Type="http://schemas.openxmlformats.org/officeDocument/2006/relationships/hyperlink" Target="https://www.cancercenter.com/community/blog/2020/12/how-do-i-change-my-oncologist;" TargetMode="External"/><Relationship Id="rId18" Type="http://schemas.openxmlformats.org/officeDocument/2006/relationships/hyperlink" Target="https://masshpc.gov/sites/default/files/2024-07/Minutes%20from%20the%20January%2025%202024%20Board%20Meeting.pdf" TargetMode="External"/><Relationship Id="rId39" Type="http://schemas.openxmlformats.org/officeDocument/2006/relationships/hyperlink" Target="https://www.chiamass.gov/thce-tme-apm" TargetMode="External"/><Relationship Id="rId265" Type="http://schemas.openxmlformats.org/officeDocument/2006/relationships/hyperlink" Target="https://www.mass.gov/doc/mass-general-brigham-incorporated-mgh-application-form-and-%20attachments/download." TargetMode="External"/><Relationship Id="rId286" Type="http://schemas.openxmlformats.org/officeDocument/2006/relationships/hyperlink" Target="https://www.mass.gov/doc/cancer-incidence-and-mortality-in-massachusetts-2016-2020-statewide-report/download" TargetMode="External"/><Relationship Id="rId50" Type="http://schemas.openxmlformats.org/officeDocument/2006/relationships/hyperlink" Target="https://www.cms.gov/icd10m/version372-fullcode-%20cms/fullcode_cms/Design_and_development_of_the_Diagnosis_Related_Group_(DRGs).pdf." TargetMode="External"/><Relationship Id="rId104" Type="http://schemas.openxmlformats.org/officeDocument/2006/relationships/hyperlink" Target="https://masshpc.gov/moat/rpo/data" TargetMode="External"/><Relationship Id="rId125" Type="http://schemas.openxmlformats.org/officeDocument/2006/relationships/hyperlink" Target="https://www.mass.gov/doc/responses-to-don-questions-2-pdf-dana-farber-cancer-institute-inc-hospitalclinic/download" TargetMode="External"/><Relationship Id="rId146" Type="http://schemas.openxmlformats.org/officeDocument/2006/relationships/hyperlink" Target="https://www.cms.gov/medicaremedicare-fee-service-paymentlongtermcarehospitalppsltchpps-historical-impact-files/fy-2022-impact-file-final-rule" TargetMode="External"/><Relationship Id="rId167" Type="http://schemas.openxmlformats.org/officeDocument/2006/relationships/hyperlink" Target="https://www.dana-farber.org/research/departments-centers/medical-oncology/clinical-activities" TargetMode="External"/><Relationship Id="rId188" Type="http://schemas.openxmlformats.org/officeDocument/2006/relationships/hyperlink" Target="https://ascopubs.org/doi/pdf/10.1200/JCO.2024.42.16_suppl.11001." TargetMode="External"/><Relationship Id="rId311" Type="http://schemas.openxmlformats.org/officeDocument/2006/relationships/hyperlink" Target="https://www.dana-farber.org/research/departments-centers/cancer-care-equity" TargetMode="External"/><Relationship Id="rId332" Type="http://schemas.openxmlformats.org/officeDocument/2006/relationships/hyperlink" Target="https://dfci.widen.net/s/h5lsvvfbw9/financial-assistance-summary.pdf" TargetMode="External"/><Relationship Id="rId71" Type="http://schemas.openxmlformats.org/officeDocument/2006/relationships/hyperlink" Target="https://www.statnews.com/2025/02/07/nih-slashes-indirect-costs-on-all-grants-to-15-percent-trump/" TargetMode="External"/><Relationship Id="rId92" Type="http://schemas.openxmlformats.org/officeDocument/2006/relationships/hyperlink" Target="https://www.dana-farber.org/about/collaborations" TargetMode="External"/><Relationship Id="rId213" Type="http://schemas.openxmlformats.org/officeDocument/2006/relationships/hyperlink" Target="https://data.cms.gov/provider-data/dataset/z8ax-x9j1" TargetMode="External"/><Relationship Id="rId234" Type="http://schemas.openxmlformats.org/officeDocument/2006/relationships/hyperlink" Target="https://www.mass.gov/doc/responses-to-don-%20questions-pdf-dana-farber-cancer-institute-inc-hospitalclinic/download." TargetMode="External"/><Relationship Id="rId2" Type="http://schemas.openxmlformats.org/officeDocument/2006/relationships/hyperlink" Target="https://masshpc.gov/sites/default/files/2023-04/958cmr7.00-noticesofmcnandcmir.pdf" TargetMode="External"/><Relationship Id="rId29" Type="http://schemas.openxmlformats.org/officeDocument/2006/relationships/hyperlink" Target="https://www.mass.gov/doc/staff-report-pdf/download." TargetMode="External"/><Relationship Id="rId255" Type="http://schemas.openxmlformats.org/officeDocument/2006/relationships/hyperlink" Target="https://pmc.ncbi.nlm.nih.gov/articles/PMC11599709/pdf/qxae149.pdf" TargetMode="External"/><Relationship Id="rId276" Type="http://schemas.openxmlformats.org/officeDocument/2006/relationships/hyperlink" Target="https://pmc.ncbi.nlm.nih.gov/articles/PMC2711979/pdf/nihms-104105.pdf." TargetMode="External"/><Relationship Id="rId297" Type="http://schemas.openxmlformats.org/officeDocument/2006/relationships/hyperlink" Target="https://www.chiamass.gov/assets/docs/r/hospital-profiles/2022/FY22-Massachusetts-Hospital-Profiles-Databook.xlsx" TargetMode="External"/><Relationship Id="rId40" Type="http://schemas.openxmlformats.org/officeDocument/2006/relationships/hyperlink" Target="http://www.chiamass.gov/case-mix-data/" TargetMode="External"/><Relationship Id="rId115" Type="http://schemas.openxmlformats.org/officeDocument/2006/relationships/hyperlink" Target="https://www.fiercehealthcare.com/providers/dana-farber-beth-israel-%20deaconess-collaborating-stand-alone-cancer-center." TargetMode="External"/><Relationship Id="rId136" Type="http://schemas.openxmlformats.org/officeDocument/2006/relationships/hyperlink" Target="https://www.bostonglobe.com/2024/10/28/business/mass-general-brigham-cancer-dana-farber/" TargetMode="External"/><Relationship Id="rId157" Type="http://schemas.openxmlformats.org/officeDocument/2006/relationships/hyperlink" Target="https://www.govinfo.gov/content/pkg/FR-2024-11-27/pdf/2024-25521.pdf" TargetMode="External"/><Relationship Id="rId178" Type="http://schemas.openxmlformats.org/officeDocument/2006/relationships/hyperlink" Target="https://ascopubs.org/doi/10.1200/JCO.2019.37.27_suppl.110" TargetMode="External"/><Relationship Id="rId301" Type="http://schemas.openxmlformats.org/officeDocument/2006/relationships/hyperlink" Target="https://www.mass.gov/doc/rural-definition-detail-0/download" TargetMode="External"/><Relationship Id="rId322" Type="http://schemas.openxmlformats.org/officeDocument/2006/relationships/hyperlink" Target="https://www.dana-farber.org/cancer-care/treatment/adult-social-work" TargetMode="External"/><Relationship Id="rId61" Type="http://schemas.openxmlformats.org/officeDocument/2006/relationships/hyperlink" Target="https://www.cancer.gov/research/infrastructure/cancer-centers" TargetMode="External"/><Relationship Id="rId82" Type="http://schemas.openxmlformats.org/officeDocument/2006/relationships/hyperlink" Target="https://www.cms.gov/medicare/payment/prospective-payment-systems/acute-inpatient-pps/pps-exempt-cancer-hospitals-pchs" TargetMode="External"/><Relationship Id="rId199" Type="http://schemas.openxmlformats.org/officeDocument/2006/relationships/hyperlink" Target="https://www.cms.gov/medicare/quality/initiatives/hospital-quality-initiative/pps-exempt-cancer-hospital-quality-reporting-pchqr-program" TargetMode="External"/><Relationship Id="rId203" Type="http://schemas.openxmlformats.org/officeDocument/2006/relationships/hyperlink" Target="https://www.cms.gov/Medicare/Quality-Initiatives-Patient-Assessment-%20Instruments/HomeHealthQualityInits/Downloads/ClaimsBasedUtilizationMeasuresSpecifications.pdf." TargetMode="External"/><Relationship Id="rId19" Type="http://schemas.openxmlformats.org/officeDocument/2006/relationships/hyperlink" Target="https://masshpc.gov/sites/default/files/2024-07/Minutes%20from%20the%20January%2025%202024%20Board%20Meeting.pdf" TargetMode="External"/><Relationship Id="rId224" Type="http://schemas.openxmlformats.org/officeDocument/2006/relationships/hyperlink" Target="https://pmc.ncbi.nlm.nih.gov/articles/PMC6580440/" TargetMode="External"/><Relationship Id="rId245" Type="http://schemas.openxmlformats.org/officeDocument/2006/relationships/hyperlink" Target="https://www.cancercenter.com/community/blog/2020/12/how-do-i-change-my-oncologist" TargetMode="External"/><Relationship Id="rId266" Type="http://schemas.openxmlformats.org/officeDocument/2006/relationships/hyperlink" Target="https://www.mass.gov/doc/mass-general-brigham-incorporated-mgh-application-form-and-attachments/download" TargetMode="External"/><Relationship Id="rId287" Type="http://schemas.openxmlformats.org/officeDocument/2006/relationships/hyperlink" Target="https://www.mass.gov/doc/cancer-incidence-and-mortality-in-massachusetts-2016-2020-statewide-report/download" TargetMode="External"/><Relationship Id="rId30" Type="http://schemas.openxmlformats.org/officeDocument/2006/relationships/hyperlink" Target="https://www.mass.gov/doc/staff-report-pdf/download" TargetMode="External"/><Relationship Id="rId105" Type="http://schemas.openxmlformats.org/officeDocument/2006/relationships/hyperlink" Target="https://www.bidmc.org/centers-and-%20departments/cancer-center/about-the-cancer-center" TargetMode="External"/><Relationship Id="rId126" Type="http://schemas.openxmlformats.org/officeDocument/2006/relationships/hyperlink" Target="https://www.mass.gov/doc/responses-to-don-questions-4-pdf-dana-farber-cancer-institute-inc-%20hospitalclinic/download;" TargetMode="External"/><Relationship Id="rId147" Type="http://schemas.openxmlformats.org/officeDocument/2006/relationships/hyperlink" Target="https://www.cms.gov/medicare/payment/prospective-%20payment-systems/acute-inpatient-pps/fy-2022-ipps-final-rule-home-page" TargetMode="External"/><Relationship Id="rId168" Type="http://schemas.openxmlformats.org/officeDocument/2006/relationships/hyperlink" Target="https://www.dana-farber.org/research/departments-centers/medical-oncology/clinical-activities" TargetMode="External"/><Relationship Id="rId312" Type="http://schemas.openxmlformats.org/officeDocument/2006/relationships/hyperlink" Target="https://www.dana-farber.org/research/departments-centers/cancer-care-equity" TargetMode="External"/><Relationship Id="rId333" Type="http://schemas.openxmlformats.org/officeDocument/2006/relationships/hyperlink" Target="https://dfci.widen.net/s/h5lsvvfbw9/financial-assistance-summary.pdf" TargetMode="External"/><Relationship Id="rId51" Type="http://schemas.openxmlformats.org/officeDocument/2006/relationships/hyperlink" Target="https://www.cms.gov/icd10m/version372-fullcode-cms/fullcode_cms/Design_and_development_of_the_Diagnosis_Related_Group_(DRGs).pdf" TargetMode="External"/><Relationship Id="rId72" Type="http://schemas.openxmlformats.org/officeDocument/2006/relationships/hyperlink" Target="https://www.statnews.com/2025/02/07/nih-slashes-indirect-costs-on-all-grants-to-15-percent-trump/" TargetMode="External"/><Relationship Id="rId93" Type="http://schemas.openxmlformats.org/officeDocument/2006/relationships/hyperlink" Target="https://www.dana-farber.org/about/collaborations" TargetMode="External"/><Relationship Id="rId189" Type="http://schemas.openxmlformats.org/officeDocument/2006/relationships/hyperlink" Target="https://ascopubs.org/doi/pdf/10.1200/JCO.2024.42.16_suppl.11001" TargetMode="External"/><Relationship Id="rId3" Type="http://schemas.openxmlformats.org/officeDocument/2006/relationships/hyperlink" Target="https://nashp.org/state-tracker/state-action-on-%20health-market-oversight-chart/" TargetMode="External"/><Relationship Id="rId214" Type="http://schemas.openxmlformats.org/officeDocument/2006/relationships/hyperlink" Target="https://www.cms.gov/priorities/innovation/innovation-models/radiation-oncology-model" TargetMode="External"/><Relationship Id="rId235" Type="http://schemas.openxmlformats.org/officeDocument/2006/relationships/hyperlink" Target="https://www.mass.gov/doc/responses-to-don-questions-pdf-dana-farber-cancer-institute-inc-hospitalclinic/download" TargetMode="External"/><Relationship Id="rId256" Type="http://schemas.openxmlformats.org/officeDocument/2006/relationships/hyperlink" Target="https://www.mass.gov/doc/cancer-incidence-and-mortality-in-massachusetts-%202016-2020-statewide-report/download" TargetMode="External"/><Relationship Id="rId277" Type="http://schemas.openxmlformats.org/officeDocument/2006/relationships/hyperlink" Target="https://pmc.ncbi.nlm.nih.gov/articles/PMC2711979/pdf/nihms-104105.pdf" TargetMode="External"/><Relationship Id="rId298" Type="http://schemas.openxmlformats.org/officeDocument/2006/relationships/hyperlink" Target="https://www.chiamass.gov/assets/docs/r/hospital-profiles/2022/FY22-Massachusetts-Hospital-Profiles-Databook.xlsx" TargetMode="External"/><Relationship Id="rId116" Type="http://schemas.openxmlformats.org/officeDocument/2006/relationships/hyperlink" Target="https://www.fiercehealthcare.com/providers/dana-farber-beth-israel-deaconess-collaborating-stand-alone-cancer-center" TargetMode="External"/><Relationship Id="rId137" Type="http://schemas.openxmlformats.org/officeDocument/2006/relationships/hyperlink" Target="https://www.dana-farber.org/about/dana-farber-beth-israel-deaconess-cancer-collaboration" TargetMode="External"/><Relationship Id="rId158" Type="http://schemas.openxmlformats.org/officeDocument/2006/relationships/hyperlink" Target="https://www.govinfo.gov/content/pkg/FR-2024-11-27/pdf/2024-25521.pdf" TargetMode="External"/><Relationship Id="rId302" Type="http://schemas.openxmlformats.org/officeDocument/2006/relationships/hyperlink" Target="https://www.dana-farber.org/about/collaborations" TargetMode="External"/><Relationship Id="rId323" Type="http://schemas.openxmlformats.org/officeDocument/2006/relationships/hyperlink" Target="https://www.dana-farber.org/cancer-care/treatment/adult-social-work" TargetMode="External"/><Relationship Id="rId20" Type="http://schemas.openxmlformats.org/officeDocument/2006/relationships/hyperlink" Target="https://www.mass.gov/info-details/dana-farber-cancer-%20institute-inc-hospitalclinic-substantial-capital-expenditure" TargetMode="External"/><Relationship Id="rId41" Type="http://schemas.openxmlformats.org/officeDocument/2006/relationships/hyperlink" Target="http://www.chiamass.gov/case-mix-data/" TargetMode="External"/><Relationship Id="rId62" Type="http://schemas.openxmlformats.org/officeDocument/2006/relationships/hyperlink" Target="https://data.cms.gov/provider-%20data/topics/hospitals/pps-exempt-cancer-hospitals" TargetMode="External"/><Relationship Id="rId83" Type="http://schemas.openxmlformats.org/officeDocument/2006/relationships/hyperlink" Target="https://www.cms.gov/medicare/payment/prospective-payment-systems/acute-inpatient-pps/pps-exempt-cancer-hospitals-pchs" TargetMode="External"/><Relationship Id="rId179" Type="http://schemas.openxmlformats.org/officeDocument/2006/relationships/hyperlink" Target="https://ascopubs.org/doi/10.1200/JCO.2019.37.27_suppl.110" TargetMode="External"/><Relationship Id="rId190" Type="http://schemas.openxmlformats.org/officeDocument/2006/relationships/hyperlink" Target="https://www.bidmc.org/centers-and-departments/social-work/patient-and-family-engagement-%20at-bidmc" TargetMode="External"/><Relationship Id="rId204" Type="http://schemas.openxmlformats.org/officeDocument/2006/relationships/hyperlink" Target="https://www.cms.gov/Medicare/Quality-Initiatives-Patient-Assessment-Instruments/HomeHealthQualityInits/Downloads/ClaimsBasedUtilizationMeasuresSpecifications.pdf" TargetMode="External"/><Relationship Id="rId225" Type="http://schemas.openxmlformats.org/officeDocument/2006/relationships/hyperlink" Target="https://www.milliman.com/en/insight/survival-of-medicare-fee-for-service-%20chemotherapy-patients-by-site-of-care." TargetMode="External"/><Relationship Id="rId246" Type="http://schemas.openxmlformats.org/officeDocument/2006/relationships/hyperlink" Target="https://www.cancer.org/cancer/managing-%20cancer/finding-care/where-to-find-cancer-care/choosing-a-cancer-doctor.html" TargetMode="External"/><Relationship Id="rId267" Type="http://schemas.openxmlformats.org/officeDocument/2006/relationships/hyperlink" Target="https://www.mass.gov/doc/mass-general-brigham-incorporated-mgh-application-form-and-attachments/download" TargetMode="External"/><Relationship Id="rId288" Type="http://schemas.openxmlformats.org/officeDocument/2006/relationships/hyperlink" Target="https://link.springer.com/article/10.1007/s40615-020-00763-1" TargetMode="External"/><Relationship Id="rId106" Type="http://schemas.openxmlformats.org/officeDocument/2006/relationships/hyperlink" Target="https://www.bidmc.org/centers-and-departments/cancer-center/about-the-cancer-center" TargetMode="External"/><Relationship Id="rId127" Type="http://schemas.openxmlformats.org/officeDocument/2006/relationships/hyperlink" Target="https://www.mass.gov/doc/responses-to-don-questions-4-pdf-dana-farber-cancer-institute-inc-hospitalclinic/download" TargetMode="External"/><Relationship Id="rId313" Type="http://schemas.openxmlformats.org/officeDocument/2006/relationships/hyperlink" Target="https://www.dana-farber.org/research/departments-centers/cancer-care-equity" TargetMode="External"/><Relationship Id="rId10" Type="http://schemas.openxmlformats.org/officeDocument/2006/relationships/hyperlink" Target="https://masshpc.gov/sites/default/files/20231024%20HMFP-DFCI-BIDMC%20MCN.pdf." TargetMode="External"/><Relationship Id="rId31" Type="http://schemas.openxmlformats.org/officeDocument/2006/relationships/hyperlink" Target="https://www.mass.gov/files/documents/2017/10/11/105cmr100.pdf" TargetMode="External"/><Relationship Id="rId52" Type="http://schemas.openxmlformats.org/officeDocument/2006/relationships/hyperlink" Target="https://www.cms.gov/icd10m/version372-fullcode-cms/fullcode_cms/Design_and_development_of_the_Diagnosis_Related_Group_(DRGs).pdf" TargetMode="External"/><Relationship Id="rId73" Type="http://schemas.openxmlformats.org/officeDocument/2006/relationships/hyperlink" Target="https://grants.nih.gov/grants/guide/notice-files/NOT-OD-25-068.html" TargetMode="External"/><Relationship Id="rId94" Type="http://schemas.openxmlformats.org/officeDocument/2006/relationships/hyperlink" Target="https://www.childrenshospital.org/centers/cancer-and-blood-disorders-center" TargetMode="External"/><Relationship Id="rId148" Type="http://schemas.openxmlformats.org/officeDocument/2006/relationships/hyperlink" Target="https://www.cms.gov/medicare/payment/prospective-payment-systems/acute-inpatient-pps/fy-2022-ipps-final-rule-home-page" TargetMode="External"/><Relationship Id="rId169" Type="http://schemas.openxmlformats.org/officeDocument/2006/relationships/hyperlink" Target="https://www.nursingworld.org/organizational-programs/magnet/find-a-magnet-organization/" TargetMode="External"/><Relationship Id="rId334" Type="http://schemas.openxmlformats.org/officeDocument/2006/relationships/hyperlink" Target="https://www.bidmc.org/-/media/files/beth-israel-org/patient-and-visitor-%20information/patient-information/bidmc-financial-assistance-pl-summary-english-100120.pdf" TargetMode="External"/><Relationship Id="rId4" Type="http://schemas.openxmlformats.org/officeDocument/2006/relationships/hyperlink" Target="https://nashp.org/state-tracker/state-action-on-health-market-oversight-chart/" TargetMode="External"/><Relationship Id="rId180" Type="http://schemas.openxmlformats.org/officeDocument/2006/relationships/hyperlink" Target="https://www.dana-farber.org/cancer-care/treatment/adult-survivorship-program" TargetMode="External"/><Relationship Id="rId215" Type="http://schemas.openxmlformats.org/officeDocument/2006/relationships/hyperlink" Target="https://www.cms.gov/priorities/innovation/innovation-models/radiation-oncology-model" TargetMode="External"/><Relationship Id="rId236" Type="http://schemas.openxmlformats.org/officeDocument/2006/relationships/hyperlink" Target="https://www.mass.gov/doc/responses-to-don-questions-pdf-dana-farber-cancer-institute-inc-hospitalclinic/download" TargetMode="External"/><Relationship Id="rId257" Type="http://schemas.openxmlformats.org/officeDocument/2006/relationships/hyperlink" Target="https://www.mass.gov/doc/cancer-incidence-and-mortality-in-massachusetts-2016-2020-statewide-report/download" TargetMode="External"/><Relationship Id="rId278" Type="http://schemas.openxmlformats.org/officeDocument/2006/relationships/hyperlink" Target="https://acsjournals.onlinelibrary.wiley.com/doi/epdf/10.3322/caac.21812" TargetMode="External"/><Relationship Id="rId303" Type="http://schemas.openxmlformats.org/officeDocument/2006/relationships/hyperlink" Target="https://www.dana-farber.org/about/collaborations" TargetMode="External"/><Relationship Id="rId42" Type="http://schemas.openxmlformats.org/officeDocument/2006/relationships/hyperlink" Target="http://www.chiamass.gov/ma-apcd/" TargetMode="External"/><Relationship Id="rId84" Type="http://schemas.openxmlformats.org/officeDocument/2006/relationships/hyperlink" Target="https://www.chiamass.gov/assets/docs/r/hospital-profiles/2023/dana-far.pdf" TargetMode="External"/><Relationship Id="rId138" Type="http://schemas.openxmlformats.org/officeDocument/2006/relationships/hyperlink" Target="https://www.dana-farber.org/about/dana-farber-beth-israel-deaconess-cancer-collaboration" TargetMode="External"/><Relationship Id="rId191" Type="http://schemas.openxmlformats.org/officeDocument/2006/relationships/hyperlink" Target="https://www.bidmc.org/centers-and-departments/social-work/patient-and-family-engagement-at-bidmc" TargetMode="External"/><Relationship Id="rId205" Type="http://schemas.openxmlformats.org/officeDocument/2006/relationships/hyperlink" Target="https://www.cms.gov/Medicare/Quality-Initiatives-Patient-Assessment-Instruments/HomeHealthQualityInits/Downloads/ClaimsBasedUtilizationMeasuresSpecifications.pdf" TargetMode="External"/><Relationship Id="rId247" Type="http://schemas.openxmlformats.org/officeDocument/2006/relationships/hyperlink" Target="https://www.cancer.org/cancer/managing-cancer/finding-care/where-to-find-cancer-care/choosing-a-cancer-doctor.html" TargetMode="External"/><Relationship Id="rId107" Type="http://schemas.openxmlformats.org/officeDocument/2006/relationships/hyperlink" Target="https://www.bidmc.org/centers-and-departments/cancer-center/about-the-cancer-center" TargetMode="External"/><Relationship Id="rId289" Type="http://schemas.openxmlformats.org/officeDocument/2006/relationships/hyperlink" Target="https://link.springer.com/article/10.1007/s40615-020-00763-1" TargetMode="External"/><Relationship Id="rId11" Type="http://schemas.openxmlformats.org/officeDocument/2006/relationships/hyperlink" Target="https://masshpc.gov/sites/default/files/20231024%20HMFP-DFCI-BIDMC%20MCN.pdf" TargetMode="External"/><Relationship Id="rId53" Type="http://schemas.openxmlformats.org/officeDocument/2006/relationships/hyperlink" Target="https://www.mass.gov/info-details/dana-farber-%20cancer-institute-inc-hospitalclinic-substantial-capital-expenditure" TargetMode="External"/><Relationship Id="rId149" Type="http://schemas.openxmlformats.org/officeDocument/2006/relationships/hyperlink" Target="https://www.cms.gov/medicare/payment/prospective-payment-systems/acute-inpatient-pps/fy-2022-ipps-final-rule-home-page" TargetMode="External"/><Relationship Id="rId314" Type="http://schemas.openxmlformats.org/officeDocument/2006/relationships/hyperlink" Target="https://www.dana-farber.org/newsroom/news-%20releases/2023/cancer-diagnostic-services-in-a-community-health-center-speed-diagnosis-for-underserved-%20populations." TargetMode="External"/><Relationship Id="rId95" Type="http://schemas.openxmlformats.org/officeDocument/2006/relationships/hyperlink" Target="https://www.childrenshospital.org/centers/cancer-and-blood-disorders-center" TargetMode="External"/><Relationship Id="rId160" Type="http://schemas.openxmlformats.org/officeDocument/2006/relationships/hyperlink" Target="https://www.justice.gov/d9/2023-12/2023%20Merger%20Guidelines.pdf" TargetMode="External"/><Relationship Id="rId216" Type="http://schemas.openxmlformats.org/officeDocument/2006/relationships/hyperlink" Target="https://ratings.leapfroggroup.org/" TargetMode="External"/><Relationship Id="rId258" Type="http://schemas.openxmlformats.org/officeDocument/2006/relationships/hyperlink" Target="https://www.mass.gov/doc/cancer-incidence-and-mortality-in-massachusetts-2016-2020-statewide-report/download" TargetMode="External"/><Relationship Id="rId22" Type="http://schemas.openxmlformats.org/officeDocument/2006/relationships/hyperlink" Target="https://www.mass.gov/info-details/dana-farber-cancer-institute-inc-hospitalclinic-substantial-capital-expenditure" TargetMode="External"/><Relationship Id="rId64" Type="http://schemas.openxmlformats.org/officeDocument/2006/relationships/hyperlink" Target="https://data.cms.gov/provider-data/topics/hospitals/pps-exempt-cancer-hospitals" TargetMode="External"/><Relationship Id="rId118" Type="http://schemas.openxmlformats.org/officeDocument/2006/relationships/hyperlink" Target="https://www.joslin.org/about/news-media/important-news-joslin-diabetes-center" TargetMode="External"/><Relationship Id="rId325" Type="http://schemas.openxmlformats.org/officeDocument/2006/relationships/hyperlink" Target="https://www.danafarberbostonchildrens.org/patients-and-families/insurance-and-financial-information" TargetMode="External"/><Relationship Id="rId171" Type="http://schemas.openxmlformats.org/officeDocument/2006/relationships/hyperlink" Target="https://accredited.factglobal.org/state/massachusetts/" TargetMode="External"/><Relationship Id="rId227" Type="http://schemas.openxmlformats.org/officeDocument/2006/relationships/hyperlink" Target="https://www.milliman.com/en/insight/survival-of-medicare-fee-for-service-chemotherapy-patients-by-site-of-care" TargetMode="External"/><Relationship Id="rId269" Type="http://schemas.openxmlformats.org/officeDocument/2006/relationships/hyperlink" Target="https://jamanetwork.com/journals/jamanetworkopen/fullarticle/2794319" TargetMode="External"/><Relationship Id="rId33" Type="http://schemas.openxmlformats.org/officeDocument/2006/relationships/hyperlink" Target="https://masshpc.gov/moat/rpo" TargetMode="External"/><Relationship Id="rId129" Type="http://schemas.openxmlformats.org/officeDocument/2006/relationships/hyperlink" Target="https://www.mass.gov/doc/dana-farber-cancer-institute-responses-to-don-questions-6-%20pdf/download." TargetMode="External"/><Relationship Id="rId280" Type="http://schemas.openxmlformats.org/officeDocument/2006/relationships/hyperlink" Target="https://www.boston.gov/sites/default/files/file/2023/05/HOB_Cancer_2023_FINAL_May11.pdf" TargetMode="External"/><Relationship Id="rId336" Type="http://schemas.openxmlformats.org/officeDocument/2006/relationships/hyperlink" Target="https://www.bidmc.org/-/media/files/beth-israel-org/patient-and-visitor-information/patient-information/bidmc-financial-assistance-pl-summary-english-100120.pdf" TargetMode="External"/><Relationship Id="rId75" Type="http://schemas.openxmlformats.org/officeDocument/2006/relationships/hyperlink" Target="https://www.bostonglobe.com/2025/02/12/business/nih-funding-new-england-harvard-mgh-brigham-%20womens/?p1=BGSearch_Overlay_Results." TargetMode="External"/><Relationship Id="rId140" Type="http://schemas.openxmlformats.org/officeDocument/2006/relationships/hyperlink" Target="https://masshpc.gov/sites/default/files/2023-04/958cmr7.00-technicalbulletin.pdf" TargetMode="External"/><Relationship Id="rId182" Type="http://schemas.openxmlformats.org/officeDocument/2006/relationships/hyperlink" Target="https://www.dana-farber.org/cancer-care/treatment/adult-survivorship-program" TargetMode="External"/><Relationship Id="rId6" Type="http://schemas.openxmlformats.org/officeDocument/2006/relationships/hyperlink" Target="https://masshpc.gov/sites/default/files/20231024%20DFCI-BIDMC-HMFP%20MCN.pdf;" TargetMode="External"/><Relationship Id="rId238" Type="http://schemas.openxmlformats.org/officeDocument/2006/relationships/hyperlink" Target="https://blog.dana-farber.org/insight/2017/01/what-is-an-oncology-hospitalist/" TargetMode="External"/><Relationship Id="rId291" Type="http://schemas.openxmlformats.org/officeDocument/2006/relationships/hyperlink" Target="https://www.kff.org/racial-equity-and-health-policy/issue-brief/racial-disparities-in-cancer-outcomes-screening-and-treatment/" TargetMode="External"/><Relationship Id="rId305" Type="http://schemas.openxmlformats.org/officeDocument/2006/relationships/hyperlink" Target="https://www.dana-farber.org/locations" TargetMode="External"/><Relationship Id="rId44" Type="http://schemas.openxmlformats.org/officeDocument/2006/relationships/hyperlink" Target="https://www.mass.gov/doc/2010-examination-of-health-care-cost-trends-and-cost-drivers-with-%20appendix/download" TargetMode="External"/><Relationship Id="rId86" Type="http://schemas.openxmlformats.org/officeDocument/2006/relationships/hyperlink" Target="https://masshpc.gov/sites/default/files/2023-02/20140303_danafarber-commonwealth_mcn.pdf;" TargetMode="External"/><Relationship Id="rId151" Type="http://schemas.openxmlformats.org/officeDocument/2006/relationships/hyperlink" Target="https://masshpc.gov/sites/default/files/2024%20CTR%20Chartpack.pdf" TargetMode="External"/><Relationship Id="rId193" Type="http://schemas.openxmlformats.org/officeDocument/2006/relationships/hyperlink" Target="https://www.bidmc.org/centers-and-departments/cancer-%20center/cancer-support-services/patient-navigator-services" TargetMode="External"/><Relationship Id="rId207" Type="http://schemas.openxmlformats.org/officeDocument/2006/relationships/hyperlink" Target="https://pmc.ncbi.nlm.nih.gov/articles/PMC6550055/" TargetMode="External"/><Relationship Id="rId249" Type="http://schemas.openxmlformats.org/officeDocument/2006/relationships/hyperlink" Target="https://www.mass.gov/doc/final-cmir-report-beth-%20israel-lahey-health/download." TargetMode="External"/><Relationship Id="rId13" Type="http://schemas.openxmlformats.org/officeDocument/2006/relationships/hyperlink" Target="https://www.mass.gov/doc/project-description-narrative-pdf-dana-farber-cancer-institute-inc-expenditure/download" TargetMode="External"/><Relationship Id="rId109" Type="http://schemas.openxmlformats.org/officeDocument/2006/relationships/hyperlink" Target="https://bilh.org/care-options/specialty-care/cancer" TargetMode="External"/><Relationship Id="rId260" Type="http://schemas.openxmlformats.org/officeDocument/2006/relationships/hyperlink" Target="https://www.mass.gov/doc/responses-to-don-questions-5-pdf-dana-farber-cancer-institute-inc-hospitalclinic/download" TargetMode="External"/><Relationship Id="rId316" Type="http://schemas.openxmlformats.org/officeDocument/2006/relationships/hyperlink" Target="https://www.dana-farber.org/newsroom/news-releases/2023/cancer-diagnostic-services-in-a-community-health-center-speed-diagnosis-for-underserved-populations" TargetMode="External"/><Relationship Id="rId55" Type="http://schemas.openxmlformats.org/officeDocument/2006/relationships/hyperlink" Target="https://www.mass.gov/info-details/dana-farber-cancer-institute-inc-hospitalclinic-substantial-capital-expenditure" TargetMode="External"/><Relationship Id="rId97" Type="http://schemas.openxmlformats.org/officeDocument/2006/relationships/hyperlink" Target="https://masshpc.gov/sites/default/files/2023-02/20210702_bilh_-_joslin_mcn.pdf" TargetMode="External"/><Relationship Id="rId120" Type="http://schemas.openxmlformats.org/officeDocument/2006/relationships/hyperlink" Target="http://www.bostonplans.org/projects/institutional-master-plans/hospitals/dana-farber-cancer-institute" TargetMode="External"/><Relationship Id="rId162" Type="http://schemas.openxmlformats.org/officeDocument/2006/relationships/hyperlink" Target="https://www.mass.gov/doc/2015-cost-trends-report-provider-price-variation/download" TargetMode="External"/><Relationship Id="rId218" Type="http://schemas.openxmlformats.org/officeDocument/2006/relationships/hyperlink" Target="https://qualityindicators.ahrq.gov/Downloads/Software/SAS/V2023/Software_Inst_SASQI_v2023_August_2023.pdf" TargetMode="External"/><Relationship Id="rId271" Type="http://schemas.openxmlformats.org/officeDocument/2006/relationships/hyperlink" Target="https://pmc.ncbi.nlm.nih.gov/articles/PMC4383189/pdf/12885_2015_Article_1228.pdf" TargetMode="External"/><Relationship Id="rId24" Type="http://schemas.openxmlformats.org/officeDocument/2006/relationships/hyperlink" Target="https://www.mass.gov/doc/commonwealth-of-massachusetts-health-policy-commission-pdf-0/download" TargetMode="External"/><Relationship Id="rId66" Type="http://schemas.openxmlformats.org/officeDocument/2006/relationships/hyperlink" Target="https://www.cms.gov/medicare/payment/prospective-payment-systems/acute-inpatient-pps/pps-exempt-cancer-hospitals-pchs" TargetMode="External"/><Relationship Id="rId131" Type="http://schemas.openxmlformats.org/officeDocument/2006/relationships/hyperlink" Target="https://www.mass.gov/doc/dana-farber-cancer-institute-responses-to-don-questions-6-pdf/download" TargetMode="External"/><Relationship Id="rId327" Type="http://schemas.openxmlformats.org/officeDocument/2006/relationships/hyperlink" Target="https://dfci.widen.net/s/vnkspjpgqx/chna-report-approved-9.11.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D6DA0-310F-4446-BF07-06872561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9126</TotalTime>
  <Pages>100</Pages>
  <Words>28153</Words>
  <Characters>160474</Characters>
  <Application>Microsoft Office Word</Application>
  <DocSecurity>0</DocSecurity>
  <Lines>1337</Lines>
  <Paragraphs>376</Paragraphs>
  <ScaleCrop>false</ScaleCrop>
  <Company>Commonwealth of Massachusetts</Company>
  <LinksUpToDate>false</LinksUpToDate>
  <CharactersWithSpaces>188251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442</cp:revision>
  <dcterms:created xsi:type="dcterms:W3CDTF">2025-03-03T13:16:00Z</dcterms:created>
  <dcterms:modified xsi:type="dcterms:W3CDTF">2025-03-11T13:55:00Z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Adobe Acrobat Pro (64-bit) 24.5.20421</vt:lpwstr>
  </property>
  <property fmtid="{D5CDD505-2E9C-101B-9397-08002B2CF9AE}" pid="4" name="LastSaved">
    <vt:filetime>2025-03-03T00:00:00Z</vt:filetime>
  </property>
  <property fmtid="{D5CDD505-2E9C-101B-9397-08002B2CF9AE}" pid="5" name="Producer">
    <vt:lpwstr>Adobe Acrobat Pro (64-bit) 24.5.20421</vt:lpwstr>
  </property>
</Properties>
</file>