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9280" w14:textId="77777777" w:rsidR="00CC7F6A" w:rsidRPr="00801A8E" w:rsidRDefault="00CC7F6A" w:rsidP="00CC7F6A">
      <w:pPr>
        <w:pStyle w:val="TitleAddressWebInfo"/>
      </w:pPr>
      <w:r>
        <w:t>399 Revolution Drive, Suite 675</w:t>
      </w:r>
    </w:p>
    <w:p w14:paraId="18830D06" w14:textId="77777777" w:rsidR="00CC7F6A" w:rsidRPr="00801A8E" w:rsidRDefault="00CC7F6A" w:rsidP="00CC7F6A">
      <w:pPr>
        <w:pStyle w:val="TitleAddressWebInfo"/>
      </w:pPr>
      <w:r>
        <w:t>Somerville, MA 02145</w:t>
      </w:r>
    </w:p>
    <w:p w14:paraId="76974E75" w14:textId="77777777" w:rsidR="00CC7F6A" w:rsidRPr="00CA5E29" w:rsidRDefault="00CC7F6A" w:rsidP="00CC7F6A">
      <w:pPr>
        <w:pStyle w:val="TitleAddressWebInfo"/>
      </w:pPr>
      <w:r w:rsidRPr="00CA5E29">
        <w:t xml:space="preserve">T </w:t>
      </w:r>
      <w:r>
        <w:t>857-282-5151</w:t>
      </w:r>
    </w:p>
    <w:p w14:paraId="25A9CFF3" w14:textId="77777777" w:rsidR="00CC7F6A" w:rsidRPr="00801A8E" w:rsidRDefault="00CC7F6A" w:rsidP="00CC7F6A">
      <w:pPr>
        <w:pStyle w:val="TitleAddressWebInfo"/>
      </w:pPr>
      <w:r w:rsidRPr="00801A8E">
        <w:t xml:space="preserve">M </w:t>
      </w:r>
      <w:r>
        <w:t>781-583-8750</w:t>
      </w:r>
    </w:p>
    <w:p w14:paraId="793EB5C3" w14:textId="563A7FD5" w:rsidR="00CC5E15" w:rsidRPr="00CC7F6A" w:rsidRDefault="00CC7F6A" w:rsidP="00CE0E0F">
      <w:r w:rsidRPr="00801A8E">
        <w:rPr>
          <w:noProof/>
        </w:rPr>
        <w:drawing>
          <wp:anchor distT="0" distB="0" distL="114300" distR="114300" simplePos="0" relativeHeight="251659264" behindDoc="1" locked="1" layoutInCell="1" allowOverlap="1" wp14:anchorId="27814D45" wp14:editId="04CCFFA4">
            <wp:simplePos x="0" y="0"/>
            <wp:positionH relativeFrom="page">
              <wp:posOffset>731520</wp:posOffset>
            </wp:positionH>
            <wp:positionV relativeFrom="page">
              <wp:posOffset>156210</wp:posOffset>
            </wp:positionV>
            <wp:extent cx="2413635" cy="383540"/>
            <wp:effectExtent l="0" t="0" r="0" b="0"/>
            <wp:wrapNone/>
            <wp:docPr id="2" name="Picture 2" descr="Mass General Bri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 General Brigha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635" cy="383540"/>
                    </a:xfrm>
                    <a:prstGeom prst="rect">
                      <a:avLst/>
                    </a:prstGeom>
                  </pic:spPr>
                </pic:pic>
              </a:graphicData>
            </a:graphic>
            <wp14:sizeRelH relativeFrom="margin">
              <wp14:pctWidth>0</wp14:pctWidth>
            </wp14:sizeRelH>
            <wp14:sizeRelV relativeFrom="margin">
              <wp14:pctHeight>0</wp14:pctHeight>
            </wp14:sizeRelV>
          </wp:anchor>
        </w:drawing>
      </w:r>
      <w:r w:rsidRPr="00CC7F6A">
        <w:t>February 28, 2025</w:t>
      </w:r>
    </w:p>
    <w:p w14:paraId="1B93F03A" w14:textId="77777777" w:rsidR="00CC7F6A" w:rsidRPr="00DD47EE" w:rsidRDefault="00CC7F6A" w:rsidP="00CC7F6A">
      <w:pPr>
        <w:spacing w:after="0" w:line="254" w:lineRule="atLeast"/>
        <w:rPr>
          <w:color w:val="000000"/>
        </w:rPr>
      </w:pPr>
      <w:r w:rsidRPr="00DD47EE">
        <w:rPr>
          <w:color w:val="000000"/>
        </w:rPr>
        <w:t xml:space="preserve">Dennis Renaud, Director </w:t>
      </w:r>
    </w:p>
    <w:p w14:paraId="1573B152" w14:textId="77777777" w:rsidR="00CC7F6A" w:rsidRPr="00DD47EE" w:rsidRDefault="00CC7F6A" w:rsidP="00CC7F6A">
      <w:pPr>
        <w:spacing w:after="0" w:line="254" w:lineRule="atLeast"/>
        <w:rPr>
          <w:color w:val="000000"/>
        </w:rPr>
      </w:pPr>
      <w:r w:rsidRPr="00DD47EE">
        <w:rPr>
          <w:color w:val="000000"/>
        </w:rPr>
        <w:t>Department of Public Health </w:t>
      </w:r>
    </w:p>
    <w:p w14:paraId="12665EE0" w14:textId="77777777" w:rsidR="00CC7F6A" w:rsidRPr="00DD47EE" w:rsidRDefault="00CC7F6A" w:rsidP="00CC7F6A">
      <w:pPr>
        <w:spacing w:after="0" w:line="254" w:lineRule="atLeast"/>
        <w:rPr>
          <w:color w:val="000000"/>
        </w:rPr>
      </w:pPr>
      <w:r w:rsidRPr="00DD47EE">
        <w:rPr>
          <w:color w:val="000000"/>
        </w:rPr>
        <w:t>Determination of Need Program </w:t>
      </w:r>
    </w:p>
    <w:p w14:paraId="7C5260CF" w14:textId="77777777" w:rsidR="00CC7F6A" w:rsidRPr="00DD47EE" w:rsidRDefault="00CC7F6A" w:rsidP="00CC7F6A">
      <w:pPr>
        <w:spacing w:after="0" w:line="254" w:lineRule="atLeast"/>
        <w:rPr>
          <w:color w:val="000000"/>
        </w:rPr>
      </w:pPr>
      <w:r w:rsidRPr="00DD47EE">
        <w:rPr>
          <w:color w:val="000000"/>
        </w:rPr>
        <w:t>67 Forest Street </w:t>
      </w:r>
    </w:p>
    <w:p w14:paraId="7F58D031" w14:textId="77777777" w:rsidR="00CC7F6A" w:rsidRPr="00DD47EE" w:rsidRDefault="00CC7F6A" w:rsidP="00CC7F6A">
      <w:pPr>
        <w:spacing w:after="0" w:line="254" w:lineRule="atLeast"/>
        <w:rPr>
          <w:color w:val="000000"/>
        </w:rPr>
      </w:pPr>
      <w:r w:rsidRPr="00DD47EE">
        <w:rPr>
          <w:color w:val="000000"/>
        </w:rPr>
        <w:t>Marlborough, MA 01752 </w:t>
      </w:r>
    </w:p>
    <w:p w14:paraId="0D37F6B1" w14:textId="77777777" w:rsidR="00CC7F6A" w:rsidRDefault="00CC7F6A" w:rsidP="00CC7F6A"/>
    <w:p w14:paraId="656646C5" w14:textId="7B452DAA" w:rsidR="008B1490" w:rsidRDefault="008B1490">
      <w:r w:rsidRPr="00C95B1F">
        <w:t>Dear Director Renaud,</w:t>
      </w:r>
    </w:p>
    <w:p w14:paraId="14D06824" w14:textId="77777777" w:rsidR="00276270" w:rsidRDefault="00276270"/>
    <w:p w14:paraId="5D33BC08" w14:textId="77777777" w:rsidR="00276270" w:rsidRPr="00C95B1F" w:rsidRDefault="00276270" w:rsidP="00276270">
      <w:r w:rsidRPr="00C95B1F">
        <w:t>Re: Application # DFCI-2304915-HE</w:t>
      </w:r>
      <w:r>
        <w:t xml:space="preserve"> (Application)</w:t>
      </w:r>
    </w:p>
    <w:p w14:paraId="46B05005" w14:textId="77777777" w:rsidR="00276270" w:rsidRPr="00C95B1F" w:rsidRDefault="00276270"/>
    <w:p w14:paraId="1BDD2893" w14:textId="5EC75A0B" w:rsidR="0033592F" w:rsidRDefault="008B1490">
      <w:r w:rsidRPr="00C95B1F">
        <w:t>On behalf of the Mass General Brigham Ten Taxpayer Group</w:t>
      </w:r>
      <w:r w:rsidR="00AD5CF4" w:rsidRPr="00C95B1F">
        <w:t xml:space="preserve"> (MGB)</w:t>
      </w:r>
      <w:r w:rsidRPr="00C95B1F">
        <w:t xml:space="preserve">, we write to provide comments </w:t>
      </w:r>
      <w:r w:rsidR="00737DC1">
        <w:t>with</w:t>
      </w:r>
      <w:r w:rsidR="0033592F">
        <w:t xml:space="preserve"> respect to the Determination of Need (DoN) </w:t>
      </w:r>
      <w:r w:rsidR="00163350">
        <w:t>St</w:t>
      </w:r>
      <w:r w:rsidR="0033592F">
        <w:t xml:space="preserve">aff </w:t>
      </w:r>
      <w:r w:rsidR="00163350">
        <w:t>R</w:t>
      </w:r>
      <w:r w:rsidR="0033592F">
        <w:t>eport issued for the above application</w:t>
      </w:r>
      <w:r w:rsidR="00B10A63">
        <w:t xml:space="preserve"> from Dana Farber Cancer Institute (DFCI)</w:t>
      </w:r>
      <w:r w:rsidR="0033592F">
        <w:t xml:space="preserve">.  For the reasons detailed in this letter, we respectfully ask the Department of Public Health (DPH or the Department), including the Public Health Council (PHC), to </w:t>
      </w:r>
      <w:r w:rsidR="00945A9B">
        <w:t xml:space="preserve">amend the proposed conditions suggested by DoN staff to better </w:t>
      </w:r>
      <w:r w:rsidR="00163350">
        <w:t xml:space="preserve">address the risk the Proposed Project presents to the Commonwealth’s cost containment goals.  </w:t>
      </w:r>
    </w:p>
    <w:p w14:paraId="5E1C2104" w14:textId="04BAAEE2" w:rsidR="00A70B7E" w:rsidRDefault="00A70B7E">
      <w:r>
        <w:t>In making these comments, w</w:t>
      </w:r>
      <w:r w:rsidR="00771381">
        <w:t xml:space="preserve">e </w:t>
      </w:r>
      <w:r w:rsidR="003B3C4F">
        <w:t xml:space="preserve">will not repeat the points we made </w:t>
      </w:r>
      <w:r w:rsidR="00771381">
        <w:t xml:space="preserve">in our comments on the </w:t>
      </w:r>
      <w:r w:rsidR="00590284">
        <w:t>independent cost analysis (</w:t>
      </w:r>
      <w:r w:rsidR="00771381">
        <w:t>ICA</w:t>
      </w:r>
      <w:proofErr w:type="gramStart"/>
      <w:r w:rsidR="00590284">
        <w:t>)</w:t>
      </w:r>
      <w:proofErr w:type="gramEnd"/>
      <w:r w:rsidR="00945A9B">
        <w:t xml:space="preserve"> </w:t>
      </w:r>
      <w:r w:rsidR="003B3C4F">
        <w:t xml:space="preserve">but we </w:t>
      </w:r>
      <w:r w:rsidR="00945A9B">
        <w:t xml:space="preserve">request that the PHC consider </w:t>
      </w:r>
      <w:r w:rsidR="003B3C4F">
        <w:t xml:space="preserve">both those comments and this response </w:t>
      </w:r>
      <w:r w:rsidR="00945A9B">
        <w:t xml:space="preserve">in making its determination.  We </w:t>
      </w:r>
      <w:r w:rsidR="00771381">
        <w:t xml:space="preserve">write now to focus specifically on the </w:t>
      </w:r>
      <w:r w:rsidR="00D35992">
        <w:t>consequences of approving this hospital construction as requested and</w:t>
      </w:r>
      <w:r>
        <w:t xml:space="preserve"> </w:t>
      </w:r>
      <w:r w:rsidR="0040202C">
        <w:t>to</w:t>
      </w:r>
      <w:r w:rsidR="00D35992">
        <w:t xml:space="preserve"> </w:t>
      </w:r>
      <w:r>
        <w:t xml:space="preserve">suggest a condition that may help mitigate the potential damage caused by the Proposed Project. </w:t>
      </w:r>
    </w:p>
    <w:p w14:paraId="033189C3" w14:textId="624244C8" w:rsidR="00D35992" w:rsidRDefault="00804A3F">
      <w:r>
        <w:t xml:space="preserve">In summary, </w:t>
      </w:r>
      <w:r w:rsidR="00D35992">
        <w:t xml:space="preserve">DFCI has not established that its Patient Panel needs a 300-bed cancer hospital, instead relying on the flawed assumption that all patients who receive cancer care at BWH will move to the new hospital.  </w:t>
      </w:r>
      <w:r w:rsidR="00EB33EE">
        <w:t>T</w:t>
      </w:r>
      <w:r w:rsidR="0040202C">
        <w:t>he reality is that</w:t>
      </w:r>
      <w:r w:rsidR="000C531C">
        <w:t xml:space="preserve"> we project</w:t>
      </w:r>
      <w:r w:rsidR="0040202C">
        <w:t xml:space="preserve"> </w:t>
      </w:r>
      <w:r w:rsidR="00D35992">
        <w:t>more than half of the patient volume filling these new beds will come from community hospitals and lower-cost AMCs</w:t>
      </w:r>
      <w:r w:rsidR="00EB33EE">
        <w:t xml:space="preserve">. DFCI’s Proposed Project will </w:t>
      </w:r>
      <w:r w:rsidR="00D35992">
        <w:t xml:space="preserve">destabilize those hospitals, which are currently providing high quality cancer care in their patients’ communities.  </w:t>
      </w:r>
      <w:r w:rsidR="00EB33EE">
        <w:t xml:space="preserve">Further, </w:t>
      </w:r>
      <w:r w:rsidR="00D35992">
        <w:t xml:space="preserve">if built as planned, DFCI’s </w:t>
      </w:r>
      <w:r w:rsidR="00EB33EE">
        <w:t>Proposed Project</w:t>
      </w:r>
      <w:r w:rsidR="00D35992">
        <w:t xml:space="preserve"> will lead to increased healthcare costs, increased labor costs, and financial losses for</w:t>
      </w:r>
      <w:r w:rsidR="000C531C">
        <w:t xml:space="preserve"> other</w:t>
      </w:r>
      <w:r w:rsidR="00D35992">
        <w:t xml:space="preserve"> hospitals</w:t>
      </w:r>
      <w:r w:rsidR="000C531C">
        <w:t xml:space="preserve"> providing cancer care</w:t>
      </w:r>
      <w:r w:rsidR="00D35992">
        <w:t xml:space="preserve">.  </w:t>
      </w:r>
    </w:p>
    <w:p w14:paraId="6456D8C4" w14:textId="12F0BD5C" w:rsidR="00A70B7E" w:rsidRDefault="00A70B7E">
      <w:r>
        <w:rPr>
          <w:u w:val="single"/>
        </w:rPr>
        <w:t xml:space="preserve">DFCI has not established that it needs a 300-bed hospital to meet </w:t>
      </w:r>
      <w:r w:rsidR="00EB33EE">
        <w:rPr>
          <w:u w:val="single"/>
        </w:rPr>
        <w:t xml:space="preserve">the needs of </w:t>
      </w:r>
      <w:r>
        <w:rPr>
          <w:u w:val="single"/>
        </w:rPr>
        <w:t>its Patient Panel.</w:t>
      </w:r>
      <w:r w:rsidR="00771381">
        <w:t xml:space="preserve"> </w:t>
      </w:r>
    </w:p>
    <w:p w14:paraId="7639BFE3" w14:textId="3077E6D2" w:rsidR="00125244" w:rsidRDefault="00771381">
      <w:r>
        <w:t xml:space="preserve">Although DFCI provides several </w:t>
      </w:r>
      <w:r w:rsidR="00945A9B">
        <w:t xml:space="preserve">different </w:t>
      </w:r>
      <w:r>
        <w:t xml:space="preserve">ways to </w:t>
      </w:r>
      <w:r w:rsidR="00945A9B">
        <w:t xml:space="preserve">describe their physicians’ </w:t>
      </w:r>
      <w:r>
        <w:t xml:space="preserve">interactions with patients at BWH, </w:t>
      </w:r>
      <w:r w:rsidR="00A70B7E">
        <w:t xml:space="preserve">none of them </w:t>
      </w:r>
      <w:r>
        <w:t xml:space="preserve">demonstrate </w:t>
      </w:r>
      <w:r w:rsidR="00A371CA">
        <w:t xml:space="preserve">that DFCI needs a 300-bed hospital to meet their needs.  </w:t>
      </w:r>
      <w:r w:rsidR="00EB33EE">
        <w:t>T</w:t>
      </w:r>
      <w:r w:rsidR="00125244">
        <w:t xml:space="preserve">o establish Patient Panel need for a 300-bed hospital, DFCI asserts that </w:t>
      </w:r>
      <w:proofErr w:type="gramStart"/>
      <w:r w:rsidR="00125244">
        <w:t>all of</w:t>
      </w:r>
      <w:proofErr w:type="gramEnd"/>
      <w:r w:rsidR="00125244">
        <w:t xml:space="preserve"> the patients in </w:t>
      </w:r>
      <w:r w:rsidR="00EB33EE">
        <w:t xml:space="preserve">Brigham and Women’s Hospital’s (BWH) </w:t>
      </w:r>
      <w:r w:rsidR="00125244">
        <w:t>beds who are seen by a DFCI attending oncologist are part of DFCI’s Patient Panel and will seek inpatient care at the new hospital.</w:t>
      </w:r>
      <w:r w:rsidR="000C531C">
        <w:rPr>
          <w:rStyle w:val="FootnoteReference"/>
        </w:rPr>
        <w:footnoteReference w:id="2"/>
      </w:r>
      <w:r w:rsidR="00125244">
        <w:t xml:space="preserve">  </w:t>
      </w:r>
    </w:p>
    <w:p w14:paraId="6D1A5DD6" w14:textId="77777777" w:rsidR="00CC7F6A" w:rsidRDefault="00CC7F6A" w:rsidP="00112A47"/>
    <w:p w14:paraId="2A227953" w14:textId="77777777" w:rsidR="00CC7F6A" w:rsidRDefault="00CC7F6A" w:rsidP="00112A47"/>
    <w:p w14:paraId="1BF79337" w14:textId="77777777" w:rsidR="00CC7F6A" w:rsidRDefault="00CC7F6A" w:rsidP="00112A47"/>
    <w:p w14:paraId="45ABEDFB" w14:textId="268D7614" w:rsidR="00CC7F6A" w:rsidRDefault="00125244" w:rsidP="00112A47">
      <w:r>
        <w:t xml:space="preserve">This </w:t>
      </w:r>
      <w:r w:rsidR="00EB33EE">
        <w:t xml:space="preserve">assumption </w:t>
      </w:r>
      <w:r>
        <w:t xml:space="preserve">is not supported by the reality of how patients with cancer are referred to inpatient care when needed.  </w:t>
      </w:r>
      <w:r w:rsidR="0040202C">
        <w:t>T</w:t>
      </w:r>
      <w:r>
        <w:t>he affiliation of a patient’s physician is an important factor in their choice of hospital</w:t>
      </w:r>
      <w:r w:rsidR="00A371CA">
        <w:t>.</w:t>
      </w:r>
      <w:r>
        <w:t xml:space="preserve">  In </w:t>
      </w:r>
    </w:p>
    <w:p w14:paraId="165C11D1" w14:textId="1D46F183" w:rsidR="00112A47" w:rsidRDefault="00125244" w:rsidP="00112A47">
      <w:r>
        <w:t>fact, the most</w:t>
      </w:r>
      <w:r w:rsidR="00B10A63">
        <w:t xml:space="preserve"> </w:t>
      </w:r>
      <w:r>
        <w:t>common</w:t>
      </w:r>
      <w:r w:rsidR="00945A9B">
        <w:t xml:space="preserve"> pathways into the </w:t>
      </w:r>
      <w:r w:rsidR="00A70B7E">
        <w:t>Dana Farber/Brigham and Women’s Hospital Cancer Center (</w:t>
      </w:r>
      <w:r w:rsidR="00E90014">
        <w:t>Cancer Center</w:t>
      </w:r>
      <w:r w:rsidR="00A70B7E">
        <w:t>)</w:t>
      </w:r>
      <w:r w:rsidR="00945A9B">
        <w:t xml:space="preserve"> </w:t>
      </w:r>
      <w:r>
        <w:t xml:space="preserve">start with a referral from a </w:t>
      </w:r>
      <w:r w:rsidR="00945A9B">
        <w:t>primary care provider or specialist</w:t>
      </w:r>
      <w:r>
        <w:t>.</w:t>
      </w:r>
      <w:r w:rsidR="0040202C">
        <w:rPr>
          <w:rStyle w:val="FootnoteReference"/>
        </w:rPr>
        <w:footnoteReference w:id="3"/>
      </w:r>
      <w:r>
        <w:t xml:space="preserve">  </w:t>
      </w:r>
    </w:p>
    <w:p w14:paraId="635A6D89" w14:textId="11451324" w:rsidR="00EB33EE" w:rsidRDefault="00EB33EE" w:rsidP="00EB33EE">
      <w:r>
        <w:t>Further, BWH will continue to provide a full range of cancer care at BWH</w:t>
      </w:r>
      <w:r w:rsidR="00AA6D6C">
        <w:t>.  It is important to note that although DFCI minimizes this, currently</w:t>
      </w:r>
      <w:r w:rsidR="00E90014">
        <w:t xml:space="preserve"> DFCI only provides medical oncology services when needed to BWH inpatients.</w:t>
      </w:r>
      <w:r w:rsidR="000E2544">
        <w:t xml:space="preserve"> </w:t>
      </w:r>
      <w:r w:rsidR="00AA6D6C">
        <w:t xml:space="preserve"> BWH provides all inpatient care to Cancer Center patients other than medical oncology</w:t>
      </w:r>
      <w:r w:rsidR="00E90014">
        <w:t>, including</w:t>
      </w:r>
      <w:r w:rsidR="000E2544">
        <w:t xml:space="preserve"> </w:t>
      </w:r>
      <w:r w:rsidR="00AA6D6C">
        <w:t xml:space="preserve">medical consultation, surgical care, radiation oncology, radiology, pathology, nursing, social work, and more.  </w:t>
      </w:r>
      <w:r>
        <w:t>MGB provides an integrated model of cancer care, that is centered on the needs of the patient</w:t>
      </w:r>
      <w:r w:rsidR="00AA6D6C">
        <w:t xml:space="preserve">.  BWH will add medical oncologists at </w:t>
      </w:r>
      <w:r w:rsidR="00E90014">
        <w:t>BWH</w:t>
      </w:r>
      <w:r w:rsidR="00AA6D6C">
        <w:t xml:space="preserve">, and </w:t>
      </w:r>
      <w:r>
        <w:t>BWH patients who need cancer care will continue to be able to receive all necessary care at BWH or within the MGB system.</w:t>
      </w:r>
      <w:r w:rsidR="00AA6D6C">
        <w:t xml:space="preserve">  </w:t>
      </w:r>
      <w:r>
        <w:t>Therefore, DFCI’s prediction that 100% of the patients at BWH will move to DFCI is overinflated.</w:t>
      </w:r>
    </w:p>
    <w:p w14:paraId="15E4CDDE" w14:textId="3A5F6327" w:rsidR="00112A47" w:rsidRDefault="00112A47" w:rsidP="00112A47">
      <w:r>
        <w:t>As noted in our comments on the ICA, MGB has a primary patient relationship with over 70% of patients seen at</w:t>
      </w:r>
      <w:r w:rsidR="00EF6F94">
        <w:t xml:space="preserve"> the Cancer Center</w:t>
      </w:r>
      <w:r>
        <w:t xml:space="preserve">.  Of those patients, 25% have a primary care relationship with an MGB provider, and the remainder have an MGB primary specialist (over 50% from the following specialties: Cardiology, Urology, Orthopedics, Internal Medicine, Gastroenterology, and Thoracic Surgery).  See Table 1. Due to these relationships, </w:t>
      </w:r>
      <w:r w:rsidR="00AA6D6C">
        <w:t xml:space="preserve">and the integrated </w:t>
      </w:r>
      <w:r w:rsidR="006E424B">
        <w:t xml:space="preserve">model of care at MGB, </w:t>
      </w:r>
      <w:r>
        <w:t>these patients will likely choose to continue to receive their cancer care at an MGB facility</w:t>
      </w:r>
      <w:r w:rsidR="00EF6F94">
        <w:t xml:space="preserve"> and no more than 30% of the BWH patient volume </w:t>
      </w:r>
      <w:r w:rsidR="00E90014">
        <w:t xml:space="preserve">may </w:t>
      </w:r>
      <w:r w:rsidR="00EF6F94">
        <w:t>shift to DFCI</w:t>
      </w:r>
      <w:r w:rsidR="00E90014">
        <w:t>’s proposed 300-bed hospital</w:t>
      </w:r>
      <w:r w:rsidR="00EF6F94">
        <w:t xml:space="preserve">.   </w:t>
      </w:r>
    </w:p>
    <w:p w14:paraId="05BA7519" w14:textId="77777777" w:rsidR="00112A47" w:rsidRDefault="00112A47" w:rsidP="00112A47">
      <w:r>
        <w:t>Table 1</w:t>
      </w:r>
    </w:p>
    <w:p w14:paraId="05113160" w14:textId="1A83E5C7" w:rsidR="006D249D" w:rsidRPr="00001AE0" w:rsidRDefault="00001AE0" w:rsidP="00001AE0">
      <w:pPr>
        <w:shd w:val="clear" w:color="auto" w:fill="00B0F0"/>
        <w:jc w:val="center"/>
        <w:rPr>
          <w:b/>
          <w:bCs/>
          <w:sz w:val="20"/>
          <w:szCs w:val="20"/>
        </w:rPr>
      </w:pPr>
      <w:r w:rsidRPr="00001AE0">
        <w:rPr>
          <w:b/>
          <w:bCs/>
          <w:sz w:val="20"/>
          <w:szCs w:val="20"/>
        </w:rPr>
        <w:t>MGB Primary Relationship for Oncology Patients</w:t>
      </w:r>
    </w:p>
    <w:tbl>
      <w:tblPr>
        <w:tblStyle w:val="TableGrid"/>
        <w:tblW w:w="0" w:type="auto"/>
        <w:tblLook w:val="04A0" w:firstRow="1" w:lastRow="0" w:firstColumn="1" w:lastColumn="0" w:noHBand="0" w:noVBand="1"/>
      </w:tblPr>
      <w:tblGrid>
        <w:gridCol w:w="8545"/>
        <w:gridCol w:w="805"/>
      </w:tblGrid>
      <w:tr w:rsidR="00001AE0" w14:paraId="10024AC2" w14:textId="77777777" w:rsidTr="003C2473">
        <w:trPr>
          <w:cantSplit/>
        </w:trPr>
        <w:tc>
          <w:tcPr>
            <w:tcW w:w="8545" w:type="dxa"/>
          </w:tcPr>
          <w:p w14:paraId="1FCA7222" w14:textId="1EEF169C" w:rsidR="00001AE0" w:rsidRPr="00586025" w:rsidRDefault="00552954">
            <w:pPr>
              <w:rPr>
                <w:sz w:val="20"/>
                <w:szCs w:val="20"/>
              </w:rPr>
            </w:pPr>
            <w:r w:rsidRPr="00586025">
              <w:rPr>
                <w:sz w:val="20"/>
                <w:szCs w:val="20"/>
              </w:rPr>
              <w:t>Total Discharges from BWH FY24 from Oncology, Bone Marrow Transplant, or DFCI beds</w:t>
            </w:r>
          </w:p>
        </w:tc>
        <w:tc>
          <w:tcPr>
            <w:tcW w:w="805" w:type="dxa"/>
            <w:vAlign w:val="bottom"/>
          </w:tcPr>
          <w:p w14:paraId="34893D52" w14:textId="7D1325E7" w:rsidR="00001AE0" w:rsidRPr="00586025" w:rsidRDefault="00552954" w:rsidP="00586025">
            <w:pPr>
              <w:jc w:val="right"/>
              <w:rPr>
                <w:sz w:val="20"/>
                <w:szCs w:val="20"/>
              </w:rPr>
            </w:pPr>
            <w:r w:rsidRPr="00586025">
              <w:rPr>
                <w:sz w:val="20"/>
                <w:szCs w:val="20"/>
              </w:rPr>
              <w:t>7,654</w:t>
            </w:r>
          </w:p>
        </w:tc>
      </w:tr>
      <w:tr w:rsidR="00001AE0" w14:paraId="5455ADAD" w14:textId="77777777" w:rsidTr="003C2473">
        <w:trPr>
          <w:cantSplit/>
        </w:trPr>
        <w:tc>
          <w:tcPr>
            <w:tcW w:w="8545" w:type="dxa"/>
          </w:tcPr>
          <w:p w14:paraId="42FAB165" w14:textId="0DB6AC1F" w:rsidR="00001AE0" w:rsidRPr="00586025" w:rsidRDefault="00552954">
            <w:pPr>
              <w:rPr>
                <w:sz w:val="20"/>
                <w:szCs w:val="20"/>
              </w:rPr>
            </w:pPr>
            <w:r w:rsidRPr="00586025">
              <w:rPr>
                <w:sz w:val="20"/>
                <w:szCs w:val="20"/>
              </w:rPr>
              <w:t>Unique Patients from those discharges</w:t>
            </w:r>
          </w:p>
        </w:tc>
        <w:tc>
          <w:tcPr>
            <w:tcW w:w="805" w:type="dxa"/>
            <w:vAlign w:val="bottom"/>
          </w:tcPr>
          <w:p w14:paraId="26743D05" w14:textId="10A53EC1" w:rsidR="00001AE0" w:rsidRPr="00586025" w:rsidRDefault="00552954" w:rsidP="00586025">
            <w:pPr>
              <w:jc w:val="right"/>
              <w:rPr>
                <w:sz w:val="20"/>
                <w:szCs w:val="20"/>
              </w:rPr>
            </w:pPr>
            <w:r w:rsidRPr="00586025">
              <w:rPr>
                <w:sz w:val="20"/>
                <w:szCs w:val="20"/>
              </w:rPr>
              <w:t>4,659</w:t>
            </w:r>
          </w:p>
        </w:tc>
      </w:tr>
      <w:tr w:rsidR="00001AE0" w14:paraId="30ED902F" w14:textId="77777777" w:rsidTr="003C2473">
        <w:trPr>
          <w:cantSplit/>
        </w:trPr>
        <w:tc>
          <w:tcPr>
            <w:tcW w:w="8545" w:type="dxa"/>
          </w:tcPr>
          <w:p w14:paraId="75F49CE9" w14:textId="6E2FD409" w:rsidR="00001AE0" w:rsidRPr="00586025" w:rsidRDefault="00552954">
            <w:pPr>
              <w:rPr>
                <w:sz w:val="20"/>
                <w:szCs w:val="20"/>
              </w:rPr>
            </w:pPr>
            <w:r w:rsidRPr="00586025">
              <w:rPr>
                <w:sz w:val="20"/>
                <w:szCs w:val="20"/>
              </w:rPr>
              <w:t>Patients with Primary Care Physician in MGB Epic Registration</w:t>
            </w:r>
          </w:p>
        </w:tc>
        <w:tc>
          <w:tcPr>
            <w:tcW w:w="805" w:type="dxa"/>
            <w:vAlign w:val="bottom"/>
          </w:tcPr>
          <w:p w14:paraId="44349965" w14:textId="121DFA2E" w:rsidR="00001AE0" w:rsidRPr="00586025" w:rsidRDefault="00552954" w:rsidP="00586025">
            <w:pPr>
              <w:jc w:val="right"/>
              <w:rPr>
                <w:sz w:val="20"/>
                <w:szCs w:val="20"/>
              </w:rPr>
            </w:pPr>
            <w:r w:rsidRPr="00586025">
              <w:rPr>
                <w:sz w:val="20"/>
                <w:szCs w:val="20"/>
              </w:rPr>
              <w:t>1,149</w:t>
            </w:r>
          </w:p>
        </w:tc>
      </w:tr>
      <w:tr w:rsidR="00001AE0" w14:paraId="7C3DAF9A" w14:textId="77777777" w:rsidTr="003C2473">
        <w:trPr>
          <w:cantSplit/>
        </w:trPr>
        <w:tc>
          <w:tcPr>
            <w:tcW w:w="8545" w:type="dxa"/>
          </w:tcPr>
          <w:p w14:paraId="24C12268" w14:textId="00295562" w:rsidR="00001AE0" w:rsidRPr="00586025" w:rsidRDefault="00552954">
            <w:pPr>
              <w:rPr>
                <w:sz w:val="20"/>
                <w:szCs w:val="20"/>
              </w:rPr>
            </w:pPr>
            <w:r w:rsidRPr="00586025">
              <w:rPr>
                <w:sz w:val="20"/>
                <w:szCs w:val="20"/>
              </w:rPr>
              <w:t>Ratio of Primary Care Patients</w:t>
            </w:r>
          </w:p>
        </w:tc>
        <w:tc>
          <w:tcPr>
            <w:tcW w:w="805" w:type="dxa"/>
            <w:vAlign w:val="bottom"/>
          </w:tcPr>
          <w:p w14:paraId="2051C6A0" w14:textId="3DA45FC3" w:rsidR="00001AE0" w:rsidRPr="00586025" w:rsidRDefault="00552954" w:rsidP="00586025">
            <w:pPr>
              <w:jc w:val="right"/>
              <w:rPr>
                <w:sz w:val="20"/>
                <w:szCs w:val="20"/>
              </w:rPr>
            </w:pPr>
            <w:r w:rsidRPr="00586025">
              <w:rPr>
                <w:sz w:val="20"/>
                <w:szCs w:val="20"/>
              </w:rPr>
              <w:t>25%</w:t>
            </w:r>
          </w:p>
        </w:tc>
      </w:tr>
      <w:tr w:rsidR="00001AE0" w14:paraId="4D7A1B9E" w14:textId="77777777" w:rsidTr="003C2473">
        <w:trPr>
          <w:cantSplit/>
        </w:trPr>
        <w:tc>
          <w:tcPr>
            <w:tcW w:w="8545" w:type="dxa"/>
          </w:tcPr>
          <w:p w14:paraId="6586B216" w14:textId="5A71B7CF" w:rsidR="00001AE0" w:rsidRPr="00586025" w:rsidRDefault="00586025">
            <w:pPr>
              <w:rPr>
                <w:sz w:val="20"/>
                <w:szCs w:val="20"/>
              </w:rPr>
            </w:pPr>
            <w:r w:rsidRPr="00586025">
              <w:rPr>
                <w:sz w:val="20"/>
                <w:szCs w:val="20"/>
              </w:rPr>
              <w:t>Patients with Primary Care OR Specialist with Chronic Care Management</w:t>
            </w:r>
          </w:p>
        </w:tc>
        <w:tc>
          <w:tcPr>
            <w:tcW w:w="805" w:type="dxa"/>
            <w:vAlign w:val="bottom"/>
          </w:tcPr>
          <w:p w14:paraId="7B6ADBAB" w14:textId="5A6E0004" w:rsidR="00001AE0" w:rsidRPr="00586025" w:rsidRDefault="00586025" w:rsidP="00586025">
            <w:pPr>
              <w:jc w:val="right"/>
              <w:rPr>
                <w:sz w:val="20"/>
                <w:szCs w:val="20"/>
              </w:rPr>
            </w:pPr>
            <w:r w:rsidRPr="00586025">
              <w:rPr>
                <w:sz w:val="20"/>
                <w:szCs w:val="20"/>
              </w:rPr>
              <w:t>3,372</w:t>
            </w:r>
          </w:p>
        </w:tc>
      </w:tr>
      <w:tr w:rsidR="00586025" w14:paraId="4D3CBCD4" w14:textId="77777777" w:rsidTr="003C2473">
        <w:trPr>
          <w:cantSplit/>
        </w:trPr>
        <w:tc>
          <w:tcPr>
            <w:tcW w:w="8545" w:type="dxa"/>
          </w:tcPr>
          <w:p w14:paraId="451ECED4" w14:textId="35BE3F6C" w:rsidR="00586025" w:rsidRPr="00586025" w:rsidRDefault="00586025">
            <w:pPr>
              <w:rPr>
                <w:sz w:val="20"/>
                <w:szCs w:val="20"/>
              </w:rPr>
            </w:pPr>
            <w:r w:rsidRPr="00586025">
              <w:rPr>
                <w:sz w:val="20"/>
                <w:szCs w:val="20"/>
              </w:rPr>
              <w:t>Ratio of patients with MGB Physician Care</w:t>
            </w:r>
          </w:p>
        </w:tc>
        <w:tc>
          <w:tcPr>
            <w:tcW w:w="805" w:type="dxa"/>
            <w:vAlign w:val="bottom"/>
          </w:tcPr>
          <w:p w14:paraId="49F16857" w14:textId="586ED78A" w:rsidR="00586025" w:rsidRPr="00586025" w:rsidRDefault="00586025" w:rsidP="00586025">
            <w:pPr>
              <w:jc w:val="right"/>
              <w:rPr>
                <w:sz w:val="20"/>
                <w:szCs w:val="20"/>
              </w:rPr>
            </w:pPr>
            <w:r w:rsidRPr="00586025">
              <w:rPr>
                <w:sz w:val="20"/>
                <w:szCs w:val="20"/>
              </w:rPr>
              <w:t>72%</w:t>
            </w:r>
          </w:p>
        </w:tc>
      </w:tr>
    </w:tbl>
    <w:p w14:paraId="28C2C10C" w14:textId="77777777" w:rsidR="00804A3F" w:rsidRDefault="00804A3F"/>
    <w:p w14:paraId="0A1C95B8" w14:textId="50450968" w:rsidR="0078196E" w:rsidRDefault="00DF753A">
      <w:r>
        <w:t>In order to fill the rest of the beds at the proposed 300-bed hospital</w:t>
      </w:r>
      <w:r w:rsidR="00E90014">
        <w:t>,</w:t>
      </w:r>
      <w:r w:rsidR="00EF6F94">
        <w:t xml:space="preserve"> </w:t>
      </w:r>
      <w:r>
        <w:t xml:space="preserve">some patients </w:t>
      </w:r>
      <w:r w:rsidR="00E90014">
        <w:t>historically cared for at</w:t>
      </w:r>
      <w:r w:rsidR="00590284">
        <w:t xml:space="preserve"> Beth Israel Deaconess Medical Center</w:t>
      </w:r>
      <w:r>
        <w:t xml:space="preserve"> </w:t>
      </w:r>
      <w:r w:rsidR="00590284">
        <w:t>(</w:t>
      </w:r>
      <w:r>
        <w:t>BIDMC</w:t>
      </w:r>
      <w:r w:rsidR="00590284">
        <w:t>)</w:t>
      </w:r>
      <w:r w:rsidR="00E90014">
        <w:t xml:space="preserve"> will shift to the new hospital</w:t>
      </w:r>
      <w:r>
        <w:t xml:space="preserve">, </w:t>
      </w:r>
      <w:r w:rsidR="00E90014">
        <w:t xml:space="preserve">necessitating that </w:t>
      </w:r>
      <w:r>
        <w:t xml:space="preserve">more than half of </w:t>
      </w:r>
      <w:r w:rsidR="00E90014">
        <w:t xml:space="preserve">DFCI’s </w:t>
      </w:r>
      <w:r>
        <w:t>new patients will come</w:t>
      </w:r>
      <w:r w:rsidR="001E03ED">
        <w:t xml:space="preserve"> from other AMCs and community hospitals.  </w:t>
      </w:r>
      <w:r w:rsidR="00125244">
        <w:t>These</w:t>
      </w:r>
      <w:r w:rsidR="001E03ED">
        <w:t xml:space="preserve"> patients are not currently part of DFCI’s Patient Panel</w:t>
      </w:r>
      <w:r w:rsidR="00804A3F">
        <w:t xml:space="preserve"> and should not be included in a calculation of the appropriate number of beds at this new hospital</w:t>
      </w:r>
      <w:r w:rsidR="001E03ED">
        <w:t xml:space="preserve">.   </w:t>
      </w:r>
    </w:p>
    <w:p w14:paraId="7BE71E71" w14:textId="77777777" w:rsidR="00CC7F6A" w:rsidRDefault="0090306E">
      <w:r>
        <w:t xml:space="preserve">The Health Policy Commission (HPC) released its preliminary Cost and Market Impact Review (CMIR) of the Proposed Project on February 27, 2025.  In the CMIR, </w:t>
      </w:r>
      <w:r w:rsidR="006E424B">
        <w:t xml:space="preserve">the HPC </w:t>
      </w:r>
      <w:r>
        <w:t xml:space="preserve">notes that it is difficult to assess the actual need for increased hospital capacity for oncology.  Among the confounding factors, the HPC points </w:t>
      </w:r>
    </w:p>
    <w:p w14:paraId="3229AF11" w14:textId="77777777" w:rsidR="00CC7F6A" w:rsidRDefault="00CC7F6A"/>
    <w:p w14:paraId="734699A8" w14:textId="77777777" w:rsidR="00CC7F6A" w:rsidRDefault="00CC7F6A"/>
    <w:p w14:paraId="0048AE5C" w14:textId="042DFCC4" w:rsidR="00CC7F6A" w:rsidRDefault="0090306E">
      <w:r>
        <w:t>to the limits of their statistical modeling of oncology beds and the</w:t>
      </w:r>
      <w:r w:rsidR="00E90014">
        <w:t xml:space="preserve"> trend </w:t>
      </w:r>
      <w:r w:rsidR="000E2544">
        <w:t>that</w:t>
      </w:r>
      <w:r>
        <w:t xml:space="preserve"> </w:t>
      </w:r>
      <w:r w:rsidR="00E90014">
        <w:t xml:space="preserve">medical </w:t>
      </w:r>
      <w:r>
        <w:t>oncology</w:t>
      </w:r>
      <w:r w:rsidR="00E90014">
        <w:t xml:space="preserve"> care</w:t>
      </w:r>
      <w:r>
        <w:t xml:space="preserve"> </w:t>
      </w:r>
      <w:r w:rsidR="00E90014">
        <w:t xml:space="preserve">can be provided in </w:t>
      </w:r>
      <w:r>
        <w:t xml:space="preserve">outpatient settings.  The HPC also notes that MGB is currently increasing its oncology care </w:t>
      </w:r>
    </w:p>
    <w:p w14:paraId="2F11B88A" w14:textId="5BAB1FEF" w:rsidR="0090306E" w:rsidRDefault="0090306E">
      <w:r>
        <w:t xml:space="preserve">at Massachusetts General Hospital </w:t>
      </w:r>
      <w:r w:rsidR="000C531C">
        <w:t>(MGH)</w:t>
      </w:r>
      <w:r w:rsidR="000E2544">
        <w:t>, based on a 2022 Determination of Need Approval,</w:t>
      </w:r>
      <w:r w:rsidR="000C531C">
        <w:t xml:space="preserve"> </w:t>
      </w:r>
      <w:r>
        <w:t xml:space="preserve">to meet </w:t>
      </w:r>
      <w:r w:rsidR="000E2544">
        <w:t xml:space="preserve">the </w:t>
      </w:r>
      <w:r>
        <w:t xml:space="preserve">demonstrated </w:t>
      </w:r>
      <w:r w:rsidR="000E2544">
        <w:t xml:space="preserve">need of its </w:t>
      </w:r>
      <w:r>
        <w:t>Patient Panel</w:t>
      </w:r>
      <w:r w:rsidR="000E2544">
        <w:t xml:space="preserve">. </w:t>
      </w:r>
      <w:r w:rsidR="000C531C">
        <w:t xml:space="preserve"> </w:t>
      </w:r>
      <w:r>
        <w:t xml:space="preserve">The HPC concludes that it is unclear whether DFCI’s Proposed Project is needed.   See page 69 of the CMIR.  </w:t>
      </w:r>
    </w:p>
    <w:p w14:paraId="5E728EC9" w14:textId="3C251CB1" w:rsidR="0090306E" w:rsidRDefault="0090306E">
      <w:r>
        <w:t xml:space="preserve">Since the HPC is unable to determine whether this project is needed by patients, MGB’s analysis of the patients who are likely to leave BWH for the new DFCI hospital should weigh heavily on the determination of how many beds are </w:t>
      </w:r>
      <w:proofErr w:type="gramStart"/>
      <w:r>
        <w:t>actually needed</w:t>
      </w:r>
      <w:proofErr w:type="gramEnd"/>
      <w:r w:rsidR="00E90014">
        <w:t xml:space="preserve"> at the proposed hospital</w:t>
      </w:r>
      <w:r>
        <w:t>.  Although the Staff Report</w:t>
      </w:r>
      <w:r w:rsidR="00E90014">
        <w:t xml:space="preserve"> heavily</w:t>
      </w:r>
      <w:r>
        <w:t xml:space="preserve"> defers to DFCI’s assertions of need, those assumptions, as discussed, are based on flawed expectations of patient flow.  </w:t>
      </w:r>
    </w:p>
    <w:p w14:paraId="2BF6D004" w14:textId="240E66D0" w:rsidR="000C531C" w:rsidRDefault="001E03ED">
      <w:r>
        <w:t xml:space="preserve">Based on the </w:t>
      </w:r>
      <w:r w:rsidR="0078196E">
        <w:t xml:space="preserve">actual </w:t>
      </w:r>
      <w:r w:rsidR="00E90014">
        <w:t>mechanisms by which</w:t>
      </w:r>
      <w:r w:rsidR="0078196E">
        <w:t xml:space="preserve"> patients</w:t>
      </w:r>
      <w:r w:rsidR="00E90014">
        <w:t xml:space="preserve"> are referred</w:t>
      </w:r>
      <w:r w:rsidR="0078196E">
        <w:t xml:space="preserve"> to a cancer hospital, and the detailed </w:t>
      </w:r>
      <w:r>
        <w:t xml:space="preserve">analysis shared in MGB’s comments on the ICA, the number of beds needed to care for the patients who </w:t>
      </w:r>
      <w:r w:rsidR="0078196E">
        <w:t xml:space="preserve">may </w:t>
      </w:r>
      <w:r>
        <w:t xml:space="preserve">shift from </w:t>
      </w:r>
      <w:r w:rsidR="00DF753A">
        <w:t>BWH</w:t>
      </w:r>
      <w:r>
        <w:t xml:space="preserve"> and BIDMC </w:t>
      </w:r>
      <w:r w:rsidR="00A70B7E">
        <w:t xml:space="preserve">to DFCI </w:t>
      </w:r>
      <w:r>
        <w:t>is 126</w:t>
      </w:r>
      <w:r w:rsidR="00E90014">
        <w:t>, less than half of the proposed number of beds</w:t>
      </w:r>
      <w:r>
        <w:t xml:space="preserve">.  </w:t>
      </w:r>
      <w:r w:rsidR="00E90014">
        <w:t xml:space="preserve">As a result, </w:t>
      </w:r>
      <w:r w:rsidR="00DF753A">
        <w:t>DFCI will</w:t>
      </w:r>
      <w:r w:rsidR="00E90014">
        <w:t xml:space="preserve"> need</w:t>
      </w:r>
      <w:r w:rsidR="00DF753A">
        <w:t xml:space="preserve"> fill the rest of the </w:t>
      </w:r>
      <w:r w:rsidR="00804A3F">
        <w:t xml:space="preserve">proposed 131 </w:t>
      </w:r>
      <w:r w:rsidR="00DF753A">
        <w:t xml:space="preserve">beds </w:t>
      </w:r>
      <w:r w:rsidR="00804A3F">
        <w:t>with patients</w:t>
      </w:r>
      <w:r w:rsidR="005D62F5">
        <w:t xml:space="preserve"> from other sources, specifically</w:t>
      </w:r>
      <w:r w:rsidR="00804A3F">
        <w:t xml:space="preserve"> from </w:t>
      </w:r>
      <w:r w:rsidR="00DF753A">
        <w:t xml:space="preserve">lower-cost hospitals that are currently providing high quality cancer care to their patients.  </w:t>
      </w:r>
    </w:p>
    <w:p w14:paraId="10C2A6AE" w14:textId="77777777" w:rsidR="000E2544" w:rsidRDefault="000E2544"/>
    <w:p w14:paraId="334B02A5" w14:textId="69237815" w:rsidR="008443BB" w:rsidRDefault="001E03ED">
      <w:r>
        <w:t>Table 2</w:t>
      </w:r>
    </w:p>
    <w:p w14:paraId="47EC094D" w14:textId="7782B88F" w:rsidR="008443BB" w:rsidRPr="00A144A0" w:rsidRDefault="00131942">
      <w:pPr>
        <w:rPr>
          <w:b/>
          <w:bCs/>
          <w:sz w:val="18"/>
          <w:szCs w:val="18"/>
        </w:rPr>
      </w:pPr>
      <w:r w:rsidRPr="00131942">
        <w:rPr>
          <w:b/>
          <w:bCs/>
          <w:sz w:val="18"/>
          <w:szCs w:val="18"/>
        </w:rPr>
        <w:t>Med Oncology</w:t>
      </w:r>
    </w:p>
    <w:tbl>
      <w:tblPr>
        <w:tblStyle w:val="TableGrid"/>
        <w:tblW w:w="0" w:type="auto"/>
        <w:tblLook w:val="04A0" w:firstRow="1" w:lastRow="0" w:firstColumn="1" w:lastColumn="0" w:noHBand="0" w:noVBand="1"/>
      </w:tblPr>
      <w:tblGrid>
        <w:gridCol w:w="973"/>
        <w:gridCol w:w="1027"/>
        <w:gridCol w:w="920"/>
        <w:gridCol w:w="920"/>
        <w:gridCol w:w="920"/>
        <w:gridCol w:w="919"/>
        <w:gridCol w:w="919"/>
        <w:gridCol w:w="919"/>
        <w:gridCol w:w="919"/>
        <w:gridCol w:w="919"/>
      </w:tblGrid>
      <w:tr w:rsidR="0095417D" w14:paraId="1A0D0390" w14:textId="77777777" w:rsidTr="00696D9C">
        <w:trPr>
          <w:cantSplit/>
          <w:tblHeader/>
        </w:trPr>
        <w:tc>
          <w:tcPr>
            <w:tcW w:w="923" w:type="dxa"/>
            <w:tcBorders>
              <w:top w:val="nil"/>
              <w:left w:val="nil"/>
              <w:bottom w:val="nil"/>
            </w:tcBorders>
            <w:shd w:val="clear" w:color="auto" w:fill="FFFFFF" w:themeFill="background1"/>
          </w:tcPr>
          <w:p w14:paraId="0E9CD3C0" w14:textId="77777777" w:rsidR="00467346" w:rsidRPr="00C63604" w:rsidRDefault="00467346" w:rsidP="00467346"/>
        </w:tc>
        <w:tc>
          <w:tcPr>
            <w:tcW w:w="1035" w:type="dxa"/>
            <w:tcBorders>
              <w:bottom w:val="nil"/>
              <w:right w:val="nil"/>
            </w:tcBorders>
            <w:shd w:val="clear" w:color="auto" w:fill="FFFFFF" w:themeFill="background1"/>
          </w:tcPr>
          <w:p w14:paraId="187D0E8F" w14:textId="77777777" w:rsidR="00467346" w:rsidRPr="00467346" w:rsidRDefault="00467346" w:rsidP="00467346">
            <w:pPr>
              <w:rPr>
                <w:b/>
                <w:bCs/>
                <w:sz w:val="16"/>
                <w:szCs w:val="16"/>
              </w:rPr>
            </w:pPr>
            <w:r w:rsidRPr="00467346">
              <w:rPr>
                <w:b/>
                <w:bCs/>
                <w:sz w:val="16"/>
                <w:szCs w:val="16"/>
              </w:rPr>
              <w:t>Source Hospitals</w:t>
            </w:r>
          </w:p>
          <w:p w14:paraId="31741B35" w14:textId="5839EC0D" w:rsidR="00467346" w:rsidRPr="00467346" w:rsidRDefault="00467346" w:rsidP="00467346">
            <w:pPr>
              <w:rPr>
                <w:sz w:val="16"/>
                <w:szCs w:val="16"/>
                <w:u w:val="single"/>
              </w:rPr>
            </w:pPr>
            <w:r w:rsidRPr="00467346">
              <w:rPr>
                <w:sz w:val="16"/>
                <w:szCs w:val="16"/>
                <w:u w:val="single"/>
              </w:rPr>
              <w:t>Cases</w:t>
            </w:r>
          </w:p>
        </w:tc>
        <w:tc>
          <w:tcPr>
            <w:tcW w:w="924" w:type="dxa"/>
            <w:tcBorders>
              <w:left w:val="nil"/>
              <w:bottom w:val="nil"/>
              <w:right w:val="nil"/>
            </w:tcBorders>
            <w:shd w:val="clear" w:color="auto" w:fill="FFFFFF" w:themeFill="background1"/>
          </w:tcPr>
          <w:p w14:paraId="727F8F23" w14:textId="77777777" w:rsidR="00467346" w:rsidRPr="00584FE0" w:rsidRDefault="00467346" w:rsidP="00467346">
            <w:pPr>
              <w:rPr>
                <w:b/>
                <w:bCs/>
                <w:sz w:val="16"/>
                <w:szCs w:val="16"/>
              </w:rPr>
            </w:pPr>
            <w:r w:rsidRPr="00584FE0">
              <w:rPr>
                <w:b/>
                <w:bCs/>
                <w:sz w:val="16"/>
                <w:szCs w:val="16"/>
              </w:rPr>
              <w:t>Source Hospitals</w:t>
            </w:r>
          </w:p>
          <w:p w14:paraId="4E448B68" w14:textId="6DFF2533" w:rsidR="00467346" w:rsidRPr="00584FE0" w:rsidRDefault="00467346" w:rsidP="00467346">
            <w:pPr>
              <w:rPr>
                <w:sz w:val="16"/>
                <w:szCs w:val="16"/>
                <w:u w:val="single"/>
              </w:rPr>
            </w:pPr>
            <w:r w:rsidRPr="00584FE0">
              <w:rPr>
                <w:sz w:val="16"/>
                <w:szCs w:val="16"/>
                <w:u w:val="single"/>
              </w:rPr>
              <w:t>Days</w:t>
            </w:r>
          </w:p>
        </w:tc>
        <w:tc>
          <w:tcPr>
            <w:tcW w:w="924" w:type="dxa"/>
            <w:tcBorders>
              <w:left w:val="nil"/>
              <w:bottom w:val="nil"/>
              <w:right w:val="nil"/>
            </w:tcBorders>
            <w:shd w:val="clear" w:color="auto" w:fill="FFFFFF" w:themeFill="background1"/>
          </w:tcPr>
          <w:p w14:paraId="510A8C5E" w14:textId="77777777" w:rsidR="00467346" w:rsidRPr="00584FE0" w:rsidRDefault="00467346" w:rsidP="00467346">
            <w:pPr>
              <w:rPr>
                <w:b/>
                <w:bCs/>
                <w:sz w:val="16"/>
                <w:szCs w:val="16"/>
              </w:rPr>
            </w:pPr>
            <w:r w:rsidRPr="00584FE0">
              <w:rPr>
                <w:b/>
                <w:bCs/>
                <w:sz w:val="16"/>
                <w:szCs w:val="16"/>
              </w:rPr>
              <w:t>Source Hospitals</w:t>
            </w:r>
          </w:p>
          <w:p w14:paraId="36A4F5BD" w14:textId="12D4481E" w:rsidR="00727B4A" w:rsidRPr="00584FE0" w:rsidRDefault="00727B4A" w:rsidP="00467346">
            <w:pPr>
              <w:rPr>
                <w:sz w:val="16"/>
                <w:szCs w:val="16"/>
                <w:u w:val="single"/>
              </w:rPr>
            </w:pPr>
            <w:r w:rsidRPr="00584FE0">
              <w:rPr>
                <w:sz w:val="16"/>
                <w:szCs w:val="16"/>
                <w:u w:val="single"/>
              </w:rPr>
              <w:t>ALOS</w:t>
            </w:r>
          </w:p>
        </w:tc>
        <w:tc>
          <w:tcPr>
            <w:tcW w:w="924" w:type="dxa"/>
            <w:tcBorders>
              <w:left w:val="nil"/>
              <w:bottom w:val="nil"/>
            </w:tcBorders>
            <w:shd w:val="clear" w:color="auto" w:fill="FFFFFF" w:themeFill="background1"/>
          </w:tcPr>
          <w:p w14:paraId="37BA8520" w14:textId="77777777" w:rsidR="00467346" w:rsidRPr="00584FE0" w:rsidRDefault="00467346" w:rsidP="00467346">
            <w:pPr>
              <w:rPr>
                <w:b/>
                <w:bCs/>
                <w:sz w:val="16"/>
                <w:szCs w:val="16"/>
              </w:rPr>
            </w:pPr>
            <w:r w:rsidRPr="00584FE0">
              <w:rPr>
                <w:b/>
                <w:bCs/>
                <w:sz w:val="16"/>
                <w:szCs w:val="16"/>
              </w:rPr>
              <w:t>Source Hospitals</w:t>
            </w:r>
          </w:p>
          <w:p w14:paraId="0FB9EAB3" w14:textId="75363ABA" w:rsidR="00727B4A" w:rsidRPr="00584FE0" w:rsidRDefault="00727B4A" w:rsidP="00467346">
            <w:pPr>
              <w:rPr>
                <w:sz w:val="16"/>
                <w:szCs w:val="16"/>
                <w:u w:val="single"/>
              </w:rPr>
            </w:pPr>
            <w:r w:rsidRPr="00584FE0">
              <w:rPr>
                <w:sz w:val="16"/>
                <w:szCs w:val="16"/>
                <w:u w:val="single"/>
              </w:rPr>
              <w:t>ADC</w:t>
            </w:r>
          </w:p>
        </w:tc>
        <w:tc>
          <w:tcPr>
            <w:tcW w:w="924" w:type="dxa"/>
            <w:tcBorders>
              <w:bottom w:val="nil"/>
              <w:right w:val="nil"/>
            </w:tcBorders>
            <w:shd w:val="clear" w:color="auto" w:fill="FFFFFF" w:themeFill="background1"/>
          </w:tcPr>
          <w:p w14:paraId="323089F3" w14:textId="77777777" w:rsidR="00467346" w:rsidRPr="00C16737" w:rsidRDefault="00C16737" w:rsidP="00467346">
            <w:pPr>
              <w:rPr>
                <w:b/>
                <w:bCs/>
                <w:sz w:val="16"/>
                <w:szCs w:val="16"/>
              </w:rPr>
            </w:pPr>
            <w:r w:rsidRPr="00C16737">
              <w:rPr>
                <w:b/>
                <w:bCs/>
                <w:sz w:val="16"/>
                <w:szCs w:val="16"/>
              </w:rPr>
              <w:t>Scenario</w:t>
            </w:r>
          </w:p>
          <w:p w14:paraId="6A6D9B28" w14:textId="483BBBCD" w:rsidR="00C16737" w:rsidRPr="00C16737" w:rsidRDefault="00C16737" w:rsidP="00467346">
            <w:pPr>
              <w:rPr>
                <w:sz w:val="16"/>
                <w:szCs w:val="16"/>
                <w:u w:val="single"/>
              </w:rPr>
            </w:pPr>
            <w:r w:rsidRPr="00C16737">
              <w:rPr>
                <w:sz w:val="16"/>
                <w:szCs w:val="16"/>
                <w:u w:val="single"/>
              </w:rPr>
              <w:t>% Shift</w:t>
            </w:r>
          </w:p>
        </w:tc>
        <w:tc>
          <w:tcPr>
            <w:tcW w:w="924" w:type="dxa"/>
            <w:tcBorders>
              <w:left w:val="nil"/>
              <w:bottom w:val="nil"/>
              <w:right w:val="nil"/>
            </w:tcBorders>
            <w:shd w:val="clear" w:color="auto" w:fill="FFFFFF" w:themeFill="background1"/>
          </w:tcPr>
          <w:p w14:paraId="5BD05A0C" w14:textId="77777777" w:rsidR="00467346" w:rsidRPr="00C16737" w:rsidRDefault="00C16737" w:rsidP="00467346">
            <w:pPr>
              <w:rPr>
                <w:b/>
                <w:bCs/>
                <w:sz w:val="16"/>
                <w:szCs w:val="16"/>
              </w:rPr>
            </w:pPr>
            <w:r w:rsidRPr="00C16737">
              <w:rPr>
                <w:b/>
                <w:bCs/>
                <w:sz w:val="16"/>
                <w:szCs w:val="16"/>
              </w:rPr>
              <w:t>Scenario</w:t>
            </w:r>
          </w:p>
          <w:p w14:paraId="09E64E56" w14:textId="7647D254" w:rsidR="00C16737" w:rsidRPr="00C16737" w:rsidRDefault="00C16737" w:rsidP="00467346">
            <w:pPr>
              <w:rPr>
                <w:sz w:val="16"/>
                <w:szCs w:val="16"/>
                <w:u w:val="single"/>
              </w:rPr>
            </w:pPr>
            <w:r w:rsidRPr="00C16737">
              <w:rPr>
                <w:sz w:val="16"/>
                <w:szCs w:val="16"/>
                <w:u w:val="single"/>
              </w:rPr>
              <w:t>Cases</w:t>
            </w:r>
          </w:p>
        </w:tc>
        <w:tc>
          <w:tcPr>
            <w:tcW w:w="924" w:type="dxa"/>
            <w:tcBorders>
              <w:left w:val="nil"/>
              <w:bottom w:val="nil"/>
              <w:right w:val="nil"/>
            </w:tcBorders>
            <w:shd w:val="clear" w:color="auto" w:fill="FFFFFF" w:themeFill="background1"/>
          </w:tcPr>
          <w:p w14:paraId="7139C048" w14:textId="77777777" w:rsidR="00467346" w:rsidRPr="00C16737" w:rsidRDefault="00C16737" w:rsidP="00467346">
            <w:pPr>
              <w:rPr>
                <w:b/>
                <w:bCs/>
                <w:sz w:val="16"/>
                <w:szCs w:val="16"/>
              </w:rPr>
            </w:pPr>
            <w:r w:rsidRPr="00C16737">
              <w:rPr>
                <w:b/>
                <w:bCs/>
                <w:sz w:val="16"/>
                <w:szCs w:val="16"/>
              </w:rPr>
              <w:t>Scenario</w:t>
            </w:r>
          </w:p>
          <w:p w14:paraId="71742F25" w14:textId="415E4B18" w:rsidR="00C16737" w:rsidRPr="00C16737" w:rsidRDefault="00C16737" w:rsidP="00467346">
            <w:pPr>
              <w:rPr>
                <w:sz w:val="16"/>
                <w:szCs w:val="16"/>
                <w:u w:val="single"/>
              </w:rPr>
            </w:pPr>
            <w:r w:rsidRPr="00C16737">
              <w:rPr>
                <w:sz w:val="16"/>
                <w:szCs w:val="16"/>
                <w:u w:val="single"/>
              </w:rPr>
              <w:t>Days</w:t>
            </w:r>
          </w:p>
        </w:tc>
        <w:tc>
          <w:tcPr>
            <w:tcW w:w="924" w:type="dxa"/>
            <w:tcBorders>
              <w:left w:val="nil"/>
              <w:bottom w:val="nil"/>
              <w:right w:val="nil"/>
            </w:tcBorders>
            <w:shd w:val="clear" w:color="auto" w:fill="FFFFFF" w:themeFill="background1"/>
          </w:tcPr>
          <w:p w14:paraId="280EA2D3" w14:textId="77777777" w:rsidR="00467346" w:rsidRPr="00C16737" w:rsidRDefault="00C16737" w:rsidP="00467346">
            <w:pPr>
              <w:rPr>
                <w:b/>
                <w:bCs/>
                <w:sz w:val="16"/>
                <w:szCs w:val="16"/>
              </w:rPr>
            </w:pPr>
            <w:r w:rsidRPr="00C16737">
              <w:rPr>
                <w:b/>
                <w:bCs/>
                <w:sz w:val="16"/>
                <w:szCs w:val="16"/>
              </w:rPr>
              <w:t>Scenario</w:t>
            </w:r>
          </w:p>
          <w:p w14:paraId="11419654" w14:textId="0E701F79" w:rsidR="00C16737" w:rsidRPr="00C16737" w:rsidRDefault="00C16737" w:rsidP="00467346">
            <w:pPr>
              <w:rPr>
                <w:sz w:val="16"/>
                <w:szCs w:val="16"/>
                <w:u w:val="single"/>
              </w:rPr>
            </w:pPr>
            <w:r w:rsidRPr="00C16737">
              <w:rPr>
                <w:sz w:val="16"/>
                <w:szCs w:val="16"/>
                <w:u w:val="single"/>
              </w:rPr>
              <w:t>ALOS</w:t>
            </w:r>
          </w:p>
        </w:tc>
        <w:tc>
          <w:tcPr>
            <w:tcW w:w="924" w:type="dxa"/>
            <w:tcBorders>
              <w:left w:val="nil"/>
              <w:bottom w:val="nil"/>
            </w:tcBorders>
            <w:shd w:val="clear" w:color="auto" w:fill="FFFFFF" w:themeFill="background1"/>
          </w:tcPr>
          <w:p w14:paraId="066A0BA2" w14:textId="77777777" w:rsidR="00467346" w:rsidRPr="00C16737" w:rsidRDefault="00C16737" w:rsidP="00467346">
            <w:pPr>
              <w:rPr>
                <w:b/>
                <w:bCs/>
                <w:sz w:val="16"/>
                <w:szCs w:val="16"/>
              </w:rPr>
            </w:pPr>
            <w:r w:rsidRPr="00C16737">
              <w:rPr>
                <w:b/>
                <w:bCs/>
                <w:sz w:val="16"/>
                <w:szCs w:val="16"/>
              </w:rPr>
              <w:t>Scenario</w:t>
            </w:r>
          </w:p>
          <w:p w14:paraId="1C30DFF9" w14:textId="0727E9DD" w:rsidR="00C16737" w:rsidRPr="00C16737" w:rsidRDefault="00C16737" w:rsidP="00467346">
            <w:pPr>
              <w:rPr>
                <w:sz w:val="16"/>
                <w:szCs w:val="16"/>
                <w:u w:val="single"/>
              </w:rPr>
            </w:pPr>
            <w:r w:rsidRPr="00C16737">
              <w:rPr>
                <w:sz w:val="16"/>
                <w:szCs w:val="16"/>
                <w:u w:val="single"/>
              </w:rPr>
              <w:t>ADC</w:t>
            </w:r>
          </w:p>
        </w:tc>
      </w:tr>
      <w:tr w:rsidR="00696D9C" w14:paraId="5879EAC0" w14:textId="77777777" w:rsidTr="00A144A0">
        <w:trPr>
          <w:cantSplit/>
        </w:trPr>
        <w:tc>
          <w:tcPr>
            <w:tcW w:w="923" w:type="dxa"/>
            <w:tcBorders>
              <w:top w:val="nil"/>
              <w:left w:val="nil"/>
              <w:bottom w:val="nil"/>
            </w:tcBorders>
            <w:shd w:val="clear" w:color="auto" w:fill="FFFF00"/>
          </w:tcPr>
          <w:p w14:paraId="004E7652" w14:textId="527B1EF3" w:rsidR="00021A1B" w:rsidRPr="009A1B1F" w:rsidRDefault="00800CF0" w:rsidP="008443BB">
            <w:pPr>
              <w:rPr>
                <w:sz w:val="16"/>
                <w:szCs w:val="16"/>
              </w:rPr>
            </w:pPr>
            <w:r w:rsidRPr="009A1B1F">
              <w:rPr>
                <w:sz w:val="16"/>
                <w:szCs w:val="16"/>
              </w:rPr>
              <w:t>MGH</w:t>
            </w:r>
          </w:p>
        </w:tc>
        <w:tc>
          <w:tcPr>
            <w:tcW w:w="1035" w:type="dxa"/>
            <w:tcBorders>
              <w:top w:val="nil"/>
              <w:bottom w:val="nil"/>
              <w:right w:val="nil"/>
            </w:tcBorders>
            <w:shd w:val="clear" w:color="auto" w:fill="FFFF00"/>
            <w:vAlign w:val="bottom"/>
          </w:tcPr>
          <w:p w14:paraId="5D1DD472" w14:textId="2BE2AED0" w:rsidR="00021A1B" w:rsidRPr="009A1B1F" w:rsidRDefault="008D3706" w:rsidP="0014305A">
            <w:pPr>
              <w:jc w:val="right"/>
              <w:rPr>
                <w:sz w:val="16"/>
                <w:szCs w:val="16"/>
              </w:rPr>
            </w:pPr>
            <w:r w:rsidRPr="009A1B1F">
              <w:rPr>
                <w:sz w:val="16"/>
                <w:szCs w:val="16"/>
              </w:rPr>
              <w:t>4,248</w:t>
            </w:r>
          </w:p>
        </w:tc>
        <w:tc>
          <w:tcPr>
            <w:tcW w:w="924" w:type="dxa"/>
            <w:tcBorders>
              <w:top w:val="nil"/>
              <w:left w:val="nil"/>
              <w:bottom w:val="nil"/>
              <w:right w:val="nil"/>
            </w:tcBorders>
            <w:shd w:val="clear" w:color="auto" w:fill="FFFF00"/>
            <w:vAlign w:val="bottom"/>
          </w:tcPr>
          <w:p w14:paraId="5C6BFD25" w14:textId="3CCFA9D9" w:rsidR="00021A1B" w:rsidRPr="009A1B1F" w:rsidRDefault="008D3706" w:rsidP="0014305A">
            <w:pPr>
              <w:jc w:val="right"/>
              <w:rPr>
                <w:sz w:val="16"/>
                <w:szCs w:val="16"/>
              </w:rPr>
            </w:pPr>
            <w:r w:rsidRPr="009A1B1F">
              <w:rPr>
                <w:sz w:val="16"/>
                <w:szCs w:val="16"/>
              </w:rPr>
              <w:t>33,460</w:t>
            </w:r>
          </w:p>
        </w:tc>
        <w:tc>
          <w:tcPr>
            <w:tcW w:w="924" w:type="dxa"/>
            <w:tcBorders>
              <w:top w:val="nil"/>
              <w:left w:val="nil"/>
              <w:bottom w:val="nil"/>
              <w:right w:val="nil"/>
            </w:tcBorders>
            <w:shd w:val="clear" w:color="auto" w:fill="FFFF00"/>
            <w:vAlign w:val="bottom"/>
          </w:tcPr>
          <w:p w14:paraId="35DB539A" w14:textId="27C8FC8F" w:rsidR="00021A1B" w:rsidRPr="009A1B1F" w:rsidRDefault="008D3706" w:rsidP="0014305A">
            <w:pPr>
              <w:jc w:val="right"/>
              <w:rPr>
                <w:sz w:val="16"/>
                <w:szCs w:val="16"/>
              </w:rPr>
            </w:pPr>
            <w:r w:rsidRPr="009A1B1F">
              <w:rPr>
                <w:sz w:val="16"/>
                <w:szCs w:val="16"/>
              </w:rPr>
              <w:t>7.88</w:t>
            </w:r>
          </w:p>
        </w:tc>
        <w:tc>
          <w:tcPr>
            <w:tcW w:w="924" w:type="dxa"/>
            <w:tcBorders>
              <w:top w:val="nil"/>
              <w:left w:val="nil"/>
              <w:bottom w:val="nil"/>
            </w:tcBorders>
            <w:shd w:val="clear" w:color="auto" w:fill="FFFF00"/>
            <w:vAlign w:val="bottom"/>
          </w:tcPr>
          <w:p w14:paraId="49272422" w14:textId="30253C81" w:rsidR="00021A1B" w:rsidRPr="009A1B1F" w:rsidRDefault="008D3706" w:rsidP="0014305A">
            <w:pPr>
              <w:jc w:val="right"/>
              <w:rPr>
                <w:sz w:val="16"/>
                <w:szCs w:val="16"/>
              </w:rPr>
            </w:pPr>
            <w:r w:rsidRPr="009A1B1F">
              <w:rPr>
                <w:sz w:val="16"/>
                <w:szCs w:val="16"/>
              </w:rPr>
              <w:t>92</w:t>
            </w:r>
          </w:p>
        </w:tc>
        <w:tc>
          <w:tcPr>
            <w:tcW w:w="924" w:type="dxa"/>
            <w:tcBorders>
              <w:top w:val="nil"/>
              <w:bottom w:val="nil"/>
              <w:right w:val="nil"/>
            </w:tcBorders>
            <w:shd w:val="clear" w:color="auto" w:fill="FFFF00"/>
            <w:vAlign w:val="bottom"/>
          </w:tcPr>
          <w:p w14:paraId="7DA21360" w14:textId="3E4881E4" w:rsidR="00021A1B" w:rsidRPr="009A1B1F" w:rsidRDefault="008D3706" w:rsidP="0014305A">
            <w:pPr>
              <w:jc w:val="right"/>
              <w:rPr>
                <w:sz w:val="16"/>
                <w:szCs w:val="16"/>
              </w:rPr>
            </w:pPr>
            <w:r w:rsidRPr="009A1B1F">
              <w:rPr>
                <w:sz w:val="16"/>
                <w:szCs w:val="16"/>
              </w:rPr>
              <w:t>0.0%</w:t>
            </w:r>
          </w:p>
        </w:tc>
        <w:tc>
          <w:tcPr>
            <w:tcW w:w="924" w:type="dxa"/>
            <w:tcBorders>
              <w:top w:val="nil"/>
              <w:left w:val="nil"/>
              <w:bottom w:val="nil"/>
              <w:right w:val="nil"/>
            </w:tcBorders>
            <w:shd w:val="clear" w:color="auto" w:fill="FFFF00"/>
            <w:vAlign w:val="bottom"/>
          </w:tcPr>
          <w:p w14:paraId="4DCE40B6" w14:textId="7EABD8D2" w:rsidR="00021A1B" w:rsidRPr="009A1B1F" w:rsidRDefault="008D3706" w:rsidP="0014305A">
            <w:pPr>
              <w:jc w:val="right"/>
              <w:rPr>
                <w:sz w:val="16"/>
                <w:szCs w:val="16"/>
              </w:rPr>
            </w:pPr>
            <w:r w:rsidRPr="009A1B1F">
              <w:rPr>
                <w:sz w:val="16"/>
                <w:szCs w:val="16"/>
              </w:rPr>
              <w:t>-</w:t>
            </w:r>
          </w:p>
        </w:tc>
        <w:tc>
          <w:tcPr>
            <w:tcW w:w="924" w:type="dxa"/>
            <w:tcBorders>
              <w:top w:val="nil"/>
              <w:left w:val="nil"/>
              <w:bottom w:val="nil"/>
              <w:right w:val="nil"/>
            </w:tcBorders>
            <w:shd w:val="clear" w:color="auto" w:fill="FFFF00"/>
            <w:vAlign w:val="bottom"/>
          </w:tcPr>
          <w:p w14:paraId="3A2308A6" w14:textId="21A9FE0E" w:rsidR="00021A1B" w:rsidRPr="009A1B1F" w:rsidRDefault="008D3706" w:rsidP="0014305A">
            <w:pPr>
              <w:jc w:val="right"/>
              <w:rPr>
                <w:sz w:val="16"/>
                <w:szCs w:val="16"/>
              </w:rPr>
            </w:pPr>
            <w:r w:rsidRPr="009A1B1F">
              <w:rPr>
                <w:sz w:val="16"/>
                <w:szCs w:val="16"/>
              </w:rPr>
              <w:t>-</w:t>
            </w:r>
          </w:p>
        </w:tc>
        <w:tc>
          <w:tcPr>
            <w:tcW w:w="924" w:type="dxa"/>
            <w:tcBorders>
              <w:top w:val="nil"/>
              <w:left w:val="nil"/>
              <w:bottom w:val="nil"/>
              <w:right w:val="nil"/>
            </w:tcBorders>
            <w:shd w:val="clear" w:color="auto" w:fill="FFFF00"/>
            <w:vAlign w:val="bottom"/>
          </w:tcPr>
          <w:p w14:paraId="6D0F89A4" w14:textId="11842C0A" w:rsidR="00021A1B" w:rsidRPr="009A1B1F" w:rsidRDefault="008D3706" w:rsidP="0014305A">
            <w:pPr>
              <w:jc w:val="right"/>
              <w:rPr>
                <w:sz w:val="16"/>
                <w:szCs w:val="16"/>
              </w:rPr>
            </w:pPr>
            <w:r w:rsidRPr="009A1B1F">
              <w:rPr>
                <w:sz w:val="16"/>
                <w:szCs w:val="16"/>
              </w:rPr>
              <w:t>-</w:t>
            </w:r>
          </w:p>
        </w:tc>
        <w:tc>
          <w:tcPr>
            <w:tcW w:w="924" w:type="dxa"/>
            <w:tcBorders>
              <w:top w:val="nil"/>
              <w:left w:val="nil"/>
              <w:bottom w:val="nil"/>
            </w:tcBorders>
            <w:shd w:val="clear" w:color="auto" w:fill="FFFF00"/>
            <w:vAlign w:val="bottom"/>
          </w:tcPr>
          <w:p w14:paraId="08204168" w14:textId="169A4404" w:rsidR="00021A1B" w:rsidRPr="009A1B1F" w:rsidRDefault="008D3706" w:rsidP="0014305A">
            <w:pPr>
              <w:jc w:val="right"/>
              <w:rPr>
                <w:sz w:val="16"/>
                <w:szCs w:val="16"/>
              </w:rPr>
            </w:pPr>
            <w:r w:rsidRPr="009A1B1F">
              <w:rPr>
                <w:sz w:val="16"/>
                <w:szCs w:val="16"/>
              </w:rPr>
              <w:t>-</w:t>
            </w:r>
          </w:p>
        </w:tc>
      </w:tr>
      <w:tr w:rsidR="00696D9C" w14:paraId="31007015" w14:textId="77777777" w:rsidTr="00A144A0">
        <w:trPr>
          <w:cantSplit/>
        </w:trPr>
        <w:tc>
          <w:tcPr>
            <w:tcW w:w="923" w:type="dxa"/>
            <w:tcBorders>
              <w:top w:val="nil"/>
              <w:left w:val="nil"/>
              <w:bottom w:val="nil"/>
            </w:tcBorders>
            <w:shd w:val="clear" w:color="auto" w:fill="FFFF00"/>
          </w:tcPr>
          <w:p w14:paraId="582FBBE3" w14:textId="2FB11129" w:rsidR="00021A1B" w:rsidRPr="009A1B1F" w:rsidRDefault="00800CF0" w:rsidP="008443BB">
            <w:pPr>
              <w:rPr>
                <w:sz w:val="16"/>
                <w:szCs w:val="16"/>
              </w:rPr>
            </w:pPr>
            <w:r w:rsidRPr="009A1B1F">
              <w:rPr>
                <w:sz w:val="16"/>
                <w:szCs w:val="16"/>
              </w:rPr>
              <w:t>BWH</w:t>
            </w:r>
          </w:p>
        </w:tc>
        <w:tc>
          <w:tcPr>
            <w:tcW w:w="1035" w:type="dxa"/>
            <w:tcBorders>
              <w:top w:val="nil"/>
              <w:bottom w:val="single" w:sz="4" w:space="0" w:color="auto"/>
              <w:right w:val="nil"/>
            </w:tcBorders>
            <w:shd w:val="clear" w:color="auto" w:fill="FFFF00"/>
            <w:vAlign w:val="bottom"/>
          </w:tcPr>
          <w:p w14:paraId="3A47E222" w14:textId="6F69F7F6" w:rsidR="00021A1B" w:rsidRPr="009A1B1F" w:rsidRDefault="00F856E0" w:rsidP="0014305A">
            <w:pPr>
              <w:jc w:val="right"/>
              <w:rPr>
                <w:sz w:val="16"/>
                <w:szCs w:val="16"/>
              </w:rPr>
            </w:pPr>
            <w:r>
              <w:rPr>
                <w:sz w:val="16"/>
                <w:szCs w:val="16"/>
              </w:rPr>
              <w:t>6,373</w:t>
            </w:r>
          </w:p>
        </w:tc>
        <w:tc>
          <w:tcPr>
            <w:tcW w:w="924" w:type="dxa"/>
            <w:tcBorders>
              <w:top w:val="nil"/>
              <w:left w:val="nil"/>
              <w:bottom w:val="single" w:sz="4" w:space="0" w:color="auto"/>
              <w:right w:val="nil"/>
            </w:tcBorders>
            <w:shd w:val="clear" w:color="auto" w:fill="FFFF00"/>
            <w:vAlign w:val="bottom"/>
          </w:tcPr>
          <w:p w14:paraId="72BB170D" w14:textId="15B29A9E" w:rsidR="00021A1B" w:rsidRPr="009A1B1F" w:rsidRDefault="00F856E0" w:rsidP="0014305A">
            <w:pPr>
              <w:jc w:val="right"/>
              <w:rPr>
                <w:sz w:val="16"/>
                <w:szCs w:val="16"/>
              </w:rPr>
            </w:pPr>
            <w:r>
              <w:rPr>
                <w:sz w:val="16"/>
                <w:szCs w:val="16"/>
              </w:rPr>
              <w:t>46,299</w:t>
            </w:r>
          </w:p>
        </w:tc>
        <w:tc>
          <w:tcPr>
            <w:tcW w:w="924" w:type="dxa"/>
            <w:tcBorders>
              <w:top w:val="nil"/>
              <w:left w:val="nil"/>
              <w:bottom w:val="single" w:sz="4" w:space="0" w:color="auto"/>
              <w:right w:val="nil"/>
            </w:tcBorders>
            <w:shd w:val="clear" w:color="auto" w:fill="FFFF00"/>
            <w:vAlign w:val="bottom"/>
          </w:tcPr>
          <w:p w14:paraId="0E7052B9" w14:textId="2BA064D1" w:rsidR="00021A1B" w:rsidRPr="009A1B1F" w:rsidRDefault="00F856E0" w:rsidP="0014305A">
            <w:pPr>
              <w:jc w:val="right"/>
              <w:rPr>
                <w:sz w:val="16"/>
                <w:szCs w:val="16"/>
              </w:rPr>
            </w:pPr>
            <w:r>
              <w:rPr>
                <w:sz w:val="16"/>
                <w:szCs w:val="16"/>
              </w:rPr>
              <w:t>7.26</w:t>
            </w:r>
          </w:p>
        </w:tc>
        <w:tc>
          <w:tcPr>
            <w:tcW w:w="924" w:type="dxa"/>
            <w:tcBorders>
              <w:top w:val="nil"/>
              <w:left w:val="nil"/>
              <w:bottom w:val="single" w:sz="4" w:space="0" w:color="auto"/>
            </w:tcBorders>
            <w:shd w:val="clear" w:color="auto" w:fill="FFFF00"/>
            <w:vAlign w:val="bottom"/>
          </w:tcPr>
          <w:p w14:paraId="1C220C0D" w14:textId="130BCC09" w:rsidR="00021A1B" w:rsidRPr="009A1B1F" w:rsidRDefault="00F856E0" w:rsidP="0014305A">
            <w:pPr>
              <w:jc w:val="right"/>
              <w:rPr>
                <w:sz w:val="16"/>
                <w:szCs w:val="16"/>
              </w:rPr>
            </w:pPr>
            <w:r>
              <w:rPr>
                <w:sz w:val="16"/>
                <w:szCs w:val="16"/>
              </w:rPr>
              <w:t>127</w:t>
            </w:r>
          </w:p>
        </w:tc>
        <w:tc>
          <w:tcPr>
            <w:tcW w:w="924" w:type="dxa"/>
            <w:tcBorders>
              <w:top w:val="nil"/>
              <w:bottom w:val="single" w:sz="4" w:space="0" w:color="auto"/>
              <w:right w:val="nil"/>
            </w:tcBorders>
            <w:shd w:val="clear" w:color="auto" w:fill="FFFF00"/>
            <w:vAlign w:val="bottom"/>
          </w:tcPr>
          <w:p w14:paraId="613510BC" w14:textId="64E1B965" w:rsidR="00021A1B" w:rsidRPr="009A1B1F" w:rsidRDefault="00F856E0" w:rsidP="0014305A">
            <w:pPr>
              <w:jc w:val="right"/>
              <w:rPr>
                <w:sz w:val="16"/>
                <w:szCs w:val="16"/>
              </w:rPr>
            </w:pPr>
            <w:r>
              <w:rPr>
                <w:sz w:val="16"/>
                <w:szCs w:val="16"/>
              </w:rPr>
              <w:t>30.0%</w:t>
            </w:r>
          </w:p>
        </w:tc>
        <w:tc>
          <w:tcPr>
            <w:tcW w:w="924" w:type="dxa"/>
            <w:tcBorders>
              <w:top w:val="nil"/>
              <w:left w:val="nil"/>
              <w:bottom w:val="single" w:sz="4" w:space="0" w:color="auto"/>
              <w:right w:val="nil"/>
            </w:tcBorders>
            <w:shd w:val="clear" w:color="auto" w:fill="FFFF00"/>
            <w:vAlign w:val="bottom"/>
          </w:tcPr>
          <w:p w14:paraId="4BCFD71C" w14:textId="15849FA8" w:rsidR="00021A1B" w:rsidRPr="009A1B1F" w:rsidRDefault="00F856E0" w:rsidP="0014305A">
            <w:pPr>
              <w:jc w:val="right"/>
              <w:rPr>
                <w:sz w:val="16"/>
                <w:szCs w:val="16"/>
              </w:rPr>
            </w:pPr>
            <w:r>
              <w:rPr>
                <w:sz w:val="16"/>
                <w:szCs w:val="16"/>
              </w:rPr>
              <w:t>1,912</w:t>
            </w:r>
          </w:p>
        </w:tc>
        <w:tc>
          <w:tcPr>
            <w:tcW w:w="924" w:type="dxa"/>
            <w:tcBorders>
              <w:top w:val="nil"/>
              <w:left w:val="nil"/>
              <w:bottom w:val="single" w:sz="4" w:space="0" w:color="auto"/>
              <w:right w:val="nil"/>
            </w:tcBorders>
            <w:shd w:val="clear" w:color="auto" w:fill="FFFF00"/>
            <w:vAlign w:val="bottom"/>
          </w:tcPr>
          <w:p w14:paraId="06224692" w14:textId="0DC3220D" w:rsidR="00021A1B" w:rsidRPr="009A1B1F" w:rsidRDefault="00F856E0" w:rsidP="0014305A">
            <w:pPr>
              <w:jc w:val="right"/>
              <w:rPr>
                <w:sz w:val="16"/>
                <w:szCs w:val="16"/>
              </w:rPr>
            </w:pPr>
            <w:r>
              <w:rPr>
                <w:sz w:val="16"/>
                <w:szCs w:val="16"/>
              </w:rPr>
              <w:t>14,357</w:t>
            </w:r>
          </w:p>
        </w:tc>
        <w:tc>
          <w:tcPr>
            <w:tcW w:w="924" w:type="dxa"/>
            <w:tcBorders>
              <w:top w:val="nil"/>
              <w:left w:val="nil"/>
              <w:bottom w:val="single" w:sz="4" w:space="0" w:color="auto"/>
              <w:right w:val="nil"/>
            </w:tcBorders>
            <w:shd w:val="clear" w:color="auto" w:fill="FFFF00"/>
            <w:vAlign w:val="bottom"/>
          </w:tcPr>
          <w:p w14:paraId="6BFA0DD4" w14:textId="08CC328E" w:rsidR="00021A1B" w:rsidRPr="009A1B1F" w:rsidRDefault="00F856E0" w:rsidP="0014305A">
            <w:pPr>
              <w:jc w:val="right"/>
              <w:rPr>
                <w:sz w:val="16"/>
                <w:szCs w:val="16"/>
              </w:rPr>
            </w:pPr>
            <w:r>
              <w:rPr>
                <w:sz w:val="16"/>
                <w:szCs w:val="16"/>
              </w:rPr>
              <w:t>7.51</w:t>
            </w:r>
          </w:p>
        </w:tc>
        <w:tc>
          <w:tcPr>
            <w:tcW w:w="924" w:type="dxa"/>
            <w:tcBorders>
              <w:top w:val="nil"/>
              <w:left w:val="nil"/>
              <w:bottom w:val="single" w:sz="4" w:space="0" w:color="auto"/>
            </w:tcBorders>
            <w:shd w:val="clear" w:color="auto" w:fill="FFFF00"/>
            <w:vAlign w:val="bottom"/>
          </w:tcPr>
          <w:p w14:paraId="72F16018" w14:textId="77C4558B" w:rsidR="00021A1B" w:rsidRPr="009A1B1F" w:rsidRDefault="00F856E0" w:rsidP="0014305A">
            <w:pPr>
              <w:jc w:val="right"/>
              <w:rPr>
                <w:sz w:val="16"/>
                <w:szCs w:val="16"/>
              </w:rPr>
            </w:pPr>
            <w:r>
              <w:rPr>
                <w:sz w:val="16"/>
                <w:szCs w:val="16"/>
              </w:rPr>
              <w:t>39</w:t>
            </w:r>
          </w:p>
        </w:tc>
      </w:tr>
      <w:tr w:rsidR="00696D9C" w14:paraId="41EE1B84" w14:textId="77777777" w:rsidTr="00A144A0">
        <w:trPr>
          <w:cantSplit/>
        </w:trPr>
        <w:tc>
          <w:tcPr>
            <w:tcW w:w="923" w:type="dxa"/>
            <w:tcBorders>
              <w:top w:val="nil"/>
              <w:left w:val="nil"/>
              <w:bottom w:val="nil"/>
            </w:tcBorders>
            <w:shd w:val="clear" w:color="auto" w:fill="FFFF00"/>
          </w:tcPr>
          <w:p w14:paraId="78D896BD" w14:textId="7051BA8E" w:rsidR="00021A1B" w:rsidRPr="009A1B1F" w:rsidRDefault="00800CF0" w:rsidP="008443BB">
            <w:pPr>
              <w:rPr>
                <w:sz w:val="16"/>
                <w:szCs w:val="16"/>
              </w:rPr>
            </w:pPr>
            <w:r w:rsidRPr="009A1B1F">
              <w:rPr>
                <w:sz w:val="16"/>
                <w:szCs w:val="16"/>
              </w:rPr>
              <w:t>MG</w:t>
            </w:r>
            <w:r w:rsidR="001C34C6" w:rsidRPr="009A1B1F">
              <w:rPr>
                <w:sz w:val="16"/>
                <w:szCs w:val="16"/>
              </w:rPr>
              <w:t>B AMCs</w:t>
            </w:r>
          </w:p>
        </w:tc>
        <w:tc>
          <w:tcPr>
            <w:tcW w:w="1035" w:type="dxa"/>
            <w:tcBorders>
              <w:bottom w:val="nil"/>
              <w:right w:val="nil"/>
            </w:tcBorders>
            <w:shd w:val="clear" w:color="auto" w:fill="FFFF00"/>
            <w:vAlign w:val="bottom"/>
          </w:tcPr>
          <w:p w14:paraId="281BCAF2" w14:textId="7CF8247C" w:rsidR="00021A1B" w:rsidRPr="00A500C9" w:rsidRDefault="00212965" w:rsidP="0014305A">
            <w:pPr>
              <w:jc w:val="right"/>
              <w:rPr>
                <w:b/>
                <w:bCs/>
                <w:sz w:val="16"/>
                <w:szCs w:val="16"/>
              </w:rPr>
            </w:pPr>
            <w:r w:rsidRPr="00A500C9">
              <w:rPr>
                <w:b/>
                <w:bCs/>
                <w:sz w:val="16"/>
                <w:szCs w:val="16"/>
              </w:rPr>
              <w:t>10,621</w:t>
            </w:r>
          </w:p>
        </w:tc>
        <w:tc>
          <w:tcPr>
            <w:tcW w:w="924" w:type="dxa"/>
            <w:tcBorders>
              <w:left w:val="nil"/>
              <w:bottom w:val="nil"/>
              <w:right w:val="nil"/>
            </w:tcBorders>
            <w:shd w:val="clear" w:color="auto" w:fill="FFFF00"/>
            <w:vAlign w:val="bottom"/>
          </w:tcPr>
          <w:p w14:paraId="4D456A2C" w14:textId="1421166F" w:rsidR="00021A1B" w:rsidRPr="00A500C9" w:rsidRDefault="00212965" w:rsidP="0014305A">
            <w:pPr>
              <w:jc w:val="right"/>
              <w:rPr>
                <w:b/>
                <w:bCs/>
                <w:sz w:val="16"/>
                <w:szCs w:val="16"/>
              </w:rPr>
            </w:pPr>
            <w:r w:rsidRPr="00A500C9">
              <w:rPr>
                <w:b/>
                <w:bCs/>
                <w:sz w:val="16"/>
                <w:szCs w:val="16"/>
              </w:rPr>
              <w:t>79,759</w:t>
            </w:r>
          </w:p>
        </w:tc>
        <w:tc>
          <w:tcPr>
            <w:tcW w:w="924" w:type="dxa"/>
            <w:tcBorders>
              <w:left w:val="nil"/>
              <w:bottom w:val="nil"/>
              <w:right w:val="nil"/>
            </w:tcBorders>
            <w:shd w:val="clear" w:color="auto" w:fill="FFFF00"/>
            <w:vAlign w:val="bottom"/>
          </w:tcPr>
          <w:p w14:paraId="7B070607" w14:textId="2801D6D8" w:rsidR="00021A1B" w:rsidRPr="00A500C9" w:rsidRDefault="00212965" w:rsidP="0014305A">
            <w:pPr>
              <w:jc w:val="right"/>
              <w:rPr>
                <w:b/>
                <w:bCs/>
                <w:sz w:val="16"/>
                <w:szCs w:val="16"/>
              </w:rPr>
            </w:pPr>
            <w:r w:rsidRPr="00A500C9">
              <w:rPr>
                <w:b/>
                <w:bCs/>
                <w:sz w:val="16"/>
                <w:szCs w:val="16"/>
              </w:rPr>
              <w:t>7.51</w:t>
            </w:r>
          </w:p>
        </w:tc>
        <w:tc>
          <w:tcPr>
            <w:tcW w:w="924" w:type="dxa"/>
            <w:tcBorders>
              <w:left w:val="nil"/>
              <w:bottom w:val="nil"/>
            </w:tcBorders>
            <w:shd w:val="clear" w:color="auto" w:fill="FFFF00"/>
            <w:vAlign w:val="bottom"/>
          </w:tcPr>
          <w:p w14:paraId="183AE5D0" w14:textId="654C1FD2" w:rsidR="00021A1B" w:rsidRPr="00A500C9" w:rsidRDefault="00212965" w:rsidP="0014305A">
            <w:pPr>
              <w:jc w:val="right"/>
              <w:rPr>
                <w:b/>
                <w:bCs/>
                <w:sz w:val="16"/>
                <w:szCs w:val="16"/>
              </w:rPr>
            </w:pPr>
            <w:r w:rsidRPr="00A500C9">
              <w:rPr>
                <w:b/>
                <w:bCs/>
                <w:sz w:val="16"/>
                <w:szCs w:val="16"/>
              </w:rPr>
              <w:t>219</w:t>
            </w:r>
          </w:p>
        </w:tc>
        <w:tc>
          <w:tcPr>
            <w:tcW w:w="924" w:type="dxa"/>
            <w:tcBorders>
              <w:bottom w:val="nil"/>
              <w:right w:val="nil"/>
            </w:tcBorders>
            <w:shd w:val="clear" w:color="auto" w:fill="FFFF00"/>
            <w:vAlign w:val="bottom"/>
          </w:tcPr>
          <w:p w14:paraId="268F2120" w14:textId="056A784D" w:rsidR="00021A1B" w:rsidRPr="00A500C9" w:rsidRDefault="00212965" w:rsidP="0014305A">
            <w:pPr>
              <w:jc w:val="right"/>
              <w:rPr>
                <w:b/>
                <w:bCs/>
                <w:sz w:val="16"/>
                <w:szCs w:val="16"/>
              </w:rPr>
            </w:pPr>
            <w:r w:rsidRPr="00A500C9">
              <w:rPr>
                <w:b/>
                <w:bCs/>
                <w:sz w:val="16"/>
                <w:szCs w:val="16"/>
              </w:rPr>
              <w:t>18.0%</w:t>
            </w:r>
          </w:p>
        </w:tc>
        <w:tc>
          <w:tcPr>
            <w:tcW w:w="924" w:type="dxa"/>
            <w:tcBorders>
              <w:left w:val="nil"/>
              <w:bottom w:val="nil"/>
              <w:right w:val="nil"/>
            </w:tcBorders>
            <w:shd w:val="clear" w:color="auto" w:fill="FFFF00"/>
            <w:vAlign w:val="bottom"/>
          </w:tcPr>
          <w:p w14:paraId="5BF683D1" w14:textId="3D8364B3" w:rsidR="00021A1B" w:rsidRPr="00A500C9" w:rsidRDefault="00212965" w:rsidP="0014305A">
            <w:pPr>
              <w:jc w:val="right"/>
              <w:rPr>
                <w:b/>
                <w:bCs/>
                <w:sz w:val="16"/>
                <w:szCs w:val="16"/>
              </w:rPr>
            </w:pPr>
            <w:r w:rsidRPr="00A500C9">
              <w:rPr>
                <w:b/>
                <w:bCs/>
                <w:sz w:val="16"/>
                <w:szCs w:val="16"/>
              </w:rPr>
              <w:t>1,912</w:t>
            </w:r>
          </w:p>
        </w:tc>
        <w:tc>
          <w:tcPr>
            <w:tcW w:w="924" w:type="dxa"/>
            <w:tcBorders>
              <w:left w:val="nil"/>
              <w:bottom w:val="nil"/>
              <w:right w:val="nil"/>
            </w:tcBorders>
            <w:shd w:val="clear" w:color="auto" w:fill="FFFF00"/>
            <w:vAlign w:val="bottom"/>
          </w:tcPr>
          <w:p w14:paraId="577F37E6" w14:textId="6C9997D3" w:rsidR="00021A1B" w:rsidRPr="00A500C9" w:rsidRDefault="00212965" w:rsidP="0014305A">
            <w:pPr>
              <w:jc w:val="right"/>
              <w:rPr>
                <w:b/>
                <w:bCs/>
                <w:sz w:val="16"/>
                <w:szCs w:val="16"/>
              </w:rPr>
            </w:pPr>
            <w:r w:rsidRPr="00A500C9">
              <w:rPr>
                <w:b/>
                <w:bCs/>
                <w:sz w:val="16"/>
                <w:szCs w:val="16"/>
              </w:rPr>
              <w:t>14,357</w:t>
            </w:r>
          </w:p>
        </w:tc>
        <w:tc>
          <w:tcPr>
            <w:tcW w:w="924" w:type="dxa"/>
            <w:tcBorders>
              <w:left w:val="nil"/>
              <w:bottom w:val="nil"/>
              <w:right w:val="nil"/>
            </w:tcBorders>
            <w:shd w:val="clear" w:color="auto" w:fill="FFFF00"/>
            <w:vAlign w:val="bottom"/>
          </w:tcPr>
          <w:p w14:paraId="4690480C" w14:textId="23394F49" w:rsidR="00021A1B" w:rsidRPr="00A500C9" w:rsidRDefault="00212965" w:rsidP="0014305A">
            <w:pPr>
              <w:jc w:val="right"/>
              <w:rPr>
                <w:b/>
                <w:bCs/>
                <w:sz w:val="16"/>
                <w:szCs w:val="16"/>
              </w:rPr>
            </w:pPr>
            <w:r w:rsidRPr="00A500C9">
              <w:rPr>
                <w:b/>
                <w:bCs/>
                <w:sz w:val="16"/>
                <w:szCs w:val="16"/>
              </w:rPr>
              <w:t>7.51</w:t>
            </w:r>
          </w:p>
        </w:tc>
        <w:tc>
          <w:tcPr>
            <w:tcW w:w="924" w:type="dxa"/>
            <w:tcBorders>
              <w:left w:val="nil"/>
              <w:bottom w:val="nil"/>
            </w:tcBorders>
            <w:shd w:val="clear" w:color="auto" w:fill="FFFF00"/>
            <w:vAlign w:val="bottom"/>
          </w:tcPr>
          <w:p w14:paraId="2828D7DE" w14:textId="60E7FCCB" w:rsidR="00021A1B" w:rsidRPr="00A500C9" w:rsidRDefault="00212965" w:rsidP="0014305A">
            <w:pPr>
              <w:jc w:val="right"/>
              <w:rPr>
                <w:b/>
                <w:bCs/>
                <w:sz w:val="16"/>
                <w:szCs w:val="16"/>
              </w:rPr>
            </w:pPr>
            <w:r w:rsidRPr="00A500C9">
              <w:rPr>
                <w:b/>
                <w:bCs/>
                <w:sz w:val="16"/>
                <w:szCs w:val="16"/>
              </w:rPr>
              <w:t>39</w:t>
            </w:r>
          </w:p>
        </w:tc>
      </w:tr>
      <w:tr w:rsidR="00696D9C" w14:paraId="6C4843ED" w14:textId="77777777" w:rsidTr="00A144A0">
        <w:trPr>
          <w:cantSplit/>
        </w:trPr>
        <w:tc>
          <w:tcPr>
            <w:tcW w:w="923" w:type="dxa"/>
            <w:tcBorders>
              <w:top w:val="nil"/>
              <w:left w:val="nil"/>
              <w:bottom w:val="nil"/>
            </w:tcBorders>
            <w:shd w:val="clear" w:color="auto" w:fill="FFFF00"/>
          </w:tcPr>
          <w:p w14:paraId="66A275CF" w14:textId="5A5EA5C9" w:rsidR="00021A1B" w:rsidRPr="009A1B1F" w:rsidRDefault="001C34C6" w:rsidP="008443BB">
            <w:pPr>
              <w:rPr>
                <w:sz w:val="16"/>
                <w:szCs w:val="16"/>
              </w:rPr>
            </w:pPr>
            <w:r w:rsidRPr="009A1B1F">
              <w:rPr>
                <w:sz w:val="16"/>
                <w:szCs w:val="16"/>
              </w:rPr>
              <w:t>BIDMC</w:t>
            </w:r>
          </w:p>
        </w:tc>
        <w:tc>
          <w:tcPr>
            <w:tcW w:w="1035" w:type="dxa"/>
            <w:tcBorders>
              <w:top w:val="nil"/>
              <w:bottom w:val="nil"/>
              <w:right w:val="nil"/>
            </w:tcBorders>
            <w:shd w:val="clear" w:color="auto" w:fill="FFFF00"/>
            <w:vAlign w:val="bottom"/>
          </w:tcPr>
          <w:p w14:paraId="018E84C2" w14:textId="34CA2818" w:rsidR="00021A1B" w:rsidRPr="009A1B1F" w:rsidRDefault="00CE3F66" w:rsidP="0014305A">
            <w:pPr>
              <w:jc w:val="right"/>
              <w:rPr>
                <w:sz w:val="16"/>
                <w:szCs w:val="16"/>
              </w:rPr>
            </w:pPr>
            <w:r>
              <w:rPr>
                <w:sz w:val="16"/>
                <w:szCs w:val="16"/>
              </w:rPr>
              <w:t>5,310</w:t>
            </w:r>
          </w:p>
        </w:tc>
        <w:tc>
          <w:tcPr>
            <w:tcW w:w="924" w:type="dxa"/>
            <w:tcBorders>
              <w:top w:val="nil"/>
              <w:left w:val="nil"/>
              <w:bottom w:val="nil"/>
              <w:right w:val="nil"/>
            </w:tcBorders>
            <w:shd w:val="clear" w:color="auto" w:fill="FFFF00"/>
            <w:vAlign w:val="bottom"/>
          </w:tcPr>
          <w:p w14:paraId="5387B1EF" w14:textId="4E5AED7A" w:rsidR="00021A1B" w:rsidRPr="009A1B1F" w:rsidRDefault="00CE3F66" w:rsidP="0014305A">
            <w:pPr>
              <w:jc w:val="right"/>
              <w:rPr>
                <w:sz w:val="16"/>
                <w:szCs w:val="16"/>
              </w:rPr>
            </w:pPr>
            <w:r>
              <w:rPr>
                <w:sz w:val="16"/>
                <w:szCs w:val="16"/>
              </w:rPr>
              <w:t>46,889</w:t>
            </w:r>
          </w:p>
        </w:tc>
        <w:tc>
          <w:tcPr>
            <w:tcW w:w="924" w:type="dxa"/>
            <w:tcBorders>
              <w:top w:val="nil"/>
              <w:left w:val="nil"/>
              <w:bottom w:val="nil"/>
              <w:right w:val="nil"/>
            </w:tcBorders>
            <w:shd w:val="clear" w:color="auto" w:fill="FFFF00"/>
            <w:vAlign w:val="bottom"/>
          </w:tcPr>
          <w:p w14:paraId="17C20527" w14:textId="1B7A0E39" w:rsidR="00021A1B" w:rsidRPr="009A1B1F" w:rsidRDefault="00CE3F66" w:rsidP="0014305A">
            <w:pPr>
              <w:jc w:val="right"/>
              <w:rPr>
                <w:sz w:val="16"/>
                <w:szCs w:val="16"/>
              </w:rPr>
            </w:pPr>
            <w:r>
              <w:rPr>
                <w:sz w:val="16"/>
                <w:szCs w:val="16"/>
              </w:rPr>
              <w:t>8.83</w:t>
            </w:r>
          </w:p>
        </w:tc>
        <w:tc>
          <w:tcPr>
            <w:tcW w:w="924" w:type="dxa"/>
            <w:tcBorders>
              <w:top w:val="nil"/>
              <w:left w:val="nil"/>
              <w:bottom w:val="nil"/>
            </w:tcBorders>
            <w:shd w:val="clear" w:color="auto" w:fill="FFFF00"/>
            <w:vAlign w:val="bottom"/>
          </w:tcPr>
          <w:p w14:paraId="0B74BD02" w14:textId="453F5536" w:rsidR="00021A1B" w:rsidRPr="009A1B1F" w:rsidRDefault="00CE3F66" w:rsidP="0014305A">
            <w:pPr>
              <w:jc w:val="right"/>
              <w:rPr>
                <w:sz w:val="16"/>
                <w:szCs w:val="16"/>
              </w:rPr>
            </w:pPr>
            <w:r>
              <w:rPr>
                <w:sz w:val="16"/>
                <w:szCs w:val="16"/>
              </w:rPr>
              <w:t>128</w:t>
            </w:r>
          </w:p>
        </w:tc>
        <w:tc>
          <w:tcPr>
            <w:tcW w:w="924" w:type="dxa"/>
            <w:tcBorders>
              <w:top w:val="nil"/>
              <w:bottom w:val="nil"/>
              <w:right w:val="nil"/>
            </w:tcBorders>
            <w:shd w:val="clear" w:color="auto" w:fill="FFFF00"/>
            <w:vAlign w:val="bottom"/>
          </w:tcPr>
          <w:p w14:paraId="1883BC50" w14:textId="64BDF5A7" w:rsidR="00021A1B" w:rsidRPr="009A1B1F" w:rsidRDefault="00CE3F66" w:rsidP="0014305A">
            <w:pPr>
              <w:jc w:val="right"/>
              <w:rPr>
                <w:sz w:val="16"/>
                <w:szCs w:val="16"/>
              </w:rPr>
            </w:pPr>
            <w:r>
              <w:rPr>
                <w:sz w:val="16"/>
                <w:szCs w:val="16"/>
              </w:rPr>
              <w:t>67.3%</w:t>
            </w:r>
          </w:p>
        </w:tc>
        <w:tc>
          <w:tcPr>
            <w:tcW w:w="924" w:type="dxa"/>
            <w:tcBorders>
              <w:top w:val="nil"/>
              <w:left w:val="nil"/>
              <w:bottom w:val="nil"/>
              <w:right w:val="nil"/>
            </w:tcBorders>
            <w:shd w:val="clear" w:color="auto" w:fill="FFFF00"/>
            <w:vAlign w:val="bottom"/>
          </w:tcPr>
          <w:p w14:paraId="10DC0096" w14:textId="7E34F5A3" w:rsidR="00021A1B" w:rsidRPr="009A1B1F" w:rsidRDefault="00CE3F66" w:rsidP="0014305A">
            <w:pPr>
              <w:jc w:val="right"/>
              <w:rPr>
                <w:sz w:val="16"/>
                <w:szCs w:val="16"/>
              </w:rPr>
            </w:pPr>
            <w:r>
              <w:rPr>
                <w:sz w:val="16"/>
                <w:szCs w:val="16"/>
              </w:rPr>
              <w:t>3,576</w:t>
            </w:r>
          </w:p>
        </w:tc>
        <w:tc>
          <w:tcPr>
            <w:tcW w:w="924" w:type="dxa"/>
            <w:tcBorders>
              <w:top w:val="nil"/>
              <w:left w:val="nil"/>
              <w:bottom w:val="nil"/>
              <w:right w:val="nil"/>
            </w:tcBorders>
            <w:shd w:val="clear" w:color="auto" w:fill="FFFF00"/>
            <w:vAlign w:val="bottom"/>
          </w:tcPr>
          <w:p w14:paraId="094C7A9E" w14:textId="6310F715" w:rsidR="00021A1B" w:rsidRPr="009A1B1F" w:rsidRDefault="00CE3F66" w:rsidP="0014305A">
            <w:pPr>
              <w:jc w:val="right"/>
              <w:rPr>
                <w:sz w:val="16"/>
                <w:szCs w:val="16"/>
              </w:rPr>
            </w:pPr>
            <w:r>
              <w:rPr>
                <w:sz w:val="16"/>
                <w:szCs w:val="16"/>
              </w:rPr>
              <w:t>31,576</w:t>
            </w:r>
          </w:p>
        </w:tc>
        <w:tc>
          <w:tcPr>
            <w:tcW w:w="924" w:type="dxa"/>
            <w:tcBorders>
              <w:top w:val="nil"/>
              <w:left w:val="nil"/>
              <w:bottom w:val="nil"/>
              <w:right w:val="nil"/>
            </w:tcBorders>
            <w:shd w:val="clear" w:color="auto" w:fill="FFFF00"/>
            <w:vAlign w:val="bottom"/>
          </w:tcPr>
          <w:p w14:paraId="5608C3E2" w14:textId="741E7441" w:rsidR="00021A1B" w:rsidRPr="009A1B1F" w:rsidRDefault="00CE3F66" w:rsidP="0014305A">
            <w:pPr>
              <w:jc w:val="right"/>
              <w:rPr>
                <w:sz w:val="16"/>
                <w:szCs w:val="16"/>
              </w:rPr>
            </w:pPr>
            <w:r>
              <w:rPr>
                <w:sz w:val="16"/>
                <w:szCs w:val="16"/>
              </w:rPr>
              <w:t>8.83</w:t>
            </w:r>
          </w:p>
        </w:tc>
        <w:tc>
          <w:tcPr>
            <w:tcW w:w="924" w:type="dxa"/>
            <w:tcBorders>
              <w:top w:val="nil"/>
              <w:left w:val="nil"/>
              <w:bottom w:val="nil"/>
            </w:tcBorders>
            <w:shd w:val="clear" w:color="auto" w:fill="FFFF00"/>
            <w:vAlign w:val="bottom"/>
          </w:tcPr>
          <w:p w14:paraId="294F8FB1" w14:textId="69EAA41F" w:rsidR="00021A1B" w:rsidRPr="009A1B1F" w:rsidRDefault="00CE3F66" w:rsidP="0014305A">
            <w:pPr>
              <w:jc w:val="right"/>
              <w:rPr>
                <w:sz w:val="16"/>
                <w:szCs w:val="16"/>
              </w:rPr>
            </w:pPr>
            <w:r>
              <w:rPr>
                <w:sz w:val="16"/>
                <w:szCs w:val="16"/>
              </w:rPr>
              <w:t>87</w:t>
            </w:r>
            <w:r w:rsidR="00181958">
              <w:rPr>
                <w:sz w:val="16"/>
                <w:szCs w:val="16"/>
              </w:rPr>
              <w:t xml:space="preserve"> </w:t>
            </w:r>
            <w:r w:rsidR="00181958" w:rsidRPr="00181958">
              <w:rPr>
                <w:sz w:val="16"/>
                <w:szCs w:val="16"/>
              </w:rPr>
              <w:sym w:font="Wingdings" w:char="F0E0"/>
            </w:r>
            <w:r w:rsidR="00181958">
              <w:rPr>
                <w:sz w:val="16"/>
                <w:szCs w:val="16"/>
              </w:rPr>
              <w:t>126</w:t>
            </w:r>
          </w:p>
        </w:tc>
      </w:tr>
      <w:tr w:rsidR="00696D9C" w14:paraId="7A9ED521" w14:textId="77777777" w:rsidTr="00696D9C">
        <w:trPr>
          <w:cantSplit/>
        </w:trPr>
        <w:tc>
          <w:tcPr>
            <w:tcW w:w="923" w:type="dxa"/>
            <w:tcBorders>
              <w:top w:val="nil"/>
              <w:left w:val="nil"/>
              <w:bottom w:val="nil"/>
            </w:tcBorders>
            <w:shd w:val="clear" w:color="auto" w:fill="FFFFFF" w:themeFill="background1"/>
          </w:tcPr>
          <w:p w14:paraId="2B62D801" w14:textId="7D8EDAAC" w:rsidR="00021A1B" w:rsidRPr="009A1B1F" w:rsidRDefault="001C34C6" w:rsidP="008443BB">
            <w:pPr>
              <w:rPr>
                <w:sz w:val="16"/>
                <w:szCs w:val="16"/>
              </w:rPr>
            </w:pPr>
            <w:r w:rsidRPr="009A1B1F">
              <w:rPr>
                <w:sz w:val="16"/>
                <w:szCs w:val="16"/>
              </w:rPr>
              <w:t>Other AMCs</w:t>
            </w:r>
          </w:p>
        </w:tc>
        <w:tc>
          <w:tcPr>
            <w:tcW w:w="1035" w:type="dxa"/>
            <w:tcBorders>
              <w:top w:val="nil"/>
              <w:bottom w:val="single" w:sz="4" w:space="0" w:color="auto"/>
              <w:right w:val="nil"/>
            </w:tcBorders>
            <w:shd w:val="clear" w:color="auto" w:fill="FFFFFF" w:themeFill="background1"/>
            <w:vAlign w:val="bottom"/>
          </w:tcPr>
          <w:p w14:paraId="0A05706A" w14:textId="2635BBDA" w:rsidR="00021A1B" w:rsidRPr="009A1B1F" w:rsidRDefault="00DA1F55" w:rsidP="0014305A">
            <w:pPr>
              <w:jc w:val="right"/>
              <w:rPr>
                <w:sz w:val="16"/>
                <w:szCs w:val="16"/>
              </w:rPr>
            </w:pPr>
            <w:r>
              <w:rPr>
                <w:sz w:val="16"/>
                <w:szCs w:val="16"/>
              </w:rPr>
              <w:t>10,973</w:t>
            </w:r>
          </w:p>
        </w:tc>
        <w:tc>
          <w:tcPr>
            <w:tcW w:w="924" w:type="dxa"/>
            <w:tcBorders>
              <w:top w:val="nil"/>
              <w:left w:val="nil"/>
              <w:bottom w:val="single" w:sz="4" w:space="0" w:color="auto"/>
              <w:right w:val="nil"/>
            </w:tcBorders>
            <w:shd w:val="clear" w:color="auto" w:fill="FFFFFF" w:themeFill="background1"/>
            <w:vAlign w:val="bottom"/>
          </w:tcPr>
          <w:p w14:paraId="0DB64204" w14:textId="5DD86D63" w:rsidR="00021A1B" w:rsidRPr="009A1B1F" w:rsidRDefault="00DA1F55" w:rsidP="0014305A">
            <w:pPr>
              <w:jc w:val="right"/>
              <w:rPr>
                <w:sz w:val="16"/>
                <w:szCs w:val="16"/>
              </w:rPr>
            </w:pPr>
            <w:r>
              <w:rPr>
                <w:sz w:val="16"/>
                <w:szCs w:val="16"/>
              </w:rPr>
              <w:t>94,366</w:t>
            </w:r>
          </w:p>
        </w:tc>
        <w:tc>
          <w:tcPr>
            <w:tcW w:w="924" w:type="dxa"/>
            <w:tcBorders>
              <w:top w:val="nil"/>
              <w:left w:val="nil"/>
              <w:bottom w:val="single" w:sz="4" w:space="0" w:color="auto"/>
              <w:right w:val="nil"/>
            </w:tcBorders>
            <w:shd w:val="clear" w:color="auto" w:fill="FFFFFF" w:themeFill="background1"/>
            <w:vAlign w:val="bottom"/>
          </w:tcPr>
          <w:p w14:paraId="240F4D13" w14:textId="2FC6CE35" w:rsidR="00021A1B" w:rsidRPr="009A1B1F" w:rsidRDefault="00DA1F55" w:rsidP="0014305A">
            <w:pPr>
              <w:jc w:val="right"/>
              <w:rPr>
                <w:sz w:val="16"/>
                <w:szCs w:val="16"/>
              </w:rPr>
            </w:pPr>
            <w:r>
              <w:rPr>
                <w:sz w:val="16"/>
                <w:szCs w:val="16"/>
              </w:rPr>
              <w:t>8.60</w:t>
            </w:r>
          </w:p>
        </w:tc>
        <w:tc>
          <w:tcPr>
            <w:tcW w:w="924" w:type="dxa"/>
            <w:tcBorders>
              <w:top w:val="nil"/>
              <w:left w:val="nil"/>
              <w:bottom w:val="single" w:sz="4" w:space="0" w:color="auto"/>
            </w:tcBorders>
            <w:shd w:val="clear" w:color="auto" w:fill="FFFFFF" w:themeFill="background1"/>
            <w:vAlign w:val="bottom"/>
          </w:tcPr>
          <w:p w14:paraId="12B66F4A" w14:textId="5EEE0C83" w:rsidR="00021A1B" w:rsidRPr="009A1B1F" w:rsidRDefault="00DA1F55" w:rsidP="0014305A">
            <w:pPr>
              <w:jc w:val="right"/>
              <w:rPr>
                <w:sz w:val="16"/>
                <w:szCs w:val="16"/>
              </w:rPr>
            </w:pPr>
            <w:r>
              <w:rPr>
                <w:sz w:val="16"/>
                <w:szCs w:val="16"/>
              </w:rPr>
              <w:t>259</w:t>
            </w:r>
          </w:p>
        </w:tc>
        <w:tc>
          <w:tcPr>
            <w:tcW w:w="924" w:type="dxa"/>
            <w:tcBorders>
              <w:top w:val="nil"/>
              <w:bottom w:val="single" w:sz="4" w:space="0" w:color="auto"/>
              <w:right w:val="nil"/>
            </w:tcBorders>
            <w:shd w:val="clear" w:color="auto" w:fill="FFFFFF" w:themeFill="background1"/>
            <w:vAlign w:val="bottom"/>
          </w:tcPr>
          <w:p w14:paraId="7BD835B5" w14:textId="700FDC54" w:rsidR="00021A1B" w:rsidRPr="009A1B1F" w:rsidRDefault="00DA1F55" w:rsidP="0014305A">
            <w:pPr>
              <w:jc w:val="right"/>
              <w:rPr>
                <w:sz w:val="16"/>
                <w:szCs w:val="16"/>
              </w:rPr>
            </w:pPr>
            <w:r>
              <w:rPr>
                <w:sz w:val="16"/>
                <w:szCs w:val="16"/>
              </w:rPr>
              <w:t>50.7%</w:t>
            </w:r>
          </w:p>
        </w:tc>
        <w:tc>
          <w:tcPr>
            <w:tcW w:w="924" w:type="dxa"/>
            <w:tcBorders>
              <w:top w:val="nil"/>
              <w:left w:val="nil"/>
              <w:bottom w:val="single" w:sz="4" w:space="0" w:color="auto"/>
              <w:right w:val="nil"/>
            </w:tcBorders>
            <w:shd w:val="clear" w:color="auto" w:fill="FFFFFF" w:themeFill="background1"/>
            <w:vAlign w:val="bottom"/>
          </w:tcPr>
          <w:p w14:paraId="30915A10" w14:textId="5B21CDAA" w:rsidR="00021A1B" w:rsidRPr="009A1B1F" w:rsidRDefault="001727B9" w:rsidP="0014305A">
            <w:pPr>
              <w:jc w:val="right"/>
              <w:rPr>
                <w:sz w:val="16"/>
                <w:szCs w:val="16"/>
              </w:rPr>
            </w:pPr>
            <w:r>
              <w:rPr>
                <w:sz w:val="16"/>
                <w:szCs w:val="16"/>
              </w:rPr>
              <w:t>5,559</w:t>
            </w:r>
          </w:p>
        </w:tc>
        <w:tc>
          <w:tcPr>
            <w:tcW w:w="924" w:type="dxa"/>
            <w:tcBorders>
              <w:top w:val="nil"/>
              <w:left w:val="nil"/>
              <w:bottom w:val="single" w:sz="4" w:space="0" w:color="auto"/>
              <w:right w:val="nil"/>
            </w:tcBorders>
            <w:shd w:val="clear" w:color="auto" w:fill="FFFFFF" w:themeFill="background1"/>
            <w:vAlign w:val="bottom"/>
          </w:tcPr>
          <w:p w14:paraId="7A0C9F86" w14:textId="5DA65959" w:rsidR="00021A1B" w:rsidRPr="009A1B1F" w:rsidRDefault="001727B9" w:rsidP="0014305A">
            <w:pPr>
              <w:jc w:val="right"/>
              <w:rPr>
                <w:sz w:val="16"/>
                <w:szCs w:val="16"/>
              </w:rPr>
            </w:pPr>
            <w:r>
              <w:rPr>
                <w:sz w:val="16"/>
                <w:szCs w:val="16"/>
              </w:rPr>
              <w:t>47,805</w:t>
            </w:r>
          </w:p>
        </w:tc>
        <w:tc>
          <w:tcPr>
            <w:tcW w:w="924" w:type="dxa"/>
            <w:tcBorders>
              <w:top w:val="nil"/>
              <w:left w:val="nil"/>
              <w:bottom w:val="single" w:sz="4" w:space="0" w:color="auto"/>
              <w:right w:val="nil"/>
            </w:tcBorders>
            <w:shd w:val="clear" w:color="auto" w:fill="FFFFFF" w:themeFill="background1"/>
            <w:vAlign w:val="bottom"/>
          </w:tcPr>
          <w:p w14:paraId="5150DEC6" w14:textId="6B3C620C" w:rsidR="00021A1B" w:rsidRPr="009A1B1F" w:rsidRDefault="001727B9" w:rsidP="0014305A">
            <w:pPr>
              <w:jc w:val="right"/>
              <w:rPr>
                <w:sz w:val="16"/>
                <w:szCs w:val="16"/>
              </w:rPr>
            </w:pPr>
            <w:r>
              <w:rPr>
                <w:sz w:val="16"/>
                <w:szCs w:val="16"/>
              </w:rPr>
              <w:t>8.60</w:t>
            </w:r>
          </w:p>
        </w:tc>
        <w:tc>
          <w:tcPr>
            <w:tcW w:w="924" w:type="dxa"/>
            <w:tcBorders>
              <w:top w:val="nil"/>
              <w:left w:val="nil"/>
              <w:bottom w:val="single" w:sz="4" w:space="0" w:color="auto"/>
            </w:tcBorders>
            <w:shd w:val="clear" w:color="auto" w:fill="FFFFFF" w:themeFill="background1"/>
            <w:vAlign w:val="bottom"/>
          </w:tcPr>
          <w:p w14:paraId="267F3EF4" w14:textId="7DEB9F51" w:rsidR="00021A1B" w:rsidRPr="009A1B1F" w:rsidRDefault="001727B9" w:rsidP="0014305A">
            <w:pPr>
              <w:jc w:val="right"/>
              <w:rPr>
                <w:sz w:val="16"/>
                <w:szCs w:val="16"/>
              </w:rPr>
            </w:pPr>
            <w:r>
              <w:rPr>
                <w:sz w:val="16"/>
                <w:szCs w:val="16"/>
              </w:rPr>
              <w:t>131</w:t>
            </w:r>
          </w:p>
        </w:tc>
      </w:tr>
      <w:tr w:rsidR="005F39C1" w14:paraId="4BB4432F" w14:textId="77777777" w:rsidTr="00696D9C">
        <w:trPr>
          <w:cantSplit/>
        </w:trPr>
        <w:tc>
          <w:tcPr>
            <w:tcW w:w="923" w:type="dxa"/>
            <w:tcBorders>
              <w:top w:val="nil"/>
              <w:left w:val="nil"/>
              <w:bottom w:val="nil"/>
            </w:tcBorders>
            <w:shd w:val="clear" w:color="auto" w:fill="FFFFFF" w:themeFill="background1"/>
          </w:tcPr>
          <w:p w14:paraId="7F4770F0" w14:textId="04E21496" w:rsidR="001C34C6" w:rsidRPr="009A1B1F" w:rsidRDefault="001C34C6" w:rsidP="008443BB">
            <w:pPr>
              <w:rPr>
                <w:sz w:val="16"/>
                <w:szCs w:val="16"/>
              </w:rPr>
            </w:pPr>
            <w:r w:rsidRPr="009A1B1F">
              <w:rPr>
                <w:sz w:val="16"/>
                <w:szCs w:val="16"/>
              </w:rPr>
              <w:t>All Academic</w:t>
            </w:r>
          </w:p>
        </w:tc>
        <w:tc>
          <w:tcPr>
            <w:tcW w:w="1035" w:type="dxa"/>
            <w:tcBorders>
              <w:bottom w:val="nil"/>
              <w:right w:val="nil"/>
            </w:tcBorders>
            <w:shd w:val="clear" w:color="auto" w:fill="FFFFFF" w:themeFill="background1"/>
            <w:vAlign w:val="bottom"/>
          </w:tcPr>
          <w:p w14:paraId="72C495B4" w14:textId="4E9CE280" w:rsidR="001C34C6" w:rsidRPr="009A1B1F" w:rsidRDefault="001727B9" w:rsidP="0014305A">
            <w:pPr>
              <w:jc w:val="right"/>
              <w:rPr>
                <w:sz w:val="16"/>
                <w:szCs w:val="16"/>
              </w:rPr>
            </w:pPr>
            <w:r>
              <w:rPr>
                <w:sz w:val="16"/>
                <w:szCs w:val="16"/>
              </w:rPr>
              <w:t>26,904</w:t>
            </w:r>
          </w:p>
        </w:tc>
        <w:tc>
          <w:tcPr>
            <w:tcW w:w="924" w:type="dxa"/>
            <w:tcBorders>
              <w:left w:val="nil"/>
              <w:bottom w:val="nil"/>
              <w:right w:val="nil"/>
            </w:tcBorders>
            <w:shd w:val="clear" w:color="auto" w:fill="FFFFFF" w:themeFill="background1"/>
            <w:vAlign w:val="bottom"/>
          </w:tcPr>
          <w:p w14:paraId="7AB01798" w14:textId="56F2BEA7" w:rsidR="001C34C6" w:rsidRPr="009A1B1F" w:rsidRDefault="001727B9" w:rsidP="0014305A">
            <w:pPr>
              <w:jc w:val="right"/>
              <w:rPr>
                <w:sz w:val="16"/>
                <w:szCs w:val="16"/>
              </w:rPr>
            </w:pPr>
            <w:r>
              <w:rPr>
                <w:sz w:val="16"/>
                <w:szCs w:val="16"/>
              </w:rPr>
              <w:t>221,013</w:t>
            </w:r>
          </w:p>
        </w:tc>
        <w:tc>
          <w:tcPr>
            <w:tcW w:w="924" w:type="dxa"/>
            <w:tcBorders>
              <w:left w:val="nil"/>
              <w:bottom w:val="nil"/>
              <w:right w:val="nil"/>
            </w:tcBorders>
            <w:shd w:val="clear" w:color="auto" w:fill="FFFFFF" w:themeFill="background1"/>
            <w:vAlign w:val="bottom"/>
          </w:tcPr>
          <w:p w14:paraId="50861023" w14:textId="533E9045" w:rsidR="001C34C6" w:rsidRPr="009A1B1F" w:rsidRDefault="001727B9" w:rsidP="0014305A">
            <w:pPr>
              <w:jc w:val="right"/>
              <w:rPr>
                <w:sz w:val="16"/>
                <w:szCs w:val="16"/>
              </w:rPr>
            </w:pPr>
            <w:r>
              <w:rPr>
                <w:sz w:val="16"/>
                <w:szCs w:val="16"/>
              </w:rPr>
              <w:t>8.21</w:t>
            </w:r>
          </w:p>
        </w:tc>
        <w:tc>
          <w:tcPr>
            <w:tcW w:w="924" w:type="dxa"/>
            <w:tcBorders>
              <w:left w:val="nil"/>
              <w:bottom w:val="nil"/>
            </w:tcBorders>
            <w:shd w:val="clear" w:color="auto" w:fill="FFFFFF" w:themeFill="background1"/>
            <w:vAlign w:val="bottom"/>
          </w:tcPr>
          <w:p w14:paraId="4225FA89" w14:textId="6A415ED6" w:rsidR="001C34C6" w:rsidRPr="009A1B1F" w:rsidRDefault="001727B9" w:rsidP="0014305A">
            <w:pPr>
              <w:jc w:val="right"/>
              <w:rPr>
                <w:sz w:val="16"/>
                <w:szCs w:val="16"/>
              </w:rPr>
            </w:pPr>
            <w:r>
              <w:rPr>
                <w:sz w:val="16"/>
                <w:szCs w:val="16"/>
              </w:rPr>
              <w:t>606</w:t>
            </w:r>
          </w:p>
        </w:tc>
        <w:tc>
          <w:tcPr>
            <w:tcW w:w="924" w:type="dxa"/>
            <w:tcBorders>
              <w:bottom w:val="nil"/>
              <w:right w:val="nil"/>
            </w:tcBorders>
            <w:shd w:val="clear" w:color="auto" w:fill="FFFFFF" w:themeFill="background1"/>
            <w:vAlign w:val="bottom"/>
          </w:tcPr>
          <w:p w14:paraId="46094238" w14:textId="6030247B" w:rsidR="001C34C6" w:rsidRPr="009A1B1F" w:rsidRDefault="001727B9" w:rsidP="0014305A">
            <w:pPr>
              <w:jc w:val="right"/>
              <w:rPr>
                <w:sz w:val="16"/>
                <w:szCs w:val="16"/>
              </w:rPr>
            </w:pPr>
            <w:r>
              <w:rPr>
                <w:sz w:val="16"/>
                <w:szCs w:val="16"/>
              </w:rPr>
              <w:t>42.7%</w:t>
            </w:r>
          </w:p>
        </w:tc>
        <w:tc>
          <w:tcPr>
            <w:tcW w:w="924" w:type="dxa"/>
            <w:tcBorders>
              <w:left w:val="nil"/>
              <w:bottom w:val="nil"/>
              <w:right w:val="nil"/>
            </w:tcBorders>
            <w:shd w:val="clear" w:color="auto" w:fill="FFFFFF" w:themeFill="background1"/>
            <w:vAlign w:val="bottom"/>
          </w:tcPr>
          <w:p w14:paraId="6C3E401F" w14:textId="28803F7A" w:rsidR="001C34C6" w:rsidRPr="009A1B1F" w:rsidRDefault="001727B9" w:rsidP="0014305A">
            <w:pPr>
              <w:jc w:val="right"/>
              <w:rPr>
                <w:sz w:val="16"/>
                <w:szCs w:val="16"/>
              </w:rPr>
            </w:pPr>
            <w:r>
              <w:rPr>
                <w:sz w:val="16"/>
                <w:szCs w:val="16"/>
              </w:rPr>
              <w:t>11,046</w:t>
            </w:r>
          </w:p>
        </w:tc>
        <w:tc>
          <w:tcPr>
            <w:tcW w:w="924" w:type="dxa"/>
            <w:tcBorders>
              <w:left w:val="nil"/>
              <w:bottom w:val="nil"/>
              <w:right w:val="nil"/>
            </w:tcBorders>
            <w:shd w:val="clear" w:color="auto" w:fill="FFFFFF" w:themeFill="background1"/>
            <w:vAlign w:val="bottom"/>
          </w:tcPr>
          <w:p w14:paraId="2B2EE70A" w14:textId="20C755B3" w:rsidR="001C34C6" w:rsidRPr="009A1B1F" w:rsidRDefault="001727B9" w:rsidP="0014305A">
            <w:pPr>
              <w:jc w:val="right"/>
              <w:rPr>
                <w:sz w:val="16"/>
                <w:szCs w:val="16"/>
              </w:rPr>
            </w:pPr>
            <w:r>
              <w:rPr>
                <w:sz w:val="16"/>
                <w:szCs w:val="16"/>
              </w:rPr>
              <w:t>93,737</w:t>
            </w:r>
          </w:p>
        </w:tc>
        <w:tc>
          <w:tcPr>
            <w:tcW w:w="924" w:type="dxa"/>
            <w:tcBorders>
              <w:left w:val="nil"/>
              <w:bottom w:val="nil"/>
              <w:right w:val="nil"/>
            </w:tcBorders>
            <w:shd w:val="clear" w:color="auto" w:fill="FFFFFF" w:themeFill="background1"/>
            <w:vAlign w:val="bottom"/>
          </w:tcPr>
          <w:p w14:paraId="41623530" w14:textId="56E11A2B" w:rsidR="001C34C6" w:rsidRPr="009A1B1F" w:rsidRDefault="001727B9" w:rsidP="0014305A">
            <w:pPr>
              <w:jc w:val="right"/>
              <w:rPr>
                <w:sz w:val="16"/>
                <w:szCs w:val="16"/>
              </w:rPr>
            </w:pPr>
            <w:r>
              <w:rPr>
                <w:sz w:val="16"/>
                <w:szCs w:val="16"/>
              </w:rPr>
              <w:t>8.49</w:t>
            </w:r>
          </w:p>
        </w:tc>
        <w:tc>
          <w:tcPr>
            <w:tcW w:w="924" w:type="dxa"/>
            <w:tcBorders>
              <w:left w:val="nil"/>
              <w:bottom w:val="nil"/>
            </w:tcBorders>
            <w:shd w:val="clear" w:color="auto" w:fill="FFFFFF" w:themeFill="background1"/>
            <w:vAlign w:val="bottom"/>
          </w:tcPr>
          <w:p w14:paraId="6F9F4202" w14:textId="2EC84D05" w:rsidR="001C34C6" w:rsidRPr="009A1B1F" w:rsidRDefault="001727B9" w:rsidP="0014305A">
            <w:pPr>
              <w:jc w:val="right"/>
              <w:rPr>
                <w:sz w:val="16"/>
                <w:szCs w:val="16"/>
              </w:rPr>
            </w:pPr>
            <w:r>
              <w:rPr>
                <w:sz w:val="16"/>
                <w:szCs w:val="16"/>
              </w:rPr>
              <w:t>257</w:t>
            </w:r>
          </w:p>
        </w:tc>
      </w:tr>
      <w:tr w:rsidR="005F39C1" w14:paraId="65001295" w14:textId="77777777" w:rsidTr="00696D9C">
        <w:trPr>
          <w:cantSplit/>
        </w:trPr>
        <w:tc>
          <w:tcPr>
            <w:tcW w:w="923" w:type="dxa"/>
            <w:tcBorders>
              <w:top w:val="nil"/>
              <w:left w:val="nil"/>
              <w:bottom w:val="nil"/>
            </w:tcBorders>
            <w:shd w:val="clear" w:color="auto" w:fill="FFFFFF" w:themeFill="background1"/>
          </w:tcPr>
          <w:p w14:paraId="30C35683" w14:textId="5BBB8798" w:rsidR="001C34C6" w:rsidRPr="009A1B1F" w:rsidRDefault="001C34C6" w:rsidP="008443BB">
            <w:pPr>
              <w:rPr>
                <w:sz w:val="16"/>
                <w:szCs w:val="16"/>
              </w:rPr>
            </w:pPr>
            <w:r w:rsidRPr="009A1B1F">
              <w:rPr>
                <w:sz w:val="16"/>
                <w:szCs w:val="16"/>
              </w:rPr>
              <w:t>MGB CH</w:t>
            </w:r>
          </w:p>
        </w:tc>
        <w:tc>
          <w:tcPr>
            <w:tcW w:w="1035" w:type="dxa"/>
            <w:tcBorders>
              <w:top w:val="nil"/>
              <w:bottom w:val="nil"/>
              <w:right w:val="nil"/>
            </w:tcBorders>
            <w:shd w:val="clear" w:color="auto" w:fill="FFFFFF" w:themeFill="background1"/>
            <w:vAlign w:val="bottom"/>
          </w:tcPr>
          <w:p w14:paraId="50DAB442" w14:textId="659CE589" w:rsidR="001C34C6" w:rsidRPr="009A1B1F" w:rsidRDefault="004921C2" w:rsidP="0014305A">
            <w:pPr>
              <w:jc w:val="right"/>
              <w:rPr>
                <w:sz w:val="16"/>
                <w:szCs w:val="16"/>
              </w:rPr>
            </w:pPr>
            <w:r>
              <w:rPr>
                <w:sz w:val="16"/>
                <w:szCs w:val="16"/>
              </w:rPr>
              <w:t>1,620</w:t>
            </w:r>
          </w:p>
        </w:tc>
        <w:tc>
          <w:tcPr>
            <w:tcW w:w="924" w:type="dxa"/>
            <w:tcBorders>
              <w:top w:val="nil"/>
              <w:left w:val="nil"/>
              <w:bottom w:val="nil"/>
              <w:right w:val="nil"/>
            </w:tcBorders>
            <w:shd w:val="clear" w:color="auto" w:fill="FFFFFF" w:themeFill="background1"/>
            <w:vAlign w:val="bottom"/>
          </w:tcPr>
          <w:p w14:paraId="71422B8E" w14:textId="1674D182" w:rsidR="001C34C6" w:rsidRPr="009A1B1F" w:rsidRDefault="004921C2" w:rsidP="0014305A">
            <w:pPr>
              <w:jc w:val="right"/>
              <w:rPr>
                <w:sz w:val="16"/>
                <w:szCs w:val="16"/>
              </w:rPr>
            </w:pPr>
            <w:r>
              <w:rPr>
                <w:sz w:val="16"/>
                <w:szCs w:val="16"/>
              </w:rPr>
              <w:t>8,387</w:t>
            </w:r>
          </w:p>
        </w:tc>
        <w:tc>
          <w:tcPr>
            <w:tcW w:w="924" w:type="dxa"/>
            <w:tcBorders>
              <w:top w:val="nil"/>
              <w:left w:val="nil"/>
              <w:bottom w:val="nil"/>
              <w:right w:val="nil"/>
            </w:tcBorders>
            <w:shd w:val="clear" w:color="auto" w:fill="FFFFFF" w:themeFill="background1"/>
            <w:vAlign w:val="bottom"/>
          </w:tcPr>
          <w:p w14:paraId="128DCFCA" w14:textId="64B0BDA2" w:rsidR="001C34C6" w:rsidRPr="009A1B1F" w:rsidRDefault="004921C2" w:rsidP="0014305A">
            <w:pPr>
              <w:jc w:val="right"/>
              <w:rPr>
                <w:sz w:val="16"/>
                <w:szCs w:val="16"/>
              </w:rPr>
            </w:pPr>
            <w:r>
              <w:rPr>
                <w:sz w:val="16"/>
                <w:szCs w:val="16"/>
              </w:rPr>
              <w:t>5.18</w:t>
            </w:r>
          </w:p>
        </w:tc>
        <w:tc>
          <w:tcPr>
            <w:tcW w:w="924" w:type="dxa"/>
            <w:tcBorders>
              <w:top w:val="nil"/>
              <w:left w:val="nil"/>
              <w:bottom w:val="nil"/>
            </w:tcBorders>
            <w:shd w:val="clear" w:color="auto" w:fill="FFFFFF" w:themeFill="background1"/>
            <w:vAlign w:val="bottom"/>
          </w:tcPr>
          <w:p w14:paraId="65692CC1" w14:textId="0D5A1BCC" w:rsidR="001C34C6" w:rsidRPr="009A1B1F" w:rsidRDefault="004921C2" w:rsidP="0014305A">
            <w:pPr>
              <w:jc w:val="right"/>
              <w:rPr>
                <w:sz w:val="16"/>
                <w:szCs w:val="16"/>
              </w:rPr>
            </w:pPr>
            <w:r>
              <w:rPr>
                <w:sz w:val="16"/>
                <w:szCs w:val="16"/>
              </w:rPr>
              <w:t>23</w:t>
            </w:r>
          </w:p>
        </w:tc>
        <w:tc>
          <w:tcPr>
            <w:tcW w:w="924" w:type="dxa"/>
            <w:tcBorders>
              <w:top w:val="nil"/>
              <w:bottom w:val="nil"/>
              <w:right w:val="nil"/>
            </w:tcBorders>
            <w:shd w:val="clear" w:color="auto" w:fill="FFFFFF" w:themeFill="background1"/>
            <w:vAlign w:val="bottom"/>
          </w:tcPr>
          <w:p w14:paraId="0EE6E70C" w14:textId="0714DF29" w:rsidR="001C34C6" w:rsidRPr="009A1B1F" w:rsidRDefault="004921C2" w:rsidP="0014305A">
            <w:pPr>
              <w:jc w:val="right"/>
              <w:rPr>
                <w:sz w:val="16"/>
                <w:szCs w:val="16"/>
              </w:rPr>
            </w:pPr>
            <w:r>
              <w:rPr>
                <w:sz w:val="16"/>
                <w:szCs w:val="16"/>
              </w:rPr>
              <w:t>50.6%</w:t>
            </w:r>
          </w:p>
        </w:tc>
        <w:tc>
          <w:tcPr>
            <w:tcW w:w="924" w:type="dxa"/>
            <w:tcBorders>
              <w:top w:val="nil"/>
              <w:left w:val="nil"/>
              <w:bottom w:val="nil"/>
              <w:right w:val="nil"/>
            </w:tcBorders>
            <w:shd w:val="clear" w:color="auto" w:fill="FFFFFF" w:themeFill="background1"/>
            <w:vAlign w:val="bottom"/>
          </w:tcPr>
          <w:p w14:paraId="4B3A5F4C" w14:textId="1BD7BDCA" w:rsidR="001C34C6" w:rsidRPr="009A1B1F" w:rsidRDefault="004921C2" w:rsidP="0014305A">
            <w:pPr>
              <w:jc w:val="right"/>
              <w:rPr>
                <w:sz w:val="16"/>
                <w:szCs w:val="16"/>
              </w:rPr>
            </w:pPr>
            <w:r>
              <w:rPr>
                <w:sz w:val="16"/>
                <w:szCs w:val="16"/>
              </w:rPr>
              <w:t>820</w:t>
            </w:r>
          </w:p>
        </w:tc>
        <w:tc>
          <w:tcPr>
            <w:tcW w:w="924" w:type="dxa"/>
            <w:tcBorders>
              <w:top w:val="nil"/>
              <w:left w:val="nil"/>
              <w:bottom w:val="nil"/>
              <w:right w:val="nil"/>
            </w:tcBorders>
            <w:shd w:val="clear" w:color="auto" w:fill="FFFFFF" w:themeFill="background1"/>
            <w:vAlign w:val="bottom"/>
          </w:tcPr>
          <w:p w14:paraId="1966B955" w14:textId="78041746" w:rsidR="001C34C6" w:rsidRPr="009A1B1F" w:rsidRDefault="004921C2" w:rsidP="0014305A">
            <w:pPr>
              <w:jc w:val="right"/>
              <w:rPr>
                <w:sz w:val="16"/>
                <w:szCs w:val="16"/>
              </w:rPr>
            </w:pPr>
            <w:r>
              <w:rPr>
                <w:sz w:val="16"/>
                <w:szCs w:val="16"/>
              </w:rPr>
              <w:t>4,248</w:t>
            </w:r>
          </w:p>
        </w:tc>
        <w:tc>
          <w:tcPr>
            <w:tcW w:w="924" w:type="dxa"/>
            <w:tcBorders>
              <w:top w:val="nil"/>
              <w:left w:val="nil"/>
              <w:bottom w:val="nil"/>
              <w:right w:val="nil"/>
            </w:tcBorders>
            <w:shd w:val="clear" w:color="auto" w:fill="FFFFFF" w:themeFill="background1"/>
            <w:vAlign w:val="bottom"/>
          </w:tcPr>
          <w:p w14:paraId="14E0B9BD" w14:textId="3CE6F8B1" w:rsidR="001C34C6" w:rsidRPr="009A1B1F" w:rsidRDefault="004921C2" w:rsidP="0014305A">
            <w:pPr>
              <w:jc w:val="right"/>
              <w:rPr>
                <w:sz w:val="16"/>
                <w:szCs w:val="16"/>
              </w:rPr>
            </w:pPr>
            <w:r>
              <w:rPr>
                <w:sz w:val="16"/>
                <w:szCs w:val="16"/>
              </w:rPr>
              <w:t>5.18</w:t>
            </w:r>
          </w:p>
        </w:tc>
        <w:tc>
          <w:tcPr>
            <w:tcW w:w="924" w:type="dxa"/>
            <w:tcBorders>
              <w:top w:val="nil"/>
              <w:left w:val="nil"/>
              <w:bottom w:val="nil"/>
            </w:tcBorders>
            <w:shd w:val="clear" w:color="auto" w:fill="FFFFFF" w:themeFill="background1"/>
            <w:vAlign w:val="bottom"/>
          </w:tcPr>
          <w:p w14:paraId="0C42428F" w14:textId="2EF4100B" w:rsidR="001C34C6" w:rsidRPr="009A1B1F" w:rsidRDefault="004921C2" w:rsidP="0014305A">
            <w:pPr>
              <w:jc w:val="right"/>
              <w:rPr>
                <w:sz w:val="16"/>
                <w:szCs w:val="16"/>
              </w:rPr>
            </w:pPr>
            <w:r>
              <w:rPr>
                <w:sz w:val="16"/>
                <w:szCs w:val="16"/>
              </w:rPr>
              <w:t>12</w:t>
            </w:r>
          </w:p>
        </w:tc>
      </w:tr>
      <w:tr w:rsidR="00696D9C" w14:paraId="7147F0E9" w14:textId="77777777" w:rsidTr="00696D9C">
        <w:trPr>
          <w:cantSplit/>
        </w:trPr>
        <w:tc>
          <w:tcPr>
            <w:tcW w:w="923" w:type="dxa"/>
            <w:tcBorders>
              <w:top w:val="nil"/>
              <w:left w:val="nil"/>
              <w:bottom w:val="nil"/>
            </w:tcBorders>
            <w:shd w:val="clear" w:color="auto" w:fill="FFFFFF" w:themeFill="background1"/>
          </w:tcPr>
          <w:p w14:paraId="0F53A4D3" w14:textId="49CDD7E1" w:rsidR="0015437B" w:rsidRPr="009A1B1F" w:rsidRDefault="00C62FE3" w:rsidP="008443BB">
            <w:pPr>
              <w:rPr>
                <w:sz w:val="16"/>
                <w:szCs w:val="16"/>
              </w:rPr>
            </w:pPr>
            <w:r w:rsidRPr="009A1B1F">
              <w:rPr>
                <w:sz w:val="16"/>
                <w:szCs w:val="16"/>
              </w:rPr>
              <w:t>BILH CH</w:t>
            </w:r>
          </w:p>
        </w:tc>
        <w:tc>
          <w:tcPr>
            <w:tcW w:w="1035" w:type="dxa"/>
            <w:tcBorders>
              <w:top w:val="nil"/>
              <w:bottom w:val="nil"/>
              <w:right w:val="nil"/>
            </w:tcBorders>
            <w:shd w:val="clear" w:color="auto" w:fill="FFFFFF" w:themeFill="background1"/>
            <w:vAlign w:val="bottom"/>
          </w:tcPr>
          <w:p w14:paraId="16E6E874" w14:textId="75C18B20" w:rsidR="0015437B" w:rsidRPr="009A1B1F" w:rsidRDefault="007A1DD5" w:rsidP="0014305A">
            <w:pPr>
              <w:jc w:val="right"/>
              <w:rPr>
                <w:sz w:val="16"/>
                <w:szCs w:val="16"/>
              </w:rPr>
            </w:pPr>
            <w:r>
              <w:rPr>
                <w:sz w:val="16"/>
                <w:szCs w:val="16"/>
              </w:rPr>
              <w:t>3,279</w:t>
            </w:r>
          </w:p>
        </w:tc>
        <w:tc>
          <w:tcPr>
            <w:tcW w:w="924" w:type="dxa"/>
            <w:tcBorders>
              <w:top w:val="nil"/>
              <w:left w:val="nil"/>
              <w:bottom w:val="nil"/>
              <w:right w:val="nil"/>
            </w:tcBorders>
            <w:shd w:val="clear" w:color="auto" w:fill="FFFFFF" w:themeFill="background1"/>
            <w:vAlign w:val="bottom"/>
          </w:tcPr>
          <w:p w14:paraId="33706DA7" w14:textId="6C592276" w:rsidR="0015437B" w:rsidRPr="009A1B1F" w:rsidRDefault="00247952" w:rsidP="0014305A">
            <w:pPr>
              <w:jc w:val="right"/>
              <w:rPr>
                <w:sz w:val="16"/>
                <w:szCs w:val="16"/>
              </w:rPr>
            </w:pPr>
            <w:r>
              <w:rPr>
                <w:sz w:val="16"/>
                <w:szCs w:val="16"/>
              </w:rPr>
              <w:t>15,988</w:t>
            </w:r>
          </w:p>
        </w:tc>
        <w:tc>
          <w:tcPr>
            <w:tcW w:w="924" w:type="dxa"/>
            <w:tcBorders>
              <w:top w:val="nil"/>
              <w:left w:val="nil"/>
              <w:bottom w:val="nil"/>
              <w:right w:val="nil"/>
            </w:tcBorders>
            <w:shd w:val="clear" w:color="auto" w:fill="FFFFFF" w:themeFill="background1"/>
            <w:vAlign w:val="bottom"/>
          </w:tcPr>
          <w:p w14:paraId="7B2B6C64" w14:textId="617FE5BF" w:rsidR="0015437B" w:rsidRPr="009A1B1F" w:rsidRDefault="00247952" w:rsidP="0014305A">
            <w:pPr>
              <w:jc w:val="right"/>
              <w:rPr>
                <w:sz w:val="16"/>
                <w:szCs w:val="16"/>
              </w:rPr>
            </w:pPr>
            <w:r>
              <w:rPr>
                <w:sz w:val="16"/>
                <w:szCs w:val="16"/>
              </w:rPr>
              <w:t>4.88</w:t>
            </w:r>
          </w:p>
        </w:tc>
        <w:tc>
          <w:tcPr>
            <w:tcW w:w="924" w:type="dxa"/>
            <w:tcBorders>
              <w:top w:val="nil"/>
              <w:left w:val="nil"/>
              <w:bottom w:val="nil"/>
            </w:tcBorders>
            <w:shd w:val="clear" w:color="auto" w:fill="FFFFFF" w:themeFill="background1"/>
            <w:vAlign w:val="bottom"/>
          </w:tcPr>
          <w:p w14:paraId="4BEA3888" w14:textId="75C9228A" w:rsidR="0015437B" w:rsidRPr="009A1B1F" w:rsidRDefault="00247952" w:rsidP="0014305A">
            <w:pPr>
              <w:jc w:val="right"/>
              <w:rPr>
                <w:sz w:val="16"/>
                <w:szCs w:val="16"/>
              </w:rPr>
            </w:pPr>
            <w:r>
              <w:rPr>
                <w:sz w:val="16"/>
                <w:szCs w:val="16"/>
              </w:rPr>
              <w:t>44</w:t>
            </w:r>
          </w:p>
        </w:tc>
        <w:tc>
          <w:tcPr>
            <w:tcW w:w="924" w:type="dxa"/>
            <w:tcBorders>
              <w:top w:val="nil"/>
              <w:bottom w:val="nil"/>
              <w:right w:val="nil"/>
            </w:tcBorders>
            <w:shd w:val="clear" w:color="auto" w:fill="FFFFFF" w:themeFill="background1"/>
            <w:vAlign w:val="bottom"/>
          </w:tcPr>
          <w:p w14:paraId="73878B26" w14:textId="138547B2" w:rsidR="0015437B" w:rsidRPr="009A1B1F" w:rsidRDefault="00247952" w:rsidP="0014305A">
            <w:pPr>
              <w:jc w:val="right"/>
              <w:rPr>
                <w:sz w:val="16"/>
                <w:szCs w:val="16"/>
              </w:rPr>
            </w:pPr>
            <w:r>
              <w:rPr>
                <w:sz w:val="16"/>
                <w:szCs w:val="16"/>
              </w:rPr>
              <w:t>50.7%</w:t>
            </w:r>
          </w:p>
        </w:tc>
        <w:tc>
          <w:tcPr>
            <w:tcW w:w="924" w:type="dxa"/>
            <w:tcBorders>
              <w:top w:val="nil"/>
              <w:left w:val="nil"/>
              <w:bottom w:val="nil"/>
              <w:right w:val="nil"/>
            </w:tcBorders>
            <w:shd w:val="clear" w:color="auto" w:fill="FFFFFF" w:themeFill="background1"/>
            <w:vAlign w:val="bottom"/>
          </w:tcPr>
          <w:p w14:paraId="31F23787" w14:textId="6BB62C86" w:rsidR="0015437B" w:rsidRPr="009A1B1F" w:rsidRDefault="00247952" w:rsidP="0014305A">
            <w:pPr>
              <w:jc w:val="right"/>
              <w:rPr>
                <w:sz w:val="16"/>
                <w:szCs w:val="16"/>
              </w:rPr>
            </w:pPr>
            <w:r>
              <w:rPr>
                <w:sz w:val="16"/>
                <w:szCs w:val="16"/>
              </w:rPr>
              <w:t>1,661</w:t>
            </w:r>
          </w:p>
        </w:tc>
        <w:tc>
          <w:tcPr>
            <w:tcW w:w="924" w:type="dxa"/>
            <w:tcBorders>
              <w:top w:val="nil"/>
              <w:left w:val="nil"/>
              <w:bottom w:val="nil"/>
              <w:right w:val="nil"/>
            </w:tcBorders>
            <w:shd w:val="clear" w:color="auto" w:fill="FFFFFF" w:themeFill="background1"/>
            <w:vAlign w:val="bottom"/>
          </w:tcPr>
          <w:p w14:paraId="3449004C" w14:textId="2B42157D" w:rsidR="0015437B" w:rsidRPr="009A1B1F" w:rsidRDefault="00247952" w:rsidP="0014305A">
            <w:pPr>
              <w:jc w:val="right"/>
              <w:rPr>
                <w:sz w:val="16"/>
                <w:szCs w:val="16"/>
              </w:rPr>
            </w:pPr>
            <w:r>
              <w:rPr>
                <w:sz w:val="16"/>
                <w:szCs w:val="16"/>
              </w:rPr>
              <w:t>8,101</w:t>
            </w:r>
          </w:p>
        </w:tc>
        <w:tc>
          <w:tcPr>
            <w:tcW w:w="924" w:type="dxa"/>
            <w:tcBorders>
              <w:top w:val="nil"/>
              <w:left w:val="nil"/>
              <w:bottom w:val="nil"/>
              <w:right w:val="nil"/>
            </w:tcBorders>
            <w:shd w:val="clear" w:color="auto" w:fill="FFFFFF" w:themeFill="background1"/>
            <w:vAlign w:val="bottom"/>
          </w:tcPr>
          <w:p w14:paraId="6F9D3DAC" w14:textId="5A841887" w:rsidR="0015437B" w:rsidRPr="009A1B1F" w:rsidRDefault="00247952" w:rsidP="0014305A">
            <w:pPr>
              <w:jc w:val="right"/>
              <w:rPr>
                <w:sz w:val="16"/>
                <w:szCs w:val="16"/>
              </w:rPr>
            </w:pPr>
            <w:r>
              <w:rPr>
                <w:sz w:val="16"/>
                <w:szCs w:val="16"/>
              </w:rPr>
              <w:t>4.88</w:t>
            </w:r>
          </w:p>
        </w:tc>
        <w:tc>
          <w:tcPr>
            <w:tcW w:w="924" w:type="dxa"/>
            <w:tcBorders>
              <w:top w:val="nil"/>
              <w:left w:val="nil"/>
              <w:bottom w:val="nil"/>
            </w:tcBorders>
            <w:shd w:val="clear" w:color="auto" w:fill="FFFFFF" w:themeFill="background1"/>
            <w:vAlign w:val="bottom"/>
          </w:tcPr>
          <w:p w14:paraId="7E53D60F" w14:textId="5E0FD1FB" w:rsidR="0015437B" w:rsidRPr="009A1B1F" w:rsidRDefault="00247952" w:rsidP="0014305A">
            <w:pPr>
              <w:jc w:val="right"/>
              <w:rPr>
                <w:sz w:val="16"/>
                <w:szCs w:val="16"/>
              </w:rPr>
            </w:pPr>
            <w:r>
              <w:rPr>
                <w:sz w:val="16"/>
                <w:szCs w:val="16"/>
              </w:rPr>
              <w:t>22</w:t>
            </w:r>
          </w:p>
        </w:tc>
      </w:tr>
      <w:tr w:rsidR="00696D9C" w14:paraId="6FE119D3" w14:textId="77777777" w:rsidTr="00A144A0">
        <w:trPr>
          <w:cantSplit/>
        </w:trPr>
        <w:tc>
          <w:tcPr>
            <w:tcW w:w="923" w:type="dxa"/>
            <w:tcBorders>
              <w:top w:val="nil"/>
              <w:left w:val="nil"/>
              <w:bottom w:val="nil"/>
            </w:tcBorders>
            <w:shd w:val="clear" w:color="auto" w:fill="FFFFFF" w:themeFill="background1"/>
          </w:tcPr>
          <w:p w14:paraId="702E0497" w14:textId="685E0B49" w:rsidR="00C62FE3" w:rsidRPr="009A1B1F" w:rsidRDefault="00C62FE3" w:rsidP="008443BB">
            <w:pPr>
              <w:rPr>
                <w:sz w:val="16"/>
                <w:szCs w:val="16"/>
              </w:rPr>
            </w:pPr>
            <w:r w:rsidRPr="009A1B1F">
              <w:rPr>
                <w:sz w:val="16"/>
                <w:szCs w:val="16"/>
              </w:rPr>
              <w:t>Other CH</w:t>
            </w:r>
          </w:p>
        </w:tc>
        <w:tc>
          <w:tcPr>
            <w:tcW w:w="1035" w:type="dxa"/>
            <w:tcBorders>
              <w:top w:val="nil"/>
              <w:bottom w:val="single" w:sz="4" w:space="0" w:color="auto"/>
              <w:right w:val="nil"/>
            </w:tcBorders>
            <w:shd w:val="clear" w:color="auto" w:fill="FFFFFF" w:themeFill="background1"/>
            <w:vAlign w:val="bottom"/>
          </w:tcPr>
          <w:p w14:paraId="307315E2" w14:textId="48B963C9" w:rsidR="00C62FE3" w:rsidRPr="009A1B1F" w:rsidRDefault="0070675B" w:rsidP="0014305A">
            <w:pPr>
              <w:jc w:val="right"/>
              <w:rPr>
                <w:sz w:val="16"/>
                <w:szCs w:val="16"/>
              </w:rPr>
            </w:pPr>
            <w:r>
              <w:rPr>
                <w:sz w:val="16"/>
                <w:szCs w:val="16"/>
              </w:rPr>
              <w:t>1,355</w:t>
            </w:r>
          </w:p>
        </w:tc>
        <w:tc>
          <w:tcPr>
            <w:tcW w:w="924" w:type="dxa"/>
            <w:tcBorders>
              <w:top w:val="nil"/>
              <w:left w:val="nil"/>
              <w:bottom w:val="single" w:sz="4" w:space="0" w:color="auto"/>
              <w:right w:val="nil"/>
            </w:tcBorders>
            <w:shd w:val="clear" w:color="auto" w:fill="FFFFFF" w:themeFill="background1"/>
            <w:vAlign w:val="bottom"/>
          </w:tcPr>
          <w:p w14:paraId="4A1B50D9" w14:textId="36A55F5C" w:rsidR="00C62FE3" w:rsidRPr="009A1B1F" w:rsidRDefault="0070675B" w:rsidP="0014305A">
            <w:pPr>
              <w:jc w:val="right"/>
              <w:rPr>
                <w:sz w:val="16"/>
                <w:szCs w:val="16"/>
              </w:rPr>
            </w:pPr>
            <w:r>
              <w:rPr>
                <w:sz w:val="16"/>
                <w:szCs w:val="16"/>
              </w:rPr>
              <w:t>6,739</w:t>
            </w:r>
          </w:p>
        </w:tc>
        <w:tc>
          <w:tcPr>
            <w:tcW w:w="924" w:type="dxa"/>
            <w:tcBorders>
              <w:top w:val="nil"/>
              <w:left w:val="nil"/>
              <w:bottom w:val="single" w:sz="4" w:space="0" w:color="auto"/>
              <w:right w:val="nil"/>
            </w:tcBorders>
            <w:shd w:val="clear" w:color="auto" w:fill="FFFFFF" w:themeFill="background1"/>
            <w:vAlign w:val="bottom"/>
          </w:tcPr>
          <w:p w14:paraId="14F97531" w14:textId="1A6C813C" w:rsidR="00C62FE3" w:rsidRPr="009A1B1F" w:rsidRDefault="0070675B" w:rsidP="0014305A">
            <w:pPr>
              <w:jc w:val="right"/>
              <w:rPr>
                <w:sz w:val="16"/>
                <w:szCs w:val="16"/>
              </w:rPr>
            </w:pPr>
            <w:r>
              <w:rPr>
                <w:sz w:val="16"/>
                <w:szCs w:val="16"/>
              </w:rPr>
              <w:t>4.98</w:t>
            </w:r>
          </w:p>
        </w:tc>
        <w:tc>
          <w:tcPr>
            <w:tcW w:w="924" w:type="dxa"/>
            <w:tcBorders>
              <w:top w:val="nil"/>
              <w:left w:val="nil"/>
              <w:bottom w:val="single" w:sz="4" w:space="0" w:color="auto"/>
            </w:tcBorders>
            <w:shd w:val="clear" w:color="auto" w:fill="FFFFFF" w:themeFill="background1"/>
            <w:vAlign w:val="bottom"/>
          </w:tcPr>
          <w:p w14:paraId="4111A2E8" w14:textId="43062C9A" w:rsidR="00C62FE3" w:rsidRPr="009A1B1F" w:rsidRDefault="0070675B" w:rsidP="0014305A">
            <w:pPr>
              <w:jc w:val="right"/>
              <w:rPr>
                <w:sz w:val="16"/>
                <w:szCs w:val="16"/>
              </w:rPr>
            </w:pPr>
            <w:r>
              <w:rPr>
                <w:sz w:val="16"/>
                <w:szCs w:val="16"/>
              </w:rPr>
              <w:t>18</w:t>
            </w:r>
          </w:p>
        </w:tc>
        <w:tc>
          <w:tcPr>
            <w:tcW w:w="924" w:type="dxa"/>
            <w:tcBorders>
              <w:top w:val="nil"/>
              <w:bottom w:val="single" w:sz="4" w:space="0" w:color="auto"/>
              <w:right w:val="nil"/>
            </w:tcBorders>
            <w:shd w:val="clear" w:color="auto" w:fill="FFFFFF" w:themeFill="background1"/>
            <w:vAlign w:val="bottom"/>
          </w:tcPr>
          <w:p w14:paraId="5CA36A68" w14:textId="165A4420" w:rsidR="00C62FE3" w:rsidRPr="009A1B1F" w:rsidRDefault="0070675B" w:rsidP="0014305A">
            <w:pPr>
              <w:jc w:val="right"/>
              <w:rPr>
                <w:sz w:val="16"/>
                <w:szCs w:val="16"/>
              </w:rPr>
            </w:pPr>
            <w:r>
              <w:rPr>
                <w:sz w:val="16"/>
                <w:szCs w:val="16"/>
              </w:rPr>
              <w:t>50.7%</w:t>
            </w:r>
          </w:p>
        </w:tc>
        <w:tc>
          <w:tcPr>
            <w:tcW w:w="924" w:type="dxa"/>
            <w:tcBorders>
              <w:top w:val="nil"/>
              <w:left w:val="nil"/>
              <w:bottom w:val="single" w:sz="4" w:space="0" w:color="auto"/>
              <w:right w:val="nil"/>
            </w:tcBorders>
            <w:shd w:val="clear" w:color="auto" w:fill="FFFFFF" w:themeFill="background1"/>
            <w:vAlign w:val="bottom"/>
          </w:tcPr>
          <w:p w14:paraId="0436069B" w14:textId="2CE7732D" w:rsidR="00C62FE3" w:rsidRPr="009A1B1F" w:rsidRDefault="0070675B" w:rsidP="0014305A">
            <w:pPr>
              <w:jc w:val="right"/>
              <w:rPr>
                <w:sz w:val="16"/>
                <w:szCs w:val="16"/>
              </w:rPr>
            </w:pPr>
            <w:r>
              <w:rPr>
                <w:sz w:val="16"/>
                <w:szCs w:val="16"/>
              </w:rPr>
              <w:t>686</w:t>
            </w:r>
          </w:p>
        </w:tc>
        <w:tc>
          <w:tcPr>
            <w:tcW w:w="924" w:type="dxa"/>
            <w:tcBorders>
              <w:top w:val="nil"/>
              <w:left w:val="nil"/>
              <w:bottom w:val="single" w:sz="4" w:space="0" w:color="auto"/>
              <w:right w:val="nil"/>
            </w:tcBorders>
            <w:shd w:val="clear" w:color="auto" w:fill="FFFFFF" w:themeFill="background1"/>
            <w:vAlign w:val="bottom"/>
          </w:tcPr>
          <w:p w14:paraId="27A80E39" w14:textId="498DC0D6" w:rsidR="00C62FE3" w:rsidRPr="009A1B1F" w:rsidRDefault="0070675B" w:rsidP="0014305A">
            <w:pPr>
              <w:jc w:val="right"/>
              <w:rPr>
                <w:sz w:val="16"/>
                <w:szCs w:val="16"/>
              </w:rPr>
            </w:pPr>
            <w:r>
              <w:rPr>
                <w:sz w:val="16"/>
                <w:szCs w:val="16"/>
              </w:rPr>
              <w:t>3,414</w:t>
            </w:r>
          </w:p>
        </w:tc>
        <w:tc>
          <w:tcPr>
            <w:tcW w:w="924" w:type="dxa"/>
            <w:tcBorders>
              <w:top w:val="nil"/>
              <w:left w:val="nil"/>
              <w:bottom w:val="single" w:sz="4" w:space="0" w:color="auto"/>
              <w:right w:val="nil"/>
            </w:tcBorders>
            <w:shd w:val="clear" w:color="auto" w:fill="FFFFFF" w:themeFill="background1"/>
            <w:vAlign w:val="bottom"/>
          </w:tcPr>
          <w:p w14:paraId="75367719" w14:textId="6D753096" w:rsidR="00C62FE3" w:rsidRPr="009A1B1F" w:rsidRDefault="0070675B" w:rsidP="0014305A">
            <w:pPr>
              <w:jc w:val="right"/>
              <w:rPr>
                <w:sz w:val="16"/>
                <w:szCs w:val="16"/>
              </w:rPr>
            </w:pPr>
            <w:r>
              <w:rPr>
                <w:sz w:val="16"/>
                <w:szCs w:val="16"/>
              </w:rPr>
              <w:t>4.97</w:t>
            </w:r>
          </w:p>
        </w:tc>
        <w:tc>
          <w:tcPr>
            <w:tcW w:w="924" w:type="dxa"/>
            <w:tcBorders>
              <w:top w:val="nil"/>
              <w:left w:val="nil"/>
              <w:bottom w:val="single" w:sz="4" w:space="0" w:color="auto"/>
            </w:tcBorders>
            <w:shd w:val="clear" w:color="auto" w:fill="FFFFFF" w:themeFill="background1"/>
            <w:vAlign w:val="bottom"/>
          </w:tcPr>
          <w:p w14:paraId="4583E47B" w14:textId="43D5E141" w:rsidR="00C62FE3" w:rsidRPr="009A1B1F" w:rsidRDefault="0070675B" w:rsidP="0014305A">
            <w:pPr>
              <w:jc w:val="right"/>
              <w:rPr>
                <w:sz w:val="16"/>
                <w:szCs w:val="16"/>
              </w:rPr>
            </w:pPr>
            <w:r>
              <w:rPr>
                <w:sz w:val="16"/>
                <w:szCs w:val="16"/>
              </w:rPr>
              <w:t>9</w:t>
            </w:r>
          </w:p>
        </w:tc>
      </w:tr>
      <w:tr w:rsidR="00A144A0" w14:paraId="0FEE7466" w14:textId="77777777" w:rsidTr="00A144A0">
        <w:trPr>
          <w:cantSplit/>
        </w:trPr>
        <w:tc>
          <w:tcPr>
            <w:tcW w:w="923" w:type="dxa"/>
            <w:tcBorders>
              <w:top w:val="nil"/>
              <w:left w:val="nil"/>
              <w:bottom w:val="nil"/>
            </w:tcBorders>
            <w:shd w:val="clear" w:color="auto" w:fill="FFFFFF" w:themeFill="background1"/>
          </w:tcPr>
          <w:p w14:paraId="2FD8EB7C" w14:textId="5D1DCE56" w:rsidR="00C62FE3" w:rsidRPr="009A1B1F" w:rsidRDefault="00C62FE3" w:rsidP="008443BB">
            <w:pPr>
              <w:rPr>
                <w:sz w:val="16"/>
                <w:szCs w:val="16"/>
              </w:rPr>
            </w:pPr>
            <w:r w:rsidRPr="009A1B1F">
              <w:rPr>
                <w:sz w:val="16"/>
                <w:szCs w:val="16"/>
              </w:rPr>
              <w:t>All Community</w:t>
            </w:r>
          </w:p>
        </w:tc>
        <w:tc>
          <w:tcPr>
            <w:tcW w:w="1035" w:type="dxa"/>
            <w:tcBorders>
              <w:bottom w:val="nil"/>
              <w:right w:val="nil"/>
            </w:tcBorders>
            <w:shd w:val="clear" w:color="auto" w:fill="FFFFFF" w:themeFill="background1"/>
            <w:vAlign w:val="bottom"/>
          </w:tcPr>
          <w:p w14:paraId="2FCEB71C" w14:textId="5FE776C2" w:rsidR="00C62FE3" w:rsidRPr="009A1B1F" w:rsidRDefault="005E07FA" w:rsidP="0014305A">
            <w:pPr>
              <w:jc w:val="right"/>
              <w:rPr>
                <w:sz w:val="16"/>
                <w:szCs w:val="16"/>
              </w:rPr>
            </w:pPr>
            <w:r>
              <w:rPr>
                <w:sz w:val="16"/>
                <w:szCs w:val="16"/>
              </w:rPr>
              <w:t>6,253</w:t>
            </w:r>
          </w:p>
        </w:tc>
        <w:tc>
          <w:tcPr>
            <w:tcW w:w="924" w:type="dxa"/>
            <w:tcBorders>
              <w:left w:val="nil"/>
              <w:bottom w:val="nil"/>
              <w:right w:val="nil"/>
            </w:tcBorders>
            <w:shd w:val="clear" w:color="auto" w:fill="FFFFFF" w:themeFill="background1"/>
            <w:vAlign w:val="bottom"/>
          </w:tcPr>
          <w:p w14:paraId="28537674" w14:textId="2D03CADF" w:rsidR="00C62FE3" w:rsidRPr="009A1B1F" w:rsidRDefault="005E07FA" w:rsidP="0014305A">
            <w:pPr>
              <w:jc w:val="right"/>
              <w:rPr>
                <w:sz w:val="16"/>
                <w:szCs w:val="16"/>
              </w:rPr>
            </w:pPr>
            <w:r>
              <w:rPr>
                <w:sz w:val="16"/>
                <w:szCs w:val="16"/>
              </w:rPr>
              <w:t>31,115</w:t>
            </w:r>
          </w:p>
        </w:tc>
        <w:tc>
          <w:tcPr>
            <w:tcW w:w="924" w:type="dxa"/>
            <w:tcBorders>
              <w:left w:val="nil"/>
              <w:bottom w:val="nil"/>
              <w:right w:val="nil"/>
            </w:tcBorders>
            <w:shd w:val="clear" w:color="auto" w:fill="FFFFFF" w:themeFill="background1"/>
            <w:vAlign w:val="bottom"/>
          </w:tcPr>
          <w:p w14:paraId="24F40C58" w14:textId="2D965111" w:rsidR="00C62FE3" w:rsidRPr="009A1B1F" w:rsidRDefault="005E07FA" w:rsidP="0014305A">
            <w:pPr>
              <w:jc w:val="right"/>
              <w:rPr>
                <w:sz w:val="16"/>
                <w:szCs w:val="16"/>
              </w:rPr>
            </w:pPr>
            <w:r>
              <w:rPr>
                <w:sz w:val="16"/>
                <w:szCs w:val="16"/>
              </w:rPr>
              <w:t>4.98</w:t>
            </w:r>
          </w:p>
        </w:tc>
        <w:tc>
          <w:tcPr>
            <w:tcW w:w="924" w:type="dxa"/>
            <w:tcBorders>
              <w:left w:val="nil"/>
              <w:bottom w:val="nil"/>
            </w:tcBorders>
            <w:shd w:val="clear" w:color="auto" w:fill="FFFFFF" w:themeFill="background1"/>
            <w:vAlign w:val="bottom"/>
          </w:tcPr>
          <w:p w14:paraId="418A5B65" w14:textId="6AB3681C" w:rsidR="00C62FE3" w:rsidRPr="009A1B1F" w:rsidRDefault="005E07FA" w:rsidP="0014305A">
            <w:pPr>
              <w:jc w:val="right"/>
              <w:rPr>
                <w:sz w:val="16"/>
                <w:szCs w:val="16"/>
              </w:rPr>
            </w:pPr>
            <w:r>
              <w:rPr>
                <w:sz w:val="16"/>
                <w:szCs w:val="16"/>
              </w:rPr>
              <w:t>85</w:t>
            </w:r>
          </w:p>
        </w:tc>
        <w:tc>
          <w:tcPr>
            <w:tcW w:w="924" w:type="dxa"/>
            <w:tcBorders>
              <w:bottom w:val="nil"/>
              <w:right w:val="nil"/>
            </w:tcBorders>
            <w:shd w:val="clear" w:color="auto" w:fill="FFFFFF" w:themeFill="background1"/>
            <w:vAlign w:val="bottom"/>
          </w:tcPr>
          <w:p w14:paraId="73E0F9D8" w14:textId="44641D29" w:rsidR="00C62FE3" w:rsidRPr="009A1B1F" w:rsidRDefault="005E07FA" w:rsidP="0014305A">
            <w:pPr>
              <w:jc w:val="right"/>
              <w:rPr>
                <w:sz w:val="16"/>
                <w:szCs w:val="16"/>
              </w:rPr>
            </w:pPr>
            <w:r>
              <w:rPr>
                <w:sz w:val="16"/>
                <w:szCs w:val="16"/>
              </w:rPr>
              <w:t>50.7%</w:t>
            </w:r>
          </w:p>
        </w:tc>
        <w:tc>
          <w:tcPr>
            <w:tcW w:w="924" w:type="dxa"/>
            <w:tcBorders>
              <w:left w:val="nil"/>
              <w:bottom w:val="nil"/>
              <w:right w:val="nil"/>
            </w:tcBorders>
            <w:shd w:val="clear" w:color="auto" w:fill="FFFFFF" w:themeFill="background1"/>
            <w:vAlign w:val="bottom"/>
          </w:tcPr>
          <w:p w14:paraId="18DDD09A" w14:textId="09474458" w:rsidR="00C62FE3" w:rsidRPr="009A1B1F" w:rsidRDefault="005E07FA" w:rsidP="0014305A">
            <w:pPr>
              <w:jc w:val="right"/>
              <w:rPr>
                <w:sz w:val="16"/>
                <w:szCs w:val="16"/>
              </w:rPr>
            </w:pPr>
            <w:r>
              <w:rPr>
                <w:sz w:val="16"/>
                <w:szCs w:val="16"/>
              </w:rPr>
              <w:t>3,168</w:t>
            </w:r>
          </w:p>
        </w:tc>
        <w:tc>
          <w:tcPr>
            <w:tcW w:w="924" w:type="dxa"/>
            <w:tcBorders>
              <w:left w:val="nil"/>
              <w:bottom w:val="nil"/>
              <w:right w:val="nil"/>
            </w:tcBorders>
            <w:shd w:val="clear" w:color="auto" w:fill="FFFFFF" w:themeFill="background1"/>
            <w:vAlign w:val="bottom"/>
          </w:tcPr>
          <w:p w14:paraId="1098649D" w14:textId="2E7B6218" w:rsidR="00C62FE3" w:rsidRPr="009A1B1F" w:rsidRDefault="005E07FA" w:rsidP="0014305A">
            <w:pPr>
              <w:jc w:val="right"/>
              <w:rPr>
                <w:sz w:val="16"/>
                <w:szCs w:val="16"/>
              </w:rPr>
            </w:pPr>
            <w:r>
              <w:rPr>
                <w:sz w:val="16"/>
                <w:szCs w:val="16"/>
              </w:rPr>
              <w:t>15,763</w:t>
            </w:r>
          </w:p>
        </w:tc>
        <w:tc>
          <w:tcPr>
            <w:tcW w:w="924" w:type="dxa"/>
            <w:tcBorders>
              <w:left w:val="nil"/>
              <w:bottom w:val="nil"/>
              <w:right w:val="nil"/>
            </w:tcBorders>
            <w:shd w:val="clear" w:color="auto" w:fill="FFFFFF" w:themeFill="background1"/>
            <w:vAlign w:val="bottom"/>
          </w:tcPr>
          <w:p w14:paraId="41588525" w14:textId="59857CF0" w:rsidR="00C62FE3" w:rsidRPr="009A1B1F" w:rsidRDefault="005E07FA" w:rsidP="0014305A">
            <w:pPr>
              <w:jc w:val="right"/>
              <w:rPr>
                <w:sz w:val="16"/>
                <w:szCs w:val="16"/>
              </w:rPr>
            </w:pPr>
            <w:r>
              <w:rPr>
                <w:sz w:val="16"/>
                <w:szCs w:val="16"/>
              </w:rPr>
              <w:t>4.98</w:t>
            </w:r>
          </w:p>
        </w:tc>
        <w:tc>
          <w:tcPr>
            <w:tcW w:w="924" w:type="dxa"/>
            <w:tcBorders>
              <w:left w:val="nil"/>
              <w:bottom w:val="nil"/>
            </w:tcBorders>
            <w:shd w:val="clear" w:color="auto" w:fill="FFFFFF" w:themeFill="background1"/>
            <w:vAlign w:val="bottom"/>
          </w:tcPr>
          <w:p w14:paraId="7BF8B96D" w14:textId="145B3087" w:rsidR="00C62FE3" w:rsidRPr="009A1B1F" w:rsidRDefault="005E07FA" w:rsidP="0014305A">
            <w:pPr>
              <w:jc w:val="right"/>
              <w:rPr>
                <w:sz w:val="16"/>
                <w:szCs w:val="16"/>
              </w:rPr>
            </w:pPr>
            <w:r>
              <w:rPr>
                <w:sz w:val="16"/>
                <w:szCs w:val="16"/>
              </w:rPr>
              <w:t>43</w:t>
            </w:r>
          </w:p>
        </w:tc>
      </w:tr>
      <w:tr w:rsidR="00C62FE3" w14:paraId="6917FD0D" w14:textId="77777777" w:rsidTr="00A144A0">
        <w:trPr>
          <w:cantSplit/>
        </w:trPr>
        <w:tc>
          <w:tcPr>
            <w:tcW w:w="923" w:type="dxa"/>
            <w:tcBorders>
              <w:top w:val="nil"/>
              <w:left w:val="nil"/>
            </w:tcBorders>
            <w:shd w:val="clear" w:color="auto" w:fill="FFFFFF" w:themeFill="background1"/>
          </w:tcPr>
          <w:p w14:paraId="3DEC4742" w14:textId="3C59C048" w:rsidR="00C62FE3" w:rsidRPr="009A1B1F" w:rsidRDefault="00C62FE3" w:rsidP="008443BB">
            <w:pPr>
              <w:rPr>
                <w:b/>
                <w:bCs/>
                <w:sz w:val="16"/>
                <w:szCs w:val="16"/>
              </w:rPr>
            </w:pPr>
            <w:r w:rsidRPr="009A1B1F">
              <w:rPr>
                <w:b/>
                <w:bCs/>
                <w:sz w:val="16"/>
                <w:szCs w:val="16"/>
              </w:rPr>
              <w:t>Total</w:t>
            </w:r>
          </w:p>
        </w:tc>
        <w:tc>
          <w:tcPr>
            <w:tcW w:w="1035" w:type="dxa"/>
            <w:tcBorders>
              <w:top w:val="nil"/>
              <w:right w:val="nil"/>
            </w:tcBorders>
            <w:shd w:val="clear" w:color="auto" w:fill="FFFFFF" w:themeFill="background1"/>
            <w:vAlign w:val="bottom"/>
          </w:tcPr>
          <w:p w14:paraId="2C76970E" w14:textId="55A11F2A" w:rsidR="00C62FE3" w:rsidRPr="00DB02DF" w:rsidRDefault="00DB02DF" w:rsidP="0014305A">
            <w:pPr>
              <w:jc w:val="right"/>
              <w:rPr>
                <w:b/>
                <w:bCs/>
                <w:sz w:val="16"/>
                <w:szCs w:val="16"/>
              </w:rPr>
            </w:pPr>
            <w:r w:rsidRPr="00DB02DF">
              <w:rPr>
                <w:b/>
                <w:bCs/>
                <w:sz w:val="16"/>
                <w:szCs w:val="16"/>
              </w:rPr>
              <w:t>33,157</w:t>
            </w:r>
          </w:p>
        </w:tc>
        <w:tc>
          <w:tcPr>
            <w:tcW w:w="924" w:type="dxa"/>
            <w:tcBorders>
              <w:top w:val="nil"/>
              <w:left w:val="nil"/>
              <w:right w:val="nil"/>
            </w:tcBorders>
            <w:shd w:val="clear" w:color="auto" w:fill="FFFFFF" w:themeFill="background1"/>
            <w:vAlign w:val="bottom"/>
          </w:tcPr>
          <w:p w14:paraId="5C8DB306" w14:textId="3D01AB9D" w:rsidR="00C62FE3" w:rsidRPr="00DB02DF" w:rsidRDefault="00DB02DF" w:rsidP="0014305A">
            <w:pPr>
              <w:jc w:val="right"/>
              <w:rPr>
                <w:b/>
                <w:bCs/>
                <w:sz w:val="16"/>
                <w:szCs w:val="16"/>
              </w:rPr>
            </w:pPr>
            <w:r w:rsidRPr="00DB02DF">
              <w:rPr>
                <w:b/>
                <w:bCs/>
                <w:sz w:val="16"/>
                <w:szCs w:val="16"/>
              </w:rPr>
              <w:t>252,128</w:t>
            </w:r>
          </w:p>
        </w:tc>
        <w:tc>
          <w:tcPr>
            <w:tcW w:w="924" w:type="dxa"/>
            <w:tcBorders>
              <w:top w:val="nil"/>
              <w:left w:val="nil"/>
              <w:right w:val="nil"/>
            </w:tcBorders>
            <w:shd w:val="clear" w:color="auto" w:fill="FFFFFF" w:themeFill="background1"/>
            <w:vAlign w:val="bottom"/>
          </w:tcPr>
          <w:p w14:paraId="4319DD33" w14:textId="55683073" w:rsidR="00C62FE3" w:rsidRPr="00DB02DF" w:rsidRDefault="00DB02DF" w:rsidP="0014305A">
            <w:pPr>
              <w:jc w:val="right"/>
              <w:rPr>
                <w:b/>
                <w:bCs/>
                <w:sz w:val="16"/>
                <w:szCs w:val="16"/>
              </w:rPr>
            </w:pPr>
            <w:r w:rsidRPr="00DB02DF">
              <w:rPr>
                <w:b/>
                <w:bCs/>
                <w:sz w:val="16"/>
                <w:szCs w:val="16"/>
              </w:rPr>
              <w:t>7.60</w:t>
            </w:r>
          </w:p>
        </w:tc>
        <w:tc>
          <w:tcPr>
            <w:tcW w:w="924" w:type="dxa"/>
            <w:tcBorders>
              <w:top w:val="nil"/>
              <w:left w:val="nil"/>
            </w:tcBorders>
            <w:shd w:val="clear" w:color="auto" w:fill="FFFFFF" w:themeFill="background1"/>
            <w:vAlign w:val="bottom"/>
          </w:tcPr>
          <w:p w14:paraId="5247B635" w14:textId="71AD6CD7" w:rsidR="00C62FE3" w:rsidRPr="00DB02DF" w:rsidRDefault="00DB02DF" w:rsidP="0014305A">
            <w:pPr>
              <w:jc w:val="right"/>
              <w:rPr>
                <w:b/>
                <w:bCs/>
                <w:sz w:val="16"/>
                <w:szCs w:val="16"/>
              </w:rPr>
            </w:pPr>
            <w:r w:rsidRPr="00DB02DF">
              <w:rPr>
                <w:b/>
                <w:bCs/>
                <w:sz w:val="16"/>
                <w:szCs w:val="16"/>
              </w:rPr>
              <w:t>691</w:t>
            </w:r>
          </w:p>
        </w:tc>
        <w:tc>
          <w:tcPr>
            <w:tcW w:w="924" w:type="dxa"/>
            <w:tcBorders>
              <w:top w:val="nil"/>
              <w:right w:val="nil"/>
            </w:tcBorders>
            <w:shd w:val="clear" w:color="auto" w:fill="FFFFFF" w:themeFill="background1"/>
            <w:vAlign w:val="bottom"/>
          </w:tcPr>
          <w:p w14:paraId="2425F070" w14:textId="1C5ACCA9" w:rsidR="00C62FE3" w:rsidRPr="00DB02DF" w:rsidRDefault="00DB02DF" w:rsidP="0014305A">
            <w:pPr>
              <w:jc w:val="right"/>
              <w:rPr>
                <w:b/>
                <w:bCs/>
                <w:sz w:val="16"/>
                <w:szCs w:val="16"/>
              </w:rPr>
            </w:pPr>
            <w:r w:rsidRPr="00DB02DF">
              <w:rPr>
                <w:b/>
                <w:bCs/>
                <w:sz w:val="16"/>
                <w:szCs w:val="16"/>
              </w:rPr>
              <w:t>42.9%</w:t>
            </w:r>
          </w:p>
        </w:tc>
        <w:tc>
          <w:tcPr>
            <w:tcW w:w="924" w:type="dxa"/>
            <w:tcBorders>
              <w:top w:val="nil"/>
              <w:left w:val="nil"/>
              <w:right w:val="nil"/>
            </w:tcBorders>
            <w:shd w:val="clear" w:color="auto" w:fill="FFFFFF" w:themeFill="background1"/>
            <w:vAlign w:val="bottom"/>
          </w:tcPr>
          <w:p w14:paraId="5E85C2B7" w14:textId="58606060" w:rsidR="00C62FE3" w:rsidRPr="00DB02DF" w:rsidRDefault="00DB02DF" w:rsidP="0014305A">
            <w:pPr>
              <w:jc w:val="right"/>
              <w:rPr>
                <w:b/>
                <w:bCs/>
                <w:sz w:val="16"/>
                <w:szCs w:val="16"/>
              </w:rPr>
            </w:pPr>
            <w:r w:rsidRPr="00DB02DF">
              <w:rPr>
                <w:b/>
                <w:bCs/>
                <w:sz w:val="16"/>
                <w:szCs w:val="16"/>
              </w:rPr>
              <w:t>14,214</w:t>
            </w:r>
          </w:p>
        </w:tc>
        <w:tc>
          <w:tcPr>
            <w:tcW w:w="924" w:type="dxa"/>
            <w:tcBorders>
              <w:top w:val="nil"/>
              <w:left w:val="nil"/>
              <w:right w:val="nil"/>
            </w:tcBorders>
            <w:shd w:val="clear" w:color="auto" w:fill="FFFFFF" w:themeFill="background1"/>
            <w:vAlign w:val="bottom"/>
          </w:tcPr>
          <w:p w14:paraId="4C8BD201" w14:textId="40C54A99" w:rsidR="00C62FE3" w:rsidRPr="00DB02DF" w:rsidRDefault="00DB02DF" w:rsidP="0014305A">
            <w:pPr>
              <w:jc w:val="right"/>
              <w:rPr>
                <w:b/>
                <w:bCs/>
                <w:sz w:val="16"/>
                <w:szCs w:val="16"/>
              </w:rPr>
            </w:pPr>
            <w:r w:rsidRPr="00DB02DF">
              <w:rPr>
                <w:b/>
                <w:bCs/>
                <w:sz w:val="16"/>
                <w:szCs w:val="16"/>
              </w:rPr>
              <w:t>109,500</w:t>
            </w:r>
          </w:p>
        </w:tc>
        <w:tc>
          <w:tcPr>
            <w:tcW w:w="924" w:type="dxa"/>
            <w:tcBorders>
              <w:top w:val="nil"/>
              <w:left w:val="nil"/>
              <w:right w:val="nil"/>
            </w:tcBorders>
            <w:shd w:val="clear" w:color="auto" w:fill="FFFFFF" w:themeFill="background1"/>
            <w:vAlign w:val="bottom"/>
          </w:tcPr>
          <w:p w14:paraId="2B043CF1" w14:textId="4AF7DC26" w:rsidR="00C62FE3" w:rsidRPr="00DB02DF" w:rsidRDefault="00DB02DF" w:rsidP="0014305A">
            <w:pPr>
              <w:jc w:val="right"/>
              <w:rPr>
                <w:b/>
                <w:bCs/>
                <w:sz w:val="16"/>
                <w:szCs w:val="16"/>
              </w:rPr>
            </w:pPr>
            <w:r w:rsidRPr="00DB02DF">
              <w:rPr>
                <w:b/>
                <w:bCs/>
                <w:sz w:val="16"/>
                <w:szCs w:val="16"/>
              </w:rPr>
              <w:t>7.70</w:t>
            </w:r>
          </w:p>
        </w:tc>
        <w:tc>
          <w:tcPr>
            <w:tcW w:w="924" w:type="dxa"/>
            <w:tcBorders>
              <w:top w:val="nil"/>
              <w:left w:val="nil"/>
            </w:tcBorders>
            <w:shd w:val="clear" w:color="auto" w:fill="FFFFFF" w:themeFill="background1"/>
            <w:vAlign w:val="bottom"/>
          </w:tcPr>
          <w:p w14:paraId="5CA2B574" w14:textId="30220079" w:rsidR="00C62FE3" w:rsidRPr="00DB02DF" w:rsidRDefault="00DB02DF" w:rsidP="0014305A">
            <w:pPr>
              <w:jc w:val="right"/>
              <w:rPr>
                <w:b/>
                <w:bCs/>
                <w:sz w:val="16"/>
                <w:szCs w:val="16"/>
              </w:rPr>
            </w:pPr>
            <w:r w:rsidRPr="00DB02DF">
              <w:rPr>
                <w:b/>
                <w:bCs/>
                <w:sz w:val="16"/>
                <w:szCs w:val="16"/>
              </w:rPr>
              <w:t>300</w:t>
            </w:r>
          </w:p>
        </w:tc>
      </w:tr>
    </w:tbl>
    <w:p w14:paraId="49F1F234" w14:textId="438A4565" w:rsidR="00D57571" w:rsidRPr="00D57571" w:rsidRDefault="00D57571" w:rsidP="008443BB">
      <w:pPr>
        <w:rPr>
          <w:highlight w:val="darkGray"/>
        </w:rPr>
      </w:pPr>
    </w:p>
    <w:p w14:paraId="4BF5A565" w14:textId="7A8B0A9E" w:rsidR="00EB355C" w:rsidRPr="00EB355C" w:rsidRDefault="00EB355C" w:rsidP="00DF3110">
      <w:pPr>
        <w:rPr>
          <w:u w:val="single"/>
        </w:rPr>
      </w:pPr>
      <w:r>
        <w:rPr>
          <w:u w:val="single"/>
        </w:rPr>
        <w:t xml:space="preserve">If DFCI is permitted to build a cancer hospital with </w:t>
      </w:r>
      <w:r w:rsidR="005D62F5">
        <w:rPr>
          <w:u w:val="single"/>
        </w:rPr>
        <w:t>300 beds</w:t>
      </w:r>
      <w:r>
        <w:rPr>
          <w:u w:val="single"/>
        </w:rPr>
        <w:t>, the project will damage the Commonwealth’s cost containment goals.</w:t>
      </w:r>
    </w:p>
    <w:p w14:paraId="0688BA99" w14:textId="4DD16907" w:rsidR="00DF3110" w:rsidRDefault="00DF3110" w:rsidP="00DF3110">
      <w:r>
        <w:t xml:space="preserve">Since DFCI cannot establish </w:t>
      </w:r>
      <w:r w:rsidR="00EB355C">
        <w:t xml:space="preserve">that </w:t>
      </w:r>
      <w:r w:rsidR="005D62F5">
        <w:t>its theoretical</w:t>
      </w:r>
      <w:r>
        <w:t xml:space="preserve"> Patient Panel </w:t>
      </w:r>
      <w:r w:rsidR="00EB355C">
        <w:t xml:space="preserve">needs more than </w:t>
      </w:r>
      <w:r>
        <w:t>126</w:t>
      </w:r>
      <w:r w:rsidR="00EB355C">
        <w:t xml:space="preserve"> beds</w:t>
      </w:r>
      <w:r>
        <w:t xml:space="preserve">, the Applicant should not be permitted to build and license 300 inpatient beds.  </w:t>
      </w:r>
    </w:p>
    <w:p w14:paraId="68D1E2E4" w14:textId="77777777" w:rsidR="00CC7F6A" w:rsidRDefault="00DF3110" w:rsidP="00DF3110">
      <w:r>
        <w:t>If the Department permits DFCI to license so many</w:t>
      </w:r>
      <w:r w:rsidR="00EB355C">
        <w:t xml:space="preserve"> additional</w:t>
      </w:r>
      <w:r>
        <w:t xml:space="preserve"> inpatient beds, it will lead to increased healthcare costs and destabilization of the health care system.  The shift of patients from community hospitals with lower relative prices (see Table 2 from MGB’s Comments on the ICA) to DFCI for their inpatient care will lead to an increase in the Commonwealth’s total medical expenditures.  </w:t>
      </w:r>
      <w:r w:rsidR="0090306E">
        <w:t xml:space="preserve">In addition to possible increases </w:t>
      </w:r>
      <w:r w:rsidR="006E424B">
        <w:t>to in</w:t>
      </w:r>
      <w:r w:rsidR="0090306E">
        <w:t xml:space="preserve">patient costs (see MGB’s Comments on the ICA for details), the HPC found that </w:t>
      </w:r>
    </w:p>
    <w:p w14:paraId="55C4C8CA" w14:textId="77777777" w:rsidR="00CC7F6A" w:rsidRDefault="00CC7F6A" w:rsidP="00DF3110"/>
    <w:p w14:paraId="3A8AC476" w14:textId="77777777" w:rsidR="00CC7F6A" w:rsidRDefault="00CC7F6A" w:rsidP="00DF3110"/>
    <w:p w14:paraId="72EEA9EB" w14:textId="7957DB73" w:rsidR="000C531C" w:rsidRDefault="0090306E" w:rsidP="00DF3110">
      <w:r>
        <w:t>the Proposed Project will lead to higher commercial outpatient prices of $39 million. See page 48 of the CMIR. The CMIR also predicts that hospitals other than BIDMC, BWH and MGH will lose a combined $60 million to $64 million in commercial revenue per year as oncology discharges shift to DFCI.  See CMIR page 5</w:t>
      </w:r>
      <w:r w:rsidR="00590284">
        <w:t>1</w:t>
      </w:r>
      <w:r>
        <w:t xml:space="preserve">.  </w:t>
      </w:r>
      <w:r w:rsidR="000C531C">
        <w:t xml:space="preserve">Even </w:t>
      </w:r>
      <w:r w:rsidR="000E2544">
        <w:t xml:space="preserve">when accounting for </w:t>
      </w:r>
      <w:r w:rsidR="000C531C">
        <w:t xml:space="preserve">any potential savings in commercial inpatient costs, the CMIR found that DFCI’s proposed hospital will lead to an increase in commercial spending of between $10.7 and $17 million more annually on cancer care.  </w:t>
      </w:r>
    </w:p>
    <w:p w14:paraId="0606A0DF" w14:textId="3F978A90" w:rsidR="0090306E" w:rsidRDefault="0090306E" w:rsidP="00DF3110">
      <w:r>
        <w:t>A</w:t>
      </w:r>
      <w:r w:rsidR="00DF3110">
        <w:t xml:space="preserve">s </w:t>
      </w:r>
      <w:r w:rsidR="0078196E">
        <w:t xml:space="preserve">described </w:t>
      </w:r>
      <w:r w:rsidR="00DF3110">
        <w:t>in MGB’s comments on the ICA, th</w:t>
      </w:r>
      <w:r w:rsidR="000C531C">
        <w:t>e</w:t>
      </w:r>
      <w:r w:rsidR="00DF3110">
        <w:t xml:space="preserve"> shift </w:t>
      </w:r>
      <w:r w:rsidR="000C531C">
        <w:t xml:space="preserve">in patients </w:t>
      </w:r>
      <w:r w:rsidR="00DF3110">
        <w:t>will also lead to a critical worsening of ED capacity and boarding</w:t>
      </w:r>
      <w:r w:rsidR="000C531C">
        <w:t xml:space="preserve"> and a more expensive labor market</w:t>
      </w:r>
      <w:r w:rsidR="00DF3110">
        <w:t xml:space="preserve">.  </w:t>
      </w:r>
      <w:proofErr w:type="gramStart"/>
      <w:r w:rsidR="000C531C">
        <w:t>In order to</w:t>
      </w:r>
      <w:proofErr w:type="gramEnd"/>
      <w:r w:rsidR="000C531C">
        <w:t xml:space="preserve"> operate this building, DFCI anticipates adding </w:t>
      </w:r>
      <w:r w:rsidR="003B01D1">
        <w:t>2,400 new positions in the Boston Longwood area</w:t>
      </w:r>
      <w:r w:rsidR="000C531C">
        <w:t xml:space="preserve">.  This will </w:t>
      </w:r>
      <w:r w:rsidR="003B01D1">
        <w:t xml:space="preserve">create a market shock, driving up labor costs for all healthcare providers in the area or possibly the entire state.  </w:t>
      </w:r>
      <w:r>
        <w:t xml:space="preserve">The CMIR discusses the possibility of increased labor costs for other providers based on this project as well. </w:t>
      </w:r>
      <w:r w:rsidR="003B01D1">
        <w:t xml:space="preserve">Both DFCI and the ICA underestimate the effects of this demand for healthcare workers.  </w:t>
      </w:r>
    </w:p>
    <w:p w14:paraId="7A8C6B39" w14:textId="1E2947D7" w:rsidR="00DF3110" w:rsidRDefault="00DF3110" w:rsidP="00DF3110">
      <w:r>
        <w:t xml:space="preserve">The Staff Report includes a Condition that seems to be aimed at addressing the potential risk to the health care Cost Growth Benchmark established under M.G.L. c. 6D, §9, </w:t>
      </w:r>
      <w:r w:rsidR="00860A73">
        <w:t>but this will not mitigate the damage this Proposed Project will cause to the Commonwealth’s goals for cost containment</w:t>
      </w:r>
      <w:r w:rsidR="00590284">
        <w:t>.</w:t>
      </w:r>
    </w:p>
    <w:p w14:paraId="64E4C81E" w14:textId="18F40542" w:rsidR="00BC6BCC" w:rsidRDefault="00860A73" w:rsidP="00860A73">
      <w:r>
        <w:t xml:space="preserve">As written, proposed Condition 5 looks narrowly at DFCI’s future annual cost per inpatient (while omitting from the calculation the very </w:t>
      </w:r>
      <w:r w:rsidR="0078196E">
        <w:t>costly</w:t>
      </w:r>
      <w:r>
        <w:t xml:space="preserve"> pharmaceutical </w:t>
      </w:r>
      <w:r w:rsidR="0078196E">
        <w:t xml:space="preserve">expenses </w:t>
      </w:r>
      <w:r>
        <w:t>for cancer treatment</w:t>
      </w:r>
      <w:r w:rsidR="006E424B">
        <w:t xml:space="preserve"> and related increases to outpatient costs</w:t>
      </w:r>
      <w:r>
        <w:t xml:space="preserve">) and compares that to the healthcare cost growth benchmark.  </w:t>
      </w:r>
      <w:r w:rsidR="000C531C">
        <w:t xml:space="preserve">The omission of pharmaceutical expenses and outpatient costs is particularly concerning given the CMIR’s expectation that DFCI’s Proposed Project will increase outpatient costs and that $26.5 million of the increase in commercial outpatient prices will be due to higher commercial prices for oncologic drugs at DFCI.  </w:t>
      </w:r>
      <w:r>
        <w:t>This comparison does not address the Do</w:t>
      </w:r>
      <w:r w:rsidR="0078196E">
        <w:t xml:space="preserve">N </w:t>
      </w:r>
      <w:r>
        <w:t xml:space="preserve">factors or the potential damage </w:t>
      </w:r>
      <w:r w:rsidR="0078196E">
        <w:t xml:space="preserve">to the Commonwealth’s health care system </w:t>
      </w:r>
      <w:r>
        <w:t xml:space="preserve">from this Proposed Project.  The DoN factors require DPH to consider how a proposed project will contribute to </w:t>
      </w:r>
      <w:r w:rsidRPr="00860A73">
        <w:t>the Commonwealth’s cost containment goals</w:t>
      </w:r>
      <w:r>
        <w:t xml:space="preserve"> </w:t>
      </w:r>
      <w:r w:rsidR="00F714F3">
        <w:t>for the entire Commonwealth, not just the costs at an individual facility</w:t>
      </w:r>
      <w:r w:rsidR="006E424B">
        <w:t xml:space="preserve"> (see Factors 2 and 4)</w:t>
      </w:r>
      <w:r w:rsidR="00F714F3">
        <w:t xml:space="preserve">.  </w:t>
      </w:r>
      <w:r>
        <w:t xml:space="preserve"> </w:t>
      </w:r>
    </w:p>
    <w:p w14:paraId="77B27747" w14:textId="2797E3ED" w:rsidR="00BC6BCC" w:rsidRDefault="00860A73" w:rsidP="00860A73">
      <w:r w:rsidRPr="00860A73">
        <w:t xml:space="preserve">By looking at DFCI’s percentage growth in annual revenue and comparing it to the health care cost growth benchmark for the year, DPH is looking only at the costs related to the new hospital and not to the </w:t>
      </w:r>
      <w:r w:rsidR="00BC6BCC">
        <w:t xml:space="preserve">overall </w:t>
      </w:r>
      <w:r w:rsidRPr="00860A73">
        <w:t>effects th</w:t>
      </w:r>
      <w:r w:rsidR="006E424B">
        <w:t>e</w:t>
      </w:r>
      <w:r w:rsidRPr="00860A73">
        <w:t xml:space="preserve"> hospital </w:t>
      </w:r>
      <w:r w:rsidR="00BC6BCC">
        <w:t>has on</w:t>
      </w:r>
      <w:r w:rsidRPr="00860A73">
        <w:t xml:space="preserve"> the Commonwealth</w:t>
      </w:r>
      <w:r w:rsidR="00BC6BCC">
        <w:t>’s total health care expenditures</w:t>
      </w:r>
      <w:r w:rsidRPr="00860A73">
        <w:t xml:space="preserve">.  </w:t>
      </w:r>
      <w:r w:rsidR="00BC6BCC">
        <w:t xml:space="preserve">To track whether the new hospital </w:t>
      </w:r>
      <w:r w:rsidR="0078196E">
        <w:t xml:space="preserve">puts </w:t>
      </w:r>
      <w:r w:rsidR="00BC6BCC">
        <w:t>the Commonwealth’s cost containment goals</w:t>
      </w:r>
      <w:r w:rsidR="0078196E">
        <w:t xml:space="preserve"> at risk</w:t>
      </w:r>
      <w:r w:rsidR="00BC6BCC">
        <w:t xml:space="preserve">, DPH should be looking at how the new hospital will impact statewide health care expenditures and therefore damaging the Commonwealth’s ability to stay within the health care cost growth benchmark.  </w:t>
      </w:r>
      <w:r w:rsidR="006E424B">
        <w:t xml:space="preserve"> </w:t>
      </w:r>
      <w:r w:rsidR="00BC6BCC">
        <w:t xml:space="preserve">Such a Condition would necessarily include DPH review of the increased costs due to the shift in patients from community hospitals to DFCI, </w:t>
      </w:r>
      <w:r w:rsidR="006E424B">
        <w:t xml:space="preserve">increased outpatient costs related to this expansion, </w:t>
      </w:r>
      <w:r w:rsidR="00BC6BCC">
        <w:t xml:space="preserve">increased labor costs, and the increased costs due to additional strain on Emergency Departments.  </w:t>
      </w:r>
    </w:p>
    <w:p w14:paraId="7DB8D91E" w14:textId="42FBB82C" w:rsidR="00BC6BCC" w:rsidRDefault="00BC6BCC" w:rsidP="00860A73">
      <w:r>
        <w:t>Such a review is particularly important in this instance, where DFCI does not need a 300-bed hospital for its Patient Panel, so if buil</w:t>
      </w:r>
      <w:r w:rsidR="00A371CA">
        <w:t>t</w:t>
      </w:r>
      <w:r>
        <w:t xml:space="preserve"> as proposed, the project will have a strong impact on total healthcare expenditures by shifting patients from community hospitals to fill the new DFCI beds.  </w:t>
      </w:r>
    </w:p>
    <w:p w14:paraId="682724A2" w14:textId="04C94319" w:rsidR="00860A73" w:rsidRPr="00860A73" w:rsidRDefault="00BC6BCC" w:rsidP="00BC6BCC">
      <w:r>
        <w:t xml:space="preserve">In addition, even if this </w:t>
      </w:r>
      <w:r w:rsidR="0078196E">
        <w:t>c</w:t>
      </w:r>
      <w:r>
        <w:t>ondition</w:t>
      </w:r>
      <w:r w:rsidR="0078196E">
        <w:t xml:space="preserve"> were properly aimed at helping DFCI satisfy Factors 2 and 4</w:t>
      </w:r>
      <w:r>
        <w:t xml:space="preserve">, the Staff Report proposes that if DFCI does increase its annual growth percentage, the solution is to require DFCI to </w:t>
      </w:r>
      <w:r w:rsidR="00860A73" w:rsidRPr="00860A73">
        <w:t xml:space="preserve">develop a plan to make equity investments to increase health equity and access.  That will not </w:t>
      </w:r>
      <w:r w:rsidR="00F714F3">
        <w:t xml:space="preserve">address </w:t>
      </w:r>
      <w:r w:rsidR="0078196E">
        <w:t>the increased</w:t>
      </w:r>
      <w:r w:rsidR="00590284">
        <w:t xml:space="preserve"> total health care expenditures</w:t>
      </w:r>
      <w:r w:rsidR="0078196E">
        <w:t xml:space="preserve"> </w:t>
      </w:r>
      <w:r w:rsidR="00590284">
        <w:t>(</w:t>
      </w:r>
      <w:r w:rsidR="0078196E">
        <w:t>THCE</w:t>
      </w:r>
      <w:r w:rsidR="00590284">
        <w:t>)</w:t>
      </w:r>
      <w:r w:rsidR="0078196E">
        <w:t xml:space="preserve"> due to this project. </w:t>
      </w:r>
      <w:r w:rsidR="00860A73" w:rsidRPr="00860A73">
        <w:t xml:space="preserve"> </w:t>
      </w:r>
    </w:p>
    <w:p w14:paraId="23003E76" w14:textId="77777777" w:rsidR="00CC7F6A" w:rsidRDefault="00CC7F6A" w:rsidP="00DF3110"/>
    <w:p w14:paraId="678B9141" w14:textId="77777777" w:rsidR="00CC7F6A" w:rsidRDefault="00CC7F6A" w:rsidP="00DF3110"/>
    <w:p w14:paraId="533F1DB9" w14:textId="77777777" w:rsidR="00CC7F6A" w:rsidRDefault="00CC7F6A" w:rsidP="00DF3110"/>
    <w:p w14:paraId="2D8F75DC" w14:textId="70504A4B" w:rsidR="000C531C" w:rsidRPr="00A902AD" w:rsidRDefault="00BC6BCC" w:rsidP="00DF3110">
      <w:r>
        <w:t xml:space="preserve">Instead, we suggest the Department </w:t>
      </w:r>
      <w:proofErr w:type="gramStart"/>
      <w:r>
        <w:t>impose</w:t>
      </w:r>
      <w:proofErr w:type="gramEnd"/>
      <w:r>
        <w:t xml:space="preserve"> a condition that </w:t>
      </w:r>
      <w:r w:rsidR="00DF3110">
        <w:t>limits the number of beds that DFCI can build out and lice</w:t>
      </w:r>
      <w:r>
        <w:t>n</w:t>
      </w:r>
      <w:r w:rsidR="00DF3110">
        <w:t xml:space="preserve">se to reflect the actual established needs of DFCI’s Patient Panel.  </w:t>
      </w:r>
      <w:r>
        <w:t xml:space="preserve">The condition should </w:t>
      </w:r>
      <w:r w:rsidR="0078196E">
        <w:t>permit</w:t>
      </w:r>
      <w:r>
        <w:t xml:space="preserve"> DFCI to buil</w:t>
      </w:r>
      <w:r w:rsidR="0078196E">
        <w:t xml:space="preserve">d out </w:t>
      </w:r>
      <w:r>
        <w:t>and licens</w:t>
      </w:r>
      <w:r w:rsidR="0078196E">
        <w:t xml:space="preserve">e </w:t>
      </w:r>
      <w:r>
        <w:t>126 inpatient beds</w:t>
      </w:r>
      <w:r w:rsidR="001C06B4">
        <w:t xml:space="preserve">.  </w:t>
      </w:r>
      <w:r w:rsidR="00DF3110">
        <w:t xml:space="preserve">Prior to permitting any amendment to expand the approved number of beds, DPH should require DFCI to establish </w:t>
      </w:r>
      <w:r w:rsidR="0078196E">
        <w:t xml:space="preserve">to the PHC’s satisfaction </w:t>
      </w:r>
      <w:r w:rsidR="00DF3110">
        <w:t xml:space="preserve">that </w:t>
      </w:r>
      <w:r w:rsidR="001C06B4">
        <w:t xml:space="preserve">any expansion of its Patient Panel need for inpatient beds </w:t>
      </w:r>
      <w:r w:rsidR="00DF3110">
        <w:t>is not due to a shift in patients from community hospitals</w:t>
      </w:r>
      <w:r w:rsidR="001C06B4">
        <w:t>.</w:t>
      </w:r>
      <w:r w:rsidR="00DF3110">
        <w:t xml:space="preserve">  This condition is necessary because as currently proposed, the DFCI project is inconsistent with the Commonwealth’s cost-containment goals and will raise healthcare costs in the Commonwealth by building capacity that its Patient Panel does not need.  </w:t>
      </w:r>
    </w:p>
    <w:p w14:paraId="4781201D" w14:textId="026CE917" w:rsidR="009C326C" w:rsidRPr="00FC6EFD" w:rsidRDefault="009C326C" w:rsidP="009C326C">
      <w:pPr>
        <w:rPr>
          <w:b/>
          <w:bCs/>
          <w:u w:val="single"/>
        </w:rPr>
      </w:pPr>
      <w:r w:rsidRPr="00FC6EFD">
        <w:rPr>
          <w:b/>
          <w:bCs/>
          <w:u w:val="single"/>
        </w:rPr>
        <w:t>Conclusion</w:t>
      </w:r>
    </w:p>
    <w:p w14:paraId="4DC5B935" w14:textId="054DAAAA" w:rsidR="00D56D32" w:rsidRDefault="0078196E" w:rsidP="009C326C">
      <w:r>
        <w:t xml:space="preserve">DFCI has not established that it has Patient Panel need for 300 new cancer beds, and if the Department permits DFCI to build this project as proposed, it will irretrievably lead to increases in THCE, as well as destabilizing </w:t>
      </w:r>
      <w:r w:rsidR="000E2544">
        <w:t xml:space="preserve">the </w:t>
      </w:r>
      <w:r>
        <w:t xml:space="preserve">hospitals that currently provide high quality cancer care.  </w:t>
      </w:r>
      <w:r w:rsidR="00A22F26">
        <w:t xml:space="preserve">If built as proposed, the new hospital will lead to increased healthcare costs, a </w:t>
      </w:r>
      <w:r w:rsidR="00D56D32" w:rsidRPr="00E2321C">
        <w:t xml:space="preserve">more expensive labor </w:t>
      </w:r>
      <w:r w:rsidR="00A22F26">
        <w:t xml:space="preserve">market, </w:t>
      </w:r>
      <w:r w:rsidR="00D01269">
        <w:t xml:space="preserve">a damaging shift of patients from </w:t>
      </w:r>
      <w:r w:rsidR="00A22F26">
        <w:t xml:space="preserve">community hospitals that currently provide cancer care, and a </w:t>
      </w:r>
      <w:r w:rsidR="00D56D32" w:rsidRPr="00E2321C">
        <w:t xml:space="preserve">critical worsening of ED Capacity and boarding, which is </w:t>
      </w:r>
      <w:r w:rsidR="00A22F26">
        <w:t xml:space="preserve">already </w:t>
      </w:r>
      <w:r w:rsidR="00D56D32" w:rsidRPr="00E2321C">
        <w:t xml:space="preserve">at a crisis level. </w:t>
      </w:r>
    </w:p>
    <w:p w14:paraId="5EFF2334" w14:textId="0D0736C3" w:rsidR="0078196E" w:rsidRDefault="0078196E" w:rsidP="009C326C">
      <w:r>
        <w:t>The risk of this approval cannot be mitigated by an after</w:t>
      </w:r>
      <w:r w:rsidR="000E2544">
        <w:t>-</w:t>
      </w:r>
      <w:r>
        <w:t>the</w:t>
      </w:r>
      <w:r w:rsidR="000E2544">
        <w:t>-</w:t>
      </w:r>
      <w:r>
        <w:t xml:space="preserve">fact plan to increase DFCI’s investments in health equity and access.  Instead, the Department should consider imposing a condition that is directed at addressing these possible risks by limiting the number of beds DFCI can open to the number needed by its Patient Panel, instead of approving more than twice than number of beds.  </w:t>
      </w:r>
    </w:p>
    <w:p w14:paraId="14B23F2C" w14:textId="7E179EA7" w:rsidR="00A146C9" w:rsidRDefault="00A146C9" w:rsidP="00E2321C"/>
    <w:p w14:paraId="0DC744C6" w14:textId="77777777" w:rsidR="00CC7F6A" w:rsidRDefault="00CC7F6A" w:rsidP="00CC7F6A">
      <w:r>
        <w:t xml:space="preserve">Sincerely, </w:t>
      </w:r>
    </w:p>
    <w:p w14:paraId="30A61C40" w14:textId="6F244FFF" w:rsidR="00CC7F6A" w:rsidRDefault="00CC7F6A" w:rsidP="00CC7F6A">
      <w:pPr>
        <w:ind w:left="-90"/>
      </w:pPr>
    </w:p>
    <w:p w14:paraId="7290FE4A" w14:textId="77ABE460" w:rsidR="001D1861" w:rsidRDefault="001D1861" w:rsidP="00CC7F6A">
      <w:pPr>
        <w:pStyle w:val="Bodytext"/>
        <w:spacing w:after="0" w:line="260" w:lineRule="exact"/>
        <w:contextualSpacing/>
      </w:pPr>
      <w:r>
        <w:t>[signature on file]</w:t>
      </w:r>
    </w:p>
    <w:p w14:paraId="62F6F9B8" w14:textId="77777777" w:rsidR="00294E18" w:rsidRPr="00294E18" w:rsidRDefault="00294E18" w:rsidP="00294E18"/>
    <w:p w14:paraId="6F967F31" w14:textId="73D5F7D1" w:rsidR="00CC7F6A" w:rsidRPr="00801A8E" w:rsidRDefault="00CC7F6A" w:rsidP="00CC7F6A">
      <w:pPr>
        <w:pStyle w:val="Bodytext"/>
        <w:spacing w:after="0" w:line="260" w:lineRule="exact"/>
        <w:contextualSpacing/>
      </w:pPr>
      <w:r>
        <w:t>Christopher Philbin</w:t>
      </w:r>
      <w:r>
        <w:br/>
        <w:t>Vice President, Office of Government Affairs</w:t>
      </w:r>
    </w:p>
    <w:p w14:paraId="7B9A60A0" w14:textId="77777777" w:rsidR="00CC7F6A" w:rsidRDefault="00CC7F6A" w:rsidP="00CC7F6A">
      <w:pPr>
        <w:spacing w:after="0" w:line="240" w:lineRule="auto"/>
      </w:pPr>
    </w:p>
    <w:p w14:paraId="0E166FAF" w14:textId="77777777" w:rsidR="00CC7F6A" w:rsidRDefault="00CC7F6A" w:rsidP="00E2321C"/>
    <w:sectPr w:rsidR="00CC7F6A" w:rsidSect="00CC7F6A">
      <w:footerReference w:type="default" r:id="rId12"/>
      <w:pgSz w:w="12240" w:h="15840"/>
      <w:pgMar w:top="288"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B184" w14:textId="77777777" w:rsidR="00581E40" w:rsidRDefault="00581E40" w:rsidP="005F2DE4">
      <w:pPr>
        <w:spacing w:after="0" w:line="240" w:lineRule="auto"/>
      </w:pPr>
      <w:r>
        <w:separator/>
      </w:r>
    </w:p>
  </w:endnote>
  <w:endnote w:type="continuationSeparator" w:id="0">
    <w:p w14:paraId="5EEAF4E6" w14:textId="77777777" w:rsidR="00581E40" w:rsidRDefault="00581E40" w:rsidP="005F2DE4">
      <w:pPr>
        <w:spacing w:after="0" w:line="240" w:lineRule="auto"/>
      </w:pPr>
      <w:r>
        <w:continuationSeparator/>
      </w:r>
    </w:p>
  </w:endnote>
  <w:endnote w:type="continuationNotice" w:id="1">
    <w:p w14:paraId="0AF58999" w14:textId="77777777" w:rsidR="00581E40" w:rsidRDefault="00581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12751"/>
      <w:docPartObj>
        <w:docPartGallery w:val="Page Numbers (Bottom of Page)"/>
        <w:docPartUnique/>
      </w:docPartObj>
    </w:sdtPr>
    <w:sdtEndPr>
      <w:rPr>
        <w:noProof/>
      </w:rPr>
    </w:sdtEndPr>
    <w:sdtContent>
      <w:p w14:paraId="649D1C15" w14:textId="4D12AE37" w:rsidR="00B92DAC" w:rsidRDefault="00B92DAC">
        <w:pPr>
          <w:pStyle w:val="Footer"/>
        </w:pPr>
        <w:r>
          <w:fldChar w:fldCharType="begin"/>
        </w:r>
        <w:r>
          <w:instrText xml:space="preserve"> PAGE   \* MERGEFORMAT </w:instrText>
        </w:r>
        <w:r>
          <w:fldChar w:fldCharType="separate"/>
        </w:r>
        <w:r>
          <w:rPr>
            <w:noProof/>
          </w:rPr>
          <w:t>2</w:t>
        </w:r>
        <w:r>
          <w:rPr>
            <w:noProof/>
          </w:rPr>
          <w:fldChar w:fldCharType="end"/>
        </w:r>
      </w:p>
    </w:sdtContent>
  </w:sdt>
  <w:p w14:paraId="4A64057A" w14:textId="77777777" w:rsidR="00B92DAC" w:rsidRDefault="00B9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6FC7" w14:textId="77777777" w:rsidR="00581E40" w:rsidRDefault="00581E40" w:rsidP="005F2DE4">
      <w:pPr>
        <w:spacing w:after="0" w:line="240" w:lineRule="auto"/>
      </w:pPr>
      <w:r>
        <w:separator/>
      </w:r>
    </w:p>
  </w:footnote>
  <w:footnote w:type="continuationSeparator" w:id="0">
    <w:p w14:paraId="7E3C4FCF" w14:textId="77777777" w:rsidR="00581E40" w:rsidRDefault="00581E40" w:rsidP="005F2DE4">
      <w:pPr>
        <w:spacing w:after="0" w:line="240" w:lineRule="auto"/>
      </w:pPr>
      <w:r>
        <w:continuationSeparator/>
      </w:r>
    </w:p>
  </w:footnote>
  <w:footnote w:type="continuationNotice" w:id="1">
    <w:p w14:paraId="16DB80B9" w14:textId="77777777" w:rsidR="00581E40" w:rsidRDefault="00581E40">
      <w:pPr>
        <w:spacing w:after="0" w:line="240" w:lineRule="auto"/>
      </w:pPr>
    </w:p>
  </w:footnote>
  <w:footnote w:id="2">
    <w:p w14:paraId="02DEDA5D" w14:textId="7E36BEEA" w:rsidR="000C531C" w:rsidRDefault="000C531C">
      <w:pPr>
        <w:pStyle w:val="FootnoteText"/>
      </w:pPr>
      <w:r>
        <w:rPr>
          <w:rStyle w:val="FootnoteReference"/>
        </w:rPr>
        <w:footnoteRef/>
      </w:r>
      <w:r>
        <w:t xml:space="preserve"> DPH defines Patient Panel as </w:t>
      </w:r>
      <w:r w:rsidR="000E2544">
        <w:t>t</w:t>
      </w:r>
      <w:r w:rsidR="000E2544" w:rsidRPr="000E2544">
        <w:t xml:space="preserve">he </w:t>
      </w:r>
      <w:r w:rsidR="000E2544">
        <w:t>“</w:t>
      </w:r>
      <w:r w:rsidR="000E2544" w:rsidRPr="000E2544">
        <w:t>total of the individual patients regardless of payer, including those patients seen within an emergency department(s) if applicable, seen over the course of the most recent complete 36-month period by the Applicant or Holder.</w:t>
      </w:r>
      <w:r w:rsidR="000E2544">
        <w:t xml:space="preserve">” This definition does not help identify need for the proposed 300-bed hospital because currently cancer care at BWH is provide in an integrated way with DFCI and BWH working together to treat patients. The patients currently receiving care at the Cancer Center are on the Patient Panel of both DFCI and BWH.  The question for determining need is whether those patients will seek care at the DFCI hospital or continue their care at BWH.  </w:t>
      </w:r>
    </w:p>
  </w:footnote>
  <w:footnote w:id="3">
    <w:p w14:paraId="2E0F96B4" w14:textId="31A52F98" w:rsidR="0040202C" w:rsidRDefault="0040202C">
      <w:pPr>
        <w:pStyle w:val="FootnoteText"/>
      </w:pPr>
      <w:r>
        <w:rPr>
          <w:rStyle w:val="FootnoteReference"/>
        </w:rPr>
        <w:footnoteRef/>
      </w:r>
      <w:r>
        <w:t xml:space="preserve"> As described in MGB’s comments on the ICA, typically a primary care or specialist provider will identify a suspicious finding and refer the patient to the MGB Early Detection and Diagnostics Clinic.  The patient will then be referred to a </w:t>
      </w:r>
      <w:r w:rsidRPr="00F06E4A">
        <w:t>surgeon, medical oncologist, or radiation oncologist</w:t>
      </w:r>
      <w:r>
        <w:t xml:space="preserve"> based on the results and treatment needs.  </w:t>
      </w:r>
      <w:r w:rsidR="00EB33EE">
        <w:t xml:space="preserve">Alternatively, a </w:t>
      </w:r>
      <w:r>
        <w:t xml:space="preserve">primary care provider </w:t>
      </w:r>
      <w:r w:rsidR="00EB33EE">
        <w:t xml:space="preserve">or specialist will directly </w:t>
      </w:r>
      <w:r>
        <w:t>refer</w:t>
      </w:r>
      <w:r w:rsidR="00EB33EE">
        <w:t xml:space="preserve"> </w:t>
      </w:r>
      <w:r>
        <w:t>a patient to a surgeon</w:t>
      </w:r>
      <w:r w:rsidR="00EB33E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0A7"/>
    <w:multiLevelType w:val="hybridMultilevel"/>
    <w:tmpl w:val="1DEAE8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D0C45"/>
    <w:multiLevelType w:val="multilevel"/>
    <w:tmpl w:val="D99A6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730015"/>
    <w:multiLevelType w:val="hybridMultilevel"/>
    <w:tmpl w:val="E3B88B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645B13"/>
    <w:multiLevelType w:val="multilevel"/>
    <w:tmpl w:val="515EE0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2A407D"/>
    <w:multiLevelType w:val="hybridMultilevel"/>
    <w:tmpl w:val="D9F89B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7AA3553"/>
    <w:multiLevelType w:val="hybridMultilevel"/>
    <w:tmpl w:val="E5A69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F83FDA"/>
    <w:multiLevelType w:val="hybridMultilevel"/>
    <w:tmpl w:val="9EB8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17001"/>
    <w:multiLevelType w:val="multilevel"/>
    <w:tmpl w:val="46081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9F003F"/>
    <w:multiLevelType w:val="hybridMultilevel"/>
    <w:tmpl w:val="9D8A3498"/>
    <w:lvl w:ilvl="0" w:tplc="3CB8EA56">
      <w:numFmt w:val="bullet"/>
      <w:lvlText w:val="-"/>
      <w:lvlJc w:val="left"/>
      <w:pPr>
        <w:ind w:left="720" w:hanging="360"/>
      </w:pPr>
      <w:rPr>
        <w:rFonts w:ascii="Georgia" w:eastAsia="Aptos"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765BF3"/>
    <w:multiLevelType w:val="hybridMultilevel"/>
    <w:tmpl w:val="9C7CD3B6"/>
    <w:lvl w:ilvl="0" w:tplc="5E02068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5262FB5"/>
    <w:multiLevelType w:val="hybridMultilevel"/>
    <w:tmpl w:val="D1CAC7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791685"/>
    <w:multiLevelType w:val="hybridMultilevel"/>
    <w:tmpl w:val="48D6A0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E012C6"/>
    <w:multiLevelType w:val="hybridMultilevel"/>
    <w:tmpl w:val="EBE45232"/>
    <w:lvl w:ilvl="0" w:tplc="DC88D2CA">
      <w:start w:val="1"/>
      <w:numFmt w:val="lowerLetter"/>
      <w:lvlText w:val="%1."/>
      <w:lvlJc w:val="left"/>
      <w:pPr>
        <w:ind w:left="1440" w:hanging="360"/>
      </w:pPr>
    </w:lvl>
    <w:lvl w:ilvl="1" w:tplc="363E5C1A">
      <w:start w:val="1"/>
      <w:numFmt w:val="lowerLetter"/>
      <w:lvlText w:val="%2."/>
      <w:lvlJc w:val="left"/>
      <w:pPr>
        <w:ind w:left="1440" w:hanging="360"/>
      </w:pPr>
    </w:lvl>
    <w:lvl w:ilvl="2" w:tplc="CF9C50C2">
      <w:start w:val="1"/>
      <w:numFmt w:val="lowerLetter"/>
      <w:lvlText w:val="%3."/>
      <w:lvlJc w:val="left"/>
      <w:pPr>
        <w:ind w:left="1440" w:hanging="360"/>
      </w:pPr>
    </w:lvl>
    <w:lvl w:ilvl="3" w:tplc="91C48B82">
      <w:start w:val="1"/>
      <w:numFmt w:val="lowerLetter"/>
      <w:lvlText w:val="%4."/>
      <w:lvlJc w:val="left"/>
      <w:pPr>
        <w:ind w:left="1440" w:hanging="360"/>
      </w:pPr>
    </w:lvl>
    <w:lvl w:ilvl="4" w:tplc="8AE03FC4">
      <w:start w:val="1"/>
      <w:numFmt w:val="lowerLetter"/>
      <w:lvlText w:val="%5."/>
      <w:lvlJc w:val="left"/>
      <w:pPr>
        <w:ind w:left="1440" w:hanging="360"/>
      </w:pPr>
    </w:lvl>
    <w:lvl w:ilvl="5" w:tplc="A9186F0C">
      <w:start w:val="1"/>
      <w:numFmt w:val="lowerLetter"/>
      <w:lvlText w:val="%6."/>
      <w:lvlJc w:val="left"/>
      <w:pPr>
        <w:ind w:left="1440" w:hanging="360"/>
      </w:pPr>
    </w:lvl>
    <w:lvl w:ilvl="6" w:tplc="7732259E">
      <w:start w:val="1"/>
      <w:numFmt w:val="lowerLetter"/>
      <w:lvlText w:val="%7."/>
      <w:lvlJc w:val="left"/>
      <w:pPr>
        <w:ind w:left="1440" w:hanging="360"/>
      </w:pPr>
    </w:lvl>
    <w:lvl w:ilvl="7" w:tplc="6AEE9ADA">
      <w:start w:val="1"/>
      <w:numFmt w:val="lowerLetter"/>
      <w:lvlText w:val="%8."/>
      <w:lvlJc w:val="left"/>
      <w:pPr>
        <w:ind w:left="1440" w:hanging="360"/>
      </w:pPr>
    </w:lvl>
    <w:lvl w:ilvl="8" w:tplc="47722FBC">
      <w:start w:val="1"/>
      <w:numFmt w:val="lowerLetter"/>
      <w:lvlText w:val="%9."/>
      <w:lvlJc w:val="left"/>
      <w:pPr>
        <w:ind w:left="1440" w:hanging="360"/>
      </w:pPr>
    </w:lvl>
  </w:abstractNum>
  <w:abstractNum w:abstractNumId="13" w15:restartNumberingAfterBreak="0">
    <w:nsid w:val="662D06EA"/>
    <w:multiLevelType w:val="hybridMultilevel"/>
    <w:tmpl w:val="6D8632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BB0BF9"/>
    <w:multiLevelType w:val="hybridMultilevel"/>
    <w:tmpl w:val="06868E34"/>
    <w:lvl w:ilvl="0" w:tplc="E398DAC4">
      <w:start w:val="1"/>
      <w:numFmt w:val="decimal"/>
      <w:lvlText w:val="%1)"/>
      <w:lvlJc w:val="left"/>
      <w:pPr>
        <w:ind w:left="1020" w:hanging="360"/>
      </w:pPr>
    </w:lvl>
    <w:lvl w:ilvl="1" w:tplc="284684CE">
      <w:start w:val="1"/>
      <w:numFmt w:val="decimal"/>
      <w:lvlText w:val="%2)"/>
      <w:lvlJc w:val="left"/>
      <w:pPr>
        <w:ind w:left="1020" w:hanging="360"/>
      </w:pPr>
    </w:lvl>
    <w:lvl w:ilvl="2" w:tplc="4ED2256E">
      <w:start w:val="1"/>
      <w:numFmt w:val="decimal"/>
      <w:lvlText w:val="%3)"/>
      <w:lvlJc w:val="left"/>
      <w:pPr>
        <w:ind w:left="1020" w:hanging="360"/>
      </w:pPr>
    </w:lvl>
    <w:lvl w:ilvl="3" w:tplc="6D34E3B2">
      <w:start w:val="1"/>
      <w:numFmt w:val="decimal"/>
      <w:lvlText w:val="%4)"/>
      <w:lvlJc w:val="left"/>
      <w:pPr>
        <w:ind w:left="1020" w:hanging="360"/>
      </w:pPr>
    </w:lvl>
    <w:lvl w:ilvl="4" w:tplc="B0C64DFA">
      <w:start w:val="1"/>
      <w:numFmt w:val="decimal"/>
      <w:lvlText w:val="%5)"/>
      <w:lvlJc w:val="left"/>
      <w:pPr>
        <w:ind w:left="1020" w:hanging="360"/>
      </w:pPr>
    </w:lvl>
    <w:lvl w:ilvl="5" w:tplc="F5BA8236">
      <w:start w:val="1"/>
      <w:numFmt w:val="decimal"/>
      <w:lvlText w:val="%6)"/>
      <w:lvlJc w:val="left"/>
      <w:pPr>
        <w:ind w:left="1020" w:hanging="360"/>
      </w:pPr>
    </w:lvl>
    <w:lvl w:ilvl="6" w:tplc="E9A4D512">
      <w:start w:val="1"/>
      <w:numFmt w:val="decimal"/>
      <w:lvlText w:val="%7)"/>
      <w:lvlJc w:val="left"/>
      <w:pPr>
        <w:ind w:left="1020" w:hanging="360"/>
      </w:pPr>
    </w:lvl>
    <w:lvl w:ilvl="7" w:tplc="B7A85A48">
      <w:start w:val="1"/>
      <w:numFmt w:val="decimal"/>
      <w:lvlText w:val="%8)"/>
      <w:lvlJc w:val="left"/>
      <w:pPr>
        <w:ind w:left="1020" w:hanging="360"/>
      </w:pPr>
    </w:lvl>
    <w:lvl w:ilvl="8" w:tplc="F3C44D46">
      <w:start w:val="1"/>
      <w:numFmt w:val="decimal"/>
      <w:lvlText w:val="%9)"/>
      <w:lvlJc w:val="left"/>
      <w:pPr>
        <w:ind w:left="1020" w:hanging="360"/>
      </w:pPr>
    </w:lvl>
  </w:abstractNum>
  <w:abstractNum w:abstractNumId="15" w15:restartNumberingAfterBreak="0">
    <w:nsid w:val="78C617DB"/>
    <w:multiLevelType w:val="hybridMultilevel"/>
    <w:tmpl w:val="BA18B9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062A6D"/>
    <w:multiLevelType w:val="multilevel"/>
    <w:tmpl w:val="9C864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2827051">
    <w:abstractNumId w:val="13"/>
  </w:num>
  <w:num w:numId="2" w16cid:durableId="699628044">
    <w:abstractNumId w:val="15"/>
  </w:num>
  <w:num w:numId="3" w16cid:durableId="922955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869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50970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744488">
    <w:abstractNumId w:val="4"/>
  </w:num>
  <w:num w:numId="7" w16cid:durableId="1009716593">
    <w:abstractNumId w:val="11"/>
  </w:num>
  <w:num w:numId="8" w16cid:durableId="188421363">
    <w:abstractNumId w:val="10"/>
  </w:num>
  <w:num w:numId="9" w16cid:durableId="630862217">
    <w:abstractNumId w:val="0"/>
  </w:num>
  <w:num w:numId="10" w16cid:durableId="1741367219">
    <w:abstractNumId w:val="6"/>
  </w:num>
  <w:num w:numId="11" w16cid:durableId="1578828254">
    <w:abstractNumId w:val="12"/>
  </w:num>
  <w:num w:numId="12" w16cid:durableId="1105267560">
    <w:abstractNumId w:val="8"/>
  </w:num>
  <w:num w:numId="13" w16cid:durableId="989671655">
    <w:abstractNumId w:val="5"/>
  </w:num>
  <w:num w:numId="14" w16cid:durableId="74476879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638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4791897">
    <w:abstractNumId w:val="14"/>
  </w:num>
  <w:num w:numId="17" w16cid:durableId="29646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3609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D4"/>
    <w:rsid w:val="00001AE0"/>
    <w:rsid w:val="00010182"/>
    <w:rsid w:val="0001203C"/>
    <w:rsid w:val="00013C5B"/>
    <w:rsid w:val="00021A1B"/>
    <w:rsid w:val="00021F78"/>
    <w:rsid w:val="0003718A"/>
    <w:rsid w:val="000375D6"/>
    <w:rsid w:val="00041423"/>
    <w:rsid w:val="000465AC"/>
    <w:rsid w:val="0005134C"/>
    <w:rsid w:val="00051B93"/>
    <w:rsid w:val="00052BEE"/>
    <w:rsid w:val="00057105"/>
    <w:rsid w:val="00057317"/>
    <w:rsid w:val="0006533F"/>
    <w:rsid w:val="000669C3"/>
    <w:rsid w:val="00067F64"/>
    <w:rsid w:val="000712EC"/>
    <w:rsid w:val="00071660"/>
    <w:rsid w:val="00072E6F"/>
    <w:rsid w:val="000746CF"/>
    <w:rsid w:val="00074F5F"/>
    <w:rsid w:val="00092C8F"/>
    <w:rsid w:val="00093624"/>
    <w:rsid w:val="00096783"/>
    <w:rsid w:val="0009687C"/>
    <w:rsid w:val="000B274F"/>
    <w:rsid w:val="000B2928"/>
    <w:rsid w:val="000B7E08"/>
    <w:rsid w:val="000C2480"/>
    <w:rsid w:val="000C40C2"/>
    <w:rsid w:val="000C48F1"/>
    <w:rsid w:val="000C531C"/>
    <w:rsid w:val="000D15F9"/>
    <w:rsid w:val="000E2544"/>
    <w:rsid w:val="000F02E4"/>
    <w:rsid w:val="000F0974"/>
    <w:rsid w:val="000F2FB9"/>
    <w:rsid w:val="00100676"/>
    <w:rsid w:val="001017E9"/>
    <w:rsid w:val="00103249"/>
    <w:rsid w:val="001044D5"/>
    <w:rsid w:val="00105313"/>
    <w:rsid w:val="00112845"/>
    <w:rsid w:val="00112A47"/>
    <w:rsid w:val="00112EE2"/>
    <w:rsid w:val="00125244"/>
    <w:rsid w:val="00131942"/>
    <w:rsid w:val="00142587"/>
    <w:rsid w:val="0014305A"/>
    <w:rsid w:val="00143F65"/>
    <w:rsid w:val="0015037D"/>
    <w:rsid w:val="001518F6"/>
    <w:rsid w:val="00152067"/>
    <w:rsid w:val="0015437B"/>
    <w:rsid w:val="00156EDB"/>
    <w:rsid w:val="00163350"/>
    <w:rsid w:val="00163375"/>
    <w:rsid w:val="001727B9"/>
    <w:rsid w:val="00181958"/>
    <w:rsid w:val="001926DE"/>
    <w:rsid w:val="0019591F"/>
    <w:rsid w:val="00196635"/>
    <w:rsid w:val="001A460C"/>
    <w:rsid w:val="001A4B50"/>
    <w:rsid w:val="001A67B6"/>
    <w:rsid w:val="001A6ADF"/>
    <w:rsid w:val="001B1EDC"/>
    <w:rsid w:val="001C06B4"/>
    <w:rsid w:val="001C34C6"/>
    <w:rsid w:val="001C4951"/>
    <w:rsid w:val="001C5EC4"/>
    <w:rsid w:val="001D0FBE"/>
    <w:rsid w:val="001D1861"/>
    <w:rsid w:val="001D2393"/>
    <w:rsid w:val="001D49C3"/>
    <w:rsid w:val="001D7AB9"/>
    <w:rsid w:val="001E03ED"/>
    <w:rsid w:val="001E7412"/>
    <w:rsid w:val="001F6085"/>
    <w:rsid w:val="002002D2"/>
    <w:rsid w:val="002024C2"/>
    <w:rsid w:val="00205A30"/>
    <w:rsid w:val="00212965"/>
    <w:rsid w:val="002140FC"/>
    <w:rsid w:val="00217073"/>
    <w:rsid w:val="002214A7"/>
    <w:rsid w:val="00227BC8"/>
    <w:rsid w:val="00234CA2"/>
    <w:rsid w:val="002353B6"/>
    <w:rsid w:val="00235B81"/>
    <w:rsid w:val="0023641B"/>
    <w:rsid w:val="00244072"/>
    <w:rsid w:val="00247952"/>
    <w:rsid w:val="002563DC"/>
    <w:rsid w:val="0026091E"/>
    <w:rsid w:val="002609F6"/>
    <w:rsid w:val="0026297D"/>
    <w:rsid w:val="00276270"/>
    <w:rsid w:val="0028206F"/>
    <w:rsid w:val="00285FFC"/>
    <w:rsid w:val="002927EC"/>
    <w:rsid w:val="00294180"/>
    <w:rsid w:val="00294E18"/>
    <w:rsid w:val="00296E5C"/>
    <w:rsid w:val="002B3730"/>
    <w:rsid w:val="002B79EB"/>
    <w:rsid w:val="002B7EF5"/>
    <w:rsid w:val="002C029E"/>
    <w:rsid w:val="002C2658"/>
    <w:rsid w:val="002C53AB"/>
    <w:rsid w:val="002C5724"/>
    <w:rsid w:val="002D017D"/>
    <w:rsid w:val="002D09A5"/>
    <w:rsid w:val="002D2CDB"/>
    <w:rsid w:val="002D2DCA"/>
    <w:rsid w:val="002E0349"/>
    <w:rsid w:val="002E2B7E"/>
    <w:rsid w:val="002E47BA"/>
    <w:rsid w:val="002E493E"/>
    <w:rsid w:val="002F1CB3"/>
    <w:rsid w:val="002F4EB8"/>
    <w:rsid w:val="002F5C4C"/>
    <w:rsid w:val="002F6D58"/>
    <w:rsid w:val="002F7274"/>
    <w:rsid w:val="00300228"/>
    <w:rsid w:val="00301A0C"/>
    <w:rsid w:val="00302C81"/>
    <w:rsid w:val="0030523A"/>
    <w:rsid w:val="00313533"/>
    <w:rsid w:val="003164AE"/>
    <w:rsid w:val="00317491"/>
    <w:rsid w:val="0032347B"/>
    <w:rsid w:val="0032404A"/>
    <w:rsid w:val="00332B8E"/>
    <w:rsid w:val="0033592F"/>
    <w:rsid w:val="00336174"/>
    <w:rsid w:val="0034220F"/>
    <w:rsid w:val="003466C4"/>
    <w:rsid w:val="00355BFC"/>
    <w:rsid w:val="00361888"/>
    <w:rsid w:val="003642FE"/>
    <w:rsid w:val="00375F7B"/>
    <w:rsid w:val="00376AB4"/>
    <w:rsid w:val="00383405"/>
    <w:rsid w:val="003837BE"/>
    <w:rsid w:val="0038631B"/>
    <w:rsid w:val="003A6AC6"/>
    <w:rsid w:val="003A7FE8"/>
    <w:rsid w:val="003B01D1"/>
    <w:rsid w:val="003B242A"/>
    <w:rsid w:val="003B3C4F"/>
    <w:rsid w:val="003C0E85"/>
    <w:rsid w:val="003C2473"/>
    <w:rsid w:val="003C2F9B"/>
    <w:rsid w:val="003C3896"/>
    <w:rsid w:val="003C3FC3"/>
    <w:rsid w:val="003C6C60"/>
    <w:rsid w:val="003D1154"/>
    <w:rsid w:val="003D3CE7"/>
    <w:rsid w:val="003D4792"/>
    <w:rsid w:val="003D5C9A"/>
    <w:rsid w:val="003D6A5E"/>
    <w:rsid w:val="004010A2"/>
    <w:rsid w:val="0040202C"/>
    <w:rsid w:val="00411475"/>
    <w:rsid w:val="0041271E"/>
    <w:rsid w:val="00416D1E"/>
    <w:rsid w:val="00417DB5"/>
    <w:rsid w:val="00423C2C"/>
    <w:rsid w:val="00431444"/>
    <w:rsid w:val="00432DF8"/>
    <w:rsid w:val="00433029"/>
    <w:rsid w:val="00434217"/>
    <w:rsid w:val="00440306"/>
    <w:rsid w:val="00442966"/>
    <w:rsid w:val="00443A3F"/>
    <w:rsid w:val="00444B87"/>
    <w:rsid w:val="00447F52"/>
    <w:rsid w:val="00454618"/>
    <w:rsid w:val="004627BB"/>
    <w:rsid w:val="00467346"/>
    <w:rsid w:val="0047192D"/>
    <w:rsid w:val="00472552"/>
    <w:rsid w:val="00484AD8"/>
    <w:rsid w:val="00486CF4"/>
    <w:rsid w:val="004921C2"/>
    <w:rsid w:val="00492DDE"/>
    <w:rsid w:val="004954E4"/>
    <w:rsid w:val="00495789"/>
    <w:rsid w:val="004A1D53"/>
    <w:rsid w:val="004A4E72"/>
    <w:rsid w:val="004A5206"/>
    <w:rsid w:val="004A769E"/>
    <w:rsid w:val="004B5931"/>
    <w:rsid w:val="004B5D58"/>
    <w:rsid w:val="004D0570"/>
    <w:rsid w:val="004D5CE1"/>
    <w:rsid w:val="004E04B6"/>
    <w:rsid w:val="004E2C97"/>
    <w:rsid w:val="004E3031"/>
    <w:rsid w:val="004F615A"/>
    <w:rsid w:val="00500A24"/>
    <w:rsid w:val="00501D72"/>
    <w:rsid w:val="00505D95"/>
    <w:rsid w:val="00507118"/>
    <w:rsid w:val="005159A9"/>
    <w:rsid w:val="00522395"/>
    <w:rsid w:val="005254D4"/>
    <w:rsid w:val="005254FC"/>
    <w:rsid w:val="00525B9B"/>
    <w:rsid w:val="00534B37"/>
    <w:rsid w:val="00535616"/>
    <w:rsid w:val="0054098E"/>
    <w:rsid w:val="005411DF"/>
    <w:rsid w:val="00547929"/>
    <w:rsid w:val="00550408"/>
    <w:rsid w:val="00552954"/>
    <w:rsid w:val="00552B85"/>
    <w:rsid w:val="00552BAA"/>
    <w:rsid w:val="005531CC"/>
    <w:rsid w:val="0055754F"/>
    <w:rsid w:val="00560219"/>
    <w:rsid w:val="0056265B"/>
    <w:rsid w:val="00563DEB"/>
    <w:rsid w:val="00571078"/>
    <w:rsid w:val="005712AB"/>
    <w:rsid w:val="005751F1"/>
    <w:rsid w:val="00575D19"/>
    <w:rsid w:val="00581E40"/>
    <w:rsid w:val="00584FE0"/>
    <w:rsid w:val="005858A0"/>
    <w:rsid w:val="00586025"/>
    <w:rsid w:val="00586242"/>
    <w:rsid w:val="005869EE"/>
    <w:rsid w:val="00590284"/>
    <w:rsid w:val="005907A7"/>
    <w:rsid w:val="005959E7"/>
    <w:rsid w:val="005A1BBA"/>
    <w:rsid w:val="005A1F56"/>
    <w:rsid w:val="005A2342"/>
    <w:rsid w:val="005A72CC"/>
    <w:rsid w:val="005B6708"/>
    <w:rsid w:val="005B6CAE"/>
    <w:rsid w:val="005B7162"/>
    <w:rsid w:val="005C060F"/>
    <w:rsid w:val="005C0A83"/>
    <w:rsid w:val="005D44C8"/>
    <w:rsid w:val="005D6010"/>
    <w:rsid w:val="005D62F5"/>
    <w:rsid w:val="005E0010"/>
    <w:rsid w:val="005E07B4"/>
    <w:rsid w:val="005E07FA"/>
    <w:rsid w:val="005E3C39"/>
    <w:rsid w:val="005E3F77"/>
    <w:rsid w:val="005E59CE"/>
    <w:rsid w:val="005E7151"/>
    <w:rsid w:val="005F27B1"/>
    <w:rsid w:val="005F2DE4"/>
    <w:rsid w:val="005F39C1"/>
    <w:rsid w:val="005F6C04"/>
    <w:rsid w:val="00615F18"/>
    <w:rsid w:val="006209AC"/>
    <w:rsid w:val="00620BAA"/>
    <w:rsid w:val="0062337A"/>
    <w:rsid w:val="006237F6"/>
    <w:rsid w:val="00624C10"/>
    <w:rsid w:val="00626D08"/>
    <w:rsid w:val="00626FED"/>
    <w:rsid w:val="00633099"/>
    <w:rsid w:val="00635117"/>
    <w:rsid w:val="00635274"/>
    <w:rsid w:val="006378C3"/>
    <w:rsid w:val="006413CE"/>
    <w:rsid w:val="00644856"/>
    <w:rsid w:val="00647020"/>
    <w:rsid w:val="006533C5"/>
    <w:rsid w:val="00657514"/>
    <w:rsid w:val="00665A6B"/>
    <w:rsid w:val="00665C0A"/>
    <w:rsid w:val="0067244C"/>
    <w:rsid w:val="006747B9"/>
    <w:rsid w:val="006775A7"/>
    <w:rsid w:val="006951E7"/>
    <w:rsid w:val="006954A4"/>
    <w:rsid w:val="00696D9C"/>
    <w:rsid w:val="006A3C6C"/>
    <w:rsid w:val="006A70E3"/>
    <w:rsid w:val="006B135A"/>
    <w:rsid w:val="006B280D"/>
    <w:rsid w:val="006B5DCD"/>
    <w:rsid w:val="006C0591"/>
    <w:rsid w:val="006C3301"/>
    <w:rsid w:val="006D249D"/>
    <w:rsid w:val="006D25A4"/>
    <w:rsid w:val="006D7477"/>
    <w:rsid w:val="006E424B"/>
    <w:rsid w:val="006F3100"/>
    <w:rsid w:val="006F57C5"/>
    <w:rsid w:val="0070675B"/>
    <w:rsid w:val="0071029E"/>
    <w:rsid w:val="007140E3"/>
    <w:rsid w:val="00720872"/>
    <w:rsid w:val="00721F92"/>
    <w:rsid w:val="007233D0"/>
    <w:rsid w:val="00723496"/>
    <w:rsid w:val="00727B4A"/>
    <w:rsid w:val="00731578"/>
    <w:rsid w:val="00735E78"/>
    <w:rsid w:val="00736E15"/>
    <w:rsid w:val="00737DC1"/>
    <w:rsid w:val="007439B7"/>
    <w:rsid w:val="0075598C"/>
    <w:rsid w:val="00755D90"/>
    <w:rsid w:val="00763D6B"/>
    <w:rsid w:val="00765FB0"/>
    <w:rsid w:val="007672E5"/>
    <w:rsid w:val="00771381"/>
    <w:rsid w:val="00772250"/>
    <w:rsid w:val="007767C8"/>
    <w:rsid w:val="00780548"/>
    <w:rsid w:val="007813B1"/>
    <w:rsid w:val="0078196E"/>
    <w:rsid w:val="00783AB0"/>
    <w:rsid w:val="007873F6"/>
    <w:rsid w:val="007A0959"/>
    <w:rsid w:val="007A1DD5"/>
    <w:rsid w:val="007A33A7"/>
    <w:rsid w:val="007A466B"/>
    <w:rsid w:val="007A645B"/>
    <w:rsid w:val="007B065D"/>
    <w:rsid w:val="007B1F1F"/>
    <w:rsid w:val="007B2D14"/>
    <w:rsid w:val="007B6477"/>
    <w:rsid w:val="007B7881"/>
    <w:rsid w:val="007B7D5B"/>
    <w:rsid w:val="007C0B4B"/>
    <w:rsid w:val="007C3B10"/>
    <w:rsid w:val="007C583D"/>
    <w:rsid w:val="007D076C"/>
    <w:rsid w:val="007D2796"/>
    <w:rsid w:val="007E6D95"/>
    <w:rsid w:val="007F0D61"/>
    <w:rsid w:val="007F24D1"/>
    <w:rsid w:val="00800CF0"/>
    <w:rsid w:val="0080155F"/>
    <w:rsid w:val="00804A3F"/>
    <w:rsid w:val="00807B1A"/>
    <w:rsid w:val="00812F5A"/>
    <w:rsid w:val="0082296A"/>
    <w:rsid w:val="00831F47"/>
    <w:rsid w:val="008443BB"/>
    <w:rsid w:val="00845888"/>
    <w:rsid w:val="008463F3"/>
    <w:rsid w:val="008516CA"/>
    <w:rsid w:val="008525D7"/>
    <w:rsid w:val="00853747"/>
    <w:rsid w:val="00854ED6"/>
    <w:rsid w:val="00860487"/>
    <w:rsid w:val="00860738"/>
    <w:rsid w:val="00860A73"/>
    <w:rsid w:val="00862F63"/>
    <w:rsid w:val="008717C2"/>
    <w:rsid w:val="00873B4A"/>
    <w:rsid w:val="0088004B"/>
    <w:rsid w:val="00880363"/>
    <w:rsid w:val="0088150B"/>
    <w:rsid w:val="008857B6"/>
    <w:rsid w:val="00892368"/>
    <w:rsid w:val="00892EA5"/>
    <w:rsid w:val="008934F8"/>
    <w:rsid w:val="008A260D"/>
    <w:rsid w:val="008B1490"/>
    <w:rsid w:val="008C278F"/>
    <w:rsid w:val="008C580C"/>
    <w:rsid w:val="008C67ED"/>
    <w:rsid w:val="008D13E1"/>
    <w:rsid w:val="008D3706"/>
    <w:rsid w:val="008D6792"/>
    <w:rsid w:val="008D71A6"/>
    <w:rsid w:val="008E0553"/>
    <w:rsid w:val="008F0C8B"/>
    <w:rsid w:val="008F0C9F"/>
    <w:rsid w:val="008F254F"/>
    <w:rsid w:val="008F6F29"/>
    <w:rsid w:val="008F75CF"/>
    <w:rsid w:val="0090306E"/>
    <w:rsid w:val="0092149A"/>
    <w:rsid w:val="009232D1"/>
    <w:rsid w:val="00926AB6"/>
    <w:rsid w:val="009328C7"/>
    <w:rsid w:val="009375A7"/>
    <w:rsid w:val="00941FCB"/>
    <w:rsid w:val="00943B4B"/>
    <w:rsid w:val="00944B63"/>
    <w:rsid w:val="00945A9B"/>
    <w:rsid w:val="00946797"/>
    <w:rsid w:val="0095417D"/>
    <w:rsid w:val="00956512"/>
    <w:rsid w:val="0096536B"/>
    <w:rsid w:val="00967272"/>
    <w:rsid w:val="00981206"/>
    <w:rsid w:val="009917F6"/>
    <w:rsid w:val="00991CE7"/>
    <w:rsid w:val="00997D63"/>
    <w:rsid w:val="009A1B1F"/>
    <w:rsid w:val="009B4598"/>
    <w:rsid w:val="009B73D6"/>
    <w:rsid w:val="009C096F"/>
    <w:rsid w:val="009C326C"/>
    <w:rsid w:val="009C4DFD"/>
    <w:rsid w:val="009C5C7D"/>
    <w:rsid w:val="009D00C4"/>
    <w:rsid w:val="009E0EFD"/>
    <w:rsid w:val="009E4A22"/>
    <w:rsid w:val="009F3B86"/>
    <w:rsid w:val="00A02A71"/>
    <w:rsid w:val="00A061E1"/>
    <w:rsid w:val="00A104B2"/>
    <w:rsid w:val="00A10F36"/>
    <w:rsid w:val="00A11899"/>
    <w:rsid w:val="00A144A0"/>
    <w:rsid w:val="00A146C9"/>
    <w:rsid w:val="00A1570F"/>
    <w:rsid w:val="00A158EB"/>
    <w:rsid w:val="00A15980"/>
    <w:rsid w:val="00A20531"/>
    <w:rsid w:val="00A22F26"/>
    <w:rsid w:val="00A25CE0"/>
    <w:rsid w:val="00A371CA"/>
    <w:rsid w:val="00A412E6"/>
    <w:rsid w:val="00A500C9"/>
    <w:rsid w:val="00A5577B"/>
    <w:rsid w:val="00A56338"/>
    <w:rsid w:val="00A5698C"/>
    <w:rsid w:val="00A57E38"/>
    <w:rsid w:val="00A643AA"/>
    <w:rsid w:val="00A669BC"/>
    <w:rsid w:val="00A67FA8"/>
    <w:rsid w:val="00A70B7E"/>
    <w:rsid w:val="00A71E45"/>
    <w:rsid w:val="00A72DE9"/>
    <w:rsid w:val="00A75A00"/>
    <w:rsid w:val="00A75F00"/>
    <w:rsid w:val="00A81138"/>
    <w:rsid w:val="00A8654F"/>
    <w:rsid w:val="00A902AD"/>
    <w:rsid w:val="00AA626B"/>
    <w:rsid w:val="00AA68F1"/>
    <w:rsid w:val="00AA6D6C"/>
    <w:rsid w:val="00AA7F1F"/>
    <w:rsid w:val="00AB6A0A"/>
    <w:rsid w:val="00AC411A"/>
    <w:rsid w:val="00AD23F3"/>
    <w:rsid w:val="00AD5CF4"/>
    <w:rsid w:val="00AD6C65"/>
    <w:rsid w:val="00AE6A8E"/>
    <w:rsid w:val="00AF5F09"/>
    <w:rsid w:val="00B05E9E"/>
    <w:rsid w:val="00B10A63"/>
    <w:rsid w:val="00B15C5C"/>
    <w:rsid w:val="00B17CA6"/>
    <w:rsid w:val="00B22BC2"/>
    <w:rsid w:val="00B2317A"/>
    <w:rsid w:val="00B2669B"/>
    <w:rsid w:val="00B37E87"/>
    <w:rsid w:val="00B53452"/>
    <w:rsid w:val="00B6146E"/>
    <w:rsid w:val="00B63C00"/>
    <w:rsid w:val="00B81CD3"/>
    <w:rsid w:val="00B829EE"/>
    <w:rsid w:val="00B868AC"/>
    <w:rsid w:val="00B92BC8"/>
    <w:rsid w:val="00B92DAC"/>
    <w:rsid w:val="00B95726"/>
    <w:rsid w:val="00BB1E4B"/>
    <w:rsid w:val="00BB1FB1"/>
    <w:rsid w:val="00BB2432"/>
    <w:rsid w:val="00BB27F8"/>
    <w:rsid w:val="00BB60A7"/>
    <w:rsid w:val="00BB68FA"/>
    <w:rsid w:val="00BB7CAF"/>
    <w:rsid w:val="00BC132D"/>
    <w:rsid w:val="00BC586A"/>
    <w:rsid w:val="00BC6BCC"/>
    <w:rsid w:val="00BD44AA"/>
    <w:rsid w:val="00BE24CF"/>
    <w:rsid w:val="00BE7B34"/>
    <w:rsid w:val="00BF37D6"/>
    <w:rsid w:val="00C022CA"/>
    <w:rsid w:val="00C0341B"/>
    <w:rsid w:val="00C06D60"/>
    <w:rsid w:val="00C13D06"/>
    <w:rsid w:val="00C16737"/>
    <w:rsid w:val="00C23B5B"/>
    <w:rsid w:val="00C2589D"/>
    <w:rsid w:val="00C27FAF"/>
    <w:rsid w:val="00C334AC"/>
    <w:rsid w:val="00C40707"/>
    <w:rsid w:val="00C41CAD"/>
    <w:rsid w:val="00C42F24"/>
    <w:rsid w:val="00C46E68"/>
    <w:rsid w:val="00C473B9"/>
    <w:rsid w:val="00C47910"/>
    <w:rsid w:val="00C51695"/>
    <w:rsid w:val="00C527D3"/>
    <w:rsid w:val="00C570C1"/>
    <w:rsid w:val="00C60504"/>
    <w:rsid w:val="00C62FE3"/>
    <w:rsid w:val="00C63604"/>
    <w:rsid w:val="00C71450"/>
    <w:rsid w:val="00C73398"/>
    <w:rsid w:val="00C80F8D"/>
    <w:rsid w:val="00C85C0A"/>
    <w:rsid w:val="00C90490"/>
    <w:rsid w:val="00C933CE"/>
    <w:rsid w:val="00C95B1F"/>
    <w:rsid w:val="00C97E78"/>
    <w:rsid w:val="00CA1285"/>
    <w:rsid w:val="00CA3B6B"/>
    <w:rsid w:val="00CB4AAA"/>
    <w:rsid w:val="00CC288A"/>
    <w:rsid w:val="00CC3639"/>
    <w:rsid w:val="00CC36E5"/>
    <w:rsid w:val="00CC5E15"/>
    <w:rsid w:val="00CC7F6A"/>
    <w:rsid w:val="00CC7F80"/>
    <w:rsid w:val="00CD5263"/>
    <w:rsid w:val="00CD5E00"/>
    <w:rsid w:val="00CE0E0F"/>
    <w:rsid w:val="00CE3F66"/>
    <w:rsid w:val="00CE751F"/>
    <w:rsid w:val="00CF4327"/>
    <w:rsid w:val="00CF49E3"/>
    <w:rsid w:val="00CF643C"/>
    <w:rsid w:val="00CF73BB"/>
    <w:rsid w:val="00D00770"/>
    <w:rsid w:val="00D01269"/>
    <w:rsid w:val="00D132C6"/>
    <w:rsid w:val="00D16A01"/>
    <w:rsid w:val="00D34043"/>
    <w:rsid w:val="00D35992"/>
    <w:rsid w:val="00D4696D"/>
    <w:rsid w:val="00D518A3"/>
    <w:rsid w:val="00D53208"/>
    <w:rsid w:val="00D5432E"/>
    <w:rsid w:val="00D55762"/>
    <w:rsid w:val="00D56D32"/>
    <w:rsid w:val="00D57571"/>
    <w:rsid w:val="00D57C47"/>
    <w:rsid w:val="00D60787"/>
    <w:rsid w:val="00D81981"/>
    <w:rsid w:val="00D828ED"/>
    <w:rsid w:val="00D8314D"/>
    <w:rsid w:val="00D87B7C"/>
    <w:rsid w:val="00D95346"/>
    <w:rsid w:val="00D972B7"/>
    <w:rsid w:val="00D9733F"/>
    <w:rsid w:val="00DA1F55"/>
    <w:rsid w:val="00DA4431"/>
    <w:rsid w:val="00DA587A"/>
    <w:rsid w:val="00DB02DF"/>
    <w:rsid w:val="00DB580A"/>
    <w:rsid w:val="00DD7870"/>
    <w:rsid w:val="00DE5444"/>
    <w:rsid w:val="00DE7BE6"/>
    <w:rsid w:val="00DF0059"/>
    <w:rsid w:val="00DF3110"/>
    <w:rsid w:val="00DF753A"/>
    <w:rsid w:val="00DF79F7"/>
    <w:rsid w:val="00E04961"/>
    <w:rsid w:val="00E05D31"/>
    <w:rsid w:val="00E0775C"/>
    <w:rsid w:val="00E13E97"/>
    <w:rsid w:val="00E17E61"/>
    <w:rsid w:val="00E22D28"/>
    <w:rsid w:val="00E2321C"/>
    <w:rsid w:val="00E2397C"/>
    <w:rsid w:val="00E25934"/>
    <w:rsid w:val="00E2595D"/>
    <w:rsid w:val="00E30BF2"/>
    <w:rsid w:val="00E35F43"/>
    <w:rsid w:val="00E360C0"/>
    <w:rsid w:val="00E44E77"/>
    <w:rsid w:val="00E47706"/>
    <w:rsid w:val="00E47B9C"/>
    <w:rsid w:val="00E51117"/>
    <w:rsid w:val="00E55BBA"/>
    <w:rsid w:val="00E567A6"/>
    <w:rsid w:val="00E66104"/>
    <w:rsid w:val="00E674EA"/>
    <w:rsid w:val="00E7085F"/>
    <w:rsid w:val="00E75026"/>
    <w:rsid w:val="00E81593"/>
    <w:rsid w:val="00E8634F"/>
    <w:rsid w:val="00E86865"/>
    <w:rsid w:val="00E874DD"/>
    <w:rsid w:val="00E90014"/>
    <w:rsid w:val="00E932C9"/>
    <w:rsid w:val="00E957F8"/>
    <w:rsid w:val="00E9582E"/>
    <w:rsid w:val="00E97647"/>
    <w:rsid w:val="00EA194E"/>
    <w:rsid w:val="00EA39F2"/>
    <w:rsid w:val="00EB33EE"/>
    <w:rsid w:val="00EB355C"/>
    <w:rsid w:val="00EC0D9B"/>
    <w:rsid w:val="00EC6603"/>
    <w:rsid w:val="00ED3880"/>
    <w:rsid w:val="00EE2306"/>
    <w:rsid w:val="00EE5258"/>
    <w:rsid w:val="00EE61B5"/>
    <w:rsid w:val="00EF11F7"/>
    <w:rsid w:val="00EF4E98"/>
    <w:rsid w:val="00EF6F94"/>
    <w:rsid w:val="00F011F9"/>
    <w:rsid w:val="00F06241"/>
    <w:rsid w:val="00F06E4A"/>
    <w:rsid w:val="00F116A4"/>
    <w:rsid w:val="00F1478A"/>
    <w:rsid w:val="00F21C3D"/>
    <w:rsid w:val="00F22807"/>
    <w:rsid w:val="00F26415"/>
    <w:rsid w:val="00F447CD"/>
    <w:rsid w:val="00F518BF"/>
    <w:rsid w:val="00F57953"/>
    <w:rsid w:val="00F64B89"/>
    <w:rsid w:val="00F67D62"/>
    <w:rsid w:val="00F714F3"/>
    <w:rsid w:val="00F74EF4"/>
    <w:rsid w:val="00F75F6C"/>
    <w:rsid w:val="00F80BA4"/>
    <w:rsid w:val="00F838C7"/>
    <w:rsid w:val="00F83F05"/>
    <w:rsid w:val="00F856E0"/>
    <w:rsid w:val="00F92BC0"/>
    <w:rsid w:val="00FC41AA"/>
    <w:rsid w:val="00FC6EFD"/>
    <w:rsid w:val="00FD1BCB"/>
    <w:rsid w:val="00FD271F"/>
    <w:rsid w:val="00FD6F3A"/>
    <w:rsid w:val="00FD7940"/>
    <w:rsid w:val="00FE3A38"/>
    <w:rsid w:val="00FF6EA7"/>
    <w:rsid w:val="00FF76A6"/>
    <w:rsid w:val="0103A48F"/>
    <w:rsid w:val="01FFE663"/>
    <w:rsid w:val="0630D670"/>
    <w:rsid w:val="0B6966B5"/>
    <w:rsid w:val="0E13CDFC"/>
    <w:rsid w:val="0FEB92DE"/>
    <w:rsid w:val="13B003A2"/>
    <w:rsid w:val="1ADA4872"/>
    <w:rsid w:val="1CD93A9A"/>
    <w:rsid w:val="24D07A1F"/>
    <w:rsid w:val="28147D14"/>
    <w:rsid w:val="2AFBFEB0"/>
    <w:rsid w:val="2D0C982C"/>
    <w:rsid w:val="31FC7AF9"/>
    <w:rsid w:val="3419CBBB"/>
    <w:rsid w:val="35B3E775"/>
    <w:rsid w:val="364F30EB"/>
    <w:rsid w:val="37A1EA74"/>
    <w:rsid w:val="3B68B25D"/>
    <w:rsid w:val="3BD0AF5B"/>
    <w:rsid w:val="3E4D32BB"/>
    <w:rsid w:val="3F198756"/>
    <w:rsid w:val="41C0A527"/>
    <w:rsid w:val="459579CE"/>
    <w:rsid w:val="4D559B03"/>
    <w:rsid w:val="508FE8CA"/>
    <w:rsid w:val="5464D8A7"/>
    <w:rsid w:val="56E319CA"/>
    <w:rsid w:val="5735E593"/>
    <w:rsid w:val="5CD46E9C"/>
    <w:rsid w:val="5E6673F5"/>
    <w:rsid w:val="5F06612F"/>
    <w:rsid w:val="60F0176D"/>
    <w:rsid w:val="630ECBAF"/>
    <w:rsid w:val="676D2B8B"/>
    <w:rsid w:val="69A31AB9"/>
    <w:rsid w:val="6C87F8FB"/>
    <w:rsid w:val="70513064"/>
    <w:rsid w:val="73C6472E"/>
    <w:rsid w:val="7545A3D5"/>
    <w:rsid w:val="775C2EAB"/>
    <w:rsid w:val="77D73D69"/>
    <w:rsid w:val="7A516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281C"/>
  <w15:chartTrackingRefBased/>
  <w15:docId w15:val="{2D7D5065-78AE-4D02-A380-ADAFC532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4D4"/>
    <w:pPr>
      <w:ind w:left="720"/>
      <w:contextualSpacing/>
    </w:pPr>
  </w:style>
  <w:style w:type="paragraph" w:styleId="NormalWeb">
    <w:name w:val="Normal (Web)"/>
    <w:basedOn w:val="Normal"/>
    <w:uiPriority w:val="99"/>
    <w:unhideWhenUsed/>
    <w:rsid w:val="005B6CAE"/>
    <w:pPr>
      <w:spacing w:before="100" w:beforeAutospacing="1" w:after="100" w:afterAutospacing="1"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5D6010"/>
    <w:rPr>
      <w:sz w:val="16"/>
      <w:szCs w:val="16"/>
    </w:rPr>
  </w:style>
  <w:style w:type="paragraph" w:styleId="CommentText">
    <w:name w:val="annotation text"/>
    <w:basedOn w:val="Normal"/>
    <w:link w:val="CommentTextChar"/>
    <w:uiPriority w:val="99"/>
    <w:unhideWhenUsed/>
    <w:rsid w:val="005D6010"/>
    <w:pPr>
      <w:spacing w:line="240" w:lineRule="auto"/>
    </w:pPr>
    <w:rPr>
      <w:sz w:val="20"/>
      <w:szCs w:val="20"/>
    </w:rPr>
  </w:style>
  <w:style w:type="character" w:customStyle="1" w:styleId="CommentTextChar">
    <w:name w:val="Comment Text Char"/>
    <w:basedOn w:val="DefaultParagraphFont"/>
    <w:link w:val="CommentText"/>
    <w:uiPriority w:val="99"/>
    <w:rsid w:val="005D6010"/>
    <w:rPr>
      <w:sz w:val="20"/>
      <w:szCs w:val="20"/>
    </w:rPr>
  </w:style>
  <w:style w:type="paragraph" w:styleId="CommentSubject">
    <w:name w:val="annotation subject"/>
    <w:basedOn w:val="CommentText"/>
    <w:next w:val="CommentText"/>
    <w:link w:val="CommentSubjectChar"/>
    <w:uiPriority w:val="99"/>
    <w:semiHidden/>
    <w:unhideWhenUsed/>
    <w:rsid w:val="005D6010"/>
    <w:rPr>
      <w:b/>
      <w:bCs/>
    </w:rPr>
  </w:style>
  <w:style w:type="character" w:customStyle="1" w:styleId="CommentSubjectChar">
    <w:name w:val="Comment Subject Char"/>
    <w:basedOn w:val="CommentTextChar"/>
    <w:link w:val="CommentSubject"/>
    <w:uiPriority w:val="99"/>
    <w:semiHidden/>
    <w:rsid w:val="005D6010"/>
    <w:rPr>
      <w:b/>
      <w:bCs/>
      <w:sz w:val="20"/>
      <w:szCs w:val="20"/>
    </w:rPr>
  </w:style>
  <w:style w:type="paragraph" w:customStyle="1" w:styleId="Default">
    <w:name w:val="Default"/>
    <w:rsid w:val="0063527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417DB5"/>
    <w:pPr>
      <w:spacing w:after="0" w:line="240" w:lineRule="auto"/>
    </w:pPr>
  </w:style>
  <w:style w:type="character" w:styleId="Hyperlink">
    <w:name w:val="Hyperlink"/>
    <w:basedOn w:val="DefaultParagraphFont"/>
    <w:uiPriority w:val="99"/>
    <w:unhideWhenUsed/>
    <w:rsid w:val="00626D08"/>
    <w:rPr>
      <w:color w:val="0563C1" w:themeColor="hyperlink"/>
      <w:u w:val="single"/>
    </w:rPr>
  </w:style>
  <w:style w:type="character" w:styleId="UnresolvedMention">
    <w:name w:val="Unresolved Mention"/>
    <w:basedOn w:val="DefaultParagraphFont"/>
    <w:uiPriority w:val="99"/>
    <w:semiHidden/>
    <w:unhideWhenUsed/>
    <w:rsid w:val="00626D08"/>
    <w:rPr>
      <w:color w:val="605E5C"/>
      <w:shd w:val="clear" w:color="auto" w:fill="E1DFDD"/>
    </w:rPr>
  </w:style>
  <w:style w:type="character" w:styleId="FollowedHyperlink">
    <w:name w:val="FollowedHyperlink"/>
    <w:basedOn w:val="DefaultParagraphFont"/>
    <w:uiPriority w:val="99"/>
    <w:semiHidden/>
    <w:unhideWhenUsed/>
    <w:rsid w:val="00093624"/>
    <w:rPr>
      <w:color w:val="954F72" w:themeColor="followedHyperlink"/>
      <w:u w:val="single"/>
    </w:rPr>
  </w:style>
  <w:style w:type="paragraph" w:styleId="FootnoteText">
    <w:name w:val="footnote text"/>
    <w:basedOn w:val="Normal"/>
    <w:link w:val="FootnoteTextChar"/>
    <w:uiPriority w:val="99"/>
    <w:unhideWhenUsed/>
    <w:rsid w:val="005F2DE4"/>
    <w:pPr>
      <w:spacing w:after="0" w:line="240" w:lineRule="auto"/>
    </w:pPr>
    <w:rPr>
      <w:sz w:val="20"/>
      <w:szCs w:val="20"/>
    </w:rPr>
  </w:style>
  <w:style w:type="character" w:customStyle="1" w:styleId="FootnoteTextChar">
    <w:name w:val="Footnote Text Char"/>
    <w:basedOn w:val="DefaultParagraphFont"/>
    <w:link w:val="FootnoteText"/>
    <w:uiPriority w:val="99"/>
    <w:rsid w:val="005F2DE4"/>
    <w:rPr>
      <w:sz w:val="20"/>
      <w:szCs w:val="20"/>
    </w:rPr>
  </w:style>
  <w:style w:type="character" w:styleId="FootnoteReference">
    <w:name w:val="footnote reference"/>
    <w:basedOn w:val="DefaultParagraphFont"/>
    <w:uiPriority w:val="99"/>
    <w:semiHidden/>
    <w:unhideWhenUsed/>
    <w:rsid w:val="005F2DE4"/>
    <w:rPr>
      <w:vertAlign w:val="superscript"/>
    </w:rPr>
  </w:style>
  <w:style w:type="table" w:styleId="TableGrid">
    <w:name w:val="Table Grid"/>
    <w:basedOn w:val="TableNormal"/>
    <w:uiPriority w:val="39"/>
    <w:rsid w:val="00ED3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59"/>
  </w:style>
  <w:style w:type="paragraph" w:styleId="Footer">
    <w:name w:val="footer"/>
    <w:basedOn w:val="Normal"/>
    <w:link w:val="FooterChar"/>
    <w:uiPriority w:val="99"/>
    <w:unhideWhenUsed/>
    <w:rsid w:val="007A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59"/>
  </w:style>
  <w:style w:type="paragraph" w:customStyle="1" w:styleId="TitleAddressWebInfo">
    <w:name w:val="Title_Address_Web_Info"/>
    <w:uiPriority w:val="99"/>
    <w:qFormat/>
    <w:rsid w:val="00CC7F6A"/>
    <w:pPr>
      <w:autoSpaceDE w:val="0"/>
      <w:autoSpaceDN w:val="0"/>
      <w:adjustRightInd w:val="0"/>
      <w:snapToGrid w:val="0"/>
      <w:spacing w:after="0" w:line="192" w:lineRule="atLeast"/>
      <w:ind w:left="6930"/>
      <w:textAlignment w:val="center"/>
    </w:pPr>
    <w:rPr>
      <w:rFonts w:cs="Arial"/>
      <w:color w:val="000000"/>
      <w:kern w:val="12"/>
      <w:sz w:val="16"/>
      <w:szCs w:val="16"/>
      <w14:ligatures w14:val="none"/>
    </w:rPr>
  </w:style>
  <w:style w:type="paragraph" w:customStyle="1" w:styleId="Bodytext">
    <w:name w:val="Body_text"/>
    <w:basedOn w:val="Normal"/>
    <w:next w:val="Normal"/>
    <w:qFormat/>
    <w:rsid w:val="00CC7F6A"/>
    <w:pPr>
      <w:snapToGrid w:val="0"/>
      <w:spacing w:after="220" w:line="240" w:lineRule="auto"/>
    </w:pPr>
    <w:rPr>
      <w:rFonts w:eastAsia="Times New Roman"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22">
      <w:bodyDiv w:val="1"/>
      <w:marLeft w:val="0"/>
      <w:marRight w:val="0"/>
      <w:marTop w:val="0"/>
      <w:marBottom w:val="0"/>
      <w:divBdr>
        <w:top w:val="none" w:sz="0" w:space="0" w:color="auto"/>
        <w:left w:val="none" w:sz="0" w:space="0" w:color="auto"/>
        <w:bottom w:val="none" w:sz="0" w:space="0" w:color="auto"/>
        <w:right w:val="none" w:sz="0" w:space="0" w:color="auto"/>
      </w:divBdr>
    </w:div>
    <w:div w:id="73474617">
      <w:bodyDiv w:val="1"/>
      <w:marLeft w:val="0"/>
      <w:marRight w:val="0"/>
      <w:marTop w:val="0"/>
      <w:marBottom w:val="0"/>
      <w:divBdr>
        <w:top w:val="none" w:sz="0" w:space="0" w:color="auto"/>
        <w:left w:val="none" w:sz="0" w:space="0" w:color="auto"/>
        <w:bottom w:val="none" w:sz="0" w:space="0" w:color="auto"/>
        <w:right w:val="none" w:sz="0" w:space="0" w:color="auto"/>
      </w:divBdr>
    </w:div>
    <w:div w:id="85927682">
      <w:bodyDiv w:val="1"/>
      <w:marLeft w:val="0"/>
      <w:marRight w:val="0"/>
      <w:marTop w:val="0"/>
      <w:marBottom w:val="0"/>
      <w:divBdr>
        <w:top w:val="none" w:sz="0" w:space="0" w:color="auto"/>
        <w:left w:val="none" w:sz="0" w:space="0" w:color="auto"/>
        <w:bottom w:val="none" w:sz="0" w:space="0" w:color="auto"/>
        <w:right w:val="none" w:sz="0" w:space="0" w:color="auto"/>
      </w:divBdr>
    </w:div>
    <w:div w:id="109083675">
      <w:bodyDiv w:val="1"/>
      <w:marLeft w:val="0"/>
      <w:marRight w:val="0"/>
      <w:marTop w:val="0"/>
      <w:marBottom w:val="0"/>
      <w:divBdr>
        <w:top w:val="none" w:sz="0" w:space="0" w:color="auto"/>
        <w:left w:val="none" w:sz="0" w:space="0" w:color="auto"/>
        <w:bottom w:val="none" w:sz="0" w:space="0" w:color="auto"/>
        <w:right w:val="none" w:sz="0" w:space="0" w:color="auto"/>
      </w:divBdr>
    </w:div>
    <w:div w:id="173613945">
      <w:bodyDiv w:val="1"/>
      <w:marLeft w:val="0"/>
      <w:marRight w:val="0"/>
      <w:marTop w:val="0"/>
      <w:marBottom w:val="0"/>
      <w:divBdr>
        <w:top w:val="none" w:sz="0" w:space="0" w:color="auto"/>
        <w:left w:val="none" w:sz="0" w:space="0" w:color="auto"/>
        <w:bottom w:val="none" w:sz="0" w:space="0" w:color="auto"/>
        <w:right w:val="none" w:sz="0" w:space="0" w:color="auto"/>
      </w:divBdr>
    </w:div>
    <w:div w:id="174615387">
      <w:bodyDiv w:val="1"/>
      <w:marLeft w:val="0"/>
      <w:marRight w:val="0"/>
      <w:marTop w:val="0"/>
      <w:marBottom w:val="0"/>
      <w:divBdr>
        <w:top w:val="none" w:sz="0" w:space="0" w:color="auto"/>
        <w:left w:val="none" w:sz="0" w:space="0" w:color="auto"/>
        <w:bottom w:val="none" w:sz="0" w:space="0" w:color="auto"/>
        <w:right w:val="none" w:sz="0" w:space="0" w:color="auto"/>
      </w:divBdr>
    </w:div>
    <w:div w:id="236063297">
      <w:bodyDiv w:val="1"/>
      <w:marLeft w:val="0"/>
      <w:marRight w:val="0"/>
      <w:marTop w:val="0"/>
      <w:marBottom w:val="0"/>
      <w:divBdr>
        <w:top w:val="none" w:sz="0" w:space="0" w:color="auto"/>
        <w:left w:val="none" w:sz="0" w:space="0" w:color="auto"/>
        <w:bottom w:val="none" w:sz="0" w:space="0" w:color="auto"/>
        <w:right w:val="none" w:sz="0" w:space="0" w:color="auto"/>
      </w:divBdr>
    </w:div>
    <w:div w:id="282545412">
      <w:bodyDiv w:val="1"/>
      <w:marLeft w:val="0"/>
      <w:marRight w:val="0"/>
      <w:marTop w:val="0"/>
      <w:marBottom w:val="0"/>
      <w:divBdr>
        <w:top w:val="none" w:sz="0" w:space="0" w:color="auto"/>
        <w:left w:val="none" w:sz="0" w:space="0" w:color="auto"/>
        <w:bottom w:val="none" w:sz="0" w:space="0" w:color="auto"/>
        <w:right w:val="none" w:sz="0" w:space="0" w:color="auto"/>
      </w:divBdr>
    </w:div>
    <w:div w:id="296106094">
      <w:bodyDiv w:val="1"/>
      <w:marLeft w:val="0"/>
      <w:marRight w:val="0"/>
      <w:marTop w:val="0"/>
      <w:marBottom w:val="0"/>
      <w:divBdr>
        <w:top w:val="none" w:sz="0" w:space="0" w:color="auto"/>
        <w:left w:val="none" w:sz="0" w:space="0" w:color="auto"/>
        <w:bottom w:val="none" w:sz="0" w:space="0" w:color="auto"/>
        <w:right w:val="none" w:sz="0" w:space="0" w:color="auto"/>
      </w:divBdr>
    </w:div>
    <w:div w:id="435948933">
      <w:bodyDiv w:val="1"/>
      <w:marLeft w:val="0"/>
      <w:marRight w:val="0"/>
      <w:marTop w:val="0"/>
      <w:marBottom w:val="0"/>
      <w:divBdr>
        <w:top w:val="none" w:sz="0" w:space="0" w:color="auto"/>
        <w:left w:val="none" w:sz="0" w:space="0" w:color="auto"/>
        <w:bottom w:val="none" w:sz="0" w:space="0" w:color="auto"/>
        <w:right w:val="none" w:sz="0" w:space="0" w:color="auto"/>
      </w:divBdr>
    </w:div>
    <w:div w:id="529228073">
      <w:bodyDiv w:val="1"/>
      <w:marLeft w:val="0"/>
      <w:marRight w:val="0"/>
      <w:marTop w:val="0"/>
      <w:marBottom w:val="0"/>
      <w:divBdr>
        <w:top w:val="none" w:sz="0" w:space="0" w:color="auto"/>
        <w:left w:val="none" w:sz="0" w:space="0" w:color="auto"/>
        <w:bottom w:val="none" w:sz="0" w:space="0" w:color="auto"/>
        <w:right w:val="none" w:sz="0" w:space="0" w:color="auto"/>
      </w:divBdr>
    </w:div>
    <w:div w:id="531848379">
      <w:bodyDiv w:val="1"/>
      <w:marLeft w:val="0"/>
      <w:marRight w:val="0"/>
      <w:marTop w:val="0"/>
      <w:marBottom w:val="0"/>
      <w:divBdr>
        <w:top w:val="none" w:sz="0" w:space="0" w:color="auto"/>
        <w:left w:val="none" w:sz="0" w:space="0" w:color="auto"/>
        <w:bottom w:val="none" w:sz="0" w:space="0" w:color="auto"/>
        <w:right w:val="none" w:sz="0" w:space="0" w:color="auto"/>
      </w:divBdr>
    </w:div>
    <w:div w:id="658194653">
      <w:bodyDiv w:val="1"/>
      <w:marLeft w:val="0"/>
      <w:marRight w:val="0"/>
      <w:marTop w:val="0"/>
      <w:marBottom w:val="0"/>
      <w:divBdr>
        <w:top w:val="none" w:sz="0" w:space="0" w:color="auto"/>
        <w:left w:val="none" w:sz="0" w:space="0" w:color="auto"/>
        <w:bottom w:val="none" w:sz="0" w:space="0" w:color="auto"/>
        <w:right w:val="none" w:sz="0" w:space="0" w:color="auto"/>
      </w:divBdr>
    </w:div>
    <w:div w:id="699015062">
      <w:bodyDiv w:val="1"/>
      <w:marLeft w:val="0"/>
      <w:marRight w:val="0"/>
      <w:marTop w:val="0"/>
      <w:marBottom w:val="0"/>
      <w:divBdr>
        <w:top w:val="none" w:sz="0" w:space="0" w:color="auto"/>
        <w:left w:val="none" w:sz="0" w:space="0" w:color="auto"/>
        <w:bottom w:val="none" w:sz="0" w:space="0" w:color="auto"/>
        <w:right w:val="none" w:sz="0" w:space="0" w:color="auto"/>
      </w:divBdr>
    </w:div>
    <w:div w:id="706027253">
      <w:bodyDiv w:val="1"/>
      <w:marLeft w:val="0"/>
      <w:marRight w:val="0"/>
      <w:marTop w:val="0"/>
      <w:marBottom w:val="0"/>
      <w:divBdr>
        <w:top w:val="none" w:sz="0" w:space="0" w:color="auto"/>
        <w:left w:val="none" w:sz="0" w:space="0" w:color="auto"/>
        <w:bottom w:val="none" w:sz="0" w:space="0" w:color="auto"/>
        <w:right w:val="none" w:sz="0" w:space="0" w:color="auto"/>
      </w:divBdr>
    </w:div>
    <w:div w:id="813330105">
      <w:bodyDiv w:val="1"/>
      <w:marLeft w:val="0"/>
      <w:marRight w:val="0"/>
      <w:marTop w:val="0"/>
      <w:marBottom w:val="0"/>
      <w:divBdr>
        <w:top w:val="none" w:sz="0" w:space="0" w:color="auto"/>
        <w:left w:val="none" w:sz="0" w:space="0" w:color="auto"/>
        <w:bottom w:val="none" w:sz="0" w:space="0" w:color="auto"/>
        <w:right w:val="none" w:sz="0" w:space="0" w:color="auto"/>
      </w:divBdr>
    </w:div>
    <w:div w:id="813566535">
      <w:bodyDiv w:val="1"/>
      <w:marLeft w:val="0"/>
      <w:marRight w:val="0"/>
      <w:marTop w:val="0"/>
      <w:marBottom w:val="0"/>
      <w:divBdr>
        <w:top w:val="none" w:sz="0" w:space="0" w:color="auto"/>
        <w:left w:val="none" w:sz="0" w:space="0" w:color="auto"/>
        <w:bottom w:val="none" w:sz="0" w:space="0" w:color="auto"/>
        <w:right w:val="none" w:sz="0" w:space="0" w:color="auto"/>
      </w:divBdr>
    </w:div>
    <w:div w:id="906303223">
      <w:bodyDiv w:val="1"/>
      <w:marLeft w:val="0"/>
      <w:marRight w:val="0"/>
      <w:marTop w:val="0"/>
      <w:marBottom w:val="0"/>
      <w:divBdr>
        <w:top w:val="none" w:sz="0" w:space="0" w:color="auto"/>
        <w:left w:val="none" w:sz="0" w:space="0" w:color="auto"/>
        <w:bottom w:val="none" w:sz="0" w:space="0" w:color="auto"/>
        <w:right w:val="none" w:sz="0" w:space="0" w:color="auto"/>
      </w:divBdr>
    </w:div>
    <w:div w:id="935216144">
      <w:bodyDiv w:val="1"/>
      <w:marLeft w:val="0"/>
      <w:marRight w:val="0"/>
      <w:marTop w:val="0"/>
      <w:marBottom w:val="0"/>
      <w:divBdr>
        <w:top w:val="none" w:sz="0" w:space="0" w:color="auto"/>
        <w:left w:val="none" w:sz="0" w:space="0" w:color="auto"/>
        <w:bottom w:val="none" w:sz="0" w:space="0" w:color="auto"/>
        <w:right w:val="none" w:sz="0" w:space="0" w:color="auto"/>
      </w:divBdr>
    </w:div>
    <w:div w:id="1018698449">
      <w:bodyDiv w:val="1"/>
      <w:marLeft w:val="0"/>
      <w:marRight w:val="0"/>
      <w:marTop w:val="0"/>
      <w:marBottom w:val="0"/>
      <w:divBdr>
        <w:top w:val="none" w:sz="0" w:space="0" w:color="auto"/>
        <w:left w:val="none" w:sz="0" w:space="0" w:color="auto"/>
        <w:bottom w:val="none" w:sz="0" w:space="0" w:color="auto"/>
        <w:right w:val="none" w:sz="0" w:space="0" w:color="auto"/>
      </w:divBdr>
    </w:div>
    <w:div w:id="1110127158">
      <w:bodyDiv w:val="1"/>
      <w:marLeft w:val="0"/>
      <w:marRight w:val="0"/>
      <w:marTop w:val="0"/>
      <w:marBottom w:val="0"/>
      <w:divBdr>
        <w:top w:val="none" w:sz="0" w:space="0" w:color="auto"/>
        <w:left w:val="none" w:sz="0" w:space="0" w:color="auto"/>
        <w:bottom w:val="none" w:sz="0" w:space="0" w:color="auto"/>
        <w:right w:val="none" w:sz="0" w:space="0" w:color="auto"/>
      </w:divBdr>
    </w:div>
    <w:div w:id="1133672209">
      <w:bodyDiv w:val="1"/>
      <w:marLeft w:val="0"/>
      <w:marRight w:val="0"/>
      <w:marTop w:val="0"/>
      <w:marBottom w:val="0"/>
      <w:divBdr>
        <w:top w:val="none" w:sz="0" w:space="0" w:color="auto"/>
        <w:left w:val="none" w:sz="0" w:space="0" w:color="auto"/>
        <w:bottom w:val="none" w:sz="0" w:space="0" w:color="auto"/>
        <w:right w:val="none" w:sz="0" w:space="0" w:color="auto"/>
      </w:divBdr>
    </w:div>
    <w:div w:id="1155410715">
      <w:bodyDiv w:val="1"/>
      <w:marLeft w:val="0"/>
      <w:marRight w:val="0"/>
      <w:marTop w:val="0"/>
      <w:marBottom w:val="0"/>
      <w:divBdr>
        <w:top w:val="none" w:sz="0" w:space="0" w:color="auto"/>
        <w:left w:val="none" w:sz="0" w:space="0" w:color="auto"/>
        <w:bottom w:val="none" w:sz="0" w:space="0" w:color="auto"/>
        <w:right w:val="none" w:sz="0" w:space="0" w:color="auto"/>
      </w:divBdr>
    </w:div>
    <w:div w:id="1168592442">
      <w:bodyDiv w:val="1"/>
      <w:marLeft w:val="0"/>
      <w:marRight w:val="0"/>
      <w:marTop w:val="0"/>
      <w:marBottom w:val="0"/>
      <w:divBdr>
        <w:top w:val="none" w:sz="0" w:space="0" w:color="auto"/>
        <w:left w:val="none" w:sz="0" w:space="0" w:color="auto"/>
        <w:bottom w:val="none" w:sz="0" w:space="0" w:color="auto"/>
        <w:right w:val="none" w:sz="0" w:space="0" w:color="auto"/>
      </w:divBdr>
    </w:div>
    <w:div w:id="1169633686">
      <w:bodyDiv w:val="1"/>
      <w:marLeft w:val="0"/>
      <w:marRight w:val="0"/>
      <w:marTop w:val="0"/>
      <w:marBottom w:val="0"/>
      <w:divBdr>
        <w:top w:val="none" w:sz="0" w:space="0" w:color="auto"/>
        <w:left w:val="none" w:sz="0" w:space="0" w:color="auto"/>
        <w:bottom w:val="none" w:sz="0" w:space="0" w:color="auto"/>
        <w:right w:val="none" w:sz="0" w:space="0" w:color="auto"/>
      </w:divBdr>
    </w:div>
    <w:div w:id="1289161684">
      <w:bodyDiv w:val="1"/>
      <w:marLeft w:val="0"/>
      <w:marRight w:val="0"/>
      <w:marTop w:val="0"/>
      <w:marBottom w:val="0"/>
      <w:divBdr>
        <w:top w:val="none" w:sz="0" w:space="0" w:color="auto"/>
        <w:left w:val="none" w:sz="0" w:space="0" w:color="auto"/>
        <w:bottom w:val="none" w:sz="0" w:space="0" w:color="auto"/>
        <w:right w:val="none" w:sz="0" w:space="0" w:color="auto"/>
      </w:divBdr>
    </w:div>
    <w:div w:id="1324046828">
      <w:bodyDiv w:val="1"/>
      <w:marLeft w:val="0"/>
      <w:marRight w:val="0"/>
      <w:marTop w:val="0"/>
      <w:marBottom w:val="0"/>
      <w:divBdr>
        <w:top w:val="none" w:sz="0" w:space="0" w:color="auto"/>
        <w:left w:val="none" w:sz="0" w:space="0" w:color="auto"/>
        <w:bottom w:val="none" w:sz="0" w:space="0" w:color="auto"/>
        <w:right w:val="none" w:sz="0" w:space="0" w:color="auto"/>
      </w:divBdr>
    </w:div>
    <w:div w:id="1340504135">
      <w:bodyDiv w:val="1"/>
      <w:marLeft w:val="0"/>
      <w:marRight w:val="0"/>
      <w:marTop w:val="0"/>
      <w:marBottom w:val="0"/>
      <w:divBdr>
        <w:top w:val="none" w:sz="0" w:space="0" w:color="auto"/>
        <w:left w:val="none" w:sz="0" w:space="0" w:color="auto"/>
        <w:bottom w:val="none" w:sz="0" w:space="0" w:color="auto"/>
        <w:right w:val="none" w:sz="0" w:space="0" w:color="auto"/>
      </w:divBdr>
    </w:div>
    <w:div w:id="1359161859">
      <w:bodyDiv w:val="1"/>
      <w:marLeft w:val="0"/>
      <w:marRight w:val="0"/>
      <w:marTop w:val="0"/>
      <w:marBottom w:val="0"/>
      <w:divBdr>
        <w:top w:val="none" w:sz="0" w:space="0" w:color="auto"/>
        <w:left w:val="none" w:sz="0" w:space="0" w:color="auto"/>
        <w:bottom w:val="none" w:sz="0" w:space="0" w:color="auto"/>
        <w:right w:val="none" w:sz="0" w:space="0" w:color="auto"/>
      </w:divBdr>
    </w:div>
    <w:div w:id="1385251250">
      <w:bodyDiv w:val="1"/>
      <w:marLeft w:val="0"/>
      <w:marRight w:val="0"/>
      <w:marTop w:val="0"/>
      <w:marBottom w:val="0"/>
      <w:divBdr>
        <w:top w:val="none" w:sz="0" w:space="0" w:color="auto"/>
        <w:left w:val="none" w:sz="0" w:space="0" w:color="auto"/>
        <w:bottom w:val="none" w:sz="0" w:space="0" w:color="auto"/>
        <w:right w:val="none" w:sz="0" w:space="0" w:color="auto"/>
      </w:divBdr>
    </w:div>
    <w:div w:id="1438402255">
      <w:bodyDiv w:val="1"/>
      <w:marLeft w:val="0"/>
      <w:marRight w:val="0"/>
      <w:marTop w:val="0"/>
      <w:marBottom w:val="0"/>
      <w:divBdr>
        <w:top w:val="none" w:sz="0" w:space="0" w:color="auto"/>
        <w:left w:val="none" w:sz="0" w:space="0" w:color="auto"/>
        <w:bottom w:val="none" w:sz="0" w:space="0" w:color="auto"/>
        <w:right w:val="none" w:sz="0" w:space="0" w:color="auto"/>
      </w:divBdr>
    </w:div>
    <w:div w:id="1444231214">
      <w:bodyDiv w:val="1"/>
      <w:marLeft w:val="0"/>
      <w:marRight w:val="0"/>
      <w:marTop w:val="0"/>
      <w:marBottom w:val="0"/>
      <w:divBdr>
        <w:top w:val="none" w:sz="0" w:space="0" w:color="auto"/>
        <w:left w:val="none" w:sz="0" w:space="0" w:color="auto"/>
        <w:bottom w:val="none" w:sz="0" w:space="0" w:color="auto"/>
        <w:right w:val="none" w:sz="0" w:space="0" w:color="auto"/>
      </w:divBdr>
    </w:div>
    <w:div w:id="1464814558">
      <w:bodyDiv w:val="1"/>
      <w:marLeft w:val="0"/>
      <w:marRight w:val="0"/>
      <w:marTop w:val="0"/>
      <w:marBottom w:val="0"/>
      <w:divBdr>
        <w:top w:val="none" w:sz="0" w:space="0" w:color="auto"/>
        <w:left w:val="none" w:sz="0" w:space="0" w:color="auto"/>
        <w:bottom w:val="none" w:sz="0" w:space="0" w:color="auto"/>
        <w:right w:val="none" w:sz="0" w:space="0" w:color="auto"/>
      </w:divBdr>
    </w:div>
    <w:div w:id="1509713493">
      <w:bodyDiv w:val="1"/>
      <w:marLeft w:val="0"/>
      <w:marRight w:val="0"/>
      <w:marTop w:val="0"/>
      <w:marBottom w:val="0"/>
      <w:divBdr>
        <w:top w:val="none" w:sz="0" w:space="0" w:color="auto"/>
        <w:left w:val="none" w:sz="0" w:space="0" w:color="auto"/>
        <w:bottom w:val="none" w:sz="0" w:space="0" w:color="auto"/>
        <w:right w:val="none" w:sz="0" w:space="0" w:color="auto"/>
      </w:divBdr>
    </w:div>
    <w:div w:id="1581334821">
      <w:bodyDiv w:val="1"/>
      <w:marLeft w:val="0"/>
      <w:marRight w:val="0"/>
      <w:marTop w:val="0"/>
      <w:marBottom w:val="0"/>
      <w:divBdr>
        <w:top w:val="none" w:sz="0" w:space="0" w:color="auto"/>
        <w:left w:val="none" w:sz="0" w:space="0" w:color="auto"/>
        <w:bottom w:val="none" w:sz="0" w:space="0" w:color="auto"/>
        <w:right w:val="none" w:sz="0" w:space="0" w:color="auto"/>
      </w:divBdr>
    </w:div>
    <w:div w:id="1609922346">
      <w:bodyDiv w:val="1"/>
      <w:marLeft w:val="0"/>
      <w:marRight w:val="0"/>
      <w:marTop w:val="0"/>
      <w:marBottom w:val="0"/>
      <w:divBdr>
        <w:top w:val="none" w:sz="0" w:space="0" w:color="auto"/>
        <w:left w:val="none" w:sz="0" w:space="0" w:color="auto"/>
        <w:bottom w:val="none" w:sz="0" w:space="0" w:color="auto"/>
        <w:right w:val="none" w:sz="0" w:space="0" w:color="auto"/>
      </w:divBdr>
    </w:div>
    <w:div w:id="1611665535">
      <w:bodyDiv w:val="1"/>
      <w:marLeft w:val="0"/>
      <w:marRight w:val="0"/>
      <w:marTop w:val="0"/>
      <w:marBottom w:val="0"/>
      <w:divBdr>
        <w:top w:val="none" w:sz="0" w:space="0" w:color="auto"/>
        <w:left w:val="none" w:sz="0" w:space="0" w:color="auto"/>
        <w:bottom w:val="none" w:sz="0" w:space="0" w:color="auto"/>
        <w:right w:val="none" w:sz="0" w:space="0" w:color="auto"/>
      </w:divBdr>
    </w:div>
    <w:div w:id="1625035997">
      <w:bodyDiv w:val="1"/>
      <w:marLeft w:val="0"/>
      <w:marRight w:val="0"/>
      <w:marTop w:val="0"/>
      <w:marBottom w:val="0"/>
      <w:divBdr>
        <w:top w:val="none" w:sz="0" w:space="0" w:color="auto"/>
        <w:left w:val="none" w:sz="0" w:space="0" w:color="auto"/>
        <w:bottom w:val="none" w:sz="0" w:space="0" w:color="auto"/>
        <w:right w:val="none" w:sz="0" w:space="0" w:color="auto"/>
      </w:divBdr>
    </w:div>
    <w:div w:id="1770924378">
      <w:bodyDiv w:val="1"/>
      <w:marLeft w:val="0"/>
      <w:marRight w:val="0"/>
      <w:marTop w:val="0"/>
      <w:marBottom w:val="0"/>
      <w:divBdr>
        <w:top w:val="none" w:sz="0" w:space="0" w:color="auto"/>
        <w:left w:val="none" w:sz="0" w:space="0" w:color="auto"/>
        <w:bottom w:val="none" w:sz="0" w:space="0" w:color="auto"/>
        <w:right w:val="none" w:sz="0" w:space="0" w:color="auto"/>
      </w:divBdr>
    </w:div>
    <w:div w:id="1813332538">
      <w:bodyDiv w:val="1"/>
      <w:marLeft w:val="0"/>
      <w:marRight w:val="0"/>
      <w:marTop w:val="0"/>
      <w:marBottom w:val="0"/>
      <w:divBdr>
        <w:top w:val="none" w:sz="0" w:space="0" w:color="auto"/>
        <w:left w:val="none" w:sz="0" w:space="0" w:color="auto"/>
        <w:bottom w:val="none" w:sz="0" w:space="0" w:color="auto"/>
        <w:right w:val="none" w:sz="0" w:space="0" w:color="auto"/>
      </w:divBdr>
    </w:div>
    <w:div w:id="1818762023">
      <w:bodyDiv w:val="1"/>
      <w:marLeft w:val="0"/>
      <w:marRight w:val="0"/>
      <w:marTop w:val="0"/>
      <w:marBottom w:val="0"/>
      <w:divBdr>
        <w:top w:val="none" w:sz="0" w:space="0" w:color="auto"/>
        <w:left w:val="none" w:sz="0" w:space="0" w:color="auto"/>
        <w:bottom w:val="none" w:sz="0" w:space="0" w:color="auto"/>
        <w:right w:val="none" w:sz="0" w:space="0" w:color="auto"/>
      </w:divBdr>
    </w:div>
    <w:div w:id="1900245257">
      <w:bodyDiv w:val="1"/>
      <w:marLeft w:val="0"/>
      <w:marRight w:val="0"/>
      <w:marTop w:val="0"/>
      <w:marBottom w:val="0"/>
      <w:divBdr>
        <w:top w:val="none" w:sz="0" w:space="0" w:color="auto"/>
        <w:left w:val="none" w:sz="0" w:space="0" w:color="auto"/>
        <w:bottom w:val="none" w:sz="0" w:space="0" w:color="auto"/>
        <w:right w:val="none" w:sz="0" w:space="0" w:color="auto"/>
      </w:divBdr>
    </w:div>
    <w:div w:id="1955818202">
      <w:bodyDiv w:val="1"/>
      <w:marLeft w:val="0"/>
      <w:marRight w:val="0"/>
      <w:marTop w:val="0"/>
      <w:marBottom w:val="0"/>
      <w:divBdr>
        <w:top w:val="none" w:sz="0" w:space="0" w:color="auto"/>
        <w:left w:val="none" w:sz="0" w:space="0" w:color="auto"/>
        <w:bottom w:val="none" w:sz="0" w:space="0" w:color="auto"/>
        <w:right w:val="none" w:sz="0" w:space="0" w:color="auto"/>
      </w:divBdr>
    </w:div>
    <w:div w:id="1970669757">
      <w:bodyDiv w:val="1"/>
      <w:marLeft w:val="0"/>
      <w:marRight w:val="0"/>
      <w:marTop w:val="0"/>
      <w:marBottom w:val="0"/>
      <w:divBdr>
        <w:top w:val="none" w:sz="0" w:space="0" w:color="auto"/>
        <w:left w:val="none" w:sz="0" w:space="0" w:color="auto"/>
        <w:bottom w:val="none" w:sz="0" w:space="0" w:color="auto"/>
        <w:right w:val="none" w:sz="0" w:space="0" w:color="auto"/>
      </w:divBdr>
    </w:div>
    <w:div w:id="2050760366">
      <w:bodyDiv w:val="1"/>
      <w:marLeft w:val="0"/>
      <w:marRight w:val="0"/>
      <w:marTop w:val="0"/>
      <w:marBottom w:val="0"/>
      <w:divBdr>
        <w:top w:val="none" w:sz="0" w:space="0" w:color="auto"/>
        <w:left w:val="none" w:sz="0" w:space="0" w:color="auto"/>
        <w:bottom w:val="none" w:sz="0" w:space="0" w:color="auto"/>
        <w:right w:val="none" w:sz="0" w:space="0" w:color="auto"/>
      </w:divBdr>
    </w:div>
    <w:div w:id="2100983496">
      <w:bodyDiv w:val="1"/>
      <w:marLeft w:val="0"/>
      <w:marRight w:val="0"/>
      <w:marTop w:val="0"/>
      <w:marBottom w:val="0"/>
      <w:divBdr>
        <w:top w:val="none" w:sz="0" w:space="0" w:color="auto"/>
        <w:left w:val="none" w:sz="0" w:space="0" w:color="auto"/>
        <w:bottom w:val="none" w:sz="0" w:space="0" w:color="auto"/>
        <w:right w:val="none" w:sz="0" w:space="0" w:color="auto"/>
      </w:divBdr>
    </w:div>
    <w:div w:id="213247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base xmlns="8191c393-d098-42c7-80e0-8b61b1836941">PatientFinancials</Database>
    <lcf76f155ced4ddcb4097134ff3c332f xmlns="8191c393-d098-42c7-80e0-8b61b1836941">
      <Terms xmlns="http://schemas.microsoft.com/office/infopath/2007/PartnerControls"/>
    </lcf76f155ced4ddcb4097134ff3c332f>
    <TaxCatchAll xmlns="d1680238-2266-4ab1-9ebd-8eb4f05a8cbc" xsi:nil="true"/>
    <Schema xmlns="8191c393-d098-42c7-80e0-8b61b1836941" xsi:nil="true"/>
    <Description xmlns="8191c393-d098-42c7-80e0-8b61b18369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AA952BE21BCF49A128116F09E28E3F" ma:contentTypeVersion="21" ma:contentTypeDescription="Create a new document." ma:contentTypeScope="" ma:versionID="2ff43d747c8d1c55ac57e54c4c44e80f">
  <xsd:schema xmlns:xsd="http://www.w3.org/2001/XMLSchema" xmlns:xs="http://www.w3.org/2001/XMLSchema" xmlns:p="http://schemas.microsoft.com/office/2006/metadata/properties" xmlns:ns2="8191c393-d098-42c7-80e0-8b61b1836941" xmlns:ns3="cbd20703-5a0f-4edb-86f3-a20ec1754c45" xmlns:ns4="d1680238-2266-4ab1-9ebd-8eb4f05a8cbc" targetNamespace="http://schemas.microsoft.com/office/2006/metadata/properties" ma:root="true" ma:fieldsID="889cb82c2e1fb7a732facf929f95d0a4" ns2:_="" ns3:_="" ns4:_="">
    <xsd:import namespace="8191c393-d098-42c7-80e0-8b61b1836941"/>
    <xsd:import namespace="cbd20703-5a0f-4edb-86f3-a20ec1754c45"/>
    <xsd:import namespace="d1680238-2266-4ab1-9ebd-8eb4f05a8c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escription" minOccurs="0"/>
                <xsd:element ref="ns2:Database" minOccurs="0"/>
                <xsd:element ref="ns2:Schema"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1c393-d098-42c7-80e0-8b61b1836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scription" ma:index="19" nillable="true" ma:displayName="Description" ma:format="Dropdown" ma:internalName="Description">
      <xsd:simpleType>
        <xsd:restriction base="dms:Note">
          <xsd:maxLength value="255"/>
        </xsd:restriction>
      </xsd:simpleType>
    </xsd:element>
    <xsd:element name="Database" ma:index="20" nillable="true" ma:displayName="Database" ma:default="PatientFinancials" ma:format="Dropdown" ma:internalName="Database">
      <xsd:simpleType>
        <xsd:union memberTypes="dms:Text">
          <xsd:simpleType>
            <xsd:restriction base="dms:Choice">
              <xsd:enumeration value="PatientFinancials"/>
              <xsd:enumeration value="Payer"/>
              <xsd:enumeration value="SupplementalData"/>
            </xsd:restriction>
          </xsd:simpleType>
        </xsd:union>
      </xsd:simpleType>
    </xsd:element>
    <xsd:element name="Schema" ma:index="21" nillable="true" ma:displayName="Schema" ma:internalName="Schema">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60c9a04-0a06-4c47-89e2-9dbcedd85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20703-5a0f-4edb-86f3-a20ec1754c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80238-2266-4ab1-9ebd-8eb4f05a8cb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ca9de76-f66e-47b8-a9ba-d339751447ac}" ma:internalName="TaxCatchAll" ma:showField="CatchAllData" ma:web="cbd20703-5a0f-4edb-86f3-a20ec1754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1E678-6629-4ADA-B6B8-2A37164E70C6}">
  <ds:schemaRefs>
    <ds:schemaRef ds:uri="http://schemas.microsoft.com/office/2006/metadata/properties"/>
    <ds:schemaRef ds:uri="http://schemas.microsoft.com/office/infopath/2007/PartnerControls"/>
    <ds:schemaRef ds:uri="8191c393-d098-42c7-80e0-8b61b1836941"/>
    <ds:schemaRef ds:uri="d1680238-2266-4ab1-9ebd-8eb4f05a8cbc"/>
  </ds:schemaRefs>
</ds:datastoreItem>
</file>

<file path=customXml/itemProps2.xml><?xml version="1.0" encoding="utf-8"?>
<ds:datastoreItem xmlns:ds="http://schemas.openxmlformats.org/officeDocument/2006/customXml" ds:itemID="{139CF883-0C4F-4B5D-8B2D-3FCA71E73D08}">
  <ds:schemaRefs>
    <ds:schemaRef ds:uri="http://schemas.openxmlformats.org/officeDocument/2006/bibliography"/>
  </ds:schemaRefs>
</ds:datastoreItem>
</file>

<file path=customXml/itemProps3.xml><?xml version="1.0" encoding="utf-8"?>
<ds:datastoreItem xmlns:ds="http://schemas.openxmlformats.org/officeDocument/2006/customXml" ds:itemID="{377E81DF-0A42-4FC5-B30C-FFB8CBD12E28}">
  <ds:schemaRefs>
    <ds:schemaRef ds:uri="http://schemas.microsoft.com/sharepoint/v3/contenttype/forms"/>
  </ds:schemaRefs>
</ds:datastoreItem>
</file>

<file path=customXml/itemProps4.xml><?xml version="1.0" encoding="utf-8"?>
<ds:datastoreItem xmlns:ds="http://schemas.openxmlformats.org/officeDocument/2006/customXml" ds:itemID="{977E9257-D8D5-4B9E-B1BA-4D4D0035D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c393-d098-42c7-80e0-8b61b1836941"/>
    <ds:schemaRef ds:uri="cbd20703-5a0f-4edb-86f3-a20ec1754c45"/>
    <ds:schemaRef ds:uri="d1680238-2266-4ab1-9ebd-8eb4f05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Daley, Cathleen</dc:creator>
  <cp:lastModifiedBy>Marks, Brett (DPH)</cp:lastModifiedBy>
  <cp:revision>44</cp:revision>
  <cp:lastPrinted>1900-01-01T06:00:00Z</cp:lastPrinted>
  <dcterms:created xsi:type="dcterms:W3CDTF">2025-02-28T21:31:00Z</dcterms:created>
  <dcterms:modified xsi:type="dcterms:W3CDTF">2025-03-05T17:34:00Z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0x0101007BAA952BE21BCF49A128116F09E28E3F</vt:lpwstr>
  </property>
</Properties>
</file>