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60ECFD04" w14:textId="27E143AD" w:rsidR="0031623E" w:rsidRPr="0031623E" w:rsidRDefault="00651A84" w:rsidP="0031623E">
      <w:pPr>
        <w:pStyle w:val="Heading1"/>
      </w:pPr>
      <w:r>
        <w:t>Commission on Methamphetamine Use</w:t>
      </w:r>
    </w:p>
    <w:p w14:paraId="5C4CE97E" w14:textId="77777777" w:rsidR="0031623E" w:rsidRPr="0031623E" w:rsidRDefault="0031623E" w:rsidP="0031623E"/>
    <w:p w14:paraId="28BCAE90" w14:textId="2C46638E" w:rsidR="00651A84" w:rsidRDefault="00651A84" w:rsidP="002014F3">
      <w:pPr>
        <w:rPr>
          <w:b/>
          <w:bCs/>
        </w:rPr>
      </w:pPr>
      <w:r>
        <w:rPr>
          <w:b/>
          <w:bCs/>
        </w:rPr>
        <w:t>Executive Office of Health and Human Services</w:t>
      </w:r>
    </w:p>
    <w:p w14:paraId="7B79345F" w14:textId="7A5892B8" w:rsidR="002014F3" w:rsidRPr="002014F3" w:rsidRDefault="00651A84" w:rsidP="002014F3">
      <w:pPr>
        <w:rPr>
          <w:b/>
          <w:bCs/>
        </w:rPr>
      </w:pPr>
      <w:r>
        <w:rPr>
          <w:b/>
          <w:bCs/>
        </w:rPr>
        <w:t>January 11</w:t>
      </w:r>
      <w:r w:rsidR="002014F3" w:rsidRPr="002014F3">
        <w:rPr>
          <w:b/>
          <w:bCs/>
        </w:rPr>
        <w:t>, 202</w:t>
      </w:r>
      <w:r>
        <w:rPr>
          <w:b/>
          <w:bCs/>
        </w:rPr>
        <w:t>2</w:t>
      </w:r>
    </w:p>
    <w:p w14:paraId="73DB2369" w14:textId="4E2F7D63" w:rsidR="002014F3" w:rsidRPr="002014F3" w:rsidRDefault="00651A84" w:rsidP="002014F3">
      <w:pPr>
        <w:rPr>
          <w:b/>
          <w:bCs/>
        </w:rPr>
      </w:pPr>
      <w:r>
        <w:rPr>
          <w:b/>
          <w:bCs/>
        </w:rPr>
        <w:t>2</w:t>
      </w:r>
      <w:r w:rsidR="002014F3" w:rsidRPr="002014F3">
        <w:rPr>
          <w:b/>
          <w:bCs/>
        </w:rPr>
        <w:t>:00</w:t>
      </w:r>
      <w:r w:rsidR="005257BF">
        <w:rPr>
          <w:b/>
          <w:bCs/>
        </w:rPr>
        <w:t xml:space="preserve"> </w:t>
      </w:r>
      <w:r w:rsidR="002014F3" w:rsidRPr="002014F3">
        <w:rPr>
          <w:b/>
          <w:bCs/>
        </w:rPr>
        <w:t xml:space="preserve">- </w:t>
      </w:r>
      <w:r>
        <w:rPr>
          <w:b/>
          <w:bCs/>
        </w:rPr>
        <w:t>3</w:t>
      </w:r>
      <w:r w:rsidR="002014F3" w:rsidRPr="002014F3">
        <w:rPr>
          <w:b/>
          <w:bCs/>
        </w:rPr>
        <w:t>:30 pm</w:t>
      </w:r>
    </w:p>
    <w:p w14:paraId="0F1F9EEF" w14:textId="2EE6DF60" w:rsidR="0031623E" w:rsidRPr="002014F3" w:rsidRDefault="00651A84" w:rsidP="0031623E">
      <w:pPr>
        <w:rPr>
          <w:b/>
          <w:bCs/>
        </w:rPr>
      </w:pPr>
      <w:r>
        <w:rPr>
          <w:b/>
          <w:bCs/>
        </w:rPr>
        <w:t>Zoom</w:t>
      </w:r>
    </w:p>
    <w:p w14:paraId="3305F135" w14:textId="0DA65C0C" w:rsidR="0031623E" w:rsidRDefault="0031623E">
      <w:r>
        <w:br w:type="page"/>
      </w:r>
    </w:p>
    <w:p w14:paraId="4225E099" w14:textId="3485A6C9" w:rsidR="009C67A4"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227FB765" w14:textId="2BB640D7" w:rsidR="0031623E" w:rsidRPr="0031623E" w:rsidRDefault="0031623E" w:rsidP="0031623E">
      <w:pPr>
        <w:numPr>
          <w:ilvl w:val="0"/>
          <w:numId w:val="1"/>
        </w:numPr>
      </w:pPr>
      <w:r w:rsidRPr="0031623E">
        <w:rPr>
          <w:b/>
          <w:bCs/>
        </w:rPr>
        <w:t>Welcome</w:t>
      </w:r>
    </w:p>
    <w:p w14:paraId="09C53F6B" w14:textId="065FF2BC" w:rsidR="0031623E" w:rsidRPr="0031623E" w:rsidRDefault="0031623E" w:rsidP="00D23C6E">
      <w:pPr>
        <w:numPr>
          <w:ilvl w:val="0"/>
          <w:numId w:val="1"/>
        </w:numPr>
      </w:pPr>
      <w:r w:rsidRPr="0031623E">
        <w:rPr>
          <w:b/>
          <w:bCs/>
        </w:rPr>
        <w:t xml:space="preserve">Approval of </w:t>
      </w:r>
      <w:r w:rsidR="001F4D59">
        <w:rPr>
          <w:b/>
          <w:bCs/>
        </w:rPr>
        <w:t>12</w:t>
      </w:r>
      <w:r w:rsidRPr="0031623E">
        <w:rPr>
          <w:b/>
          <w:bCs/>
        </w:rPr>
        <w:t>/</w:t>
      </w:r>
      <w:r w:rsidR="001F4D59">
        <w:rPr>
          <w:b/>
          <w:bCs/>
        </w:rPr>
        <w:t>8</w:t>
      </w:r>
      <w:r w:rsidRPr="0031623E">
        <w:rPr>
          <w:b/>
          <w:bCs/>
        </w:rPr>
        <w:t xml:space="preserve"> Meeting Minutes</w:t>
      </w:r>
    </w:p>
    <w:p w14:paraId="40717CDE" w14:textId="77777777" w:rsidR="001F4D59" w:rsidRPr="001F4D59" w:rsidRDefault="001F4D59" w:rsidP="001F4D59">
      <w:pPr>
        <w:numPr>
          <w:ilvl w:val="0"/>
          <w:numId w:val="1"/>
        </w:numPr>
      </w:pPr>
      <w:r>
        <w:rPr>
          <w:b/>
          <w:bCs/>
        </w:rPr>
        <w:t>Discussion of Commission Members’ Goals</w:t>
      </w:r>
    </w:p>
    <w:p w14:paraId="028BE047" w14:textId="79404103" w:rsidR="002604A4" w:rsidRPr="002604A4" w:rsidRDefault="001F4D59" w:rsidP="001F4D59">
      <w:pPr>
        <w:numPr>
          <w:ilvl w:val="0"/>
          <w:numId w:val="1"/>
        </w:numPr>
      </w:pPr>
      <w:r>
        <w:rPr>
          <w:b/>
          <w:bCs/>
        </w:rPr>
        <w:t>Lived Experience Panel</w:t>
      </w:r>
    </w:p>
    <w:p w14:paraId="10362716" w14:textId="56162BF7" w:rsidR="0031623E" w:rsidRPr="00D23C6E" w:rsidRDefault="002014F3" w:rsidP="002014F3">
      <w:pPr>
        <w:numPr>
          <w:ilvl w:val="0"/>
          <w:numId w:val="1"/>
        </w:numPr>
      </w:pPr>
      <w:r w:rsidRPr="002014F3">
        <w:rPr>
          <w:b/>
          <w:bCs/>
        </w:rPr>
        <w:t>Upcoming Meetings</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lastRenderedPageBreak/>
        <w:t>Slid</w:t>
      </w:r>
      <w:r>
        <w:t>e 3</w:t>
      </w:r>
    </w:p>
    <w:p w14:paraId="766F0647" w14:textId="6AC2D2CD" w:rsidR="007636A5" w:rsidRPr="00B93233" w:rsidRDefault="001F4D59" w:rsidP="007636A5">
      <w:pPr>
        <w:pStyle w:val="Heading2"/>
      </w:pPr>
      <w:r>
        <w:t>Commission’s Charge</w:t>
      </w:r>
    </w:p>
    <w:p w14:paraId="1C50C842" w14:textId="77777777" w:rsidR="007636A5" w:rsidRDefault="007636A5" w:rsidP="007636A5">
      <w:pPr>
        <w:rPr>
          <w:b/>
          <w:bCs/>
          <w:u w:val="single"/>
        </w:rPr>
      </w:pPr>
    </w:p>
    <w:p w14:paraId="2ED91BB5" w14:textId="77777777" w:rsidR="001F4D59" w:rsidRPr="001F4D59" w:rsidRDefault="001F4D59" w:rsidP="001F4D59">
      <w:r w:rsidRPr="001F4D59">
        <w:rPr>
          <w:b/>
          <w:bCs/>
        </w:rPr>
        <w:t xml:space="preserve">Legal Authority: </w:t>
      </w:r>
      <w:r w:rsidRPr="001F4D59">
        <w:t>Section 131 of Chapter 24 of the Acts of 2021</w:t>
      </w:r>
    </w:p>
    <w:p w14:paraId="5A08B735" w14:textId="77777777" w:rsidR="001F4D59" w:rsidRPr="001F4D59" w:rsidRDefault="001F4D59" w:rsidP="001F4D59">
      <w:r w:rsidRPr="001F4D59">
        <w:rPr>
          <w:b/>
          <w:bCs/>
        </w:rPr>
        <w:t xml:space="preserve">Purpose: </w:t>
      </w:r>
      <w:r w:rsidRPr="001F4D59">
        <w:t>Study and make recommendations regarding methamphetamine and other stimulant use in the Commonwealth.</w:t>
      </w:r>
    </w:p>
    <w:p w14:paraId="1B695EE6" w14:textId="77777777" w:rsidR="001F4D59" w:rsidRPr="001F4D59" w:rsidRDefault="001F4D59" w:rsidP="001F4D59">
      <w:r w:rsidRPr="001F4D59">
        <w:rPr>
          <w:b/>
          <w:bCs/>
        </w:rPr>
        <w:t>The Commission shall:</w:t>
      </w:r>
    </w:p>
    <w:p w14:paraId="346A4D96" w14:textId="77777777" w:rsidR="001F4D59" w:rsidRPr="001F4D59" w:rsidRDefault="001F4D59" w:rsidP="001F4D59">
      <w:pPr>
        <w:numPr>
          <w:ilvl w:val="0"/>
          <w:numId w:val="28"/>
        </w:numPr>
      </w:pPr>
      <w:r w:rsidRPr="001F4D59">
        <w:rPr>
          <w:b/>
          <w:bCs/>
        </w:rPr>
        <w:t>Create aggregate demographic and geographic profiles</w:t>
      </w:r>
      <w:r w:rsidRPr="001F4D59">
        <w:t xml:space="preserve"> of individuals who use methamphetamines and other stimulants, including identifying populations most vulnerable to </w:t>
      </w:r>
      <w:proofErr w:type="gramStart"/>
      <w:r w:rsidRPr="001F4D59">
        <w:t>use;</w:t>
      </w:r>
      <w:proofErr w:type="gramEnd"/>
    </w:p>
    <w:p w14:paraId="6D2F3786" w14:textId="77777777" w:rsidR="001F4D59" w:rsidRPr="001F4D59" w:rsidRDefault="001F4D59" w:rsidP="001F4D59">
      <w:pPr>
        <w:numPr>
          <w:ilvl w:val="0"/>
          <w:numId w:val="28"/>
        </w:numPr>
      </w:pPr>
      <w:r w:rsidRPr="001F4D59">
        <w:rPr>
          <w:b/>
          <w:bCs/>
        </w:rPr>
        <w:t>Examine the current availability of, and barriers to providing, harm reduction services and treatment</w:t>
      </w:r>
      <w:r w:rsidRPr="001F4D59">
        <w:t xml:space="preserve"> to individuals with a stimulant use disorder, including, but not limited to, in outpatient treatment, rehabilitation and continuum of care </w:t>
      </w:r>
      <w:proofErr w:type="gramStart"/>
      <w:r w:rsidRPr="001F4D59">
        <w:t>settings;</w:t>
      </w:r>
      <w:proofErr w:type="gramEnd"/>
      <w:r w:rsidRPr="001F4D59">
        <w:t xml:space="preserve"> </w:t>
      </w:r>
    </w:p>
    <w:p w14:paraId="47720D2F" w14:textId="77777777" w:rsidR="001F4D59" w:rsidRPr="001F4D59" w:rsidRDefault="001F4D59" w:rsidP="001F4D59">
      <w:pPr>
        <w:numPr>
          <w:ilvl w:val="0"/>
          <w:numId w:val="28"/>
        </w:numPr>
      </w:pPr>
      <w:r w:rsidRPr="001F4D59">
        <w:rPr>
          <w:b/>
          <w:bCs/>
        </w:rPr>
        <w:t>Examine existing efforts undertaken by healthcare providers and the existing body of research around best practices for treating</w:t>
      </w:r>
      <w:r w:rsidRPr="001F4D59">
        <w:t xml:space="preserve"> individuals with a stimulant use disorders, including, but not limited to, evidence for medication treatment for stimulant use disorder, the need for treatment of co-occurring disorders and how to create safe and therapeutic environments in inpatient and outpatient healthcare </w:t>
      </w:r>
      <w:proofErr w:type="gramStart"/>
      <w:r w:rsidRPr="001F4D59">
        <w:t>settings;</w:t>
      </w:r>
      <w:proofErr w:type="gramEnd"/>
      <w:r w:rsidRPr="001F4D59">
        <w:t xml:space="preserve"> </w:t>
      </w:r>
    </w:p>
    <w:p w14:paraId="7D70A780" w14:textId="77777777" w:rsidR="001F4D59" w:rsidRPr="001F4D59" w:rsidRDefault="001F4D59" w:rsidP="001F4D59">
      <w:pPr>
        <w:numPr>
          <w:ilvl w:val="0"/>
          <w:numId w:val="28"/>
        </w:numPr>
      </w:pPr>
      <w:r w:rsidRPr="001F4D59">
        <w:rPr>
          <w:b/>
          <w:bCs/>
        </w:rPr>
        <w:t>Examine existing efforts undertaken by service providers and the existing body of research around best practices for harm reduction efforts</w:t>
      </w:r>
      <w:r w:rsidRPr="001F4D59">
        <w:t xml:space="preserve"> in working with individuals using stimulants, including, but not limited to, contingency </w:t>
      </w:r>
      <w:proofErr w:type="gramStart"/>
      <w:r w:rsidRPr="001F4D59">
        <w:t>management;</w:t>
      </w:r>
      <w:proofErr w:type="gramEnd"/>
      <w:r w:rsidRPr="001F4D59">
        <w:t xml:space="preserve"> </w:t>
      </w:r>
    </w:p>
    <w:p w14:paraId="65D6DB20" w14:textId="77777777" w:rsidR="001F4D59" w:rsidRPr="001F4D59" w:rsidRDefault="001F4D59" w:rsidP="001F4D59">
      <w:pPr>
        <w:numPr>
          <w:ilvl w:val="0"/>
          <w:numId w:val="28"/>
        </w:numPr>
      </w:pPr>
      <w:r w:rsidRPr="001F4D59">
        <w:rPr>
          <w:b/>
          <w:bCs/>
        </w:rPr>
        <w:t>Examine the intersections among stimulant use and sexual health</w:t>
      </w:r>
      <w:r w:rsidRPr="001F4D59">
        <w:t xml:space="preserve">, particularly among the lesbian, gay, bisexual, transgender, queer and questioning </w:t>
      </w:r>
      <w:proofErr w:type="gramStart"/>
      <w:r w:rsidRPr="001F4D59">
        <w:t>community;</w:t>
      </w:r>
      <w:proofErr w:type="gramEnd"/>
      <w:r w:rsidRPr="001F4D59">
        <w:t xml:space="preserve"> </w:t>
      </w:r>
    </w:p>
    <w:p w14:paraId="7EA13DC0" w14:textId="77777777" w:rsidR="001F4D59" w:rsidRPr="001F4D59" w:rsidRDefault="001F4D59" w:rsidP="001F4D59">
      <w:pPr>
        <w:numPr>
          <w:ilvl w:val="0"/>
          <w:numId w:val="28"/>
        </w:numPr>
      </w:pPr>
      <w:r w:rsidRPr="001F4D59">
        <w:rPr>
          <w:b/>
          <w:bCs/>
        </w:rPr>
        <w:t xml:space="preserve">Examine the intersections between stimulant use and </w:t>
      </w:r>
      <w:proofErr w:type="gramStart"/>
      <w:r w:rsidRPr="001F4D59">
        <w:rPr>
          <w:b/>
          <w:bCs/>
        </w:rPr>
        <w:t>homelessness</w:t>
      </w:r>
      <w:r w:rsidRPr="001F4D59">
        <w:t>;</w:t>
      </w:r>
      <w:proofErr w:type="gramEnd"/>
      <w:r w:rsidRPr="001F4D59">
        <w:t xml:space="preserve"> </w:t>
      </w:r>
    </w:p>
    <w:p w14:paraId="0ACAFADF" w14:textId="77777777" w:rsidR="001F4D59" w:rsidRPr="001F4D59" w:rsidRDefault="001F4D59" w:rsidP="001F4D59">
      <w:pPr>
        <w:numPr>
          <w:ilvl w:val="0"/>
          <w:numId w:val="28"/>
        </w:numPr>
      </w:pPr>
      <w:r w:rsidRPr="001F4D59">
        <w:rPr>
          <w:b/>
          <w:bCs/>
        </w:rPr>
        <w:t>Examine existing efforts undertaken by emergency medical service providers and law enforcement officials</w:t>
      </w:r>
      <w:r w:rsidRPr="001F4D59">
        <w:t xml:space="preserve"> and the existing body of research on best practices for interacting with individuals with a stimulant use disorder, including, but not limited to, how to de-escalate situations and provide safety and security guidance to health care facilities and local police </w:t>
      </w:r>
      <w:proofErr w:type="gramStart"/>
      <w:r w:rsidRPr="001F4D59">
        <w:t>officers;</w:t>
      </w:r>
      <w:proofErr w:type="gramEnd"/>
      <w:r w:rsidRPr="001F4D59">
        <w:t xml:space="preserve"> </w:t>
      </w:r>
    </w:p>
    <w:p w14:paraId="2806E3E7" w14:textId="77777777" w:rsidR="001F4D59" w:rsidRPr="001F4D59" w:rsidRDefault="001F4D59" w:rsidP="001F4D59">
      <w:pPr>
        <w:numPr>
          <w:ilvl w:val="0"/>
          <w:numId w:val="28"/>
        </w:numPr>
      </w:pPr>
      <w:r w:rsidRPr="001F4D59">
        <w:rPr>
          <w:b/>
          <w:bCs/>
        </w:rPr>
        <w:t xml:space="preserve">Examine the source, quantity, </w:t>
      </w:r>
      <w:proofErr w:type="gramStart"/>
      <w:r w:rsidRPr="001F4D59">
        <w:rPr>
          <w:b/>
          <w:bCs/>
        </w:rPr>
        <w:t>potency</w:t>
      </w:r>
      <w:proofErr w:type="gramEnd"/>
      <w:r w:rsidRPr="001F4D59">
        <w:rPr>
          <w:b/>
          <w:bCs/>
        </w:rPr>
        <w:t xml:space="preserve"> and pathways to local areas of illicit methamphetamine and other stimulants</w:t>
      </w:r>
      <w:r w:rsidRPr="001F4D59">
        <w:t xml:space="preserve">, related substances and products; and </w:t>
      </w:r>
    </w:p>
    <w:p w14:paraId="2B61D2CF" w14:textId="77777777" w:rsidR="001F4D59" w:rsidRPr="001F4D59" w:rsidRDefault="001F4D59" w:rsidP="001F4D59">
      <w:pPr>
        <w:numPr>
          <w:ilvl w:val="0"/>
          <w:numId w:val="28"/>
        </w:numPr>
      </w:pPr>
      <w:r w:rsidRPr="001F4D59">
        <w:t>Examine other matters deemed appropriate by the Commission.</w:t>
      </w:r>
    </w:p>
    <w:p w14:paraId="4D033C66" w14:textId="77777777" w:rsidR="001F4D59" w:rsidRDefault="001F4D59" w:rsidP="001F4D59">
      <w:pPr>
        <w:rPr>
          <w:b/>
          <w:bCs/>
        </w:rPr>
      </w:pPr>
    </w:p>
    <w:p w14:paraId="62E12A63" w14:textId="4F1E006D" w:rsidR="001F4D59" w:rsidRPr="001F4D59" w:rsidRDefault="001F4D59" w:rsidP="001F4D59">
      <w:r w:rsidRPr="001F4D59">
        <w:rPr>
          <w:b/>
          <w:bCs/>
        </w:rPr>
        <w:t>The Commission shall submit its findings and recommendations</w:t>
      </w:r>
      <w:r w:rsidRPr="001F4D59">
        <w:t xml:space="preserve"> to the Clerks of the Senate and the House of Representatives, the Joint Committee on Mental Health, Substance Use and Recovery, the Joint Committee on Public Health, the Joint Committee on Public Safety and Homeland Security and the Senate and House Committees on Ways and Means </w:t>
      </w:r>
      <w:r w:rsidRPr="001F4D59">
        <w:rPr>
          <w:b/>
          <w:bCs/>
        </w:rPr>
        <w:t>not later than March 31, 2022</w:t>
      </w:r>
      <w:r w:rsidRPr="001F4D59">
        <w:t>.</w:t>
      </w:r>
    </w:p>
    <w:p w14:paraId="27FBE10E" w14:textId="77777777" w:rsidR="001F4D59" w:rsidRPr="007636A5" w:rsidRDefault="001F4D59" w:rsidP="007636A5"/>
    <w:p w14:paraId="50FE0879" w14:textId="77777777" w:rsidR="007636A5" w:rsidRDefault="007636A5" w:rsidP="007636A5">
      <w:pPr>
        <w:rPr>
          <w:b/>
          <w:bCs/>
          <w:u w:val="single"/>
        </w:rPr>
      </w:pPr>
    </w:p>
    <w:p w14:paraId="6CE1AEC3" w14:textId="28FA6514" w:rsidR="007636A5" w:rsidRDefault="007636A5"/>
    <w:p w14:paraId="62133EAA" w14:textId="77777777" w:rsidR="007636A5" w:rsidRDefault="007636A5">
      <w:r>
        <w:br w:type="page"/>
      </w:r>
    </w:p>
    <w:p w14:paraId="417625D5" w14:textId="25B5C22F" w:rsidR="007636A5" w:rsidRDefault="007636A5">
      <w:r w:rsidRPr="007636A5">
        <w:lastRenderedPageBreak/>
        <w:t xml:space="preserve">Slide </w:t>
      </w:r>
      <w:r w:rsidR="00F44AA7">
        <w:t>4</w:t>
      </w:r>
    </w:p>
    <w:p w14:paraId="5E999C8E" w14:textId="2DD10C73" w:rsidR="00F44AA7" w:rsidRPr="004E6F59" w:rsidRDefault="001F4D59" w:rsidP="00F44AA7">
      <w:pPr>
        <w:pStyle w:val="Heading1"/>
        <w:rPr>
          <w:b w:val="0"/>
          <w:bCs w:val="0"/>
        </w:rPr>
      </w:pPr>
      <w:r>
        <w:rPr>
          <w:b w:val="0"/>
          <w:bCs w:val="0"/>
        </w:rPr>
        <w:t>Live</w:t>
      </w:r>
      <w:r w:rsidR="00F44AA7" w:rsidRPr="004E6F59">
        <w:rPr>
          <w:b w:val="0"/>
          <w:bCs w:val="0"/>
        </w:rPr>
        <w:t xml:space="preserve">d </w:t>
      </w:r>
      <w:r>
        <w:rPr>
          <w:b w:val="0"/>
          <w:bCs w:val="0"/>
        </w:rPr>
        <w:t>Experience Pane</w:t>
      </w:r>
      <w:r w:rsidR="00F44AA7" w:rsidRPr="004E6F59">
        <w:rPr>
          <w:b w:val="0"/>
          <w:bCs w:val="0"/>
        </w:rPr>
        <w:t>l</w:t>
      </w:r>
    </w:p>
    <w:p w14:paraId="4617EC4C" w14:textId="77777777" w:rsidR="00F44AA7" w:rsidRPr="0031623E" w:rsidRDefault="00F44AA7" w:rsidP="00F44AA7"/>
    <w:p w14:paraId="1D9DBE7C" w14:textId="77777777" w:rsidR="001F4D59" w:rsidRPr="001F4D59" w:rsidRDefault="001F4D59" w:rsidP="001F4D59">
      <w:pPr>
        <w:rPr>
          <w:b/>
          <w:bCs/>
        </w:rPr>
      </w:pPr>
      <w:r w:rsidRPr="001F4D59">
        <w:rPr>
          <w:b/>
          <w:bCs/>
        </w:rPr>
        <w:t>Prentice Crowell</w:t>
      </w:r>
    </w:p>
    <w:p w14:paraId="47A14FDF" w14:textId="77777777" w:rsidR="001F4D59" w:rsidRPr="001F4D59" w:rsidRDefault="001F4D59" w:rsidP="001F4D59">
      <w:r w:rsidRPr="001F4D59">
        <w:t>Arbor Hospital</w:t>
      </w:r>
    </w:p>
    <w:p w14:paraId="1281FA07" w14:textId="77777777" w:rsidR="001F4D59" w:rsidRPr="001F4D59" w:rsidRDefault="001F4D59" w:rsidP="001F4D59">
      <w:r w:rsidRPr="001F4D59">
        <w:t>Safe and Sound Recovery Center</w:t>
      </w:r>
    </w:p>
    <w:p w14:paraId="0B0D6FA8" w14:textId="77777777" w:rsidR="001F4D59" w:rsidRDefault="001F4D59" w:rsidP="001F4D59">
      <w:pPr>
        <w:rPr>
          <w:b/>
          <w:bCs/>
        </w:rPr>
      </w:pPr>
    </w:p>
    <w:p w14:paraId="1F61941E" w14:textId="6CB5871E" w:rsidR="001F4D59" w:rsidRPr="001F4D59" w:rsidRDefault="001F4D59" w:rsidP="001F4D59">
      <w:pPr>
        <w:rPr>
          <w:b/>
          <w:bCs/>
        </w:rPr>
      </w:pPr>
      <w:r w:rsidRPr="001F4D59">
        <w:rPr>
          <w:b/>
          <w:bCs/>
        </w:rPr>
        <w:t>Stephen Murray</w:t>
      </w:r>
    </w:p>
    <w:p w14:paraId="7D7C17DD" w14:textId="77777777" w:rsidR="001F4D59" w:rsidRPr="001F4D59" w:rsidRDefault="001F4D59" w:rsidP="001F4D59">
      <w:r w:rsidRPr="001F4D59">
        <w:t>Boston Medical Center</w:t>
      </w:r>
    </w:p>
    <w:p w14:paraId="7EBEE99F" w14:textId="77777777" w:rsidR="001F4D59" w:rsidRDefault="001F4D59" w:rsidP="001F4D59">
      <w:pPr>
        <w:rPr>
          <w:b/>
          <w:bCs/>
        </w:rPr>
      </w:pPr>
    </w:p>
    <w:p w14:paraId="1CAC78BE" w14:textId="1D8126EC" w:rsidR="001F4D59" w:rsidRPr="001F4D59" w:rsidRDefault="001F4D59" w:rsidP="001F4D59">
      <w:pPr>
        <w:rPr>
          <w:b/>
          <w:bCs/>
        </w:rPr>
      </w:pPr>
      <w:r w:rsidRPr="001F4D59">
        <w:rPr>
          <w:b/>
          <w:bCs/>
        </w:rPr>
        <w:t>James Duffy</w:t>
      </w:r>
    </w:p>
    <w:p w14:paraId="1FA0C374" w14:textId="77777777" w:rsidR="001F4D59" w:rsidRPr="001F4D59" w:rsidRDefault="001F4D59" w:rsidP="001F4D59">
      <w:r w:rsidRPr="001F4D59">
        <w:t>AHOPE</w:t>
      </w:r>
    </w:p>
    <w:p w14:paraId="3C022B26" w14:textId="77777777" w:rsidR="001F4D59" w:rsidRDefault="001F4D59" w:rsidP="001F4D59">
      <w:pPr>
        <w:rPr>
          <w:b/>
          <w:bCs/>
        </w:rPr>
      </w:pPr>
    </w:p>
    <w:p w14:paraId="7576F5FB" w14:textId="7D157A4F" w:rsidR="001F4D59" w:rsidRPr="001F4D59" w:rsidRDefault="001F4D59" w:rsidP="001F4D59">
      <w:pPr>
        <w:rPr>
          <w:b/>
          <w:bCs/>
        </w:rPr>
      </w:pPr>
      <w:r w:rsidRPr="001F4D59">
        <w:rPr>
          <w:b/>
          <w:bCs/>
        </w:rPr>
        <w:t>Mitchell Barys</w:t>
      </w:r>
    </w:p>
    <w:p w14:paraId="08C97A46" w14:textId="6FC78AE7" w:rsidR="00F44AA7" w:rsidRPr="001F4D59" w:rsidRDefault="001F4D59" w:rsidP="001F4D59">
      <w:r w:rsidRPr="001F4D59">
        <w:t>Peer Advocate</w:t>
      </w:r>
    </w:p>
    <w:p w14:paraId="34647BB7" w14:textId="77777777" w:rsidR="00F44AA7" w:rsidRDefault="00F44AA7" w:rsidP="00F44AA7">
      <w:r>
        <w:br w:type="page"/>
      </w:r>
    </w:p>
    <w:p w14:paraId="70A8A2DD" w14:textId="4A4E9395" w:rsidR="002B7D99" w:rsidRDefault="002B7D99" w:rsidP="002B7D99">
      <w:r w:rsidRPr="00B93233">
        <w:lastRenderedPageBreak/>
        <w:t>Slid</w:t>
      </w:r>
      <w:r>
        <w:t xml:space="preserve">e </w:t>
      </w:r>
      <w:r w:rsidR="00F44AA7">
        <w:t>5</w:t>
      </w:r>
    </w:p>
    <w:p w14:paraId="745D9F70" w14:textId="77777777" w:rsidR="00CA17CD" w:rsidRDefault="00CA17CD" w:rsidP="0031623E">
      <w:pPr>
        <w:pStyle w:val="Heading2"/>
      </w:pPr>
      <w:r w:rsidRPr="00CA17CD">
        <w:t>Upcoming Meetings</w:t>
      </w:r>
    </w:p>
    <w:p w14:paraId="0696C36A" w14:textId="47EE67CC" w:rsidR="0031623E" w:rsidRPr="00CA17CD" w:rsidRDefault="0031623E" w:rsidP="00CA17CD">
      <w:pPr>
        <w:pStyle w:val="Heading2"/>
      </w:pPr>
      <w:r>
        <w:t xml:space="preserve"> </w:t>
      </w:r>
    </w:p>
    <w:tbl>
      <w:tblPr>
        <w:tblStyle w:val="PlainTable1"/>
        <w:tblW w:w="0" w:type="auto"/>
        <w:tblLook w:val="04A0" w:firstRow="1" w:lastRow="0" w:firstColumn="1" w:lastColumn="0" w:noHBand="0" w:noVBand="1"/>
        <w:tblCaption w:val="Propsed Dates for CBH Commission Meetings"/>
      </w:tblPr>
      <w:tblGrid>
        <w:gridCol w:w="3116"/>
        <w:gridCol w:w="3117"/>
        <w:gridCol w:w="3117"/>
      </w:tblGrid>
      <w:tr w:rsidR="0031623E" w14:paraId="205B0204" w14:textId="77777777" w:rsidTr="00AF40E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51B68F4" w14:textId="368676D8" w:rsidR="0031623E" w:rsidRDefault="0031623E" w:rsidP="00AF40E0">
            <w:r>
              <w:t>Date</w:t>
            </w:r>
          </w:p>
        </w:tc>
        <w:tc>
          <w:tcPr>
            <w:tcW w:w="3117" w:type="dxa"/>
            <w:vAlign w:val="center"/>
          </w:tcPr>
          <w:p w14:paraId="27961B7A" w14:textId="095D3FEB" w:rsidR="0031623E" w:rsidRDefault="0031623E" w:rsidP="003B4D4E">
            <w:pPr>
              <w:jc w:val="center"/>
              <w:cnfStyle w:val="100000000000" w:firstRow="1" w:lastRow="0" w:firstColumn="0" w:lastColumn="0" w:oddVBand="0" w:evenVBand="0" w:oddHBand="0" w:evenHBand="0" w:firstRowFirstColumn="0" w:firstRowLastColumn="0" w:lastRowFirstColumn="0" w:lastRowLastColumn="0"/>
            </w:pPr>
            <w:r>
              <w:t>Time</w:t>
            </w:r>
          </w:p>
        </w:tc>
        <w:tc>
          <w:tcPr>
            <w:tcW w:w="3117" w:type="dxa"/>
            <w:vAlign w:val="center"/>
          </w:tcPr>
          <w:p w14:paraId="44A8F20F" w14:textId="33C3ACE6" w:rsidR="0031623E" w:rsidRDefault="0031623E" w:rsidP="003B4D4E">
            <w:pPr>
              <w:jc w:val="center"/>
              <w:cnfStyle w:val="100000000000" w:firstRow="1" w:lastRow="0" w:firstColumn="0" w:lastColumn="0" w:oddVBand="0" w:evenVBand="0" w:oddHBand="0" w:evenHBand="0" w:firstRowFirstColumn="0" w:firstRowLastColumn="0" w:lastRowFirstColumn="0" w:lastRowLastColumn="0"/>
            </w:pPr>
            <w:r>
              <w:t>Location</w:t>
            </w:r>
          </w:p>
        </w:tc>
      </w:tr>
      <w:tr w:rsidR="0031623E" w14:paraId="5DC0B5DA" w14:textId="77777777" w:rsidTr="00AF40E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5035F1C" w14:textId="27681350" w:rsidR="0031623E" w:rsidRPr="001F4D59" w:rsidRDefault="001F4D59" w:rsidP="00AF40E0">
            <w:pPr>
              <w:rPr>
                <w:b w:val="0"/>
                <w:bCs w:val="0"/>
              </w:rPr>
            </w:pPr>
            <w:r w:rsidRPr="001F4D59">
              <w:rPr>
                <w:b w:val="0"/>
                <w:bCs w:val="0"/>
              </w:rPr>
              <w:t>February 8</w:t>
            </w:r>
            <w:r w:rsidR="00836B8C" w:rsidRPr="001F4D59">
              <w:rPr>
                <w:b w:val="0"/>
                <w:bCs w:val="0"/>
              </w:rPr>
              <w:t xml:space="preserve">, </w:t>
            </w:r>
            <w:r w:rsidR="0031623E" w:rsidRPr="001F4D59">
              <w:rPr>
                <w:b w:val="0"/>
                <w:bCs w:val="0"/>
              </w:rPr>
              <w:t>202</w:t>
            </w:r>
            <w:r w:rsidRPr="001F4D59">
              <w:rPr>
                <w:b w:val="0"/>
                <w:bCs w:val="0"/>
              </w:rPr>
              <w:t>2</w:t>
            </w:r>
          </w:p>
        </w:tc>
        <w:tc>
          <w:tcPr>
            <w:tcW w:w="3117" w:type="dxa"/>
            <w:vAlign w:val="center"/>
          </w:tcPr>
          <w:p w14:paraId="4D64AE1B" w14:textId="41512109" w:rsidR="0031623E" w:rsidRPr="001F4D59" w:rsidRDefault="00836B8C" w:rsidP="003B4D4E">
            <w:pPr>
              <w:jc w:val="center"/>
              <w:cnfStyle w:val="000000100000" w:firstRow="0" w:lastRow="0" w:firstColumn="0" w:lastColumn="0" w:oddVBand="0" w:evenVBand="0" w:oddHBand="1" w:evenHBand="0" w:firstRowFirstColumn="0" w:firstRowLastColumn="0" w:lastRowFirstColumn="0" w:lastRowLastColumn="0"/>
            </w:pPr>
            <w:r w:rsidRPr="001F4D59">
              <w:t>1:00 to 2:30 pm</w:t>
            </w:r>
          </w:p>
        </w:tc>
        <w:tc>
          <w:tcPr>
            <w:tcW w:w="3117" w:type="dxa"/>
            <w:vAlign w:val="center"/>
          </w:tcPr>
          <w:p w14:paraId="2A782218" w14:textId="51A91D96" w:rsidR="0031623E" w:rsidRPr="001F4D59" w:rsidRDefault="001F4D59" w:rsidP="003B4D4E">
            <w:pPr>
              <w:jc w:val="center"/>
              <w:cnfStyle w:val="000000100000" w:firstRow="0" w:lastRow="0" w:firstColumn="0" w:lastColumn="0" w:oddVBand="0" w:evenVBand="0" w:oddHBand="1" w:evenHBand="0" w:firstRowFirstColumn="0" w:firstRowLastColumn="0" w:lastRowFirstColumn="0" w:lastRowLastColumn="0"/>
            </w:pPr>
            <w:r w:rsidRPr="001F4D59">
              <w:t>Virtual / Zoom</w:t>
            </w:r>
          </w:p>
        </w:tc>
      </w:tr>
      <w:tr w:rsidR="0031623E" w14:paraId="2609EFA4" w14:textId="77777777" w:rsidTr="00AF40E0">
        <w:trPr>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50D62CF" w14:textId="1D3503BE" w:rsidR="0031623E" w:rsidRPr="001F4D59" w:rsidRDefault="00D25605" w:rsidP="00AF40E0">
            <w:pPr>
              <w:rPr>
                <w:b w:val="0"/>
                <w:bCs w:val="0"/>
              </w:rPr>
            </w:pPr>
            <w:r w:rsidRPr="001F4D59">
              <w:rPr>
                <w:b w:val="0"/>
                <w:bCs w:val="0"/>
              </w:rPr>
              <w:t xml:space="preserve">March </w:t>
            </w:r>
            <w:r w:rsidR="001F4D59" w:rsidRPr="001F4D59">
              <w:rPr>
                <w:b w:val="0"/>
                <w:bCs w:val="0"/>
              </w:rPr>
              <w:t xml:space="preserve">8, </w:t>
            </w:r>
            <w:r w:rsidRPr="001F4D59">
              <w:rPr>
                <w:b w:val="0"/>
                <w:bCs w:val="0"/>
              </w:rPr>
              <w:t>202</w:t>
            </w:r>
            <w:r w:rsidR="0031623E" w:rsidRPr="001F4D59">
              <w:rPr>
                <w:b w:val="0"/>
                <w:bCs w:val="0"/>
              </w:rPr>
              <w:t>2</w:t>
            </w:r>
          </w:p>
        </w:tc>
        <w:tc>
          <w:tcPr>
            <w:tcW w:w="3117" w:type="dxa"/>
            <w:vAlign w:val="center"/>
          </w:tcPr>
          <w:p w14:paraId="2D946748" w14:textId="03B20796" w:rsidR="0031623E" w:rsidRPr="001F4D59" w:rsidRDefault="001F4D59" w:rsidP="003B4D4E">
            <w:pPr>
              <w:jc w:val="center"/>
              <w:cnfStyle w:val="000000000000" w:firstRow="0" w:lastRow="0" w:firstColumn="0" w:lastColumn="0" w:oddVBand="0" w:evenVBand="0" w:oddHBand="0" w:evenHBand="0" w:firstRowFirstColumn="0" w:firstRowLastColumn="0" w:lastRowFirstColumn="0" w:lastRowLastColumn="0"/>
            </w:pPr>
            <w:r w:rsidRPr="001F4D59">
              <w:t>1:00 to 2:30 pm</w:t>
            </w:r>
          </w:p>
        </w:tc>
        <w:tc>
          <w:tcPr>
            <w:tcW w:w="3117" w:type="dxa"/>
            <w:vAlign w:val="center"/>
          </w:tcPr>
          <w:p w14:paraId="314B04F5" w14:textId="099C1245" w:rsidR="0031623E" w:rsidRPr="001F4D59" w:rsidRDefault="001F4D59" w:rsidP="003B4D4E">
            <w:pPr>
              <w:jc w:val="center"/>
              <w:cnfStyle w:val="000000000000" w:firstRow="0" w:lastRow="0" w:firstColumn="0" w:lastColumn="0" w:oddVBand="0" w:evenVBand="0" w:oddHBand="0" w:evenHBand="0" w:firstRowFirstColumn="0" w:firstRowLastColumn="0" w:lastRowFirstColumn="0" w:lastRowLastColumn="0"/>
            </w:pPr>
            <w:r w:rsidRPr="001F4D59">
              <w:t>Virtual / Zoom</w:t>
            </w:r>
          </w:p>
        </w:tc>
      </w:tr>
      <w:tr w:rsidR="00D25605" w14:paraId="330B13C7" w14:textId="77777777" w:rsidTr="00C862A3">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7EE5C96D" w14:textId="14EBA12E" w:rsidR="00D25605" w:rsidRPr="001F4D59" w:rsidRDefault="001F4D59" w:rsidP="00AF40E0">
            <w:pPr>
              <w:rPr>
                <w:b w:val="0"/>
                <w:bCs w:val="0"/>
              </w:rPr>
            </w:pPr>
            <w:r w:rsidRPr="001F4D59">
              <w:rPr>
                <w:b w:val="0"/>
                <w:bCs w:val="0"/>
              </w:rPr>
              <w:t>March 3</w:t>
            </w:r>
            <w:r w:rsidR="00D25605" w:rsidRPr="001F4D59">
              <w:rPr>
                <w:b w:val="0"/>
                <w:bCs w:val="0"/>
              </w:rPr>
              <w:t>1, 202</w:t>
            </w:r>
            <w:r w:rsidR="00836B8C" w:rsidRPr="001F4D59">
              <w:rPr>
                <w:b w:val="0"/>
                <w:bCs w:val="0"/>
              </w:rPr>
              <w:t>2</w:t>
            </w:r>
            <w:r w:rsidR="00D25605" w:rsidRPr="001F4D59">
              <w:rPr>
                <w:b w:val="0"/>
                <w:bCs w:val="0"/>
              </w:rPr>
              <w:t xml:space="preserve"> - </w:t>
            </w:r>
            <w:r w:rsidR="00D25605" w:rsidRPr="001F4D59">
              <w:rPr>
                <w:b w:val="0"/>
                <w:bCs w:val="0"/>
                <w:i/>
                <w:iCs/>
              </w:rPr>
              <w:t>Submission of Annual Report to the Legislature</w:t>
            </w:r>
          </w:p>
        </w:tc>
        <w:tc>
          <w:tcPr>
            <w:tcW w:w="3117" w:type="dxa"/>
            <w:vAlign w:val="center"/>
          </w:tcPr>
          <w:p w14:paraId="506D4F2F" w14:textId="77777777" w:rsidR="00D25605" w:rsidRPr="001F4D59" w:rsidRDefault="00D25605" w:rsidP="003B4D4E">
            <w:pPr>
              <w:jc w:val="center"/>
              <w:cnfStyle w:val="000000100000" w:firstRow="0" w:lastRow="0" w:firstColumn="0" w:lastColumn="0" w:oddVBand="0" w:evenVBand="0" w:oddHBand="1" w:evenHBand="0" w:firstRowFirstColumn="0" w:firstRowLastColumn="0" w:lastRowFirstColumn="0" w:lastRowLastColumn="0"/>
            </w:pPr>
          </w:p>
        </w:tc>
        <w:tc>
          <w:tcPr>
            <w:tcW w:w="3117" w:type="dxa"/>
            <w:vAlign w:val="center"/>
          </w:tcPr>
          <w:p w14:paraId="0C83B032" w14:textId="77777777" w:rsidR="00D25605" w:rsidRPr="001F4D59" w:rsidRDefault="00D25605" w:rsidP="003B4D4E">
            <w:pPr>
              <w:jc w:val="center"/>
              <w:cnfStyle w:val="000000100000" w:firstRow="0" w:lastRow="0" w:firstColumn="0" w:lastColumn="0" w:oddVBand="0" w:evenVBand="0" w:oddHBand="1" w:evenHBand="0" w:firstRowFirstColumn="0" w:firstRowLastColumn="0" w:lastRowFirstColumn="0" w:lastRowLastColumn="0"/>
            </w:pPr>
          </w:p>
        </w:tc>
      </w:tr>
    </w:tbl>
    <w:p w14:paraId="54972C81" w14:textId="416EFE2A" w:rsidR="00B93233" w:rsidRDefault="00B93233" w:rsidP="0031623E"/>
    <w:sectPr w:rsidR="00B93233"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2"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5"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0B21408"/>
    <w:multiLevelType w:val="hybridMultilevel"/>
    <w:tmpl w:val="0040DAE8"/>
    <w:lvl w:ilvl="0" w:tplc="9FB2D8EC">
      <w:start w:val="1"/>
      <w:numFmt w:val="decimal"/>
      <w:lvlText w:val="%1."/>
      <w:lvlJc w:val="left"/>
      <w:pPr>
        <w:tabs>
          <w:tab w:val="num" w:pos="720"/>
        </w:tabs>
        <w:ind w:left="720" w:hanging="360"/>
      </w:pPr>
      <w:rPr>
        <w:b/>
        <w:bCs/>
      </w:r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9"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24" w15:restartNumberingAfterBreak="0">
    <w:nsid w:val="719543C5"/>
    <w:multiLevelType w:val="hybridMultilevel"/>
    <w:tmpl w:val="62B41254"/>
    <w:lvl w:ilvl="0" w:tplc="7E04C734">
      <w:start w:val="1"/>
      <w:numFmt w:val="bullet"/>
      <w:lvlText w:val="•"/>
      <w:lvlJc w:val="left"/>
      <w:pPr>
        <w:tabs>
          <w:tab w:val="num" w:pos="720"/>
        </w:tabs>
        <w:ind w:left="720" w:hanging="360"/>
      </w:pPr>
      <w:rPr>
        <w:rFonts w:ascii="Arial" w:hAnsi="Arial" w:hint="default"/>
      </w:rPr>
    </w:lvl>
    <w:lvl w:ilvl="1" w:tplc="897CC256" w:tentative="1">
      <w:start w:val="1"/>
      <w:numFmt w:val="bullet"/>
      <w:lvlText w:val="•"/>
      <w:lvlJc w:val="left"/>
      <w:pPr>
        <w:tabs>
          <w:tab w:val="num" w:pos="1440"/>
        </w:tabs>
        <w:ind w:left="1440" w:hanging="360"/>
      </w:pPr>
      <w:rPr>
        <w:rFonts w:ascii="Arial" w:hAnsi="Arial" w:hint="default"/>
      </w:rPr>
    </w:lvl>
    <w:lvl w:ilvl="2" w:tplc="00A4DBB8" w:tentative="1">
      <w:start w:val="1"/>
      <w:numFmt w:val="bullet"/>
      <w:lvlText w:val="•"/>
      <w:lvlJc w:val="left"/>
      <w:pPr>
        <w:tabs>
          <w:tab w:val="num" w:pos="2160"/>
        </w:tabs>
        <w:ind w:left="2160" w:hanging="360"/>
      </w:pPr>
      <w:rPr>
        <w:rFonts w:ascii="Arial" w:hAnsi="Arial" w:hint="default"/>
      </w:rPr>
    </w:lvl>
    <w:lvl w:ilvl="3" w:tplc="CD828BC0" w:tentative="1">
      <w:start w:val="1"/>
      <w:numFmt w:val="bullet"/>
      <w:lvlText w:val="•"/>
      <w:lvlJc w:val="left"/>
      <w:pPr>
        <w:tabs>
          <w:tab w:val="num" w:pos="2880"/>
        </w:tabs>
        <w:ind w:left="2880" w:hanging="360"/>
      </w:pPr>
      <w:rPr>
        <w:rFonts w:ascii="Arial" w:hAnsi="Arial" w:hint="default"/>
      </w:rPr>
    </w:lvl>
    <w:lvl w:ilvl="4" w:tplc="EA1A797E" w:tentative="1">
      <w:start w:val="1"/>
      <w:numFmt w:val="bullet"/>
      <w:lvlText w:val="•"/>
      <w:lvlJc w:val="left"/>
      <w:pPr>
        <w:tabs>
          <w:tab w:val="num" w:pos="3600"/>
        </w:tabs>
        <w:ind w:left="3600" w:hanging="360"/>
      </w:pPr>
      <w:rPr>
        <w:rFonts w:ascii="Arial" w:hAnsi="Arial" w:hint="default"/>
      </w:rPr>
    </w:lvl>
    <w:lvl w:ilvl="5" w:tplc="6C78CB92" w:tentative="1">
      <w:start w:val="1"/>
      <w:numFmt w:val="bullet"/>
      <w:lvlText w:val="•"/>
      <w:lvlJc w:val="left"/>
      <w:pPr>
        <w:tabs>
          <w:tab w:val="num" w:pos="4320"/>
        </w:tabs>
        <w:ind w:left="4320" w:hanging="360"/>
      </w:pPr>
      <w:rPr>
        <w:rFonts w:ascii="Arial" w:hAnsi="Arial" w:hint="default"/>
      </w:rPr>
    </w:lvl>
    <w:lvl w:ilvl="6" w:tplc="5A447550" w:tentative="1">
      <w:start w:val="1"/>
      <w:numFmt w:val="bullet"/>
      <w:lvlText w:val="•"/>
      <w:lvlJc w:val="left"/>
      <w:pPr>
        <w:tabs>
          <w:tab w:val="num" w:pos="5040"/>
        </w:tabs>
        <w:ind w:left="5040" w:hanging="360"/>
      </w:pPr>
      <w:rPr>
        <w:rFonts w:ascii="Arial" w:hAnsi="Arial" w:hint="default"/>
      </w:rPr>
    </w:lvl>
    <w:lvl w:ilvl="7" w:tplc="ED9E7DC0" w:tentative="1">
      <w:start w:val="1"/>
      <w:numFmt w:val="bullet"/>
      <w:lvlText w:val="•"/>
      <w:lvlJc w:val="left"/>
      <w:pPr>
        <w:tabs>
          <w:tab w:val="num" w:pos="5760"/>
        </w:tabs>
        <w:ind w:left="5760" w:hanging="360"/>
      </w:pPr>
      <w:rPr>
        <w:rFonts w:ascii="Arial" w:hAnsi="Arial" w:hint="default"/>
      </w:rPr>
    </w:lvl>
    <w:lvl w:ilvl="8" w:tplc="9D4AAA8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5"/>
  </w:num>
  <w:num w:numId="3">
    <w:abstractNumId w:val="12"/>
  </w:num>
  <w:num w:numId="4">
    <w:abstractNumId w:val="20"/>
  </w:num>
  <w:num w:numId="5">
    <w:abstractNumId w:val="17"/>
  </w:num>
  <w:num w:numId="6">
    <w:abstractNumId w:val="22"/>
  </w:num>
  <w:num w:numId="7">
    <w:abstractNumId w:val="3"/>
  </w:num>
  <w:num w:numId="8">
    <w:abstractNumId w:val="6"/>
  </w:num>
  <w:num w:numId="9">
    <w:abstractNumId w:val="10"/>
  </w:num>
  <w:num w:numId="10">
    <w:abstractNumId w:val="7"/>
  </w:num>
  <w:num w:numId="11">
    <w:abstractNumId w:val="11"/>
  </w:num>
  <w:num w:numId="12">
    <w:abstractNumId w:val="18"/>
  </w:num>
  <w:num w:numId="13">
    <w:abstractNumId w:val="0"/>
  </w:num>
  <w:num w:numId="14">
    <w:abstractNumId w:val="14"/>
  </w:num>
  <w:num w:numId="15">
    <w:abstractNumId w:val="1"/>
  </w:num>
  <w:num w:numId="16">
    <w:abstractNumId w:val="23"/>
  </w:num>
  <w:num w:numId="17">
    <w:abstractNumId w:val="2"/>
  </w:num>
  <w:num w:numId="18">
    <w:abstractNumId w:val="8"/>
  </w:num>
  <w:num w:numId="19">
    <w:abstractNumId w:val="27"/>
  </w:num>
  <w:num w:numId="20">
    <w:abstractNumId w:val="15"/>
  </w:num>
  <w:num w:numId="21">
    <w:abstractNumId w:val="21"/>
  </w:num>
  <w:num w:numId="22">
    <w:abstractNumId w:val="13"/>
  </w:num>
  <w:num w:numId="23">
    <w:abstractNumId w:val="9"/>
  </w:num>
  <w:num w:numId="24">
    <w:abstractNumId w:val="25"/>
  </w:num>
  <w:num w:numId="25">
    <w:abstractNumId w:val="26"/>
  </w:num>
  <w:num w:numId="26">
    <w:abstractNumId w:val="16"/>
  </w:num>
  <w:num w:numId="27">
    <w:abstractNumId w:val="19"/>
  </w:num>
  <w:num w:numId="2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1264B3"/>
    <w:rsid w:val="00177D44"/>
    <w:rsid w:val="001D3E09"/>
    <w:rsid w:val="001F4144"/>
    <w:rsid w:val="001F4D59"/>
    <w:rsid w:val="002014F3"/>
    <w:rsid w:val="00246547"/>
    <w:rsid w:val="002604A4"/>
    <w:rsid w:val="002823E6"/>
    <w:rsid w:val="002B7D99"/>
    <w:rsid w:val="002C620C"/>
    <w:rsid w:val="0031623E"/>
    <w:rsid w:val="0032612A"/>
    <w:rsid w:val="00394C71"/>
    <w:rsid w:val="003B4D4E"/>
    <w:rsid w:val="0042258B"/>
    <w:rsid w:val="004E6F59"/>
    <w:rsid w:val="00520FA5"/>
    <w:rsid w:val="005257BF"/>
    <w:rsid w:val="005A0D34"/>
    <w:rsid w:val="00602E70"/>
    <w:rsid w:val="00611123"/>
    <w:rsid w:val="00647CF6"/>
    <w:rsid w:val="00651A84"/>
    <w:rsid w:val="00676B78"/>
    <w:rsid w:val="006864D9"/>
    <w:rsid w:val="006C25CE"/>
    <w:rsid w:val="00704409"/>
    <w:rsid w:val="00761F38"/>
    <w:rsid w:val="007636A5"/>
    <w:rsid w:val="00836B8C"/>
    <w:rsid w:val="00892C07"/>
    <w:rsid w:val="008938C6"/>
    <w:rsid w:val="009932A8"/>
    <w:rsid w:val="00A80052"/>
    <w:rsid w:val="00AF40E0"/>
    <w:rsid w:val="00B713F3"/>
    <w:rsid w:val="00B93233"/>
    <w:rsid w:val="00BA6A2C"/>
    <w:rsid w:val="00BC3FC7"/>
    <w:rsid w:val="00BF2FEF"/>
    <w:rsid w:val="00C33DED"/>
    <w:rsid w:val="00C76C20"/>
    <w:rsid w:val="00C862A3"/>
    <w:rsid w:val="00CA17CD"/>
    <w:rsid w:val="00CB4FB0"/>
    <w:rsid w:val="00CC59BA"/>
    <w:rsid w:val="00CD229E"/>
    <w:rsid w:val="00D23C6E"/>
    <w:rsid w:val="00D25605"/>
    <w:rsid w:val="00D57946"/>
    <w:rsid w:val="00D861E5"/>
    <w:rsid w:val="00DE3863"/>
    <w:rsid w:val="00DF3247"/>
    <w:rsid w:val="00E60A77"/>
    <w:rsid w:val="00EB4EBA"/>
    <w:rsid w:val="00EC7E58"/>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58047827">
      <w:bodyDiv w:val="1"/>
      <w:marLeft w:val="0"/>
      <w:marRight w:val="0"/>
      <w:marTop w:val="0"/>
      <w:marBottom w:val="0"/>
      <w:divBdr>
        <w:top w:val="none" w:sz="0" w:space="0" w:color="auto"/>
        <w:left w:val="none" w:sz="0" w:space="0" w:color="auto"/>
        <w:bottom w:val="none" w:sz="0" w:space="0" w:color="auto"/>
        <w:right w:val="none" w:sz="0" w:space="0" w:color="auto"/>
      </w:divBdr>
      <w:divsChild>
        <w:div w:id="404181970">
          <w:marLeft w:val="274"/>
          <w:marRight w:val="0"/>
          <w:marTop w:val="0"/>
          <w:marBottom w:val="0"/>
          <w:divBdr>
            <w:top w:val="none" w:sz="0" w:space="0" w:color="auto"/>
            <w:left w:val="none" w:sz="0" w:space="0" w:color="auto"/>
            <w:bottom w:val="none" w:sz="0" w:space="0" w:color="auto"/>
            <w:right w:val="none" w:sz="0" w:space="0" w:color="auto"/>
          </w:divBdr>
        </w:div>
        <w:div w:id="1391734426">
          <w:marLeft w:val="274"/>
          <w:marRight w:val="0"/>
          <w:marTop w:val="0"/>
          <w:marBottom w:val="0"/>
          <w:divBdr>
            <w:top w:val="none" w:sz="0" w:space="0" w:color="auto"/>
            <w:left w:val="none" w:sz="0" w:space="0" w:color="auto"/>
            <w:bottom w:val="none" w:sz="0" w:space="0" w:color="auto"/>
            <w:right w:val="none" w:sz="0" w:space="0" w:color="auto"/>
          </w:divBdr>
        </w:div>
        <w:div w:id="1344894335">
          <w:marLeft w:val="274"/>
          <w:marRight w:val="0"/>
          <w:marTop w:val="0"/>
          <w:marBottom w:val="0"/>
          <w:divBdr>
            <w:top w:val="none" w:sz="0" w:space="0" w:color="auto"/>
            <w:left w:val="none" w:sz="0" w:space="0" w:color="auto"/>
            <w:bottom w:val="none" w:sz="0" w:space="0" w:color="auto"/>
            <w:right w:val="none" w:sz="0" w:space="0" w:color="auto"/>
          </w:divBdr>
        </w:div>
        <w:div w:id="613444155">
          <w:marLeft w:val="274"/>
          <w:marRight w:val="0"/>
          <w:marTop w:val="0"/>
          <w:marBottom w:val="0"/>
          <w:divBdr>
            <w:top w:val="none" w:sz="0" w:space="0" w:color="auto"/>
            <w:left w:val="none" w:sz="0" w:space="0" w:color="auto"/>
            <w:bottom w:val="none" w:sz="0" w:space="0" w:color="auto"/>
            <w:right w:val="none" w:sz="0" w:space="0" w:color="auto"/>
          </w:divBdr>
        </w:div>
        <w:div w:id="1593389288">
          <w:marLeft w:val="274"/>
          <w:marRight w:val="0"/>
          <w:marTop w:val="0"/>
          <w:marBottom w:val="0"/>
          <w:divBdr>
            <w:top w:val="none" w:sz="0" w:space="0" w:color="auto"/>
            <w:left w:val="none" w:sz="0" w:space="0" w:color="auto"/>
            <w:bottom w:val="none" w:sz="0" w:space="0" w:color="auto"/>
            <w:right w:val="none" w:sz="0" w:space="0" w:color="auto"/>
          </w:divBdr>
        </w:div>
        <w:div w:id="1204094533">
          <w:marLeft w:val="274"/>
          <w:marRight w:val="0"/>
          <w:marTop w:val="0"/>
          <w:marBottom w:val="0"/>
          <w:divBdr>
            <w:top w:val="none" w:sz="0" w:space="0" w:color="auto"/>
            <w:left w:val="none" w:sz="0" w:space="0" w:color="auto"/>
            <w:bottom w:val="none" w:sz="0" w:space="0" w:color="auto"/>
            <w:right w:val="none" w:sz="0" w:space="0" w:color="auto"/>
          </w:divBdr>
        </w:div>
        <w:div w:id="328338578">
          <w:marLeft w:val="274"/>
          <w:marRight w:val="0"/>
          <w:marTop w:val="0"/>
          <w:marBottom w:val="0"/>
          <w:divBdr>
            <w:top w:val="none" w:sz="0" w:space="0" w:color="auto"/>
            <w:left w:val="none" w:sz="0" w:space="0" w:color="auto"/>
            <w:bottom w:val="none" w:sz="0" w:space="0" w:color="auto"/>
            <w:right w:val="none" w:sz="0" w:space="0" w:color="auto"/>
          </w:divBdr>
        </w:div>
        <w:div w:id="602611311">
          <w:marLeft w:val="274"/>
          <w:marRight w:val="0"/>
          <w:marTop w:val="0"/>
          <w:marBottom w:val="0"/>
          <w:divBdr>
            <w:top w:val="none" w:sz="0" w:space="0" w:color="auto"/>
            <w:left w:val="none" w:sz="0" w:space="0" w:color="auto"/>
            <w:bottom w:val="none" w:sz="0" w:space="0" w:color="auto"/>
            <w:right w:val="none" w:sz="0" w:space="0" w:color="auto"/>
          </w:divBdr>
        </w:div>
        <w:div w:id="1820222992">
          <w:marLeft w:val="274"/>
          <w:marRight w:val="0"/>
          <w:marTop w:val="0"/>
          <w:marBottom w:val="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8771707">
      <w:bodyDiv w:val="1"/>
      <w:marLeft w:val="0"/>
      <w:marRight w:val="0"/>
      <w:marTop w:val="0"/>
      <w:marBottom w:val="0"/>
      <w:divBdr>
        <w:top w:val="none" w:sz="0" w:space="0" w:color="auto"/>
        <w:left w:val="none" w:sz="0" w:space="0" w:color="auto"/>
        <w:bottom w:val="none" w:sz="0" w:space="0" w:color="auto"/>
        <w:right w:val="none" w:sz="0" w:space="0" w:color="auto"/>
      </w:divBdr>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3</cp:revision>
  <dcterms:created xsi:type="dcterms:W3CDTF">2022-01-13T18:22:00Z</dcterms:created>
  <dcterms:modified xsi:type="dcterms:W3CDTF">2022-01-13T18:27:00Z</dcterms:modified>
</cp:coreProperties>
</file>