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6128" w14:textId="77777777" w:rsidR="008A71DE" w:rsidRPr="008816F3" w:rsidRDefault="008A71DE" w:rsidP="008A71DE">
      <w:pPr>
        <w:rPr>
          <w:rFonts w:ascii="Arial" w:hAnsi="Arial"/>
          <w:sz w:val="32"/>
          <w:szCs w:val="18"/>
        </w:rPr>
      </w:pPr>
      <w:r>
        <w:rPr>
          <w:rFonts w:ascii="LinePrinter" w:hAnsi="LinePrinter"/>
          <w:noProof/>
        </w:rPr>
        <w:drawing>
          <wp:inline distT="0" distB="0" distL="0" distR="0" wp14:anchorId="64FDCC1D" wp14:editId="778C68F8">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r>
      <w:r w:rsidRPr="008816F3">
        <w:rPr>
          <w:rFonts w:ascii="Arial" w:hAnsi="Arial"/>
          <w:sz w:val="32"/>
          <w:szCs w:val="18"/>
        </w:rPr>
        <w:t>The Commonwealth of Massachusetts</w:t>
      </w:r>
    </w:p>
    <w:p w14:paraId="639DFEAA" w14:textId="77777777" w:rsidR="008A71DE" w:rsidRPr="008816F3" w:rsidRDefault="008A71DE" w:rsidP="008A71DE">
      <w:pPr>
        <w:pStyle w:val="ExecOffice"/>
        <w:framePr w:w="0" w:hSpace="0" w:wrap="auto" w:vAnchor="margin" w:hAnchor="text" w:xAlign="left" w:yAlign="inline"/>
        <w:rPr>
          <w:sz w:val="24"/>
          <w:szCs w:val="18"/>
        </w:rPr>
      </w:pPr>
      <w:r w:rsidRPr="008816F3">
        <w:rPr>
          <w:sz w:val="24"/>
          <w:szCs w:val="18"/>
        </w:rPr>
        <w:t>Executive Office of Health and Human Services</w:t>
      </w:r>
    </w:p>
    <w:p w14:paraId="3F3FB65F" w14:textId="77777777" w:rsidR="008A71DE" w:rsidRPr="008816F3" w:rsidRDefault="008A71DE" w:rsidP="008A71DE">
      <w:pPr>
        <w:pStyle w:val="ExecOffice"/>
        <w:framePr w:w="0" w:hSpace="0" w:wrap="auto" w:vAnchor="margin" w:hAnchor="text" w:xAlign="left" w:yAlign="inline"/>
        <w:rPr>
          <w:sz w:val="24"/>
          <w:szCs w:val="18"/>
        </w:rPr>
      </w:pPr>
      <w:r w:rsidRPr="008816F3">
        <w:rPr>
          <w:sz w:val="24"/>
          <w:szCs w:val="18"/>
        </w:rPr>
        <w:t>Department of Public Health</w:t>
      </w:r>
    </w:p>
    <w:p w14:paraId="0A442299" w14:textId="77777777" w:rsidR="008A71DE" w:rsidRPr="008816F3" w:rsidRDefault="008A71DE" w:rsidP="008A71DE">
      <w:pPr>
        <w:pStyle w:val="ExecOffice"/>
        <w:framePr w:w="0" w:hSpace="0" w:wrap="auto" w:vAnchor="margin" w:hAnchor="text" w:xAlign="left" w:yAlign="inline"/>
        <w:rPr>
          <w:sz w:val="24"/>
          <w:szCs w:val="18"/>
        </w:rPr>
      </w:pPr>
      <w:r w:rsidRPr="008816F3">
        <w:rPr>
          <w:sz w:val="24"/>
          <w:szCs w:val="18"/>
        </w:rPr>
        <w:t>250 Washington Street, Boston, MA 02108-4619</w:t>
      </w:r>
    </w:p>
    <w:p w14:paraId="72EFF104" w14:textId="77777777" w:rsidR="008A71DE" w:rsidRPr="008816F3" w:rsidRDefault="008A71DE" w:rsidP="008A71DE">
      <w:pPr>
        <w:ind w:right="2790"/>
        <w:contextualSpacing/>
        <w:rPr>
          <w:rFonts w:ascii="Arial Rounded MT Bold" w:hAnsi="Arial Rounded MT Bold"/>
          <w:sz w:val="16"/>
        </w:rPr>
        <w:sectPr w:rsidR="008A71DE" w:rsidRPr="008816F3" w:rsidSect="006C4ECC">
          <w:headerReference w:type="even" r:id="rId9"/>
          <w:footerReference w:type="default" r:id="rId10"/>
          <w:headerReference w:type="first" r:id="rId11"/>
          <w:pgSz w:w="12240" w:h="15840"/>
          <w:pgMar w:top="536" w:right="1440" w:bottom="1440" w:left="1440" w:header="720" w:footer="576" w:gutter="0"/>
          <w:cols w:space="720"/>
          <w:docGrid w:linePitch="360"/>
        </w:sectPr>
      </w:pPr>
    </w:p>
    <w:p w14:paraId="79FE1173" w14:textId="77777777" w:rsidR="008A71DE" w:rsidRPr="008816F3" w:rsidRDefault="008A71DE" w:rsidP="008A71DE">
      <w:pPr>
        <w:ind w:right="2790"/>
        <w:contextualSpacing/>
        <w:rPr>
          <w:rFonts w:ascii="Arial Rounded MT Bold" w:hAnsi="Arial Rounded MT Bold"/>
          <w:sz w:val="16"/>
        </w:rPr>
      </w:pPr>
    </w:p>
    <w:p w14:paraId="22F0514E" w14:textId="77777777" w:rsidR="008A71DE" w:rsidRPr="008816F3" w:rsidRDefault="008A71DE" w:rsidP="008A71DE">
      <w:pPr>
        <w:ind w:right="2340"/>
        <w:contextualSpacing/>
        <w:jc w:val="center"/>
        <w:rPr>
          <w:rFonts w:ascii="Arial Rounded MT Bold" w:hAnsi="Arial Rounded MT Bold"/>
          <w:sz w:val="16"/>
        </w:rPr>
      </w:pPr>
      <w:r w:rsidRPr="008816F3">
        <w:rPr>
          <w:rFonts w:ascii="Arial Rounded MT Bold" w:hAnsi="Arial Rounded MT Bold"/>
          <w:sz w:val="16"/>
        </w:rPr>
        <w:t>CHARLES D. BAKER</w:t>
      </w:r>
    </w:p>
    <w:p w14:paraId="786BDFCB" w14:textId="77777777" w:rsidR="008A71DE" w:rsidRPr="008816F3" w:rsidRDefault="008A71DE" w:rsidP="008A71DE">
      <w:pPr>
        <w:pStyle w:val="Weld"/>
        <w:framePr w:hSpace="0" w:wrap="auto" w:vAnchor="margin" w:hAnchor="text" w:xAlign="left" w:yAlign="inline"/>
        <w:ind w:right="2340"/>
        <w:rPr>
          <w:sz w:val="14"/>
          <w:szCs w:val="18"/>
        </w:rPr>
      </w:pPr>
      <w:r w:rsidRPr="008816F3">
        <w:rPr>
          <w:sz w:val="14"/>
          <w:szCs w:val="18"/>
        </w:rPr>
        <w:t>Governor</w:t>
      </w:r>
    </w:p>
    <w:p w14:paraId="5D75735E" w14:textId="77777777" w:rsidR="008A71DE" w:rsidRPr="008816F3" w:rsidRDefault="008A71DE" w:rsidP="008A71DE">
      <w:pPr>
        <w:ind w:right="2340"/>
        <w:contextualSpacing/>
        <w:jc w:val="center"/>
        <w:rPr>
          <w:sz w:val="14"/>
          <w:szCs w:val="18"/>
        </w:rPr>
      </w:pPr>
    </w:p>
    <w:p w14:paraId="7DD7CA77" w14:textId="77777777" w:rsidR="008A71DE" w:rsidRPr="008816F3" w:rsidRDefault="008A71DE" w:rsidP="008A71DE">
      <w:pPr>
        <w:ind w:right="2340"/>
        <w:contextualSpacing/>
        <w:jc w:val="center"/>
        <w:rPr>
          <w:rFonts w:ascii="Arial Rounded MT Bold" w:hAnsi="Arial Rounded MT Bold"/>
          <w:sz w:val="16"/>
        </w:rPr>
      </w:pPr>
      <w:r w:rsidRPr="008816F3">
        <w:rPr>
          <w:rFonts w:ascii="Arial Rounded MT Bold" w:hAnsi="Arial Rounded MT Bold"/>
          <w:sz w:val="16"/>
        </w:rPr>
        <w:t>KARYN E. POLITO</w:t>
      </w:r>
    </w:p>
    <w:p w14:paraId="5A7F37F5" w14:textId="77777777" w:rsidR="008A71DE" w:rsidRPr="008816F3" w:rsidRDefault="008A71DE" w:rsidP="008A71DE">
      <w:pPr>
        <w:pStyle w:val="Weld"/>
        <w:framePr w:hSpace="0" w:wrap="auto" w:vAnchor="margin" w:hAnchor="text" w:xAlign="left" w:yAlign="inline"/>
        <w:ind w:right="2340"/>
        <w:rPr>
          <w:rFonts w:ascii="Calibri" w:hAnsi="Calibri" w:cs="Calibri"/>
          <w:sz w:val="14"/>
          <w:szCs w:val="22"/>
        </w:rPr>
      </w:pPr>
      <w:r w:rsidRPr="008816F3">
        <w:rPr>
          <w:sz w:val="14"/>
          <w:szCs w:val="18"/>
        </w:rPr>
        <w:t>Lieutenant Governor</w:t>
      </w:r>
    </w:p>
    <w:p w14:paraId="5D928E3D" w14:textId="77777777" w:rsidR="008A71DE" w:rsidRPr="008816F3" w:rsidRDefault="008A71DE" w:rsidP="008A71DE">
      <w:pPr>
        <w:pStyle w:val="Weld"/>
        <w:framePr w:hSpace="0" w:wrap="auto" w:vAnchor="margin" w:hAnchor="text" w:xAlign="left" w:yAlign="inline"/>
        <w:ind w:right="2340"/>
        <w:jc w:val="left"/>
        <w:rPr>
          <w:sz w:val="14"/>
          <w:szCs w:val="18"/>
        </w:rPr>
      </w:pPr>
    </w:p>
    <w:p w14:paraId="5A67AB00" w14:textId="77777777" w:rsidR="008A71DE" w:rsidRPr="008816F3" w:rsidRDefault="008A71DE" w:rsidP="008A71DE">
      <w:pPr>
        <w:pStyle w:val="Weld"/>
        <w:framePr w:hSpace="0" w:wrap="auto" w:vAnchor="margin" w:hAnchor="text" w:xAlign="left" w:yAlign="inline"/>
        <w:ind w:right="2340"/>
        <w:jc w:val="left"/>
        <w:rPr>
          <w:sz w:val="14"/>
          <w:szCs w:val="18"/>
        </w:rPr>
      </w:pPr>
    </w:p>
    <w:p w14:paraId="56180DF8" w14:textId="77777777" w:rsidR="008A71DE" w:rsidRPr="008816F3" w:rsidRDefault="008A71DE" w:rsidP="008A71DE">
      <w:pPr>
        <w:pStyle w:val="Weld"/>
        <w:framePr w:hSpace="0" w:wrap="auto" w:vAnchor="margin" w:hAnchor="text" w:xAlign="left" w:yAlign="inline"/>
        <w:ind w:right="2340"/>
        <w:jc w:val="left"/>
        <w:rPr>
          <w:sz w:val="14"/>
          <w:szCs w:val="18"/>
        </w:rPr>
      </w:pPr>
    </w:p>
    <w:p w14:paraId="73DCBD4E" w14:textId="77777777" w:rsidR="008A71DE" w:rsidRPr="008816F3" w:rsidRDefault="008A71DE" w:rsidP="008A71DE">
      <w:pPr>
        <w:ind w:left="1980"/>
        <w:contextualSpacing/>
        <w:jc w:val="center"/>
        <w:rPr>
          <w:rFonts w:ascii="Arial Rounded MT Bold" w:hAnsi="Arial Rounded MT Bold"/>
          <w:sz w:val="16"/>
        </w:rPr>
      </w:pPr>
      <w:r w:rsidRPr="008816F3">
        <w:rPr>
          <w:rFonts w:ascii="Arial Rounded MT Bold" w:hAnsi="Arial Rounded MT Bold"/>
          <w:sz w:val="16"/>
        </w:rPr>
        <w:t>MARYLOU SUDDERS</w:t>
      </w:r>
    </w:p>
    <w:p w14:paraId="76574DD9" w14:textId="77777777" w:rsidR="008A71DE" w:rsidRPr="008816F3" w:rsidRDefault="008A71DE" w:rsidP="008A71DE">
      <w:pPr>
        <w:pStyle w:val="Weld"/>
        <w:framePr w:hSpace="0" w:wrap="auto" w:vAnchor="margin" w:hAnchor="text" w:xAlign="left" w:yAlign="inline"/>
        <w:ind w:left="1980"/>
        <w:rPr>
          <w:sz w:val="14"/>
          <w:szCs w:val="18"/>
        </w:rPr>
      </w:pPr>
      <w:r w:rsidRPr="008816F3">
        <w:rPr>
          <w:sz w:val="14"/>
          <w:szCs w:val="18"/>
        </w:rPr>
        <w:t>Secretary</w:t>
      </w:r>
    </w:p>
    <w:p w14:paraId="0E52690F" w14:textId="77777777" w:rsidR="008A71DE" w:rsidRPr="008816F3" w:rsidRDefault="008A71DE" w:rsidP="008A71DE">
      <w:pPr>
        <w:pStyle w:val="Weld"/>
        <w:framePr w:hSpace="0" w:wrap="auto" w:vAnchor="margin" w:hAnchor="text" w:xAlign="left" w:yAlign="inline"/>
        <w:ind w:left="1980"/>
        <w:rPr>
          <w:sz w:val="14"/>
          <w:szCs w:val="18"/>
        </w:rPr>
      </w:pPr>
    </w:p>
    <w:p w14:paraId="0A95153B" w14:textId="77777777" w:rsidR="008A71DE" w:rsidRPr="008816F3" w:rsidRDefault="008A71DE" w:rsidP="008A71DE">
      <w:pPr>
        <w:ind w:left="1980"/>
        <w:contextualSpacing/>
        <w:jc w:val="center"/>
        <w:rPr>
          <w:sz w:val="22"/>
          <w:szCs w:val="14"/>
        </w:rPr>
      </w:pPr>
      <w:r w:rsidRPr="008816F3">
        <w:rPr>
          <w:rFonts w:ascii="Arial Rounded MT Bold" w:hAnsi="Arial Rounded MT Bold"/>
          <w:sz w:val="16"/>
        </w:rPr>
        <w:t>MARGRET R. COOKE</w:t>
      </w:r>
    </w:p>
    <w:p w14:paraId="145C356E" w14:textId="77777777" w:rsidR="008A71DE" w:rsidRPr="008816F3" w:rsidRDefault="008A71DE" w:rsidP="008A71DE">
      <w:pPr>
        <w:pStyle w:val="Weld"/>
        <w:framePr w:hSpace="0" w:wrap="auto" w:vAnchor="margin" w:hAnchor="text" w:xAlign="left" w:yAlign="inline"/>
        <w:ind w:left="1980"/>
        <w:rPr>
          <w:sz w:val="14"/>
          <w:szCs w:val="18"/>
        </w:rPr>
      </w:pPr>
      <w:r w:rsidRPr="008816F3">
        <w:rPr>
          <w:sz w:val="14"/>
          <w:szCs w:val="12"/>
        </w:rPr>
        <w:t>Commissioner</w:t>
      </w:r>
    </w:p>
    <w:p w14:paraId="307A6AE5" w14:textId="77777777" w:rsidR="008A71DE" w:rsidRPr="008816F3" w:rsidRDefault="008A71DE" w:rsidP="008A71DE">
      <w:pPr>
        <w:pStyle w:val="Governor"/>
        <w:framePr w:hSpace="0" w:wrap="auto" w:vAnchor="margin" w:hAnchor="text" w:xAlign="left" w:yAlign="inline"/>
        <w:spacing w:after="0"/>
        <w:ind w:left="1980"/>
        <w:rPr>
          <w:rFonts w:ascii="Arial" w:hAnsi="Arial" w:cs="Arial"/>
          <w:b/>
          <w:sz w:val="12"/>
          <w:szCs w:val="12"/>
        </w:rPr>
      </w:pPr>
    </w:p>
    <w:p w14:paraId="636393ED" w14:textId="77777777" w:rsidR="008A71DE" w:rsidRPr="008816F3" w:rsidRDefault="008A71DE" w:rsidP="008A71DE">
      <w:pPr>
        <w:pStyle w:val="Governor"/>
        <w:framePr w:hSpace="0" w:wrap="auto" w:vAnchor="margin" w:hAnchor="text" w:xAlign="left" w:yAlign="inline"/>
        <w:spacing w:after="0"/>
        <w:ind w:left="1980"/>
        <w:rPr>
          <w:rFonts w:ascii="Arial" w:hAnsi="Arial" w:cs="Arial"/>
          <w:b/>
          <w:sz w:val="12"/>
          <w:szCs w:val="12"/>
        </w:rPr>
      </w:pPr>
      <w:r w:rsidRPr="008816F3">
        <w:rPr>
          <w:rFonts w:ascii="Arial" w:hAnsi="Arial" w:cs="Arial"/>
          <w:b/>
          <w:sz w:val="12"/>
          <w:szCs w:val="12"/>
        </w:rPr>
        <w:t>Tel: 617-624-6000</w:t>
      </w:r>
    </w:p>
    <w:p w14:paraId="7E2EE8E6" w14:textId="77777777" w:rsidR="008A71DE" w:rsidRPr="008816F3" w:rsidRDefault="008A71DE" w:rsidP="008A71DE">
      <w:pPr>
        <w:pStyle w:val="Governor"/>
        <w:framePr w:hSpace="0" w:wrap="auto" w:vAnchor="margin" w:hAnchor="text" w:xAlign="left" w:yAlign="inline"/>
        <w:spacing w:after="0"/>
        <w:ind w:left="1980"/>
        <w:rPr>
          <w:szCs w:val="18"/>
        </w:rPr>
      </w:pPr>
      <w:hyperlink r:id="rId12" w:history="1">
        <w:r w:rsidRPr="008816F3">
          <w:rPr>
            <w:rStyle w:val="Hyperlink"/>
            <w:rFonts w:ascii="Arial" w:hAnsi="Arial" w:cs="Arial"/>
            <w:b/>
            <w:sz w:val="12"/>
            <w:szCs w:val="12"/>
            <w:lang w:val="fr-FR"/>
          </w:rPr>
          <w:t>www.mass.gov/dph</w:t>
        </w:r>
      </w:hyperlink>
    </w:p>
    <w:p w14:paraId="68A9BEC8" w14:textId="77777777" w:rsidR="008A71DE" w:rsidRDefault="008A71DE" w:rsidP="008A71DE">
      <w:pPr>
        <w:ind w:right="2340"/>
        <w:sectPr w:rsidR="008A71DE" w:rsidSect="005B14DC">
          <w:type w:val="continuous"/>
          <w:pgSz w:w="12240" w:h="15840"/>
          <w:pgMar w:top="1440" w:right="1440" w:bottom="1440" w:left="1440" w:header="720" w:footer="720" w:gutter="0"/>
          <w:cols w:num="2" w:space="720"/>
          <w:docGrid w:linePitch="360"/>
        </w:sectPr>
      </w:pPr>
    </w:p>
    <w:p w14:paraId="5308E8FB" w14:textId="77777777" w:rsidR="008A71DE" w:rsidRDefault="008A71DE" w:rsidP="008A71DE">
      <w:pPr>
        <w:rPr>
          <w:szCs w:val="24"/>
        </w:rPr>
      </w:pPr>
    </w:p>
    <w:p w14:paraId="47D934AE" w14:textId="345C7F81" w:rsidR="008A71DE" w:rsidRDefault="008A71DE" w:rsidP="008A71DE">
      <w:pPr>
        <w:rPr>
          <w:szCs w:val="24"/>
        </w:rPr>
      </w:pPr>
      <w:r w:rsidRPr="008A71DE">
        <w:rPr>
          <w:szCs w:val="24"/>
        </w:rPr>
        <w:t>November 2, 2022</w:t>
      </w:r>
    </w:p>
    <w:p w14:paraId="5B943A79" w14:textId="77777777" w:rsidR="008A71DE" w:rsidRPr="008A71DE" w:rsidRDefault="008A71DE" w:rsidP="008A71DE">
      <w:pPr>
        <w:rPr>
          <w:szCs w:val="24"/>
        </w:rPr>
      </w:pPr>
    </w:p>
    <w:p w14:paraId="2DA25D19" w14:textId="4E36964C" w:rsidR="008A71DE" w:rsidRDefault="008A71DE" w:rsidP="008A71DE">
      <w:pPr>
        <w:rPr>
          <w:szCs w:val="24"/>
        </w:rPr>
      </w:pPr>
      <w:r w:rsidRPr="008A71DE">
        <w:rPr>
          <w:szCs w:val="24"/>
        </w:rPr>
        <w:t xml:space="preserve">Via electronic mail – </w:t>
      </w:r>
      <w:hyperlink r:id="rId13" w:history="1">
        <w:r w:rsidRPr="00D9191E">
          <w:rPr>
            <w:rStyle w:val="Hyperlink"/>
            <w:szCs w:val="24"/>
          </w:rPr>
          <w:t>Carolyn.jackson@stvincenthospital.com</w:t>
        </w:r>
      </w:hyperlink>
      <w:r w:rsidRPr="008A71DE">
        <w:rPr>
          <w:szCs w:val="24"/>
        </w:rPr>
        <w:t xml:space="preserve"> </w:t>
      </w:r>
    </w:p>
    <w:p w14:paraId="461C8838" w14:textId="77777777" w:rsidR="008A71DE" w:rsidRDefault="008A71DE" w:rsidP="008A71DE">
      <w:pPr>
        <w:rPr>
          <w:szCs w:val="24"/>
        </w:rPr>
      </w:pPr>
    </w:p>
    <w:p w14:paraId="72C6E0DB" w14:textId="55876437" w:rsidR="008A71DE" w:rsidRPr="008A71DE" w:rsidRDefault="008A71DE" w:rsidP="008A71DE">
      <w:pPr>
        <w:rPr>
          <w:szCs w:val="24"/>
        </w:rPr>
      </w:pPr>
      <w:r w:rsidRPr="008A71DE">
        <w:rPr>
          <w:szCs w:val="24"/>
        </w:rPr>
        <w:t>Ms. Carolyn Jackson</w:t>
      </w:r>
    </w:p>
    <w:p w14:paraId="52AD361B" w14:textId="77777777" w:rsidR="008A71DE" w:rsidRPr="008A71DE" w:rsidRDefault="008A71DE" w:rsidP="008A71DE">
      <w:pPr>
        <w:rPr>
          <w:szCs w:val="24"/>
        </w:rPr>
      </w:pPr>
      <w:r w:rsidRPr="008A71DE">
        <w:rPr>
          <w:szCs w:val="24"/>
        </w:rPr>
        <w:t>Chief Executive Officer of Saint Vincent Hospital</w:t>
      </w:r>
    </w:p>
    <w:p w14:paraId="7CBB977D" w14:textId="09017383" w:rsidR="008A71DE" w:rsidRDefault="008A71DE" w:rsidP="008A71DE">
      <w:pPr>
        <w:rPr>
          <w:szCs w:val="24"/>
        </w:rPr>
      </w:pPr>
      <w:r w:rsidRPr="008A71DE">
        <w:rPr>
          <w:szCs w:val="24"/>
        </w:rPr>
        <w:t>Representative of the Saint Vincent Hospital Ten Taxpayer Group (TTG)</w:t>
      </w:r>
    </w:p>
    <w:p w14:paraId="17B92210" w14:textId="77777777" w:rsidR="008A71DE" w:rsidRPr="006C4ECC" w:rsidRDefault="008A71DE" w:rsidP="008A71DE">
      <w:pPr>
        <w:rPr>
          <w:szCs w:val="24"/>
        </w:rPr>
      </w:pPr>
    </w:p>
    <w:p w14:paraId="43AF9EB4" w14:textId="354FE41A" w:rsidR="008A71DE" w:rsidRPr="006C4ECC" w:rsidRDefault="008A71DE" w:rsidP="008A71DE">
      <w:pPr>
        <w:ind w:right="-360"/>
        <w:rPr>
          <w:szCs w:val="24"/>
        </w:rPr>
      </w:pPr>
      <w:r w:rsidRPr="006C4ECC">
        <w:rPr>
          <w:szCs w:val="24"/>
        </w:rPr>
        <w:t xml:space="preserve">Dear </w:t>
      </w:r>
      <w:r>
        <w:rPr>
          <w:szCs w:val="24"/>
        </w:rPr>
        <w:t>Ms. Jackson</w:t>
      </w:r>
      <w:r w:rsidRPr="006C4ECC">
        <w:rPr>
          <w:szCs w:val="24"/>
        </w:rPr>
        <w:t>,</w:t>
      </w:r>
    </w:p>
    <w:p w14:paraId="436848D1" w14:textId="77777777" w:rsidR="008A71DE" w:rsidRPr="006C4ECC" w:rsidRDefault="008A71DE" w:rsidP="008A71DE">
      <w:pPr>
        <w:ind w:right="-360"/>
        <w:rPr>
          <w:szCs w:val="24"/>
        </w:rPr>
      </w:pPr>
    </w:p>
    <w:p w14:paraId="4A70B4CB" w14:textId="77777777" w:rsidR="008A71DE" w:rsidRPr="008A71DE" w:rsidRDefault="008A71DE" w:rsidP="008A71DE">
      <w:pPr>
        <w:rPr>
          <w:szCs w:val="24"/>
        </w:rPr>
      </w:pPr>
      <w:r w:rsidRPr="008A71DE">
        <w:rPr>
          <w:szCs w:val="24"/>
        </w:rPr>
        <w:t>The Determination of Need (</w:t>
      </w:r>
      <w:proofErr w:type="spellStart"/>
      <w:r w:rsidRPr="008A71DE">
        <w:rPr>
          <w:szCs w:val="24"/>
        </w:rPr>
        <w:t>DoN</w:t>
      </w:r>
      <w:proofErr w:type="spellEnd"/>
      <w:r w:rsidRPr="008A71DE">
        <w:rPr>
          <w:szCs w:val="24"/>
        </w:rPr>
        <w:t xml:space="preserve">) Program received comments from the Saint Vincent Hospital TTG on October 20th regarding the Staff Report for </w:t>
      </w:r>
      <w:proofErr w:type="spellStart"/>
      <w:r w:rsidRPr="008A71DE">
        <w:rPr>
          <w:szCs w:val="24"/>
        </w:rPr>
        <w:t>DoN</w:t>
      </w:r>
      <w:proofErr w:type="spellEnd"/>
      <w:r w:rsidRPr="008A71DE">
        <w:rPr>
          <w:szCs w:val="24"/>
        </w:rPr>
        <w:t xml:space="preserve"> Application #UMMHC-22042514-HE, submitted by UMass Memorial Healthcare Inc. (UMass). Your comments included a request for postponement of the Public Health Council (PHC) review of this matter. The </w:t>
      </w:r>
      <w:proofErr w:type="spellStart"/>
      <w:r w:rsidRPr="008A71DE">
        <w:rPr>
          <w:szCs w:val="24"/>
        </w:rPr>
        <w:t>DoN</w:t>
      </w:r>
      <w:proofErr w:type="spellEnd"/>
      <w:r w:rsidRPr="008A71DE">
        <w:rPr>
          <w:szCs w:val="24"/>
        </w:rPr>
        <w:t xml:space="preserve"> program has forwarded this request for postponement for my determination, as required by 105 CMR 100.555. You state that your request for postponement of consideration of this Application for </w:t>
      </w:r>
      <w:proofErr w:type="spellStart"/>
      <w:r w:rsidRPr="008A71DE">
        <w:rPr>
          <w:szCs w:val="24"/>
        </w:rPr>
        <w:t>DoN</w:t>
      </w:r>
      <w:proofErr w:type="spellEnd"/>
      <w:r w:rsidRPr="008A71DE">
        <w:rPr>
          <w:szCs w:val="24"/>
        </w:rPr>
        <w:t xml:space="preserve"> until the next meeting of the PHC is made to allow the </w:t>
      </w:r>
      <w:proofErr w:type="spellStart"/>
      <w:r w:rsidRPr="008A71DE">
        <w:rPr>
          <w:szCs w:val="24"/>
        </w:rPr>
        <w:t>DoN</w:t>
      </w:r>
      <w:proofErr w:type="spellEnd"/>
      <w:r w:rsidRPr="008A71DE">
        <w:rPr>
          <w:szCs w:val="24"/>
        </w:rPr>
        <w:t xml:space="preserve"> program to reevaluate its decision that no Independent Cost-Analysis (ICA) was necessary for this project.</w:t>
      </w:r>
    </w:p>
    <w:p w14:paraId="60D4B379" w14:textId="77777777" w:rsidR="008A71DE" w:rsidRPr="008A71DE" w:rsidRDefault="008A71DE" w:rsidP="008A71DE">
      <w:pPr>
        <w:rPr>
          <w:szCs w:val="24"/>
        </w:rPr>
      </w:pPr>
    </w:p>
    <w:p w14:paraId="5AF62017" w14:textId="77777777" w:rsidR="008A71DE" w:rsidRPr="008A71DE" w:rsidRDefault="008A71DE" w:rsidP="008A71DE">
      <w:pPr>
        <w:rPr>
          <w:szCs w:val="24"/>
        </w:rPr>
      </w:pPr>
      <w:r w:rsidRPr="008A71DE">
        <w:rPr>
          <w:szCs w:val="24"/>
        </w:rPr>
        <w:t xml:space="preserve">In the case of the current UMass Application for </w:t>
      </w:r>
      <w:proofErr w:type="spellStart"/>
      <w:r w:rsidRPr="008A71DE">
        <w:rPr>
          <w:szCs w:val="24"/>
        </w:rPr>
        <w:t>DoN</w:t>
      </w:r>
      <w:proofErr w:type="spellEnd"/>
      <w:r w:rsidRPr="008A71DE">
        <w:rPr>
          <w:szCs w:val="24"/>
        </w:rPr>
        <w:t xml:space="preserve">, the Department assessed the need for an ICA and concluded that there was no need for such an analysis. The </w:t>
      </w:r>
      <w:proofErr w:type="spellStart"/>
      <w:r w:rsidRPr="008A71DE">
        <w:rPr>
          <w:szCs w:val="24"/>
        </w:rPr>
        <w:t>DoN</w:t>
      </w:r>
      <w:proofErr w:type="spellEnd"/>
      <w:r w:rsidRPr="008A71DE">
        <w:rPr>
          <w:szCs w:val="24"/>
        </w:rPr>
        <w:t xml:space="preserve"> Program conducted an objective review to assess how the Proposed Project could impact the Commonwealth’s cost containment goals which included a review of publicly available data from the Center for Health Information and Analysis (CHIA) on provider prices in the commercial market, and public payer mix. That review and analysis is set out in the Staff Report, in the sections related to Factor 1f and Factor 2 of the </w:t>
      </w:r>
      <w:proofErr w:type="spellStart"/>
      <w:r w:rsidRPr="008A71DE">
        <w:rPr>
          <w:szCs w:val="24"/>
        </w:rPr>
        <w:t>DoN</w:t>
      </w:r>
      <w:proofErr w:type="spellEnd"/>
      <w:r w:rsidRPr="008A71DE">
        <w:rPr>
          <w:szCs w:val="24"/>
        </w:rPr>
        <w:t xml:space="preserve"> regulation.</w:t>
      </w:r>
    </w:p>
    <w:p w14:paraId="2F3A0B37" w14:textId="77777777" w:rsidR="008A71DE" w:rsidRPr="008A71DE" w:rsidRDefault="008A71DE" w:rsidP="008A71DE">
      <w:pPr>
        <w:rPr>
          <w:szCs w:val="24"/>
        </w:rPr>
      </w:pPr>
      <w:r w:rsidRPr="008A71DE">
        <w:rPr>
          <w:szCs w:val="24"/>
        </w:rPr>
        <w:t xml:space="preserve">Based upon the </w:t>
      </w:r>
      <w:proofErr w:type="spellStart"/>
      <w:r w:rsidRPr="008A71DE">
        <w:rPr>
          <w:szCs w:val="24"/>
        </w:rPr>
        <w:t>DoN</w:t>
      </w:r>
      <w:proofErr w:type="spellEnd"/>
      <w:r w:rsidRPr="008A71DE">
        <w:rPr>
          <w:szCs w:val="24"/>
        </w:rPr>
        <w:t xml:space="preserve"> Program’s review of these materials, we have determined there is no need for further review, and no need for an ICA for this Application.</w:t>
      </w:r>
    </w:p>
    <w:p w14:paraId="60CD164B" w14:textId="77777777" w:rsidR="008A71DE" w:rsidRPr="008A71DE" w:rsidRDefault="008A71DE" w:rsidP="008A71DE">
      <w:pPr>
        <w:rPr>
          <w:szCs w:val="24"/>
        </w:rPr>
      </w:pPr>
    </w:p>
    <w:p w14:paraId="36DD28DE" w14:textId="77777777" w:rsidR="008A71DE" w:rsidRPr="008A71DE" w:rsidRDefault="008A71DE" w:rsidP="008A71DE">
      <w:pPr>
        <w:rPr>
          <w:szCs w:val="24"/>
        </w:rPr>
      </w:pPr>
      <w:r w:rsidRPr="008A71DE">
        <w:rPr>
          <w:szCs w:val="24"/>
        </w:rPr>
        <w:t xml:space="preserve">To support your request for a postponement to reevaluate the need for an ICA, you note that the Health Policy Commission (HPC) reported that UMass’s Proposed Project is likely to increase commercial spending by five to six million dollars. At the HPC’s meeting of the Market Oversight and Transparency Committee on October 12, 2022, the results of the analysis of this </w:t>
      </w:r>
      <w:r w:rsidRPr="008A71DE">
        <w:rPr>
          <w:szCs w:val="24"/>
        </w:rPr>
        <w:lastRenderedPageBreak/>
        <w:t xml:space="preserve">Proposed Project did indicate a likely increase in annual commercial spending by $5.1M to $5.9M due to moderate increases to inpatient pricing and commercial mix. </w:t>
      </w:r>
      <w:proofErr w:type="spellStart"/>
      <w:r w:rsidRPr="008A71DE">
        <w:rPr>
          <w:szCs w:val="24"/>
        </w:rPr>
        <w:t>DoN</w:t>
      </w:r>
      <w:proofErr w:type="spellEnd"/>
      <w:r w:rsidRPr="008A71DE">
        <w:rPr>
          <w:szCs w:val="24"/>
        </w:rPr>
        <w:t xml:space="preserve"> program staff have reviewed that finding and have taken</w:t>
      </w:r>
    </w:p>
    <w:p w14:paraId="5D759C85" w14:textId="77777777" w:rsidR="008A71DE" w:rsidRPr="008A71DE" w:rsidRDefault="008A71DE" w:rsidP="008A71DE">
      <w:pPr>
        <w:rPr>
          <w:szCs w:val="24"/>
        </w:rPr>
      </w:pPr>
      <w:r w:rsidRPr="008A71DE">
        <w:rPr>
          <w:szCs w:val="24"/>
        </w:rPr>
        <w:t xml:space="preserve"> </w:t>
      </w:r>
    </w:p>
    <w:p w14:paraId="04028C49" w14:textId="4A6611BF" w:rsidR="008A71DE" w:rsidRPr="008A71DE" w:rsidRDefault="008A71DE" w:rsidP="008A71DE">
      <w:pPr>
        <w:rPr>
          <w:szCs w:val="24"/>
        </w:rPr>
      </w:pPr>
      <w:r w:rsidRPr="008A71DE">
        <w:rPr>
          <w:szCs w:val="24"/>
        </w:rPr>
        <w:t>it into consideration in their analysis</w:t>
      </w:r>
      <w:r>
        <w:rPr>
          <w:szCs w:val="24"/>
        </w:rPr>
        <w:t>.</w:t>
      </w:r>
      <w:r>
        <w:rPr>
          <w:rStyle w:val="FootnoteReference"/>
          <w:szCs w:val="24"/>
        </w:rPr>
        <w:footnoteReference w:id="1"/>
      </w:r>
      <w:r w:rsidRPr="008A71DE">
        <w:rPr>
          <w:szCs w:val="24"/>
        </w:rPr>
        <w:t xml:space="preserve"> In 2020, CHIA reported that Total Health Care Expenditures (THCE), a measure of total statewide health care spending in the Commonwealth, were $62.6 billion.</w:t>
      </w:r>
      <w:r>
        <w:rPr>
          <w:rStyle w:val="FootnoteReference"/>
          <w:szCs w:val="24"/>
        </w:rPr>
        <w:footnoteReference w:id="2"/>
      </w:r>
      <w:r>
        <w:rPr>
          <w:szCs w:val="24"/>
        </w:rPr>
        <w:t xml:space="preserve"> </w:t>
      </w:r>
      <w:r>
        <w:rPr>
          <w:rStyle w:val="FootnoteReference"/>
          <w:szCs w:val="24"/>
        </w:rPr>
        <w:footnoteReference w:id="3"/>
      </w:r>
      <w:r w:rsidRPr="008A71DE">
        <w:rPr>
          <w:szCs w:val="24"/>
        </w:rPr>
        <w:t xml:space="preserve"> The projected increase in commercial spending for this project is relatively small in relation to the entirety of statewide health care </w:t>
      </w:r>
      <w:proofErr w:type="gramStart"/>
      <w:r w:rsidRPr="008A71DE">
        <w:rPr>
          <w:szCs w:val="24"/>
        </w:rPr>
        <w:t>spending, and</w:t>
      </w:r>
      <w:proofErr w:type="gramEnd"/>
      <w:r w:rsidRPr="008A71DE">
        <w:rPr>
          <w:szCs w:val="24"/>
        </w:rPr>
        <w:t xml:space="preserve"> will not have a significant impact on the Commonwealth’s cost containment goals. Given the relatively small cost impact of the Proposed Project, </w:t>
      </w:r>
      <w:proofErr w:type="spellStart"/>
      <w:r w:rsidRPr="008A71DE">
        <w:rPr>
          <w:szCs w:val="24"/>
        </w:rPr>
        <w:t>DoN</w:t>
      </w:r>
      <w:proofErr w:type="spellEnd"/>
      <w:r w:rsidRPr="008A71DE">
        <w:rPr>
          <w:szCs w:val="24"/>
        </w:rPr>
        <w:t xml:space="preserve"> staff was able to conduct a full analysis of the Proposed Project and determined an ICA was not necessary.</w:t>
      </w:r>
    </w:p>
    <w:p w14:paraId="70CC8A8F" w14:textId="77777777" w:rsidR="008A71DE" w:rsidRPr="008A71DE" w:rsidRDefault="008A71DE" w:rsidP="008A71DE">
      <w:pPr>
        <w:rPr>
          <w:szCs w:val="24"/>
        </w:rPr>
      </w:pPr>
    </w:p>
    <w:p w14:paraId="71EC7912" w14:textId="77777777" w:rsidR="008A71DE" w:rsidRPr="008A71DE" w:rsidRDefault="008A71DE" w:rsidP="008A71DE">
      <w:pPr>
        <w:rPr>
          <w:szCs w:val="24"/>
        </w:rPr>
      </w:pPr>
      <w:r w:rsidRPr="008A71DE">
        <w:rPr>
          <w:szCs w:val="24"/>
        </w:rPr>
        <w:t xml:space="preserve">To make a case that there is good cause to postpone consideration of a </w:t>
      </w:r>
      <w:proofErr w:type="spellStart"/>
      <w:r w:rsidRPr="008A71DE">
        <w:rPr>
          <w:szCs w:val="24"/>
        </w:rPr>
        <w:t>DoN</w:t>
      </w:r>
      <w:proofErr w:type="spellEnd"/>
      <w:r w:rsidRPr="008A71DE">
        <w:rPr>
          <w:szCs w:val="24"/>
        </w:rPr>
        <w:t xml:space="preserve"> Application to the next PHC meeting, the requestor must demonstrate that failure to grant the request will significantly prejudice the requestor and that postponement would not prejudice any other Party of Record. Your request for postponement is made </w:t>
      </w:r>
      <w:proofErr w:type="gramStart"/>
      <w:r w:rsidRPr="008A71DE">
        <w:rPr>
          <w:szCs w:val="24"/>
        </w:rPr>
        <w:t>in order to</w:t>
      </w:r>
      <w:proofErr w:type="gramEnd"/>
      <w:r w:rsidRPr="008A71DE">
        <w:rPr>
          <w:szCs w:val="24"/>
        </w:rPr>
        <w:t xml:space="preserve"> have DPH reconsider the determination that no ICA is needed. As DPH conducted an objective review before determining that no ICA was needed in this case, and </w:t>
      </w:r>
      <w:proofErr w:type="spellStart"/>
      <w:r w:rsidRPr="008A71DE">
        <w:rPr>
          <w:szCs w:val="24"/>
        </w:rPr>
        <w:t>DoN</w:t>
      </w:r>
      <w:proofErr w:type="spellEnd"/>
      <w:r w:rsidRPr="008A71DE">
        <w:rPr>
          <w:szCs w:val="24"/>
        </w:rPr>
        <w:t xml:space="preserve"> staff have conducted a thorough, objective assessment of how this Proposed Project may impact the Commonwealth’s cost containment goals, there is no need for reconsideration regarding the necessity to perform an ICA. Therefore, denying this request will not significantly prejudice the requestor. However, if the project were to be postponed for a month, the delay to the project may prejudice the Applicant.</w:t>
      </w:r>
    </w:p>
    <w:p w14:paraId="17EDA1C0" w14:textId="77777777" w:rsidR="008A71DE" w:rsidRPr="008A71DE" w:rsidRDefault="008A71DE" w:rsidP="008A71DE">
      <w:pPr>
        <w:rPr>
          <w:szCs w:val="24"/>
        </w:rPr>
      </w:pPr>
    </w:p>
    <w:p w14:paraId="51821061" w14:textId="77777777" w:rsidR="008A71DE" w:rsidRDefault="008A71DE" w:rsidP="008A71DE">
      <w:pPr>
        <w:rPr>
          <w:szCs w:val="24"/>
        </w:rPr>
      </w:pPr>
      <w:r w:rsidRPr="008A71DE">
        <w:rPr>
          <w:szCs w:val="24"/>
        </w:rPr>
        <w:t xml:space="preserve">Accordingly, your request for a postponement is not granted. </w:t>
      </w:r>
    </w:p>
    <w:p w14:paraId="7C3B5A0F" w14:textId="77777777" w:rsidR="008A71DE" w:rsidRDefault="008A71DE" w:rsidP="008A71DE">
      <w:pPr>
        <w:rPr>
          <w:szCs w:val="24"/>
        </w:rPr>
      </w:pPr>
    </w:p>
    <w:p w14:paraId="02BA617C" w14:textId="05BB4464" w:rsidR="008A71DE" w:rsidRPr="006C4ECC" w:rsidRDefault="008A71DE" w:rsidP="008A71DE">
      <w:pPr>
        <w:rPr>
          <w:szCs w:val="24"/>
        </w:rPr>
      </w:pPr>
      <w:r w:rsidRPr="008A71DE">
        <w:rPr>
          <w:szCs w:val="24"/>
        </w:rPr>
        <w:t>Sincerely,</w:t>
      </w:r>
    </w:p>
    <w:p w14:paraId="433A805A" w14:textId="77777777" w:rsidR="008A71DE" w:rsidRPr="006C4ECC" w:rsidRDefault="008A71DE" w:rsidP="008A71DE">
      <w:pPr>
        <w:rPr>
          <w:szCs w:val="24"/>
        </w:rPr>
      </w:pPr>
    </w:p>
    <w:p w14:paraId="53F56186" w14:textId="77777777" w:rsidR="008A71DE" w:rsidRPr="006C4ECC" w:rsidRDefault="008A71DE" w:rsidP="008A71DE">
      <w:pPr>
        <w:rPr>
          <w:szCs w:val="24"/>
        </w:rPr>
      </w:pPr>
      <w:r>
        <w:rPr>
          <w:szCs w:val="24"/>
        </w:rPr>
        <w:t>[signature on file]</w:t>
      </w:r>
    </w:p>
    <w:p w14:paraId="07AB2B13" w14:textId="77777777" w:rsidR="008A71DE" w:rsidRPr="006C4ECC" w:rsidRDefault="008A71DE" w:rsidP="008A71DE">
      <w:pPr>
        <w:rPr>
          <w:szCs w:val="24"/>
        </w:rPr>
      </w:pPr>
    </w:p>
    <w:p w14:paraId="4CA01FC4" w14:textId="77777777" w:rsidR="008A71DE" w:rsidRPr="006C4ECC" w:rsidRDefault="008A71DE" w:rsidP="008A71DE">
      <w:pPr>
        <w:rPr>
          <w:szCs w:val="24"/>
        </w:rPr>
      </w:pPr>
      <w:r w:rsidRPr="006C4ECC">
        <w:rPr>
          <w:szCs w:val="24"/>
        </w:rPr>
        <w:t xml:space="preserve">Margret R. Cooke </w:t>
      </w:r>
    </w:p>
    <w:p w14:paraId="35EF6DF5" w14:textId="77777777" w:rsidR="008A71DE" w:rsidRPr="006C4ECC" w:rsidRDefault="008A71DE" w:rsidP="008A71DE">
      <w:pPr>
        <w:rPr>
          <w:szCs w:val="24"/>
        </w:rPr>
      </w:pPr>
      <w:r w:rsidRPr="006C4ECC">
        <w:rPr>
          <w:szCs w:val="24"/>
        </w:rPr>
        <w:t>Commissioner</w:t>
      </w:r>
    </w:p>
    <w:p w14:paraId="3D5A1BFB" w14:textId="77777777" w:rsidR="008A71DE" w:rsidRPr="006C4ECC" w:rsidRDefault="008A71DE" w:rsidP="008A71DE">
      <w:pPr>
        <w:rPr>
          <w:szCs w:val="24"/>
        </w:rPr>
      </w:pPr>
    </w:p>
    <w:p w14:paraId="44F04D11" w14:textId="77777777" w:rsidR="008A71DE" w:rsidRPr="006C4ECC" w:rsidRDefault="008A71DE" w:rsidP="008A71DE">
      <w:pPr>
        <w:rPr>
          <w:szCs w:val="24"/>
        </w:rPr>
      </w:pPr>
    </w:p>
    <w:p w14:paraId="51C959B2" w14:textId="77777777" w:rsidR="008A71DE" w:rsidRPr="006C4ECC" w:rsidRDefault="008A71DE" w:rsidP="008A71DE">
      <w:pPr>
        <w:rPr>
          <w:szCs w:val="24"/>
        </w:rPr>
      </w:pPr>
      <w:r w:rsidRPr="006C4ECC">
        <w:rPr>
          <w:szCs w:val="24"/>
        </w:rPr>
        <w:t>cc:</w:t>
      </w:r>
      <w:r w:rsidRPr="006C4ECC">
        <w:rPr>
          <w:szCs w:val="24"/>
        </w:rPr>
        <w:tab/>
      </w:r>
    </w:p>
    <w:p w14:paraId="681F1FEE" w14:textId="77777777" w:rsidR="008A71DE" w:rsidRDefault="008A71DE" w:rsidP="008A71DE">
      <w:pPr>
        <w:rPr>
          <w:szCs w:val="24"/>
        </w:rPr>
      </w:pPr>
      <w:r w:rsidRPr="008A71DE">
        <w:rPr>
          <w:szCs w:val="24"/>
        </w:rPr>
        <w:t xml:space="preserve">Elizabeth D. Kelley, Director, Bureau of Health Care Safety and Quality </w:t>
      </w:r>
    </w:p>
    <w:p w14:paraId="2722E8FC" w14:textId="2A49B12F" w:rsidR="008A71DE" w:rsidRPr="008A71DE" w:rsidRDefault="008A71DE" w:rsidP="008A71DE">
      <w:pPr>
        <w:rPr>
          <w:szCs w:val="24"/>
        </w:rPr>
      </w:pPr>
      <w:r w:rsidRPr="008A71DE">
        <w:rPr>
          <w:szCs w:val="24"/>
        </w:rPr>
        <w:t>Rebecca Rodman, General Counsel’s Office</w:t>
      </w:r>
    </w:p>
    <w:p w14:paraId="0BBF39D8" w14:textId="77777777" w:rsidR="008A71DE" w:rsidRDefault="008A71DE" w:rsidP="008A71DE">
      <w:pPr>
        <w:rPr>
          <w:szCs w:val="24"/>
        </w:rPr>
      </w:pPr>
      <w:r w:rsidRPr="008A71DE">
        <w:rPr>
          <w:szCs w:val="24"/>
        </w:rPr>
        <w:t xml:space="preserve">Elizabeth Almanzor, Center for Health Information Analysis </w:t>
      </w:r>
    </w:p>
    <w:p w14:paraId="0150D7AE" w14:textId="0D18CEB9" w:rsidR="008A71DE" w:rsidRPr="008A71DE" w:rsidRDefault="008A71DE" w:rsidP="008A71DE">
      <w:pPr>
        <w:rPr>
          <w:szCs w:val="24"/>
        </w:rPr>
      </w:pPr>
      <w:r w:rsidRPr="008A71DE">
        <w:rPr>
          <w:szCs w:val="24"/>
        </w:rPr>
        <w:t>Katherine Mills, Health Policy Commission</w:t>
      </w:r>
    </w:p>
    <w:p w14:paraId="156ED04E" w14:textId="77777777" w:rsidR="008A71DE" w:rsidRPr="008A71DE" w:rsidRDefault="008A71DE" w:rsidP="008A71DE">
      <w:pPr>
        <w:rPr>
          <w:szCs w:val="24"/>
        </w:rPr>
      </w:pPr>
      <w:r w:rsidRPr="008A71DE">
        <w:rPr>
          <w:szCs w:val="24"/>
        </w:rPr>
        <w:lastRenderedPageBreak/>
        <w:t>Eric Gold, Attorney General’s Office</w:t>
      </w:r>
    </w:p>
    <w:p w14:paraId="573A0C9D" w14:textId="77777777" w:rsidR="008A71DE" w:rsidRPr="008A71DE" w:rsidRDefault="008A71DE" w:rsidP="008A71DE">
      <w:pPr>
        <w:rPr>
          <w:szCs w:val="24"/>
        </w:rPr>
      </w:pPr>
      <w:r w:rsidRPr="008A71DE">
        <w:rPr>
          <w:szCs w:val="24"/>
        </w:rPr>
        <w:t xml:space="preserve">Pavel </w:t>
      </w:r>
      <w:proofErr w:type="spellStart"/>
      <w:r w:rsidRPr="008A71DE">
        <w:rPr>
          <w:szCs w:val="24"/>
        </w:rPr>
        <w:t>Terpelets</w:t>
      </w:r>
      <w:proofErr w:type="spellEnd"/>
      <w:r w:rsidRPr="008A71DE">
        <w:rPr>
          <w:szCs w:val="24"/>
        </w:rPr>
        <w:t>, MassHealth</w:t>
      </w:r>
    </w:p>
    <w:p w14:paraId="1A574C2E" w14:textId="77777777" w:rsidR="008A71DE" w:rsidRDefault="008A71DE" w:rsidP="008A71DE">
      <w:pPr>
        <w:rPr>
          <w:szCs w:val="24"/>
        </w:rPr>
      </w:pPr>
      <w:r w:rsidRPr="008A71DE">
        <w:rPr>
          <w:szCs w:val="24"/>
        </w:rPr>
        <w:t xml:space="preserve">Christopher King, Executive Office of </w:t>
      </w:r>
      <w:proofErr w:type="gramStart"/>
      <w:r w:rsidRPr="008A71DE">
        <w:rPr>
          <w:szCs w:val="24"/>
        </w:rPr>
        <w:t>Health</w:t>
      </w:r>
      <w:proofErr w:type="gramEnd"/>
      <w:r w:rsidRPr="008A71DE">
        <w:rPr>
          <w:szCs w:val="24"/>
        </w:rPr>
        <w:t xml:space="preserve"> and Human Services </w:t>
      </w:r>
    </w:p>
    <w:p w14:paraId="2248FC25" w14:textId="22124918" w:rsidR="008A71DE" w:rsidRDefault="008A71DE" w:rsidP="008A71DE">
      <w:pPr>
        <w:rPr>
          <w:szCs w:val="24"/>
        </w:rPr>
      </w:pPr>
      <w:r w:rsidRPr="008A71DE">
        <w:rPr>
          <w:szCs w:val="24"/>
        </w:rPr>
        <w:t xml:space="preserve">Tomaso Calicchio, Executive Office of </w:t>
      </w:r>
      <w:proofErr w:type="gramStart"/>
      <w:r w:rsidRPr="008A71DE">
        <w:rPr>
          <w:szCs w:val="24"/>
        </w:rPr>
        <w:t>Health</w:t>
      </w:r>
      <w:proofErr w:type="gramEnd"/>
      <w:r w:rsidRPr="008A71DE">
        <w:rPr>
          <w:szCs w:val="24"/>
        </w:rPr>
        <w:t xml:space="preserve"> and Human Services</w:t>
      </w:r>
    </w:p>
    <w:p w14:paraId="74636EAE" w14:textId="77777777" w:rsidR="008A71DE" w:rsidRDefault="008A71DE" w:rsidP="008A71DE">
      <w:r>
        <w:t xml:space="preserve">Hai Nguyen, Executive Office of </w:t>
      </w:r>
      <w:proofErr w:type="gramStart"/>
      <w:r>
        <w:t>Health</w:t>
      </w:r>
      <w:proofErr w:type="gramEnd"/>
      <w:r>
        <w:t xml:space="preserve"> and Human Services</w:t>
      </w:r>
    </w:p>
    <w:p w14:paraId="2599FFD3" w14:textId="77777777" w:rsidR="008A71DE" w:rsidRDefault="008A71DE" w:rsidP="008A71DE">
      <w:r>
        <w:t xml:space="preserve">Karina Mejias, Executive Office of </w:t>
      </w:r>
      <w:proofErr w:type="gramStart"/>
      <w:r>
        <w:t>Health</w:t>
      </w:r>
      <w:proofErr w:type="gramEnd"/>
      <w:r>
        <w:t xml:space="preserve"> and Human Services</w:t>
      </w:r>
    </w:p>
    <w:p w14:paraId="328AE307" w14:textId="1FF809D0" w:rsidR="008A71DE" w:rsidRDefault="008A71DE" w:rsidP="008A71DE">
      <w:r>
        <w:t xml:space="preserve">Priscilla Portis, Executive Office of </w:t>
      </w:r>
      <w:proofErr w:type="gramStart"/>
      <w:r>
        <w:t>Health</w:t>
      </w:r>
      <w:proofErr w:type="gramEnd"/>
      <w:r>
        <w:t xml:space="preserve"> and Human Services</w:t>
      </w:r>
    </w:p>
    <w:p w14:paraId="77FD28DE" w14:textId="77777777" w:rsidR="00221B09" w:rsidRDefault="00221B09"/>
    <w:sectPr w:rsidR="00221B09" w:rsidSect="008A71DE">
      <w:type w:val="continuous"/>
      <w:pgSz w:w="12240" w:h="15840"/>
      <w:pgMar w:top="1440" w:right="1440" w:bottom="1440" w:left="1440" w:header="72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A35D" w14:textId="77777777" w:rsidR="008A71DE" w:rsidRDefault="008A71DE" w:rsidP="008A71DE">
      <w:r>
        <w:separator/>
      </w:r>
    </w:p>
  </w:endnote>
  <w:endnote w:type="continuationSeparator" w:id="0">
    <w:p w14:paraId="1FB422AC" w14:textId="77777777" w:rsidR="008A71DE" w:rsidRDefault="008A71DE" w:rsidP="008A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1BF2" w14:textId="77777777" w:rsidR="00000A7F" w:rsidRDefault="008816F3">
    <w:pPr>
      <w:pStyle w:val="Footer"/>
      <w:jc w:val="center"/>
    </w:pPr>
    <w:r>
      <w:fldChar w:fldCharType="begin"/>
    </w:r>
    <w:r>
      <w:instrText xml:space="preserve"> PAGE   \* MERGEFORMAT </w:instrText>
    </w:r>
    <w:r>
      <w:fldChar w:fldCharType="separate"/>
    </w:r>
    <w:r>
      <w:rPr>
        <w:noProof/>
      </w:rPr>
      <w:t>2</w:t>
    </w:r>
    <w:r>
      <w:rPr>
        <w:noProof/>
      </w:rPr>
      <w:fldChar w:fldCharType="end"/>
    </w:r>
  </w:p>
  <w:p w14:paraId="447EDDB1" w14:textId="77777777" w:rsidR="00000A7F" w:rsidRDefault="0088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A6A1" w14:textId="77777777" w:rsidR="008A71DE" w:rsidRDefault="008A71DE" w:rsidP="008A71DE">
      <w:r>
        <w:separator/>
      </w:r>
    </w:p>
  </w:footnote>
  <w:footnote w:type="continuationSeparator" w:id="0">
    <w:p w14:paraId="4CCFD593" w14:textId="77777777" w:rsidR="008A71DE" w:rsidRDefault="008A71DE" w:rsidP="008A71DE">
      <w:r>
        <w:continuationSeparator/>
      </w:r>
    </w:p>
  </w:footnote>
  <w:footnote w:id="1">
    <w:p w14:paraId="38503E88" w14:textId="17AEC6E2" w:rsidR="008A71DE" w:rsidRDefault="008A71DE">
      <w:pPr>
        <w:pStyle w:val="FootnoteText"/>
      </w:pPr>
      <w:r>
        <w:rPr>
          <w:rStyle w:val="FootnoteReference"/>
        </w:rPr>
        <w:footnoteRef/>
      </w:r>
      <w:r>
        <w:t xml:space="preserve"> </w:t>
      </w:r>
      <w:r w:rsidRPr="008A71DE">
        <w:t xml:space="preserve">Presentation - 10/12/2022 - MOAT Meeting. </w:t>
      </w:r>
      <w:hyperlink r:id="rId1" w:history="1">
        <w:r w:rsidRPr="00D9191E">
          <w:rPr>
            <w:rStyle w:val="Hyperlink"/>
          </w:rPr>
          <w:t>https://www.mass.gov/doc/presentation-10122022-moat-meeting/download</w:t>
        </w:r>
      </w:hyperlink>
      <w:r>
        <w:t xml:space="preserve"> </w:t>
      </w:r>
    </w:p>
  </w:footnote>
  <w:footnote w:id="2">
    <w:p w14:paraId="15D4997A" w14:textId="77777777" w:rsidR="008A71DE" w:rsidRDefault="008A71DE" w:rsidP="008A71DE">
      <w:pPr>
        <w:pStyle w:val="FootnoteText"/>
      </w:pPr>
      <w:r>
        <w:rPr>
          <w:rStyle w:val="FootnoteReference"/>
        </w:rPr>
        <w:footnoteRef/>
      </w:r>
      <w:r>
        <w:t xml:space="preserve"> </w:t>
      </w:r>
      <w:r>
        <w:t>Center for Health Information and Analysis. Performance of the Massachusetts Health Care System Annual Report</w:t>
      </w:r>
    </w:p>
    <w:p w14:paraId="0E2EF0FF" w14:textId="3607965A" w:rsidR="008A71DE" w:rsidRDefault="008A71DE" w:rsidP="008A71DE">
      <w:pPr>
        <w:pStyle w:val="FootnoteText"/>
      </w:pPr>
      <w:r>
        <w:t xml:space="preserve">March 2022. </w:t>
      </w:r>
      <w:hyperlink r:id="rId2" w:history="1">
        <w:r w:rsidRPr="00D9191E">
          <w:rPr>
            <w:rStyle w:val="Hyperlink"/>
          </w:rPr>
          <w:t>https://www.chiamass.gov/assets/2022-annual-report/2022-Annual-Report-Rev-2.pdf</w:t>
        </w:r>
      </w:hyperlink>
      <w:r>
        <w:t xml:space="preserve"> </w:t>
      </w:r>
    </w:p>
  </w:footnote>
  <w:footnote w:id="3">
    <w:p w14:paraId="4A21D4CF" w14:textId="77777777" w:rsidR="008A71DE" w:rsidRDefault="008A71DE" w:rsidP="008A71DE">
      <w:pPr>
        <w:pStyle w:val="FootnoteText"/>
      </w:pPr>
      <w:r>
        <w:rPr>
          <w:rStyle w:val="FootnoteReference"/>
        </w:rPr>
        <w:footnoteRef/>
      </w:r>
      <w:r>
        <w:t xml:space="preserve"> </w:t>
      </w:r>
      <w:r>
        <w:t xml:space="preserve">THCE compares actual health care cost growth with the growth benchmark set by the Health Policy Commission. This measure of total health care spending in the Commonwealth includes: All categories of medical expenses paid to </w:t>
      </w:r>
      <w:proofErr w:type="gramStart"/>
      <w:r>
        <w:t>providers;</w:t>
      </w:r>
      <w:proofErr w:type="gramEnd"/>
    </w:p>
    <w:p w14:paraId="48C3A09B" w14:textId="0EEDE763" w:rsidR="008A71DE" w:rsidRDefault="008A71DE" w:rsidP="008A71DE">
      <w:pPr>
        <w:pStyle w:val="FootnoteText"/>
      </w:pPr>
      <w:r>
        <w:t>All non-claims related payments to providers, such as performance payments; Member cost-sharing payments to providers, such as deductibles, co-payments, and co-insurance; and the net cost of private health 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DB53" w14:textId="77777777" w:rsidR="00000A7F" w:rsidRDefault="008816F3">
    <w:pPr>
      <w:pStyle w:val="Header"/>
    </w:pPr>
    <w:r>
      <w:rPr>
        <w:noProof/>
      </w:rPr>
      <w:pict w14:anchorId="60A3F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C963" w14:textId="77777777" w:rsidR="00000A7F" w:rsidRDefault="008816F3">
    <w:pPr>
      <w:pStyle w:val="Header"/>
    </w:pPr>
    <w:r>
      <w:rPr>
        <w:noProof/>
      </w:rPr>
      <w:pict w14:anchorId="0E1FC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4665"/>
    <w:multiLevelType w:val="hybridMultilevel"/>
    <w:tmpl w:val="CB6C7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5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DE"/>
    <w:rsid w:val="00221B09"/>
    <w:rsid w:val="008816F3"/>
    <w:rsid w:val="008A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3C9AE"/>
  <w15:chartTrackingRefBased/>
  <w15:docId w15:val="{D5155E58-8BA7-415F-A88C-6A46E282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8A71DE"/>
    <w:pPr>
      <w:framePr w:w="6927" w:hSpace="187" w:wrap="notBeside" w:vAnchor="text" w:hAnchor="page" w:x="3594" w:y="1"/>
      <w:jc w:val="center"/>
    </w:pPr>
    <w:rPr>
      <w:rFonts w:ascii="Arial" w:hAnsi="Arial"/>
      <w:sz w:val="28"/>
    </w:rPr>
  </w:style>
  <w:style w:type="paragraph" w:customStyle="1" w:styleId="Weld">
    <w:name w:val="Weld"/>
    <w:basedOn w:val="Normal"/>
    <w:rsid w:val="008A71DE"/>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A71DE"/>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8A71DE"/>
    <w:rPr>
      <w:color w:val="0000FF"/>
      <w:u w:val="single"/>
    </w:rPr>
  </w:style>
  <w:style w:type="paragraph" w:styleId="Header">
    <w:name w:val="header"/>
    <w:basedOn w:val="Normal"/>
    <w:link w:val="HeaderChar"/>
    <w:rsid w:val="008A71DE"/>
    <w:pPr>
      <w:tabs>
        <w:tab w:val="center" w:pos="4680"/>
        <w:tab w:val="right" w:pos="9360"/>
      </w:tabs>
    </w:pPr>
  </w:style>
  <w:style w:type="character" w:customStyle="1" w:styleId="HeaderChar">
    <w:name w:val="Header Char"/>
    <w:basedOn w:val="DefaultParagraphFont"/>
    <w:link w:val="Header"/>
    <w:rsid w:val="008A71DE"/>
    <w:rPr>
      <w:rFonts w:ascii="Times New Roman" w:eastAsia="Times New Roman" w:hAnsi="Times New Roman" w:cs="Times New Roman"/>
      <w:sz w:val="24"/>
      <w:szCs w:val="20"/>
    </w:rPr>
  </w:style>
  <w:style w:type="paragraph" w:styleId="Footer">
    <w:name w:val="footer"/>
    <w:basedOn w:val="Normal"/>
    <w:link w:val="FooterChar"/>
    <w:uiPriority w:val="99"/>
    <w:rsid w:val="008A71DE"/>
    <w:pPr>
      <w:tabs>
        <w:tab w:val="center" w:pos="4680"/>
        <w:tab w:val="right" w:pos="9360"/>
      </w:tabs>
    </w:pPr>
  </w:style>
  <w:style w:type="character" w:customStyle="1" w:styleId="FooterChar">
    <w:name w:val="Footer Char"/>
    <w:basedOn w:val="DefaultParagraphFont"/>
    <w:link w:val="Footer"/>
    <w:uiPriority w:val="99"/>
    <w:rsid w:val="008A71DE"/>
    <w:rPr>
      <w:rFonts w:ascii="Times New Roman" w:eastAsia="Times New Roman" w:hAnsi="Times New Roman" w:cs="Times New Roman"/>
      <w:sz w:val="24"/>
      <w:szCs w:val="20"/>
    </w:rPr>
  </w:style>
  <w:style w:type="paragraph" w:styleId="ListParagraph">
    <w:name w:val="List Paragraph"/>
    <w:basedOn w:val="Normal"/>
    <w:uiPriority w:val="34"/>
    <w:qFormat/>
    <w:rsid w:val="008A71DE"/>
    <w:pPr>
      <w:ind w:left="720"/>
      <w:contextualSpacing/>
    </w:pPr>
  </w:style>
  <w:style w:type="character" w:styleId="UnresolvedMention">
    <w:name w:val="Unresolved Mention"/>
    <w:basedOn w:val="DefaultParagraphFont"/>
    <w:uiPriority w:val="99"/>
    <w:semiHidden/>
    <w:unhideWhenUsed/>
    <w:rsid w:val="008A71DE"/>
    <w:rPr>
      <w:color w:val="605E5C"/>
      <w:shd w:val="clear" w:color="auto" w:fill="E1DFDD"/>
    </w:rPr>
  </w:style>
  <w:style w:type="paragraph" w:styleId="FootnoteText">
    <w:name w:val="footnote text"/>
    <w:basedOn w:val="Normal"/>
    <w:link w:val="FootnoteTextChar"/>
    <w:uiPriority w:val="99"/>
    <w:semiHidden/>
    <w:unhideWhenUsed/>
    <w:rsid w:val="008A71DE"/>
    <w:rPr>
      <w:sz w:val="20"/>
    </w:rPr>
  </w:style>
  <w:style w:type="character" w:customStyle="1" w:styleId="FootnoteTextChar">
    <w:name w:val="Footnote Text Char"/>
    <w:basedOn w:val="DefaultParagraphFont"/>
    <w:link w:val="FootnoteText"/>
    <w:uiPriority w:val="99"/>
    <w:semiHidden/>
    <w:rsid w:val="008A71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olyn.jackson@stvincenthos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hiamass.gov/assets/2022-annual-report/2022-Annual-Report-Rev-2.pdf" TargetMode="External"/><Relationship Id="rId1" Type="http://schemas.openxmlformats.org/officeDocument/2006/relationships/hyperlink" Target="https://www.mass.gov/doc/presentation-10122022-moat-meetin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2854-1EA4-43DB-8943-A35DC1C1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2022-11-04T18:48:00Z</dcterms:created>
  <dcterms:modified xsi:type="dcterms:W3CDTF">2022-11-04T19:13:00Z</dcterms:modified>
</cp:coreProperties>
</file>