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7" w:rsidRPr="00BA0F0C" w:rsidRDefault="0047652A">
      <w:pPr>
        <w:rPr>
          <w:rFonts w:cs="Arial"/>
          <w:sz w:val="24"/>
          <w:szCs w:val="24"/>
        </w:rPr>
      </w:pPr>
      <w:bookmarkStart w:id="0" w:name="_GoBack"/>
      <w:bookmarkEnd w:id="0"/>
      <w:r w:rsidRPr="00BA0F0C">
        <w:rPr>
          <w:rFonts w:cs="Arial"/>
          <w:sz w:val="24"/>
          <w:szCs w:val="24"/>
        </w:rPr>
        <w:t>Cover Page</w:t>
      </w:r>
    </w:p>
    <w:p w:rsidR="0047652A" w:rsidRPr="00BA0F0C" w:rsidRDefault="0047652A">
      <w:pPr>
        <w:rPr>
          <w:rFonts w:cs="Arial"/>
          <w:sz w:val="24"/>
          <w:szCs w:val="24"/>
        </w:rPr>
      </w:pPr>
    </w:p>
    <w:p w:rsidR="003A2C52" w:rsidRDefault="003A2C5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One Care Program:</w:t>
      </w:r>
    </w:p>
    <w:p w:rsidR="003A2C52" w:rsidRDefault="003A2C5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Experience, Challenges and Proposed Solutions </w:t>
      </w:r>
    </w:p>
    <w:p w:rsidR="003A2C52" w:rsidRDefault="003A2C52">
      <w:pPr>
        <w:rPr>
          <w:rFonts w:cs="Arial"/>
          <w:sz w:val="24"/>
          <w:szCs w:val="24"/>
        </w:rPr>
      </w:pPr>
    </w:p>
    <w:p w:rsidR="003A2C52" w:rsidRDefault="003A2C5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Implementation Council Meeting</w:t>
      </w:r>
    </w:p>
    <w:p w:rsidR="003A2C52" w:rsidRDefault="003A2C5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24, 2015</w:t>
      </w:r>
    </w:p>
    <w:p w:rsidR="003A2C52" w:rsidRDefault="003A2C5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Commonwealth Care Alliance</w:t>
      </w:r>
    </w:p>
    <w:p w:rsidR="003A2C52" w:rsidRDefault="003A2C52">
      <w:pPr>
        <w:rPr>
          <w:rFonts w:cs="Arial"/>
          <w:sz w:val="24"/>
          <w:szCs w:val="24"/>
        </w:rPr>
      </w:pPr>
    </w:p>
    <w:p w:rsidR="0047652A" w:rsidRPr="00BA0F0C" w:rsidRDefault="0047652A">
      <w:pPr>
        <w:rPr>
          <w:rFonts w:cs="Arial"/>
          <w:sz w:val="24"/>
          <w:szCs w:val="24"/>
        </w:rPr>
      </w:pPr>
      <w:r w:rsidRPr="00BA0F0C">
        <w:rPr>
          <w:rFonts w:cs="Arial"/>
          <w:sz w:val="24"/>
          <w:szCs w:val="24"/>
        </w:rPr>
        <w:t xml:space="preserve">Commonwealth Care Alliance </w:t>
      </w:r>
      <w:r w:rsidR="006224FF" w:rsidRPr="00BA0F0C">
        <w:rPr>
          <w:rFonts w:cs="Arial"/>
          <w:sz w:val="24"/>
          <w:szCs w:val="24"/>
        </w:rPr>
        <w:t xml:space="preserve">slogan </w:t>
      </w:r>
      <w:r w:rsidRPr="00BA0F0C">
        <w:rPr>
          <w:rFonts w:cs="Arial"/>
          <w:sz w:val="24"/>
          <w:szCs w:val="24"/>
        </w:rPr>
        <w:t xml:space="preserve">is on the bottom left of the </w:t>
      </w:r>
      <w:r w:rsidR="006224FF" w:rsidRPr="00BA0F0C">
        <w:rPr>
          <w:rFonts w:cs="Arial"/>
          <w:sz w:val="24"/>
          <w:szCs w:val="24"/>
        </w:rPr>
        <w:t xml:space="preserve">slide </w:t>
      </w:r>
      <w:r w:rsidRPr="00BA0F0C">
        <w:rPr>
          <w:rFonts w:cs="Arial"/>
          <w:sz w:val="24"/>
          <w:szCs w:val="24"/>
        </w:rPr>
        <w:t xml:space="preserve">page:  </w:t>
      </w:r>
      <w:r w:rsidR="006224FF" w:rsidRPr="00BA0F0C">
        <w:rPr>
          <w:rFonts w:cs="Arial"/>
          <w:sz w:val="24"/>
          <w:szCs w:val="24"/>
        </w:rPr>
        <w:t>“</w:t>
      </w:r>
      <w:r w:rsidRPr="00BA0F0C">
        <w:rPr>
          <w:rFonts w:cs="Arial"/>
          <w:sz w:val="24"/>
          <w:szCs w:val="24"/>
        </w:rPr>
        <w:t xml:space="preserve">Healthy is Harder for </w:t>
      </w:r>
      <w:proofErr w:type="gramStart"/>
      <w:r w:rsidRPr="00BA0F0C">
        <w:rPr>
          <w:rFonts w:cs="Arial"/>
          <w:sz w:val="24"/>
          <w:szCs w:val="24"/>
        </w:rPr>
        <w:t>Some</w:t>
      </w:r>
      <w:proofErr w:type="gramEnd"/>
      <w:r w:rsidRPr="00BA0F0C">
        <w:rPr>
          <w:rFonts w:cs="Arial"/>
          <w:sz w:val="24"/>
          <w:szCs w:val="24"/>
        </w:rPr>
        <w:t xml:space="preserve">.  That is </w:t>
      </w:r>
      <w:proofErr w:type="gramStart"/>
      <w:r w:rsidRPr="00BA0F0C">
        <w:rPr>
          <w:rFonts w:cs="Arial"/>
          <w:sz w:val="24"/>
          <w:szCs w:val="24"/>
        </w:rPr>
        <w:t>Why</w:t>
      </w:r>
      <w:proofErr w:type="gramEnd"/>
      <w:r w:rsidRPr="00BA0F0C">
        <w:rPr>
          <w:rFonts w:cs="Arial"/>
          <w:sz w:val="24"/>
          <w:szCs w:val="24"/>
        </w:rPr>
        <w:t xml:space="preserve"> we are here.</w:t>
      </w:r>
      <w:r w:rsidR="006224FF" w:rsidRPr="00BA0F0C">
        <w:rPr>
          <w:rFonts w:cs="Arial"/>
          <w:sz w:val="24"/>
          <w:szCs w:val="24"/>
        </w:rPr>
        <w:t>”</w:t>
      </w:r>
    </w:p>
    <w:p w:rsidR="0047652A" w:rsidRPr="00BA0F0C" w:rsidRDefault="0047652A" w:rsidP="0047652A">
      <w:pPr>
        <w:spacing w:before="120"/>
        <w:rPr>
          <w:rFonts w:eastAsiaTheme="minorEastAsia" w:cs="Arial"/>
          <w:caps/>
          <w:kern w:val="24"/>
          <w:sz w:val="24"/>
          <w:szCs w:val="24"/>
        </w:rPr>
      </w:pPr>
    </w:p>
    <w:p w:rsidR="0047652A" w:rsidRPr="00BA0F0C" w:rsidRDefault="0047652A" w:rsidP="0047652A">
      <w:pPr>
        <w:spacing w:before="120"/>
        <w:rPr>
          <w:rFonts w:eastAsiaTheme="minorEastAsia" w:cs="Arial"/>
          <w:kern w:val="24"/>
          <w:sz w:val="24"/>
          <w:szCs w:val="24"/>
        </w:rPr>
      </w:pPr>
      <w:r w:rsidRPr="00BA0F0C">
        <w:rPr>
          <w:rFonts w:eastAsiaTheme="minorEastAsia" w:cs="Arial"/>
          <w:kern w:val="24"/>
          <w:sz w:val="24"/>
          <w:szCs w:val="24"/>
        </w:rPr>
        <w:t>Slide 1</w:t>
      </w:r>
    </w:p>
    <w:p w:rsidR="0047652A" w:rsidRPr="00BA0F0C" w:rsidRDefault="0047652A" w:rsidP="0047652A">
      <w:pPr>
        <w:spacing w:before="120"/>
        <w:rPr>
          <w:rFonts w:eastAsiaTheme="majorEastAsia" w:cs="Arial"/>
          <w:bCs/>
          <w:caps/>
          <w:kern w:val="24"/>
          <w:sz w:val="24"/>
          <w:szCs w:val="24"/>
        </w:rPr>
      </w:pPr>
      <w:r w:rsidRPr="00BA0F0C">
        <w:rPr>
          <w:rFonts w:eastAsiaTheme="majorEastAsia" w:cs="Arial"/>
          <w:bCs/>
          <w:caps/>
          <w:kern w:val="24"/>
          <w:sz w:val="24"/>
          <w:szCs w:val="24"/>
        </w:rPr>
        <w:t>The CCA Experience So Far</w:t>
      </w:r>
      <w:r w:rsidR="003863E1" w:rsidRPr="00BA0F0C">
        <w:rPr>
          <w:rFonts w:eastAsiaTheme="majorEastAsia" w:cs="Arial"/>
          <w:bCs/>
          <w:caps/>
          <w:kern w:val="24"/>
          <w:sz w:val="24"/>
          <w:szCs w:val="24"/>
        </w:rPr>
        <w:br/>
      </w:r>
    </w:p>
    <w:p w:rsidR="0047652A" w:rsidRPr="00BA0F0C" w:rsidRDefault="0047652A" w:rsidP="006224FF">
      <w:pPr>
        <w:pStyle w:val="ListParagraph"/>
        <w:numPr>
          <w:ilvl w:val="0"/>
          <w:numId w:val="6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  <w:position w:val="1"/>
        </w:rPr>
        <w:t>CCA has long history of delivering and financing disability competent care through integrated care model.</w:t>
      </w:r>
    </w:p>
    <w:p w:rsidR="0047652A" w:rsidRPr="00BA0F0C" w:rsidRDefault="0047652A" w:rsidP="006224FF">
      <w:pPr>
        <w:pStyle w:val="ListParagraph"/>
        <w:numPr>
          <w:ilvl w:val="0"/>
          <w:numId w:val="6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  <w:position w:val="1"/>
        </w:rPr>
        <w:t>Principles of One Care program are integral to purpose and mission of CCA. No organization is more committed to goals of program.</w:t>
      </w:r>
    </w:p>
    <w:p w:rsidR="0047652A" w:rsidRPr="00BA0F0C" w:rsidRDefault="0047652A" w:rsidP="006224FF">
      <w:pPr>
        <w:pStyle w:val="ListParagraph"/>
        <w:numPr>
          <w:ilvl w:val="0"/>
          <w:numId w:val="6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  <w:position w:val="1"/>
        </w:rPr>
        <w:t>Countless success stories:</w:t>
      </w:r>
    </w:p>
    <w:p w:rsidR="0047652A" w:rsidRPr="00BA0F0C" w:rsidRDefault="0047652A" w:rsidP="004765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Supports personal empowerment and improved quality of life</w:t>
      </w:r>
    </w:p>
    <w:p w:rsidR="0047652A" w:rsidRPr="00BA0F0C" w:rsidRDefault="0047652A" w:rsidP="004765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Reduces hospitalizations and associated medical costs while increasing community-based services and improved outcomes</w:t>
      </w:r>
    </w:p>
    <w:p w:rsidR="0047652A" w:rsidRPr="00BA0F0C" w:rsidRDefault="0047652A" w:rsidP="0047652A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Stabilizes living circumstances,  increases social supports</w:t>
      </w:r>
    </w:p>
    <w:p w:rsidR="0047652A" w:rsidRPr="00BA0F0C" w:rsidRDefault="0047652A" w:rsidP="0047652A">
      <w:pPr>
        <w:rPr>
          <w:sz w:val="24"/>
          <w:szCs w:val="24"/>
        </w:rPr>
      </w:pPr>
    </w:p>
    <w:p w:rsidR="003863E1" w:rsidRPr="00BA0F0C" w:rsidRDefault="003863E1" w:rsidP="0047652A">
      <w:pPr>
        <w:rPr>
          <w:rFonts w:cs="Arial"/>
          <w:sz w:val="24"/>
          <w:szCs w:val="24"/>
        </w:rPr>
      </w:pPr>
    </w:p>
    <w:p w:rsidR="0047652A" w:rsidRPr="00BA0F0C" w:rsidRDefault="0047652A" w:rsidP="0047652A">
      <w:pPr>
        <w:rPr>
          <w:rFonts w:cs="Arial"/>
          <w:sz w:val="24"/>
          <w:szCs w:val="24"/>
        </w:rPr>
      </w:pPr>
      <w:r w:rsidRPr="00BA0F0C">
        <w:rPr>
          <w:rFonts w:cs="Arial"/>
          <w:sz w:val="24"/>
          <w:szCs w:val="24"/>
        </w:rPr>
        <w:t>Slide 2</w:t>
      </w:r>
    </w:p>
    <w:p w:rsidR="0047652A" w:rsidRPr="00BA0F0C" w:rsidRDefault="0047652A" w:rsidP="0047652A">
      <w:pPr>
        <w:rPr>
          <w:rFonts w:eastAsiaTheme="majorEastAsia" w:cs="Arial"/>
          <w:bCs/>
          <w:caps/>
          <w:kern w:val="24"/>
          <w:sz w:val="24"/>
          <w:szCs w:val="24"/>
        </w:rPr>
      </w:pPr>
      <w:r w:rsidRPr="00BA0F0C">
        <w:rPr>
          <w:rFonts w:eastAsiaTheme="majorEastAsia" w:cs="Arial"/>
          <w:bCs/>
          <w:caps/>
          <w:kern w:val="24"/>
          <w:sz w:val="24"/>
          <w:szCs w:val="24"/>
        </w:rPr>
        <w:t>Lessons Learned from the Demo to Date</w:t>
      </w:r>
      <w:r w:rsidR="003863E1" w:rsidRPr="00BA0F0C">
        <w:rPr>
          <w:rFonts w:eastAsiaTheme="majorEastAsia" w:cs="Arial"/>
          <w:bCs/>
          <w:caps/>
          <w:kern w:val="24"/>
          <w:sz w:val="24"/>
          <w:szCs w:val="24"/>
        </w:rPr>
        <w:br/>
      </w:r>
    </w:p>
    <w:p w:rsidR="0047652A" w:rsidRPr="00BA0F0C" w:rsidRDefault="0047652A" w:rsidP="0047652A">
      <w:pPr>
        <w:pStyle w:val="ListParagraph"/>
        <w:numPr>
          <w:ilvl w:val="0"/>
          <w:numId w:val="2"/>
        </w:numPr>
        <w:spacing w:line="216" w:lineRule="auto"/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Timeframe for realizing medical cost savings is much longer than expected</w:t>
      </w:r>
    </w:p>
    <w:p w:rsidR="0047652A" w:rsidRPr="00BA0F0C" w:rsidRDefault="0047652A" w:rsidP="0047652A">
      <w:pPr>
        <w:pStyle w:val="ListParagraph"/>
        <w:numPr>
          <w:ilvl w:val="1"/>
          <w:numId w:val="2"/>
        </w:numPr>
        <w:spacing w:line="216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More realistic to think about the program’s effectiveness in managing the rate of expenditure growth for this population over time than immediate cost savings</w:t>
      </w:r>
    </w:p>
    <w:p w:rsidR="0047652A" w:rsidRPr="00BA0F0C" w:rsidRDefault="0047652A" w:rsidP="0047652A">
      <w:pPr>
        <w:pStyle w:val="ListParagraph"/>
        <w:numPr>
          <w:ilvl w:val="0"/>
          <w:numId w:val="2"/>
        </w:numPr>
        <w:spacing w:line="216" w:lineRule="auto"/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Why?</w:t>
      </w:r>
    </w:p>
    <w:p w:rsidR="0047652A" w:rsidRPr="00BA0F0C" w:rsidRDefault="0047652A" w:rsidP="0047652A">
      <w:pPr>
        <w:pStyle w:val="ListParagraph"/>
        <w:numPr>
          <w:ilvl w:val="1"/>
          <w:numId w:val="2"/>
        </w:numPr>
        <w:spacing w:line="216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High prevalence of homelessness, mental illness</w:t>
      </w:r>
    </w:p>
    <w:p w:rsidR="0047652A" w:rsidRPr="00BA0F0C" w:rsidRDefault="0047652A" w:rsidP="0047652A">
      <w:pPr>
        <w:pStyle w:val="ListParagraph"/>
        <w:numPr>
          <w:ilvl w:val="1"/>
          <w:numId w:val="2"/>
        </w:numPr>
        <w:spacing w:line="216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Lack of connection to / distrust of health system</w:t>
      </w:r>
    </w:p>
    <w:p w:rsidR="0047652A" w:rsidRPr="00BA0F0C" w:rsidRDefault="0047652A" w:rsidP="0047652A">
      <w:pPr>
        <w:pStyle w:val="ListParagraph"/>
        <w:numPr>
          <w:ilvl w:val="1"/>
          <w:numId w:val="2"/>
        </w:numPr>
        <w:spacing w:line="216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Difficulty in reaching large proportion of members for early assessments and care intervention</w:t>
      </w:r>
    </w:p>
    <w:p w:rsidR="0047652A" w:rsidRPr="00BA0F0C" w:rsidRDefault="0047652A" w:rsidP="0047652A">
      <w:pPr>
        <w:pStyle w:val="ListParagraph"/>
        <w:numPr>
          <w:ilvl w:val="1"/>
          <w:numId w:val="2"/>
        </w:numPr>
        <w:spacing w:line="216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Significant amount of unmet needs in population</w:t>
      </w:r>
    </w:p>
    <w:p w:rsidR="0047652A" w:rsidRPr="00BA0F0C" w:rsidRDefault="0047652A" w:rsidP="0047652A">
      <w:pPr>
        <w:spacing w:line="216" w:lineRule="auto"/>
        <w:rPr>
          <w:sz w:val="24"/>
          <w:szCs w:val="24"/>
        </w:rPr>
      </w:pPr>
    </w:p>
    <w:p w:rsidR="0047652A" w:rsidRPr="00BA0F0C" w:rsidRDefault="0047652A" w:rsidP="0047652A">
      <w:pPr>
        <w:spacing w:line="216" w:lineRule="auto"/>
        <w:rPr>
          <w:sz w:val="24"/>
          <w:szCs w:val="24"/>
        </w:rPr>
      </w:pPr>
      <w:r w:rsidRPr="00BA0F0C">
        <w:rPr>
          <w:sz w:val="24"/>
          <w:szCs w:val="24"/>
        </w:rPr>
        <w:t>Slide 3</w:t>
      </w:r>
    </w:p>
    <w:p w:rsidR="0047652A" w:rsidRPr="00BA0F0C" w:rsidRDefault="0047652A" w:rsidP="0047652A">
      <w:pPr>
        <w:spacing w:line="216" w:lineRule="auto"/>
        <w:rPr>
          <w:rFonts w:eastAsiaTheme="majorEastAsia" w:cs="Arial"/>
          <w:bCs/>
          <w:caps/>
          <w:kern w:val="24"/>
          <w:sz w:val="24"/>
          <w:szCs w:val="24"/>
        </w:rPr>
      </w:pPr>
      <w:r w:rsidRPr="00BA0F0C">
        <w:rPr>
          <w:rFonts w:eastAsiaTheme="majorEastAsia" w:cs="Arial"/>
          <w:bCs/>
          <w:caps/>
          <w:kern w:val="24"/>
          <w:sz w:val="24"/>
          <w:szCs w:val="24"/>
        </w:rPr>
        <w:t>Lessons learned from the Demo to date</w:t>
      </w:r>
      <w:r w:rsidR="003863E1" w:rsidRPr="00BA0F0C">
        <w:rPr>
          <w:rFonts w:eastAsiaTheme="majorEastAsia" w:cs="Arial"/>
          <w:bCs/>
          <w:caps/>
          <w:kern w:val="24"/>
          <w:sz w:val="24"/>
          <w:szCs w:val="24"/>
        </w:rPr>
        <w:br/>
      </w:r>
    </w:p>
    <w:p w:rsidR="0047652A" w:rsidRPr="00BA0F0C" w:rsidRDefault="0047652A" w:rsidP="0047652A">
      <w:pPr>
        <w:pStyle w:val="ListParagraph"/>
        <w:numPr>
          <w:ilvl w:val="0"/>
          <w:numId w:val="3"/>
        </w:numPr>
        <w:spacing w:line="192" w:lineRule="auto"/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  <w:position w:val="1"/>
        </w:rPr>
        <w:t>Program features/contractual requirements were not accounted for in the rate development:</w:t>
      </w:r>
    </w:p>
    <w:p w:rsidR="0047652A" w:rsidRPr="00BA0F0C" w:rsidRDefault="0047652A" w:rsidP="0047652A">
      <w:pPr>
        <w:pStyle w:val="ListParagraph"/>
        <w:numPr>
          <w:ilvl w:val="1"/>
          <w:numId w:val="3"/>
        </w:numPr>
        <w:spacing w:line="192" w:lineRule="auto"/>
        <w:rPr>
          <w:rFonts w:asciiTheme="minorHAnsi" w:hAnsiTheme="minorHAnsi"/>
        </w:rPr>
      </w:pPr>
      <w:proofErr w:type="spellStart"/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lastRenderedPageBreak/>
        <w:t>Start up</w:t>
      </w:r>
      <w:proofErr w:type="spellEnd"/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 xml:space="preserve"> costs </w:t>
      </w:r>
    </w:p>
    <w:p w:rsidR="0047652A" w:rsidRPr="00BA0F0C" w:rsidRDefault="0047652A" w:rsidP="0047652A">
      <w:pPr>
        <w:pStyle w:val="ListParagraph"/>
        <w:numPr>
          <w:ilvl w:val="1"/>
          <w:numId w:val="3"/>
        </w:numPr>
        <w:spacing w:line="192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Clinical innovation and investments to fill gaps in FFS environment</w:t>
      </w:r>
    </w:p>
    <w:p w:rsidR="0047652A" w:rsidRPr="00BA0F0C" w:rsidRDefault="0047652A" w:rsidP="0047652A">
      <w:pPr>
        <w:pStyle w:val="ListParagraph"/>
        <w:numPr>
          <w:ilvl w:val="1"/>
          <w:numId w:val="3"/>
        </w:numPr>
        <w:spacing w:line="192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 xml:space="preserve">Regulatory requirements </w:t>
      </w:r>
    </w:p>
    <w:p w:rsidR="0047652A" w:rsidRPr="00BA0F0C" w:rsidRDefault="0047652A" w:rsidP="0047652A">
      <w:pPr>
        <w:pStyle w:val="ListParagraph"/>
        <w:numPr>
          <w:ilvl w:val="1"/>
          <w:numId w:val="3"/>
        </w:numPr>
        <w:spacing w:line="192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Administrative costs to run the program for this population</w:t>
      </w:r>
    </w:p>
    <w:p w:rsidR="0047652A" w:rsidRPr="00BA0F0C" w:rsidRDefault="0047652A" w:rsidP="0047652A">
      <w:pPr>
        <w:pStyle w:val="ListParagraph"/>
        <w:numPr>
          <w:ilvl w:val="1"/>
          <w:numId w:val="3"/>
        </w:numPr>
        <w:spacing w:line="192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 xml:space="preserve">Provider market rates </w:t>
      </w:r>
    </w:p>
    <w:p w:rsidR="0047652A" w:rsidRPr="00BA0F0C" w:rsidRDefault="0047652A" w:rsidP="0047652A">
      <w:pPr>
        <w:pStyle w:val="ListParagraph"/>
        <w:numPr>
          <w:ilvl w:val="2"/>
          <w:numId w:val="3"/>
        </w:numPr>
        <w:spacing w:line="192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(e.g. 100% of Medicare rate for hospitals, very likely unique to Massachusetts Demos)</w:t>
      </w:r>
    </w:p>
    <w:p w:rsidR="0047652A" w:rsidRPr="00BA0F0C" w:rsidRDefault="0047652A" w:rsidP="0047652A">
      <w:pPr>
        <w:pStyle w:val="ListParagraph"/>
        <w:numPr>
          <w:ilvl w:val="1"/>
          <w:numId w:val="3"/>
        </w:numPr>
        <w:spacing w:line="192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Additional benefits/services under the One Care program</w:t>
      </w:r>
    </w:p>
    <w:p w:rsidR="003863E1" w:rsidRPr="00BA0F0C" w:rsidRDefault="0047652A" w:rsidP="0047652A">
      <w:pPr>
        <w:pStyle w:val="ListParagraph"/>
        <w:numPr>
          <w:ilvl w:val="2"/>
          <w:numId w:val="3"/>
        </w:numPr>
        <w:spacing w:line="192" w:lineRule="auto"/>
        <w:rPr>
          <w:rFonts w:asciiTheme="minorHAnsi" w:hAnsiTheme="minorHAnsi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dental, transportation, other community-based services that improve quality and wellness but may not translate into reduced medical expenses in demonstration timeframe</w:t>
      </w:r>
    </w:p>
    <w:p w:rsidR="003863E1" w:rsidRPr="00BA0F0C" w:rsidRDefault="003863E1" w:rsidP="0047652A">
      <w:pPr>
        <w:spacing w:line="192" w:lineRule="auto"/>
        <w:rPr>
          <w:sz w:val="24"/>
          <w:szCs w:val="24"/>
        </w:rPr>
      </w:pPr>
    </w:p>
    <w:p w:rsidR="0047652A" w:rsidRPr="00BA0F0C" w:rsidRDefault="0047652A" w:rsidP="0047652A">
      <w:pPr>
        <w:spacing w:line="192" w:lineRule="auto"/>
        <w:rPr>
          <w:sz w:val="24"/>
          <w:szCs w:val="24"/>
        </w:rPr>
      </w:pPr>
      <w:r w:rsidRPr="00BA0F0C">
        <w:rPr>
          <w:sz w:val="24"/>
          <w:szCs w:val="24"/>
        </w:rPr>
        <w:t>Slide 4</w:t>
      </w:r>
    </w:p>
    <w:p w:rsidR="0047652A" w:rsidRPr="00BA0F0C" w:rsidRDefault="0047652A" w:rsidP="0047652A">
      <w:pPr>
        <w:spacing w:line="192" w:lineRule="auto"/>
        <w:rPr>
          <w:rFonts w:eastAsiaTheme="majorEastAsia" w:cs="Arial"/>
          <w:bCs/>
          <w:caps/>
          <w:kern w:val="24"/>
          <w:sz w:val="24"/>
          <w:szCs w:val="24"/>
        </w:rPr>
      </w:pPr>
      <w:r w:rsidRPr="00BA0F0C">
        <w:rPr>
          <w:rFonts w:eastAsiaTheme="majorEastAsia" w:cs="Arial"/>
          <w:bCs/>
          <w:caps/>
          <w:kern w:val="24"/>
          <w:sz w:val="24"/>
          <w:szCs w:val="24"/>
        </w:rPr>
        <w:t>Additional Challenges</w:t>
      </w:r>
      <w:r w:rsidR="003863E1" w:rsidRPr="00BA0F0C">
        <w:rPr>
          <w:rFonts w:eastAsiaTheme="majorEastAsia" w:cs="Arial"/>
          <w:bCs/>
          <w:caps/>
          <w:kern w:val="24"/>
          <w:sz w:val="24"/>
          <w:szCs w:val="24"/>
        </w:rPr>
        <w:br/>
      </w:r>
    </w:p>
    <w:p w:rsidR="0047652A" w:rsidRPr="00BA0F0C" w:rsidRDefault="0047652A" w:rsidP="0047652A">
      <w:pPr>
        <w:pStyle w:val="ListParagraph"/>
        <w:numPr>
          <w:ilvl w:val="0"/>
          <w:numId w:val="4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Part D pharmacy rate methodology requires large “float” of pharmacy costs by One Care Plan</w:t>
      </w:r>
    </w:p>
    <w:p w:rsidR="0047652A" w:rsidRPr="00BA0F0C" w:rsidRDefault="0047652A" w:rsidP="0047652A">
      <w:pPr>
        <w:pStyle w:val="ListParagraph"/>
        <w:numPr>
          <w:ilvl w:val="0"/>
          <w:numId w:val="4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Only about 40 percent of costs paid in real time, rest can be as late as 18 months after costs incurred</w:t>
      </w:r>
    </w:p>
    <w:p w:rsidR="0047652A" w:rsidRPr="00BA0F0C" w:rsidRDefault="0047652A" w:rsidP="0047652A">
      <w:pPr>
        <w:pStyle w:val="ListParagraph"/>
        <w:numPr>
          <w:ilvl w:val="0"/>
          <w:numId w:val="4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Overall drug spend significantly higher for One Care enrollees as compared to SCO enrollees due primarily to specialty drugs, anti-psychotic medications</w:t>
      </w:r>
    </w:p>
    <w:p w:rsidR="0047652A" w:rsidRPr="00BA0F0C" w:rsidRDefault="0047652A" w:rsidP="0047652A">
      <w:pPr>
        <w:rPr>
          <w:color w:val="8A2124"/>
          <w:sz w:val="24"/>
          <w:szCs w:val="24"/>
        </w:rPr>
      </w:pPr>
    </w:p>
    <w:p w:rsidR="0047652A" w:rsidRPr="00BA0F0C" w:rsidRDefault="0047652A" w:rsidP="0047652A">
      <w:pPr>
        <w:rPr>
          <w:sz w:val="24"/>
          <w:szCs w:val="24"/>
        </w:rPr>
      </w:pPr>
      <w:r w:rsidRPr="00BA0F0C">
        <w:rPr>
          <w:sz w:val="24"/>
          <w:szCs w:val="24"/>
        </w:rPr>
        <w:t>Slide 5</w:t>
      </w:r>
    </w:p>
    <w:p w:rsidR="0047652A" w:rsidRPr="00BA0F0C" w:rsidRDefault="0047652A" w:rsidP="0047652A">
      <w:pPr>
        <w:rPr>
          <w:rFonts w:eastAsiaTheme="majorEastAsia" w:cs="Arial"/>
          <w:bCs/>
          <w:caps/>
          <w:kern w:val="24"/>
          <w:sz w:val="24"/>
          <w:szCs w:val="24"/>
        </w:rPr>
      </w:pPr>
      <w:r w:rsidRPr="00BA0F0C">
        <w:rPr>
          <w:rFonts w:eastAsiaTheme="majorEastAsia" w:cs="Arial"/>
          <w:bCs/>
          <w:caps/>
          <w:kern w:val="24"/>
          <w:sz w:val="24"/>
          <w:szCs w:val="24"/>
        </w:rPr>
        <w:t>Proposed solutions</w:t>
      </w:r>
      <w:r w:rsidR="006224FF" w:rsidRPr="00BA0F0C">
        <w:rPr>
          <w:rFonts w:eastAsiaTheme="majorEastAsia" w:cs="Arial"/>
          <w:bCs/>
          <w:caps/>
          <w:kern w:val="24"/>
          <w:sz w:val="24"/>
          <w:szCs w:val="24"/>
        </w:rPr>
        <w:br/>
      </w:r>
    </w:p>
    <w:p w:rsidR="0047652A" w:rsidRPr="00BA0F0C" w:rsidRDefault="0047652A" w:rsidP="0047652A">
      <w:pPr>
        <w:pStyle w:val="ListParagraph"/>
        <w:numPr>
          <w:ilvl w:val="0"/>
          <w:numId w:val="5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Continue risk-sharing formula for 2015 and 2016 at the 2014 level.</w:t>
      </w:r>
    </w:p>
    <w:p w:rsidR="0047652A" w:rsidRPr="00BA0F0C" w:rsidRDefault="0047652A" w:rsidP="0047652A">
      <w:pPr>
        <w:pStyle w:val="ListParagraph"/>
        <w:numPr>
          <w:ilvl w:val="0"/>
          <w:numId w:val="5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Move up payments on Part D receivable</w:t>
      </w:r>
    </w:p>
    <w:p w:rsidR="0047652A" w:rsidRPr="00BA0F0C" w:rsidRDefault="0047652A" w:rsidP="0047652A">
      <w:pPr>
        <w:pStyle w:val="ListParagraph"/>
        <w:numPr>
          <w:ilvl w:val="0"/>
          <w:numId w:val="5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>Adjust 2015 reimbursement to recognize uncompensated administrative and other program-related costs for 2015 and for remainder of demonstration</w:t>
      </w:r>
    </w:p>
    <w:p w:rsidR="0047652A" w:rsidRPr="00BA0F0C" w:rsidRDefault="0047652A" w:rsidP="0047652A">
      <w:pPr>
        <w:pStyle w:val="ListParagraph"/>
        <w:numPr>
          <w:ilvl w:val="0"/>
          <w:numId w:val="5"/>
        </w:numPr>
        <w:rPr>
          <w:rFonts w:asciiTheme="minorHAnsi" w:hAnsiTheme="minorHAnsi"/>
          <w:color w:val="8A2124"/>
        </w:rPr>
      </w:pPr>
      <w:r w:rsidRPr="00BA0F0C">
        <w:rPr>
          <w:rFonts w:asciiTheme="minorHAnsi" w:eastAsiaTheme="minorEastAsia" w:hAnsiTheme="minorHAnsi" w:cs="Arial"/>
          <w:color w:val="000000" w:themeColor="text1"/>
          <w:kern w:val="24"/>
        </w:rPr>
        <w:t xml:space="preserve"> Adjust 2016 risk adjustment formula for Medicare rates to recognize limits of current HCC methodology and address unique needs of our dually eligible population (full duals and social determinants).</w:t>
      </w:r>
    </w:p>
    <w:p w:rsidR="0047652A" w:rsidRPr="0047652A" w:rsidRDefault="0047652A">
      <w:pPr>
        <w:rPr>
          <w:sz w:val="32"/>
          <w:szCs w:val="32"/>
        </w:rPr>
      </w:pPr>
    </w:p>
    <w:sectPr w:rsidR="0047652A" w:rsidRPr="0047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3F32"/>
    <w:multiLevelType w:val="hybridMultilevel"/>
    <w:tmpl w:val="422C18C0"/>
    <w:lvl w:ilvl="0" w:tplc="BDB4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8F7F0">
      <w:start w:val="4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ED21A">
      <w:start w:val="40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2A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00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2D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A45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28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0E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B428DF"/>
    <w:multiLevelType w:val="hybridMultilevel"/>
    <w:tmpl w:val="55981DD6"/>
    <w:lvl w:ilvl="0" w:tplc="F8268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62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8A0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47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C2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CE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28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962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CC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0B3752"/>
    <w:multiLevelType w:val="hybridMultilevel"/>
    <w:tmpl w:val="EB8026D2"/>
    <w:lvl w:ilvl="0" w:tplc="9AEE2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6780">
      <w:start w:val="3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09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89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04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2A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04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EA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84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D1B1F59"/>
    <w:multiLevelType w:val="hybridMultilevel"/>
    <w:tmpl w:val="ADCCE516"/>
    <w:lvl w:ilvl="0" w:tplc="2B40B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0B88C">
      <w:start w:val="3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6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C5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7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E4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22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60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0E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8554230"/>
    <w:multiLevelType w:val="hybridMultilevel"/>
    <w:tmpl w:val="F2040EC8"/>
    <w:lvl w:ilvl="0" w:tplc="0FC69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66780">
      <w:start w:val="3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09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89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04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2A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04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EA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84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B932CF3"/>
    <w:multiLevelType w:val="hybridMultilevel"/>
    <w:tmpl w:val="5A90CD26"/>
    <w:lvl w:ilvl="0" w:tplc="CC1A7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CC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66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EC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24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A9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1EB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A2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0D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A"/>
    <w:rsid w:val="0005309C"/>
    <w:rsid w:val="00144ED9"/>
    <w:rsid w:val="00157028"/>
    <w:rsid w:val="001709EA"/>
    <w:rsid w:val="00181FDC"/>
    <w:rsid w:val="001D0DF5"/>
    <w:rsid w:val="001F75B5"/>
    <w:rsid w:val="002343B5"/>
    <w:rsid w:val="0024042F"/>
    <w:rsid w:val="002E54C9"/>
    <w:rsid w:val="002F1985"/>
    <w:rsid w:val="002F1D31"/>
    <w:rsid w:val="003772D2"/>
    <w:rsid w:val="003863E1"/>
    <w:rsid w:val="003A2C52"/>
    <w:rsid w:val="003A4A17"/>
    <w:rsid w:val="003B42AA"/>
    <w:rsid w:val="003F3A11"/>
    <w:rsid w:val="0047652A"/>
    <w:rsid w:val="004B72FB"/>
    <w:rsid w:val="00523B76"/>
    <w:rsid w:val="006224FF"/>
    <w:rsid w:val="00657632"/>
    <w:rsid w:val="006817A3"/>
    <w:rsid w:val="00872548"/>
    <w:rsid w:val="008A1A69"/>
    <w:rsid w:val="008A4044"/>
    <w:rsid w:val="008B1D28"/>
    <w:rsid w:val="008F263C"/>
    <w:rsid w:val="008F59E1"/>
    <w:rsid w:val="009400A9"/>
    <w:rsid w:val="00947898"/>
    <w:rsid w:val="00962D56"/>
    <w:rsid w:val="009E0B7A"/>
    <w:rsid w:val="00A04C71"/>
    <w:rsid w:val="00A16DBE"/>
    <w:rsid w:val="00AA06FF"/>
    <w:rsid w:val="00BA0F0C"/>
    <w:rsid w:val="00C24799"/>
    <w:rsid w:val="00C91869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0B54"/>
    <w:rsid w:val="00F36EFB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52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52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652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652A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3608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1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448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25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3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69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998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555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1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1249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091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5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6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9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7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5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3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2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1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30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78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7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3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14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4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0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549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6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70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Jenna</cp:lastModifiedBy>
  <cp:revision>2</cp:revision>
  <dcterms:created xsi:type="dcterms:W3CDTF">2017-10-27T13:24:00Z</dcterms:created>
  <dcterms:modified xsi:type="dcterms:W3CDTF">2017-10-27T13:24:00Z</dcterms:modified>
</cp:coreProperties>
</file>